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F4A6B88">
      <w:pPr>
        <w:jc w:val="left"/>
        <w:rPr>
          <w:rFonts w:hint="eastAsia" w:ascii="仿宋" w:hAnsi="仿宋" w:eastAsia="仿宋" w:cs="仿宋"/>
          <w:b/>
          <w:sz w:val="36"/>
          <w:szCs w:val="36"/>
          <w:highlight w:val="none"/>
          <w:lang w:eastAsia="zh-CN"/>
        </w:rPr>
      </w:pPr>
    </w:p>
    <w:p w14:paraId="342CB65D">
      <w:pPr>
        <w:jc w:val="center"/>
        <w:rPr>
          <w:rFonts w:hint="eastAsia" w:ascii="仿宋" w:hAnsi="仿宋" w:eastAsia="仿宋" w:cs="仿宋"/>
          <w:b/>
          <w:sz w:val="36"/>
          <w:szCs w:val="36"/>
          <w:highlight w:val="none"/>
        </w:rPr>
      </w:pPr>
      <w:r>
        <w:rPr>
          <w:rFonts w:hint="eastAsia" w:ascii="仿宋" w:hAnsi="仿宋" w:eastAsia="仿宋" w:cs="仿宋"/>
          <w:b/>
          <w:sz w:val="36"/>
          <w:szCs w:val="36"/>
          <w:highlight w:val="none"/>
          <w:lang w:eastAsia="zh-CN"/>
        </w:rPr>
        <w:drawing>
          <wp:inline distT="0" distB="0" distL="114300" distR="114300">
            <wp:extent cx="6365875" cy="8070850"/>
            <wp:effectExtent l="0" t="0" r="15875" b="6350"/>
            <wp:docPr id="1" name="图片 1"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1"/>
                    <pic:cNvPicPr>
                      <a:picLocks noChangeAspect="1"/>
                    </pic:cNvPicPr>
                  </pic:nvPicPr>
                  <pic:blipFill>
                    <a:blip r:embed="rId6">
                      <a:lum contrast="6000"/>
                    </a:blip>
                    <a:stretch>
                      <a:fillRect/>
                    </a:stretch>
                  </pic:blipFill>
                  <pic:spPr>
                    <a:xfrm rot="10800000">
                      <a:off x="0" y="0"/>
                      <a:ext cx="6365875" cy="8070850"/>
                    </a:xfrm>
                    <a:prstGeom prst="rect">
                      <a:avLst/>
                    </a:prstGeom>
                  </pic:spPr>
                </pic:pic>
              </a:graphicData>
            </a:graphic>
          </wp:inline>
        </w:drawing>
      </w:r>
    </w:p>
    <w:p w14:paraId="5A8C530C">
      <w:pPr>
        <w:pStyle w:val="2"/>
        <w:rPr>
          <w:rFonts w:hint="eastAsia" w:ascii="仿宋" w:hAnsi="仿宋" w:eastAsia="仿宋" w:cs="仿宋"/>
          <w:b/>
          <w:sz w:val="48"/>
          <w:szCs w:val="48"/>
          <w:highlight w:val="none"/>
        </w:rPr>
      </w:pPr>
    </w:p>
    <w:p w14:paraId="7FA360A3">
      <w:pPr>
        <w:rPr>
          <w:rFonts w:hint="eastAsia" w:ascii="仿宋" w:hAnsi="仿宋" w:eastAsia="仿宋" w:cs="仿宋"/>
          <w:highlight w:val="none"/>
        </w:rPr>
      </w:pPr>
    </w:p>
    <w:p w14:paraId="1FC2466B">
      <w:pPr>
        <w:pStyle w:val="2"/>
        <w:rPr>
          <w:rFonts w:hint="eastAsia" w:ascii="仿宋" w:hAnsi="仿宋" w:eastAsia="仿宋" w:cs="仿宋"/>
          <w:highlight w:val="none"/>
        </w:rPr>
      </w:pPr>
    </w:p>
    <w:p w14:paraId="3C862F16">
      <w:pPr>
        <w:rPr>
          <w:rFonts w:hint="eastAsia" w:ascii="仿宋" w:hAnsi="仿宋" w:eastAsia="仿宋" w:cs="仿宋"/>
          <w:highlight w:val="none"/>
        </w:rPr>
      </w:pPr>
    </w:p>
    <w:p w14:paraId="5A77FDF3">
      <w:pPr>
        <w:jc w:val="center"/>
        <w:rPr>
          <w:rFonts w:hint="eastAsia" w:ascii="仿宋" w:hAnsi="仿宋" w:eastAsia="仿宋" w:cs="仿宋"/>
          <w:b/>
          <w:sz w:val="48"/>
          <w:szCs w:val="48"/>
          <w:highlight w:val="none"/>
        </w:rPr>
      </w:pPr>
      <w:r>
        <w:rPr>
          <w:rFonts w:hint="eastAsia" w:ascii="仿宋" w:hAnsi="仿宋" w:eastAsia="仿宋" w:cs="仿宋"/>
          <w:b/>
          <w:sz w:val="48"/>
          <w:szCs w:val="48"/>
          <w:highlight w:val="none"/>
        </w:rPr>
        <w:t>目   录</w:t>
      </w:r>
    </w:p>
    <w:p w14:paraId="6D4EA66A">
      <w:pPr>
        <w:jc w:val="left"/>
        <w:rPr>
          <w:rFonts w:hint="eastAsia" w:ascii="仿宋" w:hAnsi="仿宋" w:eastAsia="仿宋" w:cs="仿宋"/>
          <w:highlight w:val="none"/>
        </w:rPr>
      </w:pPr>
      <w:r>
        <w:rPr>
          <w:rFonts w:hint="eastAsia" w:ascii="仿宋" w:hAnsi="仿宋" w:eastAsia="仿宋" w:cs="仿宋"/>
          <w:highlight w:val="none"/>
        </w:rPr>
        <w:t> </w:t>
      </w:r>
    </w:p>
    <w:p w14:paraId="1904B1C8">
      <w:pPr>
        <w:spacing w:line="780" w:lineRule="auto"/>
        <w:ind w:firstLine="562" w:firstLineChars="200"/>
        <w:jc w:val="left"/>
        <w:rPr>
          <w:rFonts w:hint="eastAsia" w:ascii="仿宋" w:hAnsi="仿宋" w:eastAsia="仿宋" w:cs="仿宋"/>
          <w:b/>
          <w:sz w:val="28"/>
          <w:szCs w:val="28"/>
          <w:highlight w:val="none"/>
          <w:lang w:eastAsia="zh-CN"/>
        </w:rPr>
      </w:pPr>
      <w:r>
        <w:rPr>
          <w:rFonts w:hint="eastAsia" w:ascii="仿宋" w:hAnsi="仿宋" w:eastAsia="仿宋" w:cs="仿宋"/>
          <w:b/>
          <w:sz w:val="28"/>
          <w:szCs w:val="28"/>
          <w:highlight w:val="none"/>
        </w:rPr>
        <w:t>第一部分 引言 ………………………………………</w:t>
      </w:r>
      <w:r>
        <w:rPr>
          <w:rFonts w:hint="eastAsia" w:ascii="仿宋" w:hAnsi="仿宋" w:eastAsia="仿宋" w:cs="仿宋"/>
          <w:sz w:val="28"/>
          <w:szCs w:val="28"/>
          <w:highlight w:val="none"/>
        </w:rPr>
        <w:t>……</w:t>
      </w:r>
      <w:r>
        <w:rPr>
          <w:rFonts w:hint="eastAsia" w:ascii="仿宋" w:hAnsi="仿宋" w:eastAsia="仿宋" w:cs="仿宋"/>
          <w:b/>
          <w:sz w:val="28"/>
          <w:szCs w:val="28"/>
          <w:highlight w:val="none"/>
        </w:rPr>
        <w:t>………3-</w:t>
      </w:r>
      <w:r>
        <w:rPr>
          <w:rFonts w:hint="eastAsia" w:ascii="仿宋" w:hAnsi="仿宋" w:eastAsia="仿宋" w:cs="仿宋"/>
          <w:b/>
          <w:sz w:val="28"/>
          <w:szCs w:val="28"/>
          <w:highlight w:val="none"/>
          <w:lang w:val="en-US" w:eastAsia="zh-CN"/>
        </w:rPr>
        <w:t>5</w:t>
      </w:r>
    </w:p>
    <w:p w14:paraId="768366C8">
      <w:pPr>
        <w:spacing w:line="780" w:lineRule="auto"/>
        <w:ind w:firstLine="1120" w:firstLineChars="400"/>
        <w:jc w:val="left"/>
        <w:rPr>
          <w:rFonts w:hint="eastAsia" w:ascii="仿宋" w:hAnsi="仿宋" w:eastAsia="仿宋" w:cs="仿宋"/>
          <w:sz w:val="28"/>
          <w:szCs w:val="28"/>
          <w:highlight w:val="none"/>
        </w:rPr>
      </w:pPr>
      <w:r>
        <w:rPr>
          <w:rFonts w:hint="eastAsia" w:ascii="仿宋" w:hAnsi="仿宋" w:eastAsia="仿宋" w:cs="仿宋"/>
          <w:sz w:val="28"/>
          <w:szCs w:val="28"/>
          <w:highlight w:val="none"/>
        </w:rPr>
        <w:t>释义……………………………………………………………3-4</w:t>
      </w:r>
    </w:p>
    <w:p w14:paraId="0F1066B4">
      <w:pPr>
        <w:spacing w:line="780" w:lineRule="auto"/>
        <w:ind w:firstLine="1120" w:firstLineChars="400"/>
        <w:jc w:val="left"/>
        <w:rPr>
          <w:rFonts w:hint="eastAsia" w:ascii="仿宋" w:hAnsi="仿宋" w:eastAsia="仿宋" w:cs="仿宋"/>
          <w:sz w:val="28"/>
          <w:szCs w:val="28"/>
          <w:highlight w:val="none"/>
          <w:lang w:eastAsia="zh-CN"/>
        </w:rPr>
      </w:pPr>
      <w:r>
        <w:rPr>
          <w:rFonts w:hint="eastAsia" w:ascii="仿宋" w:hAnsi="仿宋" w:eastAsia="仿宋" w:cs="仿宋"/>
          <w:sz w:val="28"/>
          <w:szCs w:val="28"/>
          <w:highlight w:val="none"/>
        </w:rPr>
        <w:t>律师应声明的事项……………………………………………4-</w:t>
      </w:r>
      <w:r>
        <w:rPr>
          <w:rFonts w:hint="eastAsia" w:ascii="仿宋" w:hAnsi="仿宋" w:eastAsia="仿宋" w:cs="仿宋"/>
          <w:sz w:val="28"/>
          <w:szCs w:val="28"/>
          <w:highlight w:val="none"/>
          <w:lang w:val="en-US" w:eastAsia="zh-CN"/>
        </w:rPr>
        <w:t>5</w:t>
      </w:r>
    </w:p>
    <w:p w14:paraId="527383A3">
      <w:pPr>
        <w:spacing w:line="780" w:lineRule="auto"/>
        <w:ind w:firstLine="562" w:firstLineChars="200"/>
        <w:jc w:val="left"/>
        <w:rPr>
          <w:rFonts w:hint="eastAsia" w:ascii="仿宋" w:hAnsi="仿宋" w:eastAsia="仿宋" w:cs="仿宋"/>
          <w:b/>
          <w:sz w:val="28"/>
          <w:szCs w:val="28"/>
          <w:highlight w:val="none"/>
        </w:rPr>
      </w:pPr>
      <w:r>
        <w:rPr>
          <w:rFonts w:hint="eastAsia" w:ascii="仿宋" w:hAnsi="仿宋" w:eastAsia="仿宋" w:cs="仿宋"/>
          <w:b/>
          <w:sz w:val="28"/>
          <w:szCs w:val="28"/>
          <w:highlight w:val="none"/>
        </w:rPr>
        <w:t>第二部分 正文…………………………………………</w:t>
      </w:r>
      <w:r>
        <w:rPr>
          <w:rFonts w:hint="eastAsia" w:ascii="仿宋" w:hAnsi="仿宋" w:eastAsia="仿宋" w:cs="仿宋"/>
          <w:sz w:val="28"/>
          <w:szCs w:val="28"/>
          <w:highlight w:val="none"/>
        </w:rPr>
        <w:t>……</w:t>
      </w:r>
      <w:r>
        <w:rPr>
          <w:rFonts w:hint="eastAsia" w:ascii="仿宋" w:hAnsi="仿宋" w:eastAsia="仿宋" w:cs="仿宋"/>
          <w:b/>
          <w:sz w:val="28"/>
          <w:szCs w:val="28"/>
          <w:highlight w:val="none"/>
        </w:rPr>
        <w:t>……6-13</w:t>
      </w:r>
    </w:p>
    <w:p w14:paraId="77C111F7">
      <w:pPr>
        <w:spacing w:line="780" w:lineRule="auto"/>
        <w:ind w:firstLine="1120" w:firstLineChars="400"/>
        <w:jc w:val="left"/>
        <w:rPr>
          <w:rFonts w:hint="eastAsia" w:ascii="仿宋" w:hAnsi="仿宋" w:eastAsia="仿宋" w:cs="仿宋"/>
          <w:sz w:val="28"/>
          <w:szCs w:val="28"/>
          <w:highlight w:val="none"/>
          <w:lang w:eastAsia="zh-CN"/>
        </w:rPr>
      </w:pPr>
      <w:r>
        <w:rPr>
          <w:rFonts w:hint="eastAsia" w:ascii="仿宋" w:hAnsi="仿宋" w:eastAsia="仿宋" w:cs="仿宋"/>
          <w:sz w:val="28"/>
          <w:szCs w:val="28"/>
          <w:highlight w:val="none"/>
        </w:rPr>
        <w:t>项目基本情况…………………………………………………6-</w:t>
      </w:r>
      <w:r>
        <w:rPr>
          <w:rFonts w:hint="eastAsia" w:ascii="仿宋" w:hAnsi="仿宋" w:eastAsia="仿宋" w:cs="仿宋"/>
          <w:sz w:val="28"/>
          <w:szCs w:val="28"/>
          <w:highlight w:val="none"/>
          <w:lang w:val="en-US" w:eastAsia="zh-CN"/>
        </w:rPr>
        <w:t>7</w:t>
      </w:r>
    </w:p>
    <w:p w14:paraId="3FA96EFB">
      <w:pPr>
        <w:spacing w:line="780" w:lineRule="auto"/>
        <w:ind w:left="1117" w:leftChars="532"/>
        <w:jc w:val="left"/>
        <w:rPr>
          <w:rFonts w:hint="eastAsia" w:ascii="仿宋" w:hAnsi="仿宋" w:eastAsia="仿宋" w:cs="仿宋"/>
          <w:sz w:val="28"/>
          <w:szCs w:val="28"/>
          <w:highlight w:val="none"/>
          <w:lang w:eastAsia="zh-CN"/>
        </w:rPr>
      </w:pPr>
      <w:r>
        <w:rPr>
          <w:rFonts w:hint="eastAsia" w:ascii="仿宋" w:hAnsi="仿宋" w:eastAsia="仿宋" w:cs="仿宋"/>
          <w:sz w:val="28"/>
          <w:szCs w:val="28"/>
          <w:highlight w:val="none"/>
        </w:rPr>
        <w:t>项目融资来源…………………………………………………</w:t>
      </w:r>
      <w:r>
        <w:rPr>
          <w:rFonts w:hint="eastAsia" w:ascii="仿宋" w:hAnsi="仿宋" w:eastAsia="仿宋" w:cs="仿宋"/>
          <w:sz w:val="28"/>
          <w:szCs w:val="28"/>
          <w:highlight w:val="none"/>
          <w:lang w:val="en-US" w:eastAsia="zh-CN"/>
        </w:rPr>
        <w:t>7</w:t>
      </w:r>
      <w:r>
        <w:rPr>
          <w:rFonts w:hint="eastAsia" w:ascii="仿宋" w:hAnsi="仿宋" w:eastAsia="仿宋" w:cs="仿宋"/>
          <w:sz w:val="28"/>
          <w:szCs w:val="28"/>
          <w:highlight w:val="none"/>
        </w:rPr>
        <w:t>-</w:t>
      </w:r>
      <w:r>
        <w:rPr>
          <w:rFonts w:hint="eastAsia" w:ascii="仿宋" w:hAnsi="仿宋" w:eastAsia="仿宋" w:cs="仿宋"/>
          <w:sz w:val="28"/>
          <w:szCs w:val="28"/>
          <w:highlight w:val="none"/>
          <w:lang w:val="en-US" w:eastAsia="zh-CN"/>
        </w:rPr>
        <w:t>8</w:t>
      </w:r>
    </w:p>
    <w:p w14:paraId="790F5B58">
      <w:pPr>
        <w:spacing w:line="780" w:lineRule="auto"/>
        <w:ind w:left="1117" w:leftChars="532"/>
        <w:jc w:val="left"/>
        <w:rPr>
          <w:rFonts w:hint="eastAsia" w:ascii="仿宋" w:hAnsi="仿宋" w:eastAsia="仿宋" w:cs="仿宋"/>
          <w:sz w:val="28"/>
          <w:szCs w:val="28"/>
          <w:highlight w:val="none"/>
          <w:lang w:val="en-US" w:eastAsia="zh-CN"/>
        </w:rPr>
      </w:pPr>
      <w:r>
        <w:rPr>
          <w:rFonts w:hint="eastAsia" w:ascii="仿宋" w:hAnsi="仿宋" w:eastAsia="仿宋" w:cs="仿宋"/>
          <w:sz w:val="28"/>
          <w:szCs w:val="28"/>
          <w:highlight w:val="none"/>
        </w:rPr>
        <w:t>预期偿债资金来源……………………………………………</w:t>
      </w:r>
      <w:r>
        <w:rPr>
          <w:rFonts w:hint="eastAsia" w:ascii="仿宋" w:hAnsi="仿宋" w:eastAsia="仿宋" w:cs="仿宋"/>
          <w:sz w:val="28"/>
          <w:szCs w:val="28"/>
          <w:highlight w:val="none"/>
          <w:lang w:val="en-US" w:eastAsia="zh-CN"/>
        </w:rPr>
        <w:t>8</w:t>
      </w:r>
      <w:r>
        <w:rPr>
          <w:rFonts w:hint="eastAsia" w:ascii="仿宋" w:hAnsi="仿宋" w:eastAsia="仿宋" w:cs="仿宋"/>
          <w:sz w:val="28"/>
          <w:szCs w:val="28"/>
          <w:highlight w:val="none"/>
        </w:rPr>
        <w:t>-</w:t>
      </w:r>
      <w:r>
        <w:rPr>
          <w:rFonts w:hint="eastAsia" w:ascii="仿宋" w:hAnsi="仿宋" w:eastAsia="仿宋" w:cs="仿宋"/>
          <w:sz w:val="28"/>
          <w:szCs w:val="28"/>
          <w:highlight w:val="none"/>
          <w:lang w:val="en-US" w:eastAsia="zh-CN"/>
        </w:rPr>
        <w:t>9</w:t>
      </w:r>
      <w:r>
        <w:rPr>
          <w:rFonts w:hint="eastAsia" w:ascii="仿宋" w:hAnsi="仿宋" w:eastAsia="仿宋" w:cs="仿宋"/>
          <w:sz w:val="28"/>
          <w:szCs w:val="28"/>
          <w:highlight w:val="none"/>
        </w:rPr>
        <w:t>中介服务机构 ………………………………………………</w:t>
      </w:r>
      <w:r>
        <w:rPr>
          <w:rFonts w:hint="eastAsia" w:ascii="仿宋" w:hAnsi="仿宋" w:eastAsia="仿宋" w:cs="仿宋"/>
          <w:sz w:val="28"/>
          <w:szCs w:val="28"/>
          <w:highlight w:val="none"/>
          <w:lang w:val="en-US" w:eastAsia="zh-CN"/>
        </w:rPr>
        <w:t>9</w:t>
      </w:r>
      <w:r>
        <w:rPr>
          <w:rFonts w:hint="eastAsia" w:ascii="仿宋" w:hAnsi="仿宋" w:eastAsia="仿宋" w:cs="仿宋"/>
          <w:sz w:val="28"/>
          <w:szCs w:val="28"/>
          <w:highlight w:val="none"/>
        </w:rPr>
        <w:t>-</w:t>
      </w:r>
      <w:r>
        <w:rPr>
          <w:rFonts w:hint="eastAsia" w:ascii="仿宋" w:hAnsi="仿宋" w:eastAsia="仿宋" w:cs="仿宋"/>
          <w:sz w:val="28"/>
          <w:szCs w:val="28"/>
          <w:highlight w:val="none"/>
          <w:lang w:val="en-US" w:eastAsia="zh-CN"/>
        </w:rPr>
        <w:t>9</w:t>
      </w:r>
    </w:p>
    <w:p w14:paraId="111382F5">
      <w:pPr>
        <w:spacing w:line="780" w:lineRule="auto"/>
        <w:ind w:left="1117" w:leftChars="532"/>
        <w:jc w:val="left"/>
        <w:rPr>
          <w:rFonts w:hint="eastAsia" w:ascii="仿宋" w:hAnsi="仿宋" w:eastAsia="仿宋" w:cs="仿宋"/>
          <w:sz w:val="28"/>
          <w:szCs w:val="28"/>
          <w:highlight w:val="none"/>
          <w:lang w:val="en-US" w:eastAsia="zh-CN"/>
        </w:rPr>
      </w:pPr>
      <w:r>
        <w:rPr>
          <w:rFonts w:hint="eastAsia" w:ascii="仿宋" w:hAnsi="仿宋" w:eastAsia="仿宋" w:cs="仿宋"/>
          <w:sz w:val="28"/>
          <w:szCs w:val="28"/>
          <w:highlight w:val="none"/>
        </w:rPr>
        <w:t>法律风险管理评估…………………………………………</w:t>
      </w:r>
      <w:r>
        <w:rPr>
          <w:rFonts w:hint="eastAsia" w:ascii="仿宋" w:hAnsi="仿宋" w:eastAsia="仿宋" w:cs="仿宋"/>
          <w:sz w:val="28"/>
          <w:szCs w:val="28"/>
          <w:highlight w:val="none"/>
          <w:lang w:val="en-US" w:eastAsia="zh-CN"/>
        </w:rPr>
        <w:t>9</w:t>
      </w:r>
      <w:r>
        <w:rPr>
          <w:rFonts w:hint="eastAsia" w:ascii="仿宋" w:hAnsi="仿宋" w:eastAsia="仿宋" w:cs="仿宋"/>
          <w:sz w:val="28"/>
          <w:szCs w:val="28"/>
          <w:highlight w:val="none"/>
        </w:rPr>
        <w:t>-1</w:t>
      </w:r>
      <w:r>
        <w:rPr>
          <w:rFonts w:hint="eastAsia" w:ascii="仿宋" w:hAnsi="仿宋" w:eastAsia="仿宋" w:cs="仿宋"/>
          <w:sz w:val="28"/>
          <w:szCs w:val="28"/>
          <w:highlight w:val="none"/>
          <w:lang w:val="en-US" w:eastAsia="zh-CN"/>
        </w:rPr>
        <w:t>1</w:t>
      </w:r>
    </w:p>
    <w:p w14:paraId="74E614BE">
      <w:pPr>
        <w:spacing w:line="780" w:lineRule="auto"/>
        <w:ind w:firstLine="562" w:firstLineChars="200"/>
        <w:jc w:val="left"/>
        <w:rPr>
          <w:rFonts w:hint="eastAsia" w:ascii="仿宋" w:hAnsi="仿宋" w:eastAsia="仿宋" w:cs="仿宋"/>
          <w:sz w:val="28"/>
          <w:szCs w:val="28"/>
          <w:highlight w:val="none"/>
          <w:lang w:eastAsia="zh-CN"/>
        </w:rPr>
      </w:pPr>
      <w:r>
        <w:rPr>
          <w:rFonts w:hint="eastAsia" w:ascii="仿宋" w:hAnsi="仿宋" w:eastAsia="仿宋" w:cs="仿宋"/>
          <w:b/>
          <w:sz w:val="28"/>
          <w:szCs w:val="28"/>
          <w:highlight w:val="none"/>
        </w:rPr>
        <w:t>结论意见</w:t>
      </w:r>
      <w:r>
        <w:rPr>
          <w:rFonts w:hint="eastAsia" w:ascii="仿宋" w:hAnsi="仿宋" w:eastAsia="仿宋" w:cs="仿宋"/>
          <w:sz w:val="28"/>
          <w:szCs w:val="28"/>
          <w:highlight w:val="none"/>
        </w:rPr>
        <w:t>…………………………………………………………</w:t>
      </w:r>
      <w:r>
        <w:rPr>
          <w:rFonts w:hint="eastAsia" w:ascii="仿宋" w:hAnsi="仿宋" w:eastAsia="仿宋" w:cs="仿宋"/>
          <w:b/>
          <w:bCs/>
          <w:sz w:val="28"/>
          <w:szCs w:val="28"/>
          <w:highlight w:val="none"/>
        </w:rPr>
        <w:t>1</w:t>
      </w:r>
      <w:r>
        <w:rPr>
          <w:rFonts w:hint="eastAsia" w:ascii="仿宋" w:hAnsi="仿宋" w:eastAsia="仿宋" w:cs="仿宋"/>
          <w:b/>
          <w:bCs/>
          <w:sz w:val="28"/>
          <w:szCs w:val="28"/>
          <w:highlight w:val="none"/>
          <w:lang w:val="en-US" w:eastAsia="zh-CN"/>
        </w:rPr>
        <w:t>1</w:t>
      </w:r>
      <w:r>
        <w:rPr>
          <w:rFonts w:hint="eastAsia" w:ascii="仿宋" w:hAnsi="仿宋" w:eastAsia="仿宋" w:cs="仿宋"/>
          <w:b/>
          <w:bCs/>
          <w:sz w:val="28"/>
          <w:szCs w:val="28"/>
          <w:highlight w:val="none"/>
        </w:rPr>
        <w:t>-1</w:t>
      </w:r>
      <w:r>
        <w:rPr>
          <w:rFonts w:hint="eastAsia" w:ascii="仿宋" w:hAnsi="仿宋" w:eastAsia="仿宋" w:cs="仿宋"/>
          <w:b/>
          <w:bCs/>
          <w:sz w:val="28"/>
          <w:szCs w:val="28"/>
          <w:highlight w:val="none"/>
          <w:lang w:val="en-US" w:eastAsia="zh-CN"/>
        </w:rPr>
        <w:t>1</w:t>
      </w:r>
    </w:p>
    <w:p w14:paraId="11B232F5">
      <w:pPr>
        <w:spacing w:line="780" w:lineRule="auto"/>
        <w:ind w:firstLine="562" w:firstLineChars="200"/>
        <w:jc w:val="left"/>
        <w:rPr>
          <w:rFonts w:hint="eastAsia" w:ascii="仿宋" w:hAnsi="仿宋" w:eastAsia="仿宋" w:cs="仿宋"/>
          <w:sz w:val="28"/>
          <w:szCs w:val="28"/>
          <w:highlight w:val="none"/>
          <w:lang w:eastAsia="zh-CN"/>
        </w:rPr>
      </w:pPr>
      <w:r>
        <w:rPr>
          <w:rFonts w:hint="eastAsia" w:ascii="仿宋" w:hAnsi="仿宋" w:eastAsia="仿宋" w:cs="仿宋"/>
          <w:b/>
          <w:sz w:val="28"/>
          <w:szCs w:val="28"/>
          <w:highlight w:val="none"/>
        </w:rPr>
        <w:t>法律意见签署页</w:t>
      </w:r>
      <w:r>
        <w:rPr>
          <w:rFonts w:hint="eastAsia" w:ascii="仿宋" w:hAnsi="仿宋" w:eastAsia="仿宋" w:cs="仿宋"/>
          <w:sz w:val="28"/>
          <w:szCs w:val="28"/>
          <w:highlight w:val="none"/>
        </w:rPr>
        <w:t>…………………………………………………</w:t>
      </w:r>
      <w:r>
        <w:rPr>
          <w:rFonts w:hint="eastAsia" w:ascii="仿宋" w:hAnsi="仿宋" w:eastAsia="仿宋" w:cs="仿宋"/>
          <w:b/>
          <w:bCs/>
          <w:sz w:val="28"/>
          <w:szCs w:val="28"/>
          <w:highlight w:val="none"/>
        </w:rPr>
        <w:t>1</w:t>
      </w:r>
      <w:r>
        <w:rPr>
          <w:rFonts w:hint="eastAsia" w:ascii="仿宋" w:hAnsi="仿宋" w:eastAsia="仿宋" w:cs="仿宋"/>
          <w:b/>
          <w:bCs/>
          <w:sz w:val="28"/>
          <w:szCs w:val="28"/>
          <w:highlight w:val="none"/>
          <w:lang w:val="en-US" w:eastAsia="zh-CN"/>
        </w:rPr>
        <w:t>2</w:t>
      </w:r>
      <w:r>
        <w:rPr>
          <w:rFonts w:hint="eastAsia" w:ascii="仿宋" w:hAnsi="仿宋" w:eastAsia="仿宋" w:cs="仿宋"/>
          <w:b/>
          <w:bCs/>
          <w:sz w:val="28"/>
          <w:szCs w:val="28"/>
          <w:highlight w:val="none"/>
        </w:rPr>
        <w:t>-1</w:t>
      </w:r>
      <w:r>
        <w:rPr>
          <w:rFonts w:hint="eastAsia" w:ascii="仿宋" w:hAnsi="仿宋" w:eastAsia="仿宋" w:cs="仿宋"/>
          <w:b/>
          <w:bCs/>
          <w:sz w:val="28"/>
          <w:szCs w:val="28"/>
          <w:highlight w:val="none"/>
          <w:lang w:val="en-US" w:eastAsia="zh-CN"/>
        </w:rPr>
        <w:t>2</w:t>
      </w:r>
    </w:p>
    <w:p w14:paraId="6B835FE4">
      <w:pPr>
        <w:widowControl/>
        <w:jc w:val="left"/>
        <w:rPr>
          <w:rFonts w:hint="eastAsia" w:ascii="仿宋" w:hAnsi="仿宋" w:eastAsia="仿宋" w:cs="仿宋"/>
          <w:b/>
          <w:sz w:val="44"/>
          <w:szCs w:val="44"/>
          <w:highlight w:val="none"/>
        </w:rPr>
      </w:pPr>
      <w:r>
        <w:rPr>
          <w:rFonts w:hint="eastAsia" w:ascii="仿宋" w:hAnsi="仿宋" w:eastAsia="仿宋" w:cs="仿宋"/>
          <w:b/>
          <w:sz w:val="44"/>
          <w:szCs w:val="44"/>
          <w:highlight w:val="none"/>
        </w:rPr>
        <w:br w:type="page"/>
      </w:r>
    </w:p>
    <w:p w14:paraId="434C206B">
      <w:pPr>
        <w:spacing w:line="360" w:lineRule="auto"/>
        <w:jc w:val="center"/>
        <w:rPr>
          <w:rFonts w:hint="eastAsia" w:ascii="仿宋" w:hAnsi="仿宋" w:eastAsia="仿宋" w:cs="仿宋"/>
          <w:b/>
          <w:sz w:val="28"/>
          <w:szCs w:val="28"/>
          <w:highlight w:val="none"/>
          <w:lang w:eastAsia="zh-CN"/>
        </w:rPr>
      </w:pPr>
      <w:r>
        <w:rPr>
          <w:rFonts w:hint="eastAsia" w:ascii="仿宋" w:hAnsi="仿宋" w:eastAsia="仿宋" w:cs="仿宋"/>
          <w:b/>
          <w:sz w:val="28"/>
          <w:szCs w:val="28"/>
          <w:highlight w:val="none"/>
          <w:lang w:val="en-US" w:eastAsia="zh-CN"/>
        </w:rPr>
        <w:t>河北奉法</w:t>
      </w:r>
      <w:r>
        <w:rPr>
          <w:rFonts w:hint="eastAsia" w:ascii="仿宋" w:hAnsi="仿宋" w:eastAsia="仿宋" w:cs="仿宋"/>
          <w:b/>
          <w:sz w:val="28"/>
          <w:szCs w:val="28"/>
          <w:highlight w:val="none"/>
          <w:lang w:eastAsia="zh-CN"/>
        </w:rPr>
        <w:t>律师事务所</w:t>
      </w:r>
    </w:p>
    <w:p w14:paraId="7CF49D0A">
      <w:pPr>
        <w:spacing w:line="720" w:lineRule="auto"/>
        <w:jc w:val="center"/>
        <w:rPr>
          <w:rFonts w:hint="eastAsia" w:ascii="仿宋" w:hAnsi="仿宋" w:eastAsia="仿宋" w:cs="仿宋"/>
          <w:b/>
          <w:sz w:val="28"/>
          <w:szCs w:val="28"/>
          <w:highlight w:val="none"/>
        </w:rPr>
      </w:pPr>
      <w:r>
        <w:rPr>
          <w:rFonts w:hint="eastAsia" w:ascii="仿宋" w:hAnsi="仿宋" w:eastAsia="仿宋" w:cs="仿宋"/>
          <w:b/>
          <w:sz w:val="28"/>
          <w:szCs w:val="28"/>
          <w:highlight w:val="none"/>
        </w:rPr>
        <w:t>关于</w:t>
      </w:r>
      <w:r>
        <w:rPr>
          <w:rFonts w:hint="eastAsia" w:ascii="仿宋" w:hAnsi="仿宋" w:eastAsia="仿宋" w:cs="仿宋"/>
          <w:b/>
          <w:sz w:val="28"/>
          <w:szCs w:val="28"/>
          <w:highlight w:val="none"/>
          <w:lang w:eastAsia="zh-CN"/>
        </w:rPr>
        <w:t>武安工业园区裕祥北路管网工程之</w:t>
      </w:r>
    </w:p>
    <w:p w14:paraId="33FECC7D">
      <w:pPr>
        <w:spacing w:line="720" w:lineRule="auto"/>
        <w:jc w:val="center"/>
        <w:rPr>
          <w:rFonts w:hint="eastAsia" w:ascii="仿宋" w:hAnsi="仿宋" w:eastAsia="仿宋" w:cs="仿宋"/>
          <w:b/>
          <w:sz w:val="28"/>
          <w:szCs w:val="28"/>
          <w:highlight w:val="none"/>
        </w:rPr>
      </w:pPr>
      <w:r>
        <w:rPr>
          <w:rFonts w:hint="eastAsia" w:ascii="仿宋" w:hAnsi="仿宋" w:eastAsia="仿宋" w:cs="仿宋"/>
          <w:b/>
          <w:sz w:val="28"/>
          <w:szCs w:val="28"/>
          <w:highlight w:val="none"/>
        </w:rPr>
        <w:t>法律意见书</w:t>
      </w:r>
    </w:p>
    <w:p w14:paraId="2006C930">
      <w:pPr>
        <w:ind w:firstLine="562" w:firstLineChars="200"/>
        <w:jc w:val="left"/>
        <w:rPr>
          <w:rFonts w:hint="eastAsia" w:ascii="仿宋" w:hAnsi="仿宋" w:eastAsia="仿宋" w:cs="仿宋"/>
          <w:b/>
          <w:sz w:val="28"/>
          <w:szCs w:val="28"/>
          <w:highlight w:val="none"/>
        </w:rPr>
      </w:pPr>
    </w:p>
    <w:p w14:paraId="3DC2618E">
      <w:pPr>
        <w:ind w:firstLine="562" w:firstLineChars="200"/>
        <w:jc w:val="left"/>
        <w:rPr>
          <w:rFonts w:hint="eastAsia" w:ascii="仿宋" w:hAnsi="仿宋" w:eastAsia="仿宋" w:cs="仿宋"/>
          <w:b/>
          <w:sz w:val="28"/>
          <w:szCs w:val="28"/>
          <w:highlight w:val="none"/>
          <w:lang w:eastAsia="zh-CN"/>
        </w:rPr>
      </w:pPr>
      <w:r>
        <w:rPr>
          <w:rFonts w:hint="eastAsia" w:ascii="仿宋" w:hAnsi="仿宋" w:eastAsia="仿宋" w:cs="仿宋"/>
          <w:b/>
          <w:sz w:val="28"/>
          <w:szCs w:val="28"/>
          <w:highlight w:val="none"/>
        </w:rPr>
        <w:t>致：</w:t>
      </w:r>
      <w:r>
        <w:rPr>
          <w:rFonts w:hint="eastAsia" w:ascii="仿宋" w:hAnsi="仿宋" w:eastAsia="仿宋" w:cs="仿宋"/>
          <w:b/>
          <w:sz w:val="28"/>
          <w:szCs w:val="28"/>
          <w:highlight w:val="none"/>
          <w:lang w:eastAsia="zh-CN"/>
        </w:rPr>
        <w:t>河北武安工业园区管理委员会</w:t>
      </w:r>
    </w:p>
    <w:p w14:paraId="6C59C413">
      <w:pPr>
        <w:ind w:firstLine="560" w:firstLineChars="200"/>
        <w:jc w:val="left"/>
        <w:rPr>
          <w:rFonts w:hint="eastAsia" w:ascii="仿宋" w:hAnsi="仿宋" w:eastAsia="仿宋" w:cs="仿宋"/>
          <w:sz w:val="28"/>
          <w:szCs w:val="28"/>
          <w:highlight w:val="none"/>
        </w:rPr>
      </w:pPr>
      <w:r>
        <w:rPr>
          <w:rFonts w:hint="eastAsia" w:ascii="仿宋" w:hAnsi="仿宋" w:eastAsia="仿宋" w:cs="仿宋"/>
          <w:sz w:val="28"/>
          <w:szCs w:val="28"/>
          <w:highlight w:val="none"/>
        </w:rPr>
        <w:t>河北</w:t>
      </w:r>
      <w:r>
        <w:rPr>
          <w:rFonts w:hint="eastAsia" w:ascii="仿宋" w:hAnsi="仿宋" w:eastAsia="仿宋" w:cs="仿宋"/>
          <w:sz w:val="28"/>
          <w:szCs w:val="28"/>
          <w:highlight w:val="none"/>
          <w:lang w:val="en-US" w:eastAsia="zh-CN"/>
        </w:rPr>
        <w:t>奉法</w:t>
      </w:r>
      <w:r>
        <w:rPr>
          <w:rFonts w:hint="eastAsia" w:ascii="仿宋" w:hAnsi="仿宋" w:eastAsia="仿宋" w:cs="仿宋"/>
          <w:sz w:val="28"/>
          <w:szCs w:val="28"/>
          <w:highlight w:val="none"/>
        </w:rPr>
        <w:t>律师事务（以下简称本所）接受</w:t>
      </w:r>
      <w:r>
        <w:rPr>
          <w:rFonts w:hint="eastAsia" w:ascii="仿宋" w:hAnsi="仿宋" w:eastAsia="仿宋" w:cs="仿宋"/>
          <w:sz w:val="28"/>
          <w:szCs w:val="28"/>
          <w:highlight w:val="none"/>
          <w:lang w:eastAsia="zh-CN"/>
        </w:rPr>
        <w:t>河北武安工业园区管理委员会</w:t>
      </w:r>
      <w:r>
        <w:rPr>
          <w:rFonts w:hint="eastAsia" w:ascii="仿宋" w:hAnsi="仿宋" w:eastAsia="仿宋" w:cs="仿宋"/>
          <w:sz w:val="28"/>
          <w:szCs w:val="28"/>
          <w:highlight w:val="none"/>
        </w:rPr>
        <w:t>的委托，担任其关于</w:t>
      </w:r>
      <w:r>
        <w:rPr>
          <w:rFonts w:hint="eastAsia" w:ascii="仿宋" w:hAnsi="仿宋" w:eastAsia="仿宋" w:cs="仿宋"/>
          <w:sz w:val="28"/>
          <w:szCs w:val="28"/>
          <w:highlight w:val="none"/>
          <w:lang w:eastAsia="zh-CN"/>
        </w:rPr>
        <w:t>武安工业园区裕祥北路管网工程</w:t>
      </w:r>
      <w:r>
        <w:rPr>
          <w:rFonts w:hint="eastAsia" w:ascii="仿宋" w:hAnsi="仿宋" w:eastAsia="仿宋" w:cs="仿宋"/>
          <w:sz w:val="28"/>
          <w:szCs w:val="28"/>
          <w:highlight w:val="none"/>
        </w:rPr>
        <w:t>调查项目特聘法律顾问。本所律师依据《公司法》、《证券法》、《债券条例》、《地方政府专项债券品种的通知》、《改进管理工作通知》、《简化程序通知》、《进一步改进企业债券发行工作的通知》、《支持重点项目建设促进经济平稳较快发展的通知》、《中华人民共和国预算法》、《国务院关于加强地方政府性债务管理的意见》（国发〔2014〕43号）、《关于印发&lt;地方政府专项债券发行管理暂行办法&gt;的通知》（财库〔2015〕83号）、《关于试点发展项目收益与融资自求平衡的地方政府专项债券品种的通知》（财预〔2017〕89号）等有关法律、法规、规范性文件。就</w:t>
      </w:r>
      <w:r>
        <w:rPr>
          <w:rFonts w:hint="eastAsia" w:ascii="仿宋" w:hAnsi="仿宋" w:eastAsia="仿宋" w:cs="仿宋"/>
          <w:sz w:val="28"/>
          <w:szCs w:val="28"/>
          <w:highlight w:val="none"/>
          <w:lang w:eastAsia="zh-CN"/>
        </w:rPr>
        <w:t>河北武安工业园区管理委员会</w:t>
      </w:r>
      <w:r>
        <w:rPr>
          <w:rFonts w:hint="eastAsia" w:ascii="仿宋" w:hAnsi="仿宋" w:eastAsia="仿宋" w:cs="仿宋"/>
          <w:sz w:val="28"/>
          <w:szCs w:val="28"/>
          <w:highlight w:val="none"/>
        </w:rPr>
        <w:t>本期债券募投事宜进行核查并出具本法律意见书。有关法律、法规、规范性文件的有关规定，按照律师行业公认的业务标准、道德规范和勤勉尽责精神，出具本《法律意见书》。</w:t>
      </w:r>
    </w:p>
    <w:p w14:paraId="3BC3F89A">
      <w:pPr>
        <w:ind w:firstLine="560" w:firstLineChars="200"/>
        <w:jc w:val="center"/>
        <w:rPr>
          <w:rFonts w:hint="eastAsia" w:ascii="仿宋" w:hAnsi="仿宋" w:eastAsia="仿宋" w:cs="仿宋"/>
          <w:sz w:val="28"/>
          <w:szCs w:val="28"/>
          <w:highlight w:val="none"/>
        </w:rPr>
      </w:pPr>
    </w:p>
    <w:p w14:paraId="414B06E9">
      <w:pPr>
        <w:pStyle w:val="2"/>
        <w:rPr>
          <w:rFonts w:hint="eastAsia" w:ascii="仿宋" w:hAnsi="仿宋" w:eastAsia="仿宋" w:cs="仿宋"/>
        </w:rPr>
      </w:pPr>
    </w:p>
    <w:p w14:paraId="236C4F16">
      <w:pPr>
        <w:rPr>
          <w:rFonts w:hint="eastAsia" w:ascii="仿宋" w:hAnsi="仿宋" w:eastAsia="仿宋" w:cs="仿宋"/>
        </w:rPr>
      </w:pPr>
    </w:p>
    <w:p w14:paraId="09EB6B0C">
      <w:pPr>
        <w:pStyle w:val="2"/>
        <w:rPr>
          <w:rFonts w:hint="eastAsia" w:ascii="仿宋" w:hAnsi="仿宋" w:eastAsia="仿宋" w:cs="仿宋"/>
        </w:rPr>
      </w:pPr>
    </w:p>
    <w:p w14:paraId="34F551D9">
      <w:pPr>
        <w:jc w:val="center"/>
        <w:rPr>
          <w:rFonts w:hint="eastAsia" w:ascii="仿宋" w:hAnsi="仿宋" w:eastAsia="仿宋" w:cs="仿宋"/>
          <w:b/>
          <w:bCs/>
          <w:sz w:val="28"/>
          <w:szCs w:val="28"/>
          <w:highlight w:val="none"/>
        </w:rPr>
      </w:pPr>
      <w:r>
        <w:rPr>
          <w:rFonts w:hint="eastAsia" w:ascii="仿宋" w:hAnsi="仿宋" w:eastAsia="仿宋" w:cs="仿宋"/>
          <w:b/>
          <w:bCs/>
          <w:sz w:val="28"/>
          <w:szCs w:val="28"/>
          <w:highlight w:val="none"/>
        </w:rPr>
        <w:t>第一部分</w:t>
      </w:r>
      <w:r>
        <w:rPr>
          <w:rFonts w:hint="eastAsia" w:ascii="仿宋" w:hAnsi="仿宋" w:eastAsia="仿宋" w:cs="仿宋"/>
          <w:b/>
          <w:bCs/>
          <w:sz w:val="28"/>
          <w:szCs w:val="28"/>
          <w:highlight w:val="none"/>
          <w:lang w:val="en-US" w:eastAsia="zh-CN"/>
        </w:rPr>
        <w:t xml:space="preserve"> </w:t>
      </w:r>
      <w:r>
        <w:rPr>
          <w:rFonts w:hint="eastAsia" w:ascii="仿宋" w:hAnsi="仿宋" w:eastAsia="仿宋" w:cs="仿宋"/>
          <w:b/>
          <w:bCs/>
          <w:sz w:val="28"/>
          <w:szCs w:val="28"/>
          <w:highlight w:val="none"/>
        </w:rPr>
        <w:t>引言</w:t>
      </w:r>
    </w:p>
    <w:p w14:paraId="03B640CA">
      <w:pPr>
        <w:ind w:firstLine="560" w:firstLineChars="200"/>
        <w:jc w:val="left"/>
        <w:rPr>
          <w:rFonts w:hint="eastAsia" w:ascii="仿宋" w:hAnsi="仿宋" w:eastAsia="仿宋" w:cs="仿宋"/>
          <w:sz w:val="28"/>
          <w:szCs w:val="28"/>
          <w:highlight w:val="none"/>
        </w:rPr>
      </w:pPr>
      <w:r>
        <w:rPr>
          <w:rFonts w:hint="eastAsia" w:ascii="仿宋" w:hAnsi="仿宋" w:eastAsia="仿宋" w:cs="仿宋"/>
          <w:sz w:val="28"/>
          <w:szCs w:val="28"/>
          <w:highlight w:val="none"/>
        </w:rPr>
        <w:t>一、释义：</w:t>
      </w:r>
    </w:p>
    <w:tbl>
      <w:tblPr>
        <w:tblStyle w:val="8"/>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98"/>
        <w:gridCol w:w="439"/>
        <w:gridCol w:w="5885"/>
      </w:tblGrid>
      <w:tr w14:paraId="5F8491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98" w:type="dxa"/>
            <w:vAlign w:val="center"/>
          </w:tcPr>
          <w:p w14:paraId="60810A3E">
            <w:pPr>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市政府</w:t>
            </w:r>
          </w:p>
        </w:tc>
        <w:tc>
          <w:tcPr>
            <w:tcW w:w="439" w:type="dxa"/>
            <w:vAlign w:val="center"/>
          </w:tcPr>
          <w:p w14:paraId="35AE6C08">
            <w:pPr>
              <w:jc w:val="left"/>
              <w:rPr>
                <w:rFonts w:hint="eastAsia" w:ascii="仿宋" w:hAnsi="仿宋" w:eastAsia="仿宋" w:cs="仿宋"/>
                <w:sz w:val="28"/>
                <w:szCs w:val="28"/>
                <w:highlight w:val="none"/>
              </w:rPr>
            </w:pPr>
            <w:r>
              <w:rPr>
                <w:rFonts w:hint="eastAsia" w:ascii="仿宋" w:hAnsi="仿宋" w:eastAsia="仿宋" w:cs="仿宋"/>
                <w:sz w:val="28"/>
                <w:szCs w:val="28"/>
                <w:highlight w:val="none"/>
              </w:rPr>
              <w:t>指</w:t>
            </w:r>
          </w:p>
        </w:tc>
        <w:tc>
          <w:tcPr>
            <w:tcW w:w="5885" w:type="dxa"/>
            <w:vAlign w:val="center"/>
          </w:tcPr>
          <w:p w14:paraId="56B1991A">
            <w:pPr>
              <w:jc w:val="left"/>
              <w:rPr>
                <w:rFonts w:hint="eastAsia" w:ascii="仿宋" w:hAnsi="仿宋" w:eastAsia="仿宋" w:cs="仿宋"/>
                <w:sz w:val="28"/>
                <w:szCs w:val="28"/>
                <w:highlight w:val="none"/>
                <w:lang w:eastAsia="zh-CN"/>
              </w:rPr>
            </w:pPr>
            <w:r>
              <w:rPr>
                <w:rFonts w:hint="eastAsia" w:ascii="仿宋" w:hAnsi="仿宋" w:eastAsia="仿宋" w:cs="仿宋"/>
                <w:sz w:val="28"/>
                <w:szCs w:val="28"/>
                <w:highlight w:val="none"/>
              </w:rPr>
              <w:t>武安市人民政府</w:t>
            </w:r>
          </w:p>
        </w:tc>
      </w:tr>
      <w:tr w14:paraId="0C3270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98" w:type="dxa"/>
            <w:vAlign w:val="center"/>
          </w:tcPr>
          <w:p w14:paraId="2F9EAEEB">
            <w:pPr>
              <w:jc w:val="center"/>
              <w:rPr>
                <w:rFonts w:hint="eastAsia" w:ascii="仿宋" w:hAnsi="仿宋" w:eastAsia="仿宋" w:cs="仿宋"/>
                <w:sz w:val="28"/>
                <w:szCs w:val="28"/>
                <w:highlight w:val="none"/>
                <w:lang w:eastAsia="zh-CN"/>
              </w:rPr>
            </w:pPr>
            <w:r>
              <w:rPr>
                <w:rFonts w:hint="eastAsia" w:ascii="仿宋" w:hAnsi="仿宋" w:eastAsia="仿宋" w:cs="仿宋"/>
                <w:sz w:val="28"/>
                <w:szCs w:val="28"/>
                <w:highlight w:val="none"/>
                <w:lang w:eastAsia="zh-CN"/>
              </w:rPr>
              <w:t>武安工业园区裕祥北路管网工程</w:t>
            </w:r>
          </w:p>
        </w:tc>
        <w:tc>
          <w:tcPr>
            <w:tcW w:w="439" w:type="dxa"/>
            <w:vAlign w:val="center"/>
          </w:tcPr>
          <w:p w14:paraId="63A91D86">
            <w:pPr>
              <w:jc w:val="left"/>
              <w:rPr>
                <w:rFonts w:hint="eastAsia" w:ascii="仿宋" w:hAnsi="仿宋" w:eastAsia="仿宋" w:cs="仿宋"/>
                <w:sz w:val="28"/>
                <w:szCs w:val="28"/>
                <w:highlight w:val="none"/>
              </w:rPr>
            </w:pPr>
            <w:r>
              <w:rPr>
                <w:rFonts w:hint="eastAsia" w:ascii="仿宋" w:hAnsi="仿宋" w:eastAsia="仿宋" w:cs="仿宋"/>
                <w:sz w:val="28"/>
                <w:szCs w:val="28"/>
                <w:highlight w:val="none"/>
              </w:rPr>
              <w:t>指</w:t>
            </w:r>
          </w:p>
        </w:tc>
        <w:tc>
          <w:tcPr>
            <w:tcW w:w="5885" w:type="dxa"/>
            <w:vAlign w:val="center"/>
          </w:tcPr>
          <w:p w14:paraId="0E070156">
            <w:pPr>
              <w:jc w:val="left"/>
              <w:rPr>
                <w:rFonts w:hint="eastAsia" w:ascii="仿宋" w:hAnsi="仿宋" w:eastAsia="仿宋" w:cs="仿宋"/>
                <w:sz w:val="28"/>
                <w:szCs w:val="28"/>
                <w:highlight w:val="none"/>
                <w:lang w:eastAsia="zh-CN"/>
              </w:rPr>
            </w:pPr>
            <w:r>
              <w:rPr>
                <w:rFonts w:hint="eastAsia" w:ascii="仿宋" w:hAnsi="仿宋" w:eastAsia="仿宋" w:cs="仿宋"/>
                <w:sz w:val="28"/>
                <w:szCs w:val="28"/>
                <w:highlight w:val="none"/>
              </w:rPr>
              <w:t>项目为裕祥北路（曹公大街至东二环路段）管网工程，主要建设内容包含给水管网1521米、污水管网1718米、雨水管网1833米、燃气管网1521米、路面恢复及附属设施工程等。</w:t>
            </w:r>
          </w:p>
        </w:tc>
      </w:tr>
      <w:tr w14:paraId="39095A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98" w:type="dxa"/>
            <w:vAlign w:val="center"/>
          </w:tcPr>
          <w:p w14:paraId="28FECC7A">
            <w:pPr>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公司法</w:t>
            </w:r>
          </w:p>
        </w:tc>
        <w:tc>
          <w:tcPr>
            <w:tcW w:w="439" w:type="dxa"/>
            <w:vAlign w:val="center"/>
          </w:tcPr>
          <w:p w14:paraId="20DF35FA">
            <w:pPr>
              <w:jc w:val="left"/>
              <w:rPr>
                <w:rFonts w:hint="eastAsia" w:ascii="仿宋" w:hAnsi="仿宋" w:eastAsia="仿宋" w:cs="仿宋"/>
                <w:sz w:val="28"/>
                <w:szCs w:val="28"/>
                <w:highlight w:val="none"/>
              </w:rPr>
            </w:pPr>
            <w:r>
              <w:rPr>
                <w:rFonts w:hint="eastAsia" w:ascii="仿宋" w:hAnsi="仿宋" w:eastAsia="仿宋" w:cs="仿宋"/>
                <w:sz w:val="28"/>
                <w:szCs w:val="28"/>
                <w:highlight w:val="none"/>
              </w:rPr>
              <w:t>指</w:t>
            </w:r>
          </w:p>
        </w:tc>
        <w:tc>
          <w:tcPr>
            <w:tcW w:w="5885" w:type="dxa"/>
            <w:vAlign w:val="center"/>
          </w:tcPr>
          <w:p w14:paraId="2A841B6B">
            <w:pPr>
              <w:jc w:val="left"/>
              <w:rPr>
                <w:rFonts w:hint="eastAsia" w:ascii="仿宋" w:hAnsi="仿宋" w:eastAsia="仿宋" w:cs="仿宋"/>
                <w:sz w:val="28"/>
                <w:szCs w:val="28"/>
                <w:highlight w:val="none"/>
                <w:lang w:eastAsia="zh-CN"/>
              </w:rPr>
            </w:pPr>
            <w:r>
              <w:rPr>
                <w:rFonts w:hint="eastAsia" w:ascii="仿宋" w:hAnsi="仿宋" w:eastAsia="仿宋" w:cs="仿宋"/>
                <w:sz w:val="28"/>
                <w:szCs w:val="28"/>
                <w:highlight w:val="none"/>
              </w:rPr>
              <w:t>《中华人民共和国公司法》</w:t>
            </w:r>
          </w:p>
        </w:tc>
      </w:tr>
      <w:tr w14:paraId="362258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98" w:type="dxa"/>
            <w:vAlign w:val="center"/>
          </w:tcPr>
          <w:p w14:paraId="203C1F05">
            <w:pPr>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证券法</w:t>
            </w:r>
          </w:p>
        </w:tc>
        <w:tc>
          <w:tcPr>
            <w:tcW w:w="439" w:type="dxa"/>
            <w:vAlign w:val="center"/>
          </w:tcPr>
          <w:p w14:paraId="3BD39959">
            <w:pPr>
              <w:jc w:val="left"/>
              <w:rPr>
                <w:rFonts w:hint="eastAsia" w:ascii="仿宋" w:hAnsi="仿宋" w:eastAsia="仿宋" w:cs="仿宋"/>
                <w:sz w:val="28"/>
                <w:szCs w:val="28"/>
                <w:highlight w:val="none"/>
              </w:rPr>
            </w:pPr>
            <w:r>
              <w:rPr>
                <w:rFonts w:hint="eastAsia" w:ascii="仿宋" w:hAnsi="仿宋" w:eastAsia="仿宋" w:cs="仿宋"/>
                <w:sz w:val="28"/>
                <w:szCs w:val="28"/>
                <w:highlight w:val="none"/>
              </w:rPr>
              <w:t>指</w:t>
            </w:r>
          </w:p>
        </w:tc>
        <w:tc>
          <w:tcPr>
            <w:tcW w:w="5885" w:type="dxa"/>
            <w:vAlign w:val="center"/>
          </w:tcPr>
          <w:p w14:paraId="1F924690">
            <w:pPr>
              <w:jc w:val="left"/>
              <w:rPr>
                <w:rFonts w:hint="eastAsia" w:ascii="仿宋" w:hAnsi="仿宋" w:eastAsia="仿宋" w:cs="仿宋"/>
                <w:sz w:val="28"/>
                <w:szCs w:val="28"/>
                <w:highlight w:val="none"/>
                <w:lang w:eastAsia="zh-CN"/>
              </w:rPr>
            </w:pPr>
            <w:r>
              <w:rPr>
                <w:rFonts w:hint="eastAsia" w:ascii="仿宋" w:hAnsi="仿宋" w:eastAsia="仿宋" w:cs="仿宋"/>
                <w:sz w:val="28"/>
                <w:szCs w:val="28"/>
                <w:highlight w:val="none"/>
              </w:rPr>
              <w:t>《中华人民共和国证券法》</w:t>
            </w:r>
          </w:p>
        </w:tc>
      </w:tr>
      <w:tr w14:paraId="25DF00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2198" w:type="dxa"/>
            <w:vAlign w:val="center"/>
          </w:tcPr>
          <w:p w14:paraId="508960F9">
            <w:pPr>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债券条例</w:t>
            </w:r>
          </w:p>
        </w:tc>
        <w:tc>
          <w:tcPr>
            <w:tcW w:w="439" w:type="dxa"/>
            <w:vAlign w:val="center"/>
          </w:tcPr>
          <w:p w14:paraId="59043B89">
            <w:pPr>
              <w:jc w:val="left"/>
              <w:rPr>
                <w:rFonts w:hint="eastAsia" w:ascii="仿宋" w:hAnsi="仿宋" w:eastAsia="仿宋" w:cs="仿宋"/>
                <w:sz w:val="28"/>
                <w:szCs w:val="28"/>
                <w:highlight w:val="none"/>
              </w:rPr>
            </w:pPr>
            <w:r>
              <w:rPr>
                <w:rFonts w:hint="eastAsia" w:ascii="仿宋" w:hAnsi="仿宋" w:eastAsia="仿宋" w:cs="仿宋"/>
                <w:sz w:val="28"/>
                <w:szCs w:val="28"/>
                <w:highlight w:val="none"/>
              </w:rPr>
              <w:t>指</w:t>
            </w:r>
          </w:p>
        </w:tc>
        <w:tc>
          <w:tcPr>
            <w:tcW w:w="5885" w:type="dxa"/>
            <w:vAlign w:val="center"/>
          </w:tcPr>
          <w:p w14:paraId="023712D5">
            <w:pPr>
              <w:jc w:val="left"/>
              <w:rPr>
                <w:rFonts w:hint="eastAsia" w:ascii="仿宋" w:hAnsi="仿宋" w:eastAsia="仿宋" w:cs="仿宋"/>
                <w:sz w:val="28"/>
                <w:szCs w:val="28"/>
                <w:highlight w:val="none"/>
                <w:lang w:eastAsia="zh-CN"/>
              </w:rPr>
            </w:pPr>
            <w:r>
              <w:rPr>
                <w:rFonts w:hint="eastAsia" w:ascii="仿宋" w:hAnsi="仿宋" w:eastAsia="仿宋" w:cs="仿宋"/>
                <w:sz w:val="28"/>
                <w:szCs w:val="28"/>
                <w:highlight w:val="none"/>
              </w:rPr>
              <w:t>《企业债券管理条例》</w:t>
            </w:r>
          </w:p>
        </w:tc>
      </w:tr>
      <w:tr w14:paraId="40D330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2198" w:type="dxa"/>
            <w:vAlign w:val="center"/>
          </w:tcPr>
          <w:p w14:paraId="281C1EB5">
            <w:pPr>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地方政府专项债券品种的通知</w:t>
            </w:r>
          </w:p>
        </w:tc>
        <w:tc>
          <w:tcPr>
            <w:tcW w:w="439" w:type="dxa"/>
            <w:vAlign w:val="center"/>
          </w:tcPr>
          <w:p w14:paraId="4FD56F4B">
            <w:pPr>
              <w:jc w:val="left"/>
              <w:rPr>
                <w:rFonts w:hint="eastAsia" w:ascii="仿宋" w:hAnsi="仿宋" w:eastAsia="仿宋" w:cs="仿宋"/>
                <w:sz w:val="28"/>
                <w:szCs w:val="28"/>
                <w:highlight w:val="none"/>
              </w:rPr>
            </w:pPr>
            <w:r>
              <w:rPr>
                <w:rFonts w:hint="eastAsia" w:ascii="仿宋" w:hAnsi="仿宋" w:eastAsia="仿宋" w:cs="仿宋"/>
                <w:sz w:val="28"/>
                <w:szCs w:val="28"/>
                <w:highlight w:val="none"/>
              </w:rPr>
              <w:t>指</w:t>
            </w:r>
          </w:p>
        </w:tc>
        <w:tc>
          <w:tcPr>
            <w:tcW w:w="5885" w:type="dxa"/>
            <w:vAlign w:val="center"/>
          </w:tcPr>
          <w:p w14:paraId="20EC292F">
            <w:pPr>
              <w:jc w:val="left"/>
              <w:rPr>
                <w:rFonts w:hint="eastAsia" w:ascii="仿宋" w:hAnsi="仿宋" w:eastAsia="仿宋" w:cs="仿宋"/>
                <w:sz w:val="28"/>
                <w:szCs w:val="28"/>
                <w:highlight w:val="none"/>
              </w:rPr>
            </w:pPr>
            <w:r>
              <w:rPr>
                <w:rFonts w:hint="eastAsia" w:ascii="仿宋" w:hAnsi="仿宋" w:eastAsia="仿宋" w:cs="仿宋"/>
                <w:sz w:val="28"/>
                <w:szCs w:val="28"/>
                <w:highlight w:val="none"/>
              </w:rPr>
              <w:t>《关于试点发展项目收益与融资自求平衡的地方政府专项债券品种的通知》（财政部财预[2017]89号）</w:t>
            </w:r>
          </w:p>
        </w:tc>
      </w:tr>
      <w:tr w14:paraId="7C7367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5" w:hRule="atLeast"/>
        </w:trPr>
        <w:tc>
          <w:tcPr>
            <w:tcW w:w="2198" w:type="dxa"/>
            <w:vAlign w:val="center"/>
          </w:tcPr>
          <w:p w14:paraId="5A35B39B">
            <w:pPr>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简化程序通知</w:t>
            </w:r>
          </w:p>
        </w:tc>
        <w:tc>
          <w:tcPr>
            <w:tcW w:w="439" w:type="dxa"/>
            <w:vAlign w:val="center"/>
          </w:tcPr>
          <w:p w14:paraId="0088070B">
            <w:pPr>
              <w:jc w:val="left"/>
              <w:rPr>
                <w:rFonts w:hint="eastAsia" w:ascii="仿宋" w:hAnsi="仿宋" w:eastAsia="仿宋" w:cs="仿宋"/>
                <w:sz w:val="28"/>
                <w:szCs w:val="28"/>
                <w:highlight w:val="none"/>
              </w:rPr>
            </w:pPr>
            <w:r>
              <w:rPr>
                <w:rFonts w:hint="eastAsia" w:ascii="仿宋" w:hAnsi="仿宋" w:eastAsia="仿宋" w:cs="仿宋"/>
                <w:sz w:val="28"/>
                <w:szCs w:val="28"/>
                <w:highlight w:val="none"/>
              </w:rPr>
              <w:t>指</w:t>
            </w:r>
          </w:p>
        </w:tc>
        <w:tc>
          <w:tcPr>
            <w:tcW w:w="5885" w:type="dxa"/>
            <w:vAlign w:val="center"/>
          </w:tcPr>
          <w:p w14:paraId="1C0F0F14">
            <w:pPr>
              <w:jc w:val="left"/>
              <w:rPr>
                <w:rFonts w:hint="eastAsia" w:ascii="仿宋" w:hAnsi="仿宋" w:eastAsia="仿宋" w:cs="仿宋"/>
                <w:sz w:val="28"/>
                <w:szCs w:val="28"/>
                <w:highlight w:val="none"/>
              </w:rPr>
            </w:pPr>
            <w:r>
              <w:rPr>
                <w:rFonts w:hint="eastAsia" w:ascii="仿宋" w:hAnsi="仿宋" w:eastAsia="仿宋" w:cs="仿宋"/>
                <w:sz w:val="28"/>
                <w:szCs w:val="28"/>
                <w:highlight w:val="none"/>
              </w:rPr>
              <w:t>《国家发展改革委关于进一步改进和加强企业债券管理工作的通知》(发改财金[2004]1134号)</w:t>
            </w:r>
          </w:p>
        </w:tc>
      </w:tr>
      <w:tr w14:paraId="59A64F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69" w:hRule="atLeast"/>
        </w:trPr>
        <w:tc>
          <w:tcPr>
            <w:tcW w:w="2198" w:type="dxa"/>
            <w:vAlign w:val="center"/>
          </w:tcPr>
          <w:p w14:paraId="5CAEF605">
            <w:pPr>
              <w:jc w:val="left"/>
              <w:rPr>
                <w:rFonts w:hint="eastAsia" w:ascii="仿宋" w:hAnsi="仿宋" w:eastAsia="仿宋" w:cs="仿宋"/>
                <w:sz w:val="28"/>
                <w:szCs w:val="28"/>
                <w:highlight w:val="none"/>
              </w:rPr>
            </w:pPr>
            <w:r>
              <w:rPr>
                <w:rFonts w:hint="eastAsia" w:ascii="仿宋" w:hAnsi="仿宋" w:eastAsia="仿宋" w:cs="仿宋"/>
                <w:sz w:val="28"/>
                <w:szCs w:val="28"/>
                <w:highlight w:val="none"/>
              </w:rPr>
              <w:t>进一步改进和加强企业债券管理工作的通知</w:t>
            </w:r>
          </w:p>
        </w:tc>
        <w:tc>
          <w:tcPr>
            <w:tcW w:w="439" w:type="dxa"/>
            <w:vAlign w:val="center"/>
          </w:tcPr>
          <w:p w14:paraId="0C394A25">
            <w:pPr>
              <w:jc w:val="left"/>
              <w:rPr>
                <w:rFonts w:hint="eastAsia" w:ascii="仿宋" w:hAnsi="仿宋" w:eastAsia="仿宋" w:cs="仿宋"/>
                <w:sz w:val="28"/>
                <w:szCs w:val="28"/>
                <w:highlight w:val="none"/>
              </w:rPr>
            </w:pPr>
            <w:r>
              <w:rPr>
                <w:rFonts w:hint="eastAsia" w:ascii="仿宋" w:hAnsi="仿宋" w:eastAsia="仿宋" w:cs="仿宋"/>
                <w:sz w:val="28"/>
                <w:szCs w:val="28"/>
                <w:highlight w:val="none"/>
              </w:rPr>
              <w:t>指</w:t>
            </w:r>
          </w:p>
        </w:tc>
        <w:tc>
          <w:tcPr>
            <w:tcW w:w="5885" w:type="dxa"/>
            <w:vAlign w:val="center"/>
          </w:tcPr>
          <w:p w14:paraId="22415A4E">
            <w:pPr>
              <w:jc w:val="left"/>
              <w:rPr>
                <w:rFonts w:hint="eastAsia" w:ascii="仿宋" w:hAnsi="仿宋" w:eastAsia="仿宋" w:cs="仿宋"/>
                <w:sz w:val="28"/>
                <w:szCs w:val="28"/>
                <w:highlight w:val="none"/>
                <w:lang w:eastAsia="zh-CN"/>
              </w:rPr>
            </w:pPr>
            <w:r>
              <w:rPr>
                <w:rFonts w:hint="eastAsia" w:ascii="仿宋" w:hAnsi="仿宋" w:eastAsia="仿宋" w:cs="仿宋"/>
                <w:sz w:val="28"/>
                <w:szCs w:val="28"/>
                <w:highlight w:val="none"/>
              </w:rPr>
              <w:t>《国家发展改革委办公厅关于进一步改进企业债券发行工作的通知》(发改办财金[2013]1890号)</w:t>
            </w:r>
          </w:p>
        </w:tc>
      </w:tr>
      <w:tr w14:paraId="5E638F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91" w:hRule="atLeast"/>
        </w:trPr>
        <w:tc>
          <w:tcPr>
            <w:tcW w:w="2198" w:type="dxa"/>
            <w:vAlign w:val="center"/>
          </w:tcPr>
          <w:p w14:paraId="127E4199">
            <w:pPr>
              <w:jc w:val="left"/>
              <w:rPr>
                <w:rFonts w:hint="eastAsia" w:ascii="仿宋" w:hAnsi="仿宋" w:eastAsia="仿宋" w:cs="仿宋"/>
                <w:sz w:val="28"/>
                <w:szCs w:val="28"/>
                <w:highlight w:val="none"/>
              </w:rPr>
            </w:pPr>
            <w:r>
              <w:rPr>
                <w:rFonts w:hint="eastAsia" w:ascii="仿宋" w:hAnsi="仿宋" w:eastAsia="仿宋" w:cs="仿宋"/>
                <w:sz w:val="28"/>
                <w:szCs w:val="28"/>
                <w:highlight w:val="none"/>
              </w:rPr>
              <w:t>支持重点项目建设促进经济平稳较快发展的通知</w:t>
            </w:r>
          </w:p>
        </w:tc>
        <w:tc>
          <w:tcPr>
            <w:tcW w:w="439" w:type="dxa"/>
            <w:vAlign w:val="center"/>
          </w:tcPr>
          <w:p w14:paraId="29635BE5">
            <w:pPr>
              <w:jc w:val="left"/>
              <w:rPr>
                <w:rFonts w:hint="eastAsia" w:ascii="仿宋" w:hAnsi="仿宋" w:eastAsia="仿宋" w:cs="仿宋"/>
                <w:sz w:val="28"/>
                <w:szCs w:val="28"/>
                <w:highlight w:val="none"/>
              </w:rPr>
            </w:pPr>
            <w:r>
              <w:rPr>
                <w:rFonts w:hint="eastAsia" w:ascii="仿宋" w:hAnsi="仿宋" w:eastAsia="仿宋" w:cs="仿宋"/>
                <w:sz w:val="28"/>
                <w:szCs w:val="28"/>
                <w:highlight w:val="none"/>
              </w:rPr>
              <w:t>指</w:t>
            </w:r>
          </w:p>
        </w:tc>
        <w:tc>
          <w:tcPr>
            <w:tcW w:w="5885" w:type="dxa"/>
            <w:vAlign w:val="center"/>
          </w:tcPr>
          <w:p w14:paraId="42D6D002">
            <w:pPr>
              <w:jc w:val="left"/>
              <w:rPr>
                <w:rFonts w:hint="eastAsia" w:ascii="仿宋" w:hAnsi="仿宋" w:eastAsia="仿宋" w:cs="仿宋"/>
                <w:sz w:val="28"/>
                <w:szCs w:val="28"/>
                <w:highlight w:val="none"/>
              </w:rPr>
            </w:pPr>
            <w:r>
              <w:rPr>
                <w:rFonts w:hint="eastAsia" w:ascii="仿宋" w:hAnsi="仿宋" w:eastAsia="仿宋" w:cs="仿宋"/>
                <w:sz w:val="28"/>
                <w:szCs w:val="28"/>
                <w:highlight w:val="none"/>
              </w:rPr>
              <w:t>《国家发展改革委办公厅关于充分发挥企业债券融资功能支持重点项目建设促进经济平稳较快发展的通知》(发改办财金[2015]1327号)</w:t>
            </w:r>
          </w:p>
        </w:tc>
      </w:tr>
      <w:tr w14:paraId="720382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trPr>
        <w:tc>
          <w:tcPr>
            <w:tcW w:w="2198" w:type="dxa"/>
            <w:vAlign w:val="center"/>
          </w:tcPr>
          <w:p w14:paraId="28F8B9D2">
            <w:pPr>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法规依据</w:t>
            </w:r>
          </w:p>
        </w:tc>
        <w:tc>
          <w:tcPr>
            <w:tcW w:w="439" w:type="dxa"/>
            <w:vAlign w:val="center"/>
          </w:tcPr>
          <w:p w14:paraId="2CD815D5">
            <w:pPr>
              <w:jc w:val="left"/>
              <w:rPr>
                <w:rFonts w:hint="eastAsia" w:ascii="仿宋" w:hAnsi="仿宋" w:eastAsia="仿宋" w:cs="仿宋"/>
                <w:sz w:val="28"/>
                <w:szCs w:val="28"/>
                <w:highlight w:val="none"/>
              </w:rPr>
            </w:pPr>
            <w:r>
              <w:rPr>
                <w:rFonts w:hint="eastAsia" w:ascii="仿宋" w:hAnsi="仿宋" w:eastAsia="仿宋" w:cs="仿宋"/>
                <w:sz w:val="28"/>
                <w:szCs w:val="28"/>
                <w:highlight w:val="none"/>
              </w:rPr>
              <w:t>指</w:t>
            </w:r>
          </w:p>
        </w:tc>
        <w:tc>
          <w:tcPr>
            <w:tcW w:w="5885" w:type="dxa"/>
            <w:vAlign w:val="center"/>
          </w:tcPr>
          <w:p w14:paraId="0EE68287">
            <w:pPr>
              <w:jc w:val="left"/>
              <w:rPr>
                <w:rFonts w:hint="eastAsia" w:ascii="仿宋" w:hAnsi="仿宋" w:eastAsia="仿宋" w:cs="仿宋"/>
                <w:sz w:val="28"/>
                <w:szCs w:val="28"/>
                <w:highlight w:val="none"/>
              </w:rPr>
            </w:pPr>
            <w:r>
              <w:rPr>
                <w:rFonts w:hint="eastAsia" w:ascii="仿宋" w:hAnsi="仿宋" w:eastAsia="仿宋" w:cs="仿宋"/>
                <w:color w:val="000000" w:themeColor="text1"/>
                <w:sz w:val="28"/>
                <w:szCs w:val="28"/>
                <w:highlight w:val="none"/>
                <w14:textFill>
                  <w14:solidFill>
                    <w14:schemeClr w14:val="tx1"/>
                  </w14:solidFill>
                </w14:textFill>
              </w:rPr>
              <w:t>《中华人民共和国预算法》、《国务院关于加强地方政府性债务管理的意见》（国发〔2014〕43号）、《关于印发&lt;地方政府专项债券发行管理暂行办法&gt;的通知》（财库〔2015〕83号）、《关于试点发展项目收益与融资自求平衡的地方政府专项债券品种的通知》（财预〔2017〕89号）等有关法律、法规、规范性文件。</w:t>
            </w:r>
          </w:p>
        </w:tc>
      </w:tr>
    </w:tbl>
    <w:p w14:paraId="56939BEF">
      <w:pPr>
        <w:numPr>
          <w:ilvl w:val="0"/>
          <w:numId w:val="1"/>
        </w:numPr>
        <w:ind w:firstLine="560" w:firstLineChars="200"/>
        <w:jc w:val="left"/>
        <w:rPr>
          <w:rFonts w:hint="eastAsia" w:ascii="仿宋" w:hAnsi="仿宋" w:eastAsia="仿宋" w:cs="仿宋"/>
          <w:sz w:val="28"/>
          <w:szCs w:val="28"/>
          <w:highlight w:val="none"/>
        </w:rPr>
      </w:pPr>
      <w:r>
        <w:rPr>
          <w:rFonts w:hint="eastAsia" w:ascii="仿宋" w:hAnsi="仿宋" w:eastAsia="仿宋" w:cs="仿宋"/>
          <w:sz w:val="28"/>
          <w:szCs w:val="28"/>
          <w:highlight w:val="none"/>
        </w:rPr>
        <w:t>律师应声明的事项</w:t>
      </w:r>
    </w:p>
    <w:p w14:paraId="4B8AAAF7">
      <w:pPr>
        <w:ind w:firstLine="560" w:firstLineChars="200"/>
        <w:jc w:val="left"/>
        <w:rPr>
          <w:rFonts w:hint="eastAsia" w:ascii="仿宋" w:hAnsi="仿宋" w:eastAsia="仿宋" w:cs="仿宋"/>
          <w:sz w:val="28"/>
          <w:szCs w:val="28"/>
          <w:highlight w:val="none"/>
        </w:rPr>
      </w:pPr>
      <w:r>
        <w:rPr>
          <w:rFonts w:hint="eastAsia" w:ascii="仿宋" w:hAnsi="仿宋" w:eastAsia="仿宋" w:cs="仿宋"/>
          <w:sz w:val="28"/>
          <w:szCs w:val="28"/>
          <w:highlight w:val="none"/>
        </w:rPr>
        <w:t>1、本所律师依据《公司法》、《证券法》、《债券条例》、《改进管理工作通知》、《简化程序通知》、《进一步改进企业债券发行工作的通知》、《支持重点项目建设促进经济平稳较快发展的通知》等法律、法规和规范性文件的有关规定，就</w:t>
      </w:r>
      <w:r>
        <w:rPr>
          <w:rFonts w:hint="eastAsia" w:ascii="仿宋" w:hAnsi="仿宋" w:eastAsia="仿宋" w:cs="仿宋"/>
          <w:sz w:val="28"/>
          <w:szCs w:val="28"/>
          <w:highlight w:val="none"/>
          <w:lang w:eastAsia="zh-CN"/>
        </w:rPr>
        <w:t>河北武安工业园区管理委员会</w:t>
      </w:r>
      <w:r>
        <w:rPr>
          <w:rFonts w:hint="eastAsia" w:ascii="仿宋" w:hAnsi="仿宋" w:eastAsia="仿宋" w:cs="仿宋"/>
          <w:sz w:val="28"/>
          <w:szCs w:val="28"/>
          <w:highlight w:val="none"/>
        </w:rPr>
        <w:t>本期债券募投事宜进行核查并出具本法律意见书。</w:t>
      </w:r>
    </w:p>
    <w:p w14:paraId="2BC2DF0B">
      <w:pPr>
        <w:ind w:firstLine="560" w:firstLineChars="200"/>
        <w:jc w:val="left"/>
        <w:rPr>
          <w:rFonts w:hint="eastAsia" w:ascii="仿宋" w:hAnsi="仿宋" w:eastAsia="仿宋" w:cs="仿宋"/>
          <w:sz w:val="28"/>
          <w:szCs w:val="28"/>
          <w:highlight w:val="none"/>
        </w:rPr>
      </w:pPr>
      <w:r>
        <w:rPr>
          <w:rFonts w:hint="eastAsia" w:ascii="仿宋" w:hAnsi="仿宋" w:eastAsia="仿宋" w:cs="仿宋"/>
          <w:sz w:val="28"/>
          <w:szCs w:val="28"/>
          <w:highlight w:val="none"/>
        </w:rPr>
        <w:t>2、本所律师业已严格履行法定职责，遵循了勤勉尽责和诚实信用原则，对</w:t>
      </w:r>
      <w:r>
        <w:rPr>
          <w:rFonts w:hint="eastAsia" w:ascii="仿宋" w:hAnsi="仿宋" w:eastAsia="仿宋" w:cs="仿宋"/>
          <w:sz w:val="28"/>
          <w:szCs w:val="28"/>
          <w:highlight w:val="none"/>
          <w:lang w:eastAsia="zh-CN"/>
        </w:rPr>
        <w:t>河北武安工业园区管理委员会</w:t>
      </w:r>
      <w:r>
        <w:rPr>
          <w:rFonts w:hint="eastAsia" w:ascii="仿宋" w:hAnsi="仿宋" w:eastAsia="仿宋" w:cs="仿宋"/>
          <w:sz w:val="28"/>
          <w:szCs w:val="28"/>
          <w:highlight w:val="none"/>
        </w:rPr>
        <w:t>本期债券募投项目的合法、合规性进行了充分的核查验证，保证本法律意见书不存在虚假记载、误导性陈述或重大遗漏。</w:t>
      </w:r>
    </w:p>
    <w:p w14:paraId="189FB107">
      <w:pPr>
        <w:ind w:firstLine="560" w:firstLineChars="200"/>
        <w:jc w:val="left"/>
        <w:rPr>
          <w:rFonts w:hint="eastAsia" w:ascii="仿宋" w:hAnsi="仿宋" w:eastAsia="仿宋" w:cs="仿宋"/>
          <w:sz w:val="28"/>
          <w:szCs w:val="28"/>
          <w:highlight w:val="none"/>
        </w:rPr>
      </w:pPr>
      <w:r>
        <w:rPr>
          <w:rFonts w:hint="eastAsia" w:ascii="仿宋" w:hAnsi="仿宋" w:eastAsia="仿宋" w:cs="仿宋"/>
          <w:sz w:val="28"/>
          <w:szCs w:val="28"/>
          <w:highlight w:val="none"/>
        </w:rPr>
        <w:t>3、本所律师仅根据本法律意见书出具日之前已存在的事实和中国现行法律、行政法规和规范性文件，仅就本期债券的有关法律问题发表意见，并不对有关的法律意见书审计、评级等专业性报告发表法律意见。本所在本法律意见书中如引述有关会计报表、审计或评级报告中某些数据或结论，并不意味着本所对这些数据、结论的真实性和准确性做出任何明示或默示的保证。</w:t>
      </w:r>
    </w:p>
    <w:p w14:paraId="47E839E2">
      <w:pPr>
        <w:ind w:firstLine="560" w:firstLineChars="200"/>
        <w:jc w:val="left"/>
        <w:rPr>
          <w:rFonts w:hint="eastAsia" w:ascii="仿宋" w:hAnsi="仿宋" w:eastAsia="仿宋" w:cs="仿宋"/>
          <w:sz w:val="28"/>
          <w:szCs w:val="28"/>
          <w:highlight w:val="none"/>
        </w:rPr>
      </w:pPr>
      <w:r>
        <w:rPr>
          <w:rFonts w:hint="eastAsia" w:ascii="仿宋" w:hAnsi="仿宋" w:eastAsia="仿宋" w:cs="仿宋"/>
          <w:sz w:val="28"/>
          <w:szCs w:val="28"/>
          <w:highlight w:val="none"/>
        </w:rPr>
        <w:t>4、本所律师已经对与出具本法律意见书有关的文件资料进行审查判断，并据此出具法律意见。对于出具本法律意见书至关重要而又无法得到独立证据支持的事实，本所律师依赖于有关政府部门、发行人或者其他有关单位出具的证明文件出具法律意见。</w:t>
      </w:r>
    </w:p>
    <w:p w14:paraId="1AE7A845">
      <w:pPr>
        <w:ind w:firstLine="560" w:firstLineChars="200"/>
        <w:jc w:val="left"/>
        <w:rPr>
          <w:rFonts w:hint="eastAsia" w:ascii="仿宋" w:hAnsi="仿宋" w:eastAsia="仿宋" w:cs="仿宋"/>
          <w:sz w:val="28"/>
          <w:szCs w:val="28"/>
          <w:highlight w:val="none"/>
        </w:rPr>
      </w:pPr>
      <w:r>
        <w:rPr>
          <w:rFonts w:hint="eastAsia" w:ascii="仿宋" w:hAnsi="仿宋" w:eastAsia="仿宋" w:cs="仿宋"/>
          <w:sz w:val="28"/>
          <w:szCs w:val="28"/>
          <w:highlight w:val="none"/>
        </w:rPr>
        <w:t>5、本所律师出具本法律意见书依赖于发行人已向本所律师提供了一切应予提供的文件资料,且发行人已向本所律师承诺:（1）保证如实提供发行本期债券所必需的一切原始书面材料、副本材料和口头陈述等，并保证其真实、准确、完整、有效；（2）保证所提供的有关文件上的印章和签字真实、有效，保证所提供的有关文件的复印件均与原件一致；（3）保证所提供的一切资料均不存在任何虚假记载、误导性陈述、隐瞒或重大遗漏，并愿承担与此相关的一切法律责任。</w:t>
      </w:r>
    </w:p>
    <w:p w14:paraId="43DFE793">
      <w:pPr>
        <w:ind w:firstLine="560" w:firstLineChars="200"/>
        <w:jc w:val="left"/>
        <w:rPr>
          <w:rFonts w:hint="eastAsia" w:ascii="仿宋" w:hAnsi="仿宋" w:eastAsia="仿宋" w:cs="仿宋"/>
          <w:sz w:val="28"/>
          <w:szCs w:val="28"/>
          <w:highlight w:val="none"/>
        </w:rPr>
      </w:pPr>
      <w:r>
        <w:rPr>
          <w:rFonts w:hint="eastAsia" w:ascii="仿宋" w:hAnsi="仿宋" w:eastAsia="仿宋" w:cs="仿宋"/>
          <w:sz w:val="28"/>
          <w:szCs w:val="28"/>
          <w:highlight w:val="none"/>
        </w:rPr>
        <w:t>6、为出具本法律意见书，本所律师检索了有关政府部门、企业的官方网站，该等信息资料应视为由该互联网信息发布者直接提供予本所的基础资料和信息。</w:t>
      </w:r>
    </w:p>
    <w:p w14:paraId="3F6BE26C">
      <w:pPr>
        <w:ind w:firstLine="560" w:firstLineChars="200"/>
        <w:jc w:val="left"/>
        <w:rPr>
          <w:rFonts w:hint="eastAsia" w:ascii="仿宋" w:hAnsi="仿宋" w:eastAsia="仿宋" w:cs="仿宋"/>
          <w:sz w:val="28"/>
          <w:szCs w:val="28"/>
          <w:highlight w:val="none"/>
        </w:rPr>
      </w:pPr>
      <w:r>
        <w:rPr>
          <w:rFonts w:hint="eastAsia" w:ascii="仿宋" w:hAnsi="仿宋" w:eastAsia="仿宋" w:cs="仿宋"/>
          <w:sz w:val="28"/>
          <w:szCs w:val="28"/>
          <w:highlight w:val="none"/>
        </w:rPr>
        <w:t>7、对于经本所律师在合理范围内采取适当、合理的手段进行核查，仍未发现或证实存在的事实，本法律意见书推定该等事实不存在。</w:t>
      </w:r>
    </w:p>
    <w:p w14:paraId="265053E6">
      <w:pPr>
        <w:ind w:firstLine="560" w:firstLineChars="200"/>
        <w:jc w:val="left"/>
        <w:rPr>
          <w:rFonts w:hint="eastAsia" w:ascii="仿宋" w:hAnsi="仿宋" w:eastAsia="仿宋" w:cs="仿宋"/>
          <w:sz w:val="28"/>
          <w:szCs w:val="28"/>
          <w:highlight w:val="none"/>
        </w:rPr>
      </w:pPr>
      <w:r>
        <w:rPr>
          <w:rFonts w:hint="eastAsia" w:ascii="仿宋" w:hAnsi="仿宋" w:eastAsia="仿宋" w:cs="仿宋"/>
          <w:sz w:val="28"/>
          <w:szCs w:val="28"/>
          <w:highlight w:val="none"/>
        </w:rPr>
        <w:t>8、本法律意见书仅供</w:t>
      </w:r>
      <w:r>
        <w:rPr>
          <w:rFonts w:hint="eastAsia" w:ascii="仿宋" w:hAnsi="仿宋" w:eastAsia="仿宋" w:cs="仿宋"/>
          <w:sz w:val="28"/>
          <w:szCs w:val="28"/>
          <w:highlight w:val="none"/>
          <w:lang w:eastAsia="zh-CN"/>
        </w:rPr>
        <w:t>河北武安工业园区管理委员会</w:t>
      </w:r>
      <w:r>
        <w:rPr>
          <w:rFonts w:hint="eastAsia" w:ascii="仿宋" w:hAnsi="仿宋" w:eastAsia="仿宋" w:cs="仿宋"/>
          <w:sz w:val="28"/>
          <w:szCs w:val="28"/>
          <w:highlight w:val="none"/>
        </w:rPr>
        <w:t>本期债券募投之目的使用,不得用作任何其他目的。</w:t>
      </w:r>
    </w:p>
    <w:p w14:paraId="56B9D260">
      <w:pPr>
        <w:ind w:firstLine="560" w:firstLineChars="200"/>
        <w:jc w:val="left"/>
        <w:rPr>
          <w:rFonts w:hint="eastAsia" w:ascii="仿宋" w:hAnsi="仿宋" w:eastAsia="仿宋" w:cs="仿宋"/>
          <w:highlight w:val="none"/>
        </w:rPr>
      </w:pPr>
      <w:r>
        <w:rPr>
          <w:rFonts w:hint="eastAsia" w:ascii="仿宋" w:hAnsi="仿宋" w:eastAsia="仿宋" w:cs="仿宋"/>
          <w:sz w:val="28"/>
          <w:szCs w:val="28"/>
          <w:highlight w:val="none"/>
        </w:rPr>
        <w:t>9、本所律师同意将本法律意见书作为</w:t>
      </w:r>
      <w:r>
        <w:rPr>
          <w:rFonts w:hint="eastAsia" w:ascii="仿宋" w:hAnsi="仿宋" w:eastAsia="仿宋" w:cs="仿宋"/>
          <w:sz w:val="28"/>
          <w:szCs w:val="28"/>
          <w:highlight w:val="none"/>
          <w:lang w:eastAsia="zh-CN"/>
        </w:rPr>
        <w:t>河北武安工业园区管理委员会</w:t>
      </w:r>
      <w:r>
        <w:rPr>
          <w:rFonts w:hint="eastAsia" w:ascii="仿宋" w:hAnsi="仿宋" w:eastAsia="仿宋" w:cs="仿宋"/>
          <w:sz w:val="28"/>
          <w:szCs w:val="28"/>
          <w:highlight w:val="none"/>
        </w:rPr>
        <w:t>本期债券募投事宜所必备的法律文件，随同其他申报材料一起上报，并依法对所出具的法律意见真实性、准确性、完整性承担相应的法律责任。</w:t>
      </w:r>
    </w:p>
    <w:p w14:paraId="126F03AD">
      <w:pPr>
        <w:jc w:val="center"/>
        <w:rPr>
          <w:rFonts w:hint="eastAsia" w:ascii="仿宋" w:hAnsi="仿宋" w:eastAsia="仿宋" w:cs="仿宋"/>
          <w:b/>
          <w:sz w:val="28"/>
          <w:szCs w:val="28"/>
          <w:highlight w:val="none"/>
        </w:rPr>
      </w:pPr>
      <w:r>
        <w:rPr>
          <w:rFonts w:hint="eastAsia" w:ascii="仿宋" w:hAnsi="仿宋" w:eastAsia="仿宋" w:cs="仿宋"/>
          <w:b/>
          <w:sz w:val="28"/>
          <w:szCs w:val="28"/>
          <w:highlight w:val="none"/>
        </w:rPr>
        <w:t>第二部分  正 文</w:t>
      </w:r>
    </w:p>
    <w:p w14:paraId="104BBBDD">
      <w:pPr>
        <w:ind w:firstLine="560" w:firstLineChars="200"/>
        <w:jc w:val="left"/>
        <w:rPr>
          <w:rFonts w:hint="eastAsia" w:ascii="仿宋" w:hAnsi="仿宋" w:eastAsia="仿宋" w:cs="仿宋"/>
          <w:sz w:val="28"/>
          <w:szCs w:val="28"/>
          <w:highlight w:val="none"/>
        </w:rPr>
      </w:pPr>
      <w:r>
        <w:rPr>
          <w:rFonts w:hint="eastAsia" w:ascii="仿宋" w:hAnsi="仿宋" w:eastAsia="仿宋" w:cs="仿宋"/>
          <w:sz w:val="28"/>
          <w:szCs w:val="28"/>
          <w:highlight w:val="none"/>
        </w:rPr>
        <w:t>一、项目基本情况</w:t>
      </w:r>
    </w:p>
    <w:p w14:paraId="7C263259">
      <w:pPr>
        <w:ind w:firstLine="560" w:firstLineChars="200"/>
        <w:jc w:val="left"/>
        <w:rPr>
          <w:rFonts w:hint="eastAsia" w:ascii="仿宋" w:hAnsi="仿宋" w:eastAsia="仿宋" w:cs="仿宋"/>
          <w:sz w:val="28"/>
          <w:szCs w:val="28"/>
          <w:highlight w:val="none"/>
        </w:rPr>
      </w:pPr>
      <w:r>
        <w:rPr>
          <w:rFonts w:hint="eastAsia" w:ascii="仿宋" w:hAnsi="仿宋" w:eastAsia="仿宋" w:cs="仿宋"/>
          <w:sz w:val="28"/>
          <w:szCs w:val="28"/>
          <w:highlight w:val="none"/>
        </w:rPr>
        <w:t>1</w:t>
      </w:r>
      <w:r>
        <w:rPr>
          <w:rFonts w:hint="eastAsia" w:ascii="仿宋" w:hAnsi="仿宋" w:eastAsia="仿宋" w:cs="仿宋"/>
          <w:sz w:val="28"/>
          <w:szCs w:val="28"/>
          <w:highlight w:val="none"/>
          <w:lang w:val="en-US" w:eastAsia="zh-CN"/>
        </w:rPr>
        <w:t>.</w:t>
      </w:r>
      <w:r>
        <w:rPr>
          <w:rFonts w:hint="eastAsia" w:ascii="仿宋" w:hAnsi="仿宋" w:eastAsia="仿宋" w:cs="仿宋"/>
          <w:sz w:val="28"/>
          <w:szCs w:val="28"/>
          <w:highlight w:val="none"/>
        </w:rPr>
        <w:t>项目名称：</w:t>
      </w:r>
      <w:r>
        <w:rPr>
          <w:rFonts w:hint="eastAsia" w:ascii="仿宋" w:hAnsi="仿宋" w:eastAsia="仿宋" w:cs="仿宋"/>
          <w:sz w:val="28"/>
          <w:szCs w:val="28"/>
          <w:highlight w:val="none"/>
          <w:lang w:eastAsia="zh-CN"/>
        </w:rPr>
        <w:t>武安工业园区裕祥北路管网工程</w:t>
      </w:r>
      <w:r>
        <w:rPr>
          <w:rFonts w:hint="eastAsia" w:ascii="仿宋" w:hAnsi="仿宋" w:eastAsia="仿宋" w:cs="仿宋"/>
          <w:sz w:val="28"/>
          <w:szCs w:val="28"/>
          <w:highlight w:val="none"/>
        </w:rPr>
        <w:t>。</w:t>
      </w:r>
    </w:p>
    <w:p w14:paraId="1755F325">
      <w:pPr>
        <w:ind w:firstLine="560" w:firstLineChars="200"/>
        <w:jc w:val="left"/>
        <w:rPr>
          <w:rFonts w:hint="eastAsia" w:ascii="仿宋" w:hAnsi="仿宋" w:eastAsia="仿宋" w:cs="仿宋"/>
          <w:sz w:val="28"/>
          <w:szCs w:val="28"/>
          <w:highlight w:val="none"/>
        </w:rPr>
      </w:pPr>
      <w:r>
        <w:rPr>
          <w:rFonts w:hint="eastAsia" w:ascii="仿宋" w:hAnsi="仿宋" w:eastAsia="仿宋" w:cs="仿宋"/>
          <w:sz w:val="28"/>
          <w:szCs w:val="28"/>
          <w:highlight w:val="none"/>
        </w:rPr>
        <w:t>2</w:t>
      </w:r>
      <w:r>
        <w:rPr>
          <w:rFonts w:hint="eastAsia" w:ascii="仿宋" w:hAnsi="仿宋" w:eastAsia="仿宋" w:cs="仿宋"/>
          <w:sz w:val="28"/>
          <w:szCs w:val="28"/>
          <w:highlight w:val="none"/>
          <w:lang w:val="en-US" w:eastAsia="zh-CN"/>
        </w:rPr>
        <w:t>.</w:t>
      </w:r>
      <w:r>
        <w:rPr>
          <w:rFonts w:hint="eastAsia" w:ascii="仿宋" w:hAnsi="仿宋" w:eastAsia="仿宋" w:cs="仿宋"/>
          <w:sz w:val="28"/>
          <w:szCs w:val="28"/>
          <w:highlight w:val="none"/>
        </w:rPr>
        <w:t>项目建设单位：</w:t>
      </w:r>
      <w:r>
        <w:rPr>
          <w:rFonts w:hint="eastAsia" w:ascii="仿宋" w:hAnsi="仿宋" w:eastAsia="仿宋" w:cs="仿宋"/>
          <w:sz w:val="28"/>
          <w:szCs w:val="28"/>
          <w:highlight w:val="none"/>
          <w:lang w:eastAsia="zh-CN"/>
        </w:rPr>
        <w:t>河北武安工业园区管理委员会</w:t>
      </w:r>
      <w:r>
        <w:rPr>
          <w:rFonts w:hint="eastAsia" w:ascii="仿宋" w:hAnsi="仿宋" w:eastAsia="仿宋" w:cs="仿宋"/>
          <w:sz w:val="28"/>
          <w:szCs w:val="28"/>
          <w:highlight w:val="none"/>
        </w:rPr>
        <w:t>。</w:t>
      </w:r>
    </w:p>
    <w:p w14:paraId="5D3F49B1">
      <w:pPr>
        <w:ind w:firstLine="560" w:firstLineChars="200"/>
        <w:jc w:val="left"/>
        <w:rPr>
          <w:rFonts w:hint="eastAsia" w:ascii="仿宋" w:hAnsi="仿宋" w:eastAsia="仿宋" w:cs="仿宋"/>
          <w:sz w:val="28"/>
          <w:szCs w:val="28"/>
          <w:highlight w:val="none"/>
        </w:rPr>
      </w:pPr>
      <w:r>
        <w:rPr>
          <w:rFonts w:hint="eastAsia" w:ascii="仿宋" w:hAnsi="仿宋" w:eastAsia="仿宋" w:cs="仿宋"/>
          <w:sz w:val="28"/>
          <w:szCs w:val="28"/>
          <w:highlight w:val="none"/>
        </w:rPr>
        <w:t>3</w:t>
      </w:r>
      <w:r>
        <w:rPr>
          <w:rFonts w:hint="eastAsia" w:ascii="仿宋" w:hAnsi="仿宋" w:eastAsia="仿宋" w:cs="仿宋"/>
          <w:sz w:val="28"/>
          <w:szCs w:val="28"/>
          <w:highlight w:val="none"/>
          <w:lang w:val="en-US" w:eastAsia="zh-CN"/>
        </w:rPr>
        <w:t>.</w:t>
      </w:r>
      <w:r>
        <w:rPr>
          <w:rFonts w:hint="eastAsia" w:ascii="仿宋" w:hAnsi="仿宋" w:eastAsia="仿宋" w:cs="仿宋"/>
          <w:sz w:val="28"/>
          <w:szCs w:val="28"/>
          <w:highlight w:val="none"/>
        </w:rPr>
        <w:t>项目建设地点：</w:t>
      </w:r>
      <w:r>
        <w:rPr>
          <w:rFonts w:hint="eastAsia" w:ascii="仿宋" w:hAnsi="仿宋" w:eastAsia="仿宋" w:cs="仿宋"/>
          <w:sz w:val="28"/>
          <w:szCs w:val="28"/>
          <w:highlight w:val="none"/>
          <w:lang w:val="en-US" w:eastAsia="zh-CN"/>
        </w:rPr>
        <w:t>项目位于武安工业园区</w:t>
      </w:r>
      <w:r>
        <w:rPr>
          <w:rFonts w:hint="eastAsia" w:ascii="仿宋" w:hAnsi="仿宋" w:eastAsia="仿宋" w:cs="仿宋"/>
          <w:sz w:val="28"/>
          <w:szCs w:val="28"/>
          <w:highlight w:val="none"/>
        </w:rPr>
        <w:t>。</w:t>
      </w:r>
    </w:p>
    <w:p w14:paraId="49019CB5">
      <w:pPr>
        <w:ind w:firstLine="560" w:firstLineChars="200"/>
        <w:jc w:val="left"/>
        <w:rPr>
          <w:rFonts w:hint="eastAsia" w:ascii="仿宋" w:hAnsi="仿宋" w:eastAsia="仿宋" w:cs="仿宋"/>
          <w:sz w:val="28"/>
          <w:szCs w:val="28"/>
          <w:highlight w:val="none"/>
          <w:lang w:val="en-US" w:eastAsia="zh-CN"/>
        </w:rPr>
      </w:pPr>
      <w:r>
        <w:rPr>
          <w:rFonts w:hint="eastAsia" w:ascii="仿宋" w:hAnsi="仿宋" w:eastAsia="仿宋" w:cs="仿宋"/>
          <w:sz w:val="28"/>
          <w:szCs w:val="28"/>
          <w:highlight w:val="none"/>
        </w:rPr>
        <w:t>4</w:t>
      </w:r>
      <w:r>
        <w:rPr>
          <w:rFonts w:hint="eastAsia" w:ascii="仿宋" w:hAnsi="仿宋" w:eastAsia="仿宋" w:cs="仿宋"/>
          <w:sz w:val="28"/>
          <w:szCs w:val="28"/>
          <w:highlight w:val="none"/>
          <w:lang w:val="en-US" w:eastAsia="zh-CN"/>
        </w:rPr>
        <w:t>.</w:t>
      </w:r>
      <w:r>
        <w:rPr>
          <w:rFonts w:hint="eastAsia" w:ascii="仿宋" w:hAnsi="仿宋" w:eastAsia="仿宋" w:cs="仿宋"/>
          <w:sz w:val="28"/>
          <w:szCs w:val="28"/>
          <w:highlight w:val="none"/>
        </w:rPr>
        <w:t>项目建设内容及规模：项目为裕祥北路（曹公大街至东二环路段）管网工程，主要建设内容包含给水管网1521米、污水管网1718米、雨水管网1833米、燃气管网1521米、路面恢复及附属设施工程等。</w:t>
      </w:r>
    </w:p>
    <w:p w14:paraId="53BD73E5">
      <w:pPr>
        <w:ind w:firstLine="560" w:firstLineChars="200"/>
        <w:jc w:val="left"/>
        <w:rPr>
          <w:rFonts w:hint="eastAsia" w:ascii="仿宋" w:hAnsi="仿宋" w:eastAsia="仿宋" w:cs="仿宋"/>
          <w:sz w:val="28"/>
          <w:szCs w:val="28"/>
          <w:highlight w:val="none"/>
          <w:lang w:val="en-US" w:eastAsia="zh-CN"/>
        </w:rPr>
      </w:pPr>
      <w:r>
        <w:rPr>
          <w:rFonts w:hint="eastAsia" w:ascii="仿宋" w:hAnsi="仿宋" w:eastAsia="仿宋" w:cs="仿宋"/>
          <w:sz w:val="28"/>
          <w:szCs w:val="28"/>
          <w:highlight w:val="none"/>
        </w:rPr>
        <w:t>5</w:t>
      </w:r>
      <w:r>
        <w:rPr>
          <w:rFonts w:hint="eastAsia" w:ascii="仿宋" w:hAnsi="仿宋" w:eastAsia="仿宋" w:cs="仿宋"/>
          <w:sz w:val="28"/>
          <w:szCs w:val="28"/>
          <w:highlight w:val="none"/>
          <w:lang w:val="en-US" w:eastAsia="zh-CN"/>
        </w:rPr>
        <w:t>.</w:t>
      </w:r>
      <w:r>
        <w:rPr>
          <w:rFonts w:hint="eastAsia" w:ascii="仿宋" w:hAnsi="仿宋" w:eastAsia="仿宋" w:cs="仿宋"/>
          <w:sz w:val="28"/>
          <w:szCs w:val="28"/>
          <w:highlight w:val="none"/>
        </w:rPr>
        <w:t>项目进展情况：本项目建设周期拟定为24个月，自2024年11月至2026年10月，具体安排如下：2024年11月-12月完成项目立项工作；2025年1月-2月完工施工图设计及招投标工作；2025年3月-2026年8月完成项目的土建施工工作；2026年</w:t>
      </w:r>
      <w:r>
        <w:rPr>
          <w:rFonts w:hint="eastAsia" w:ascii="仿宋" w:hAnsi="仿宋" w:eastAsia="仿宋" w:cs="仿宋"/>
          <w:sz w:val="28"/>
          <w:szCs w:val="28"/>
          <w:highlight w:val="none"/>
          <w:lang w:val="en-US" w:eastAsia="zh-CN"/>
        </w:rPr>
        <w:t>9</w:t>
      </w:r>
      <w:r>
        <w:rPr>
          <w:rFonts w:hint="eastAsia" w:ascii="仿宋" w:hAnsi="仿宋" w:eastAsia="仿宋" w:cs="仿宋"/>
          <w:sz w:val="28"/>
          <w:szCs w:val="28"/>
          <w:highlight w:val="none"/>
        </w:rPr>
        <w:t>月-10月完成竣工验收工作。</w:t>
      </w:r>
    </w:p>
    <w:p w14:paraId="0F4052C6">
      <w:pPr>
        <w:ind w:firstLine="560" w:firstLineChars="200"/>
        <w:jc w:val="left"/>
        <w:rPr>
          <w:rFonts w:hint="eastAsia" w:ascii="仿宋" w:hAnsi="仿宋" w:eastAsia="仿宋" w:cs="仿宋"/>
          <w:sz w:val="28"/>
          <w:szCs w:val="28"/>
          <w:highlight w:val="none"/>
          <w:lang w:eastAsia="zh-CN"/>
        </w:rPr>
      </w:pPr>
      <w:r>
        <w:rPr>
          <w:rFonts w:hint="eastAsia" w:ascii="仿宋" w:hAnsi="仿宋" w:eastAsia="仿宋" w:cs="仿宋"/>
          <w:sz w:val="28"/>
          <w:szCs w:val="28"/>
          <w:highlight w:val="none"/>
        </w:rPr>
        <w:t>6</w:t>
      </w:r>
      <w:r>
        <w:rPr>
          <w:rFonts w:hint="eastAsia" w:ascii="仿宋" w:hAnsi="仿宋" w:eastAsia="仿宋" w:cs="仿宋"/>
          <w:sz w:val="28"/>
          <w:szCs w:val="28"/>
          <w:highlight w:val="none"/>
          <w:lang w:val="en-US" w:eastAsia="zh-CN"/>
        </w:rPr>
        <w:t>.</w:t>
      </w:r>
      <w:r>
        <w:rPr>
          <w:rFonts w:hint="eastAsia" w:ascii="仿宋" w:hAnsi="仿宋" w:eastAsia="仿宋" w:cs="仿宋"/>
          <w:sz w:val="28"/>
          <w:szCs w:val="28"/>
          <w:highlight w:val="none"/>
        </w:rPr>
        <w:t>项目总投资：本项目估算总投资金额</w:t>
      </w:r>
      <w:r>
        <w:rPr>
          <w:rFonts w:hint="eastAsia" w:ascii="仿宋" w:hAnsi="仿宋" w:eastAsia="仿宋" w:cs="仿宋"/>
          <w:sz w:val="28"/>
          <w:szCs w:val="28"/>
          <w:highlight w:val="none"/>
          <w:lang w:val="en-US" w:eastAsia="zh-CN"/>
        </w:rPr>
        <w:t>3,100.00</w:t>
      </w:r>
      <w:r>
        <w:rPr>
          <w:rFonts w:hint="eastAsia" w:ascii="仿宋" w:hAnsi="仿宋" w:eastAsia="仿宋" w:cs="仿宋"/>
          <w:sz w:val="28"/>
          <w:szCs w:val="28"/>
          <w:highlight w:val="none"/>
        </w:rPr>
        <w:t>万元。其中：工程费用2</w:t>
      </w:r>
      <w:r>
        <w:rPr>
          <w:rFonts w:hint="eastAsia" w:ascii="仿宋" w:hAnsi="仿宋" w:eastAsia="仿宋" w:cs="仿宋"/>
          <w:sz w:val="28"/>
          <w:szCs w:val="28"/>
          <w:highlight w:val="none"/>
          <w:lang w:val="en-US" w:eastAsia="zh-CN"/>
        </w:rPr>
        <w:t>,</w:t>
      </w:r>
      <w:r>
        <w:rPr>
          <w:rFonts w:hint="eastAsia" w:ascii="仿宋" w:hAnsi="仿宋" w:eastAsia="仿宋" w:cs="仿宋"/>
          <w:sz w:val="28"/>
          <w:szCs w:val="28"/>
          <w:highlight w:val="none"/>
        </w:rPr>
        <w:t>810.90万元，工程建设其他费用198.39万元，预备费90.</w:t>
      </w:r>
      <w:r>
        <w:rPr>
          <w:rFonts w:hint="eastAsia" w:ascii="仿宋" w:hAnsi="仿宋" w:eastAsia="仿宋" w:cs="仿宋"/>
          <w:sz w:val="28"/>
          <w:szCs w:val="28"/>
          <w:highlight w:val="none"/>
          <w:lang w:val="en-US" w:eastAsia="zh-CN"/>
        </w:rPr>
        <w:t>71</w:t>
      </w:r>
      <w:r>
        <w:rPr>
          <w:rFonts w:hint="eastAsia" w:ascii="仿宋" w:hAnsi="仿宋" w:eastAsia="仿宋" w:cs="仿宋"/>
          <w:sz w:val="28"/>
          <w:szCs w:val="28"/>
          <w:highlight w:val="none"/>
        </w:rPr>
        <w:t>万元。</w:t>
      </w:r>
    </w:p>
    <w:p w14:paraId="396E5AEA">
      <w:pPr>
        <w:ind w:firstLine="560" w:firstLineChars="200"/>
        <w:jc w:val="left"/>
        <w:rPr>
          <w:rFonts w:hint="eastAsia" w:ascii="仿宋" w:hAnsi="仿宋" w:eastAsia="仿宋" w:cs="仿宋"/>
          <w:sz w:val="28"/>
          <w:szCs w:val="28"/>
          <w:highlight w:val="none"/>
          <w:lang w:val="en-US" w:eastAsia="zh-CN"/>
        </w:rPr>
      </w:pPr>
      <w:r>
        <w:rPr>
          <w:rFonts w:hint="eastAsia" w:ascii="仿宋" w:hAnsi="仿宋" w:eastAsia="仿宋" w:cs="仿宋"/>
          <w:sz w:val="28"/>
          <w:szCs w:val="28"/>
          <w:highlight w:val="none"/>
        </w:rPr>
        <w:t>7</w:t>
      </w:r>
      <w:r>
        <w:rPr>
          <w:rFonts w:hint="eastAsia" w:ascii="仿宋" w:hAnsi="仿宋" w:eastAsia="仿宋" w:cs="仿宋"/>
          <w:sz w:val="28"/>
          <w:szCs w:val="28"/>
          <w:highlight w:val="none"/>
          <w:lang w:val="en-US" w:eastAsia="zh-CN"/>
        </w:rPr>
        <w:t>.固定资产投资项目代码</w:t>
      </w:r>
      <w:r>
        <w:rPr>
          <w:rFonts w:hint="eastAsia" w:ascii="仿宋" w:hAnsi="仿宋" w:eastAsia="仿宋" w:cs="仿宋"/>
          <w:sz w:val="28"/>
          <w:szCs w:val="28"/>
          <w:highlight w:val="none"/>
        </w:rPr>
        <w:t>：</w:t>
      </w:r>
      <w:r>
        <w:rPr>
          <w:rFonts w:hint="eastAsia" w:ascii="仿宋" w:hAnsi="仿宋" w:eastAsia="仿宋" w:cs="仿宋"/>
          <w:sz w:val="28"/>
          <w:szCs w:val="28"/>
          <w:highlight w:val="none"/>
          <w:lang w:val="en-US" w:eastAsia="zh-CN"/>
        </w:rPr>
        <w:t>2411-130481-89-01-644851</w:t>
      </w:r>
      <w:r>
        <w:rPr>
          <w:rFonts w:hint="eastAsia" w:ascii="仿宋" w:hAnsi="仿宋" w:eastAsia="仿宋" w:cs="仿宋"/>
          <w:sz w:val="28"/>
          <w:szCs w:val="28"/>
          <w:highlight w:val="none"/>
          <w:lang w:eastAsia="zh-CN"/>
        </w:rPr>
        <w:t>。</w:t>
      </w:r>
    </w:p>
    <w:p w14:paraId="11D65547">
      <w:pPr>
        <w:ind w:firstLine="560" w:firstLineChars="200"/>
        <w:jc w:val="left"/>
        <w:rPr>
          <w:rFonts w:hint="eastAsia" w:ascii="仿宋" w:hAnsi="仿宋" w:eastAsia="仿宋" w:cs="仿宋"/>
          <w:bCs/>
          <w:sz w:val="28"/>
          <w:szCs w:val="28"/>
          <w:highlight w:val="none"/>
        </w:rPr>
      </w:pPr>
      <w:r>
        <w:rPr>
          <w:rFonts w:hint="eastAsia" w:ascii="仿宋" w:hAnsi="仿宋" w:eastAsia="仿宋" w:cs="仿宋"/>
          <w:sz w:val="28"/>
          <w:szCs w:val="28"/>
          <w:highlight w:val="none"/>
        </w:rPr>
        <w:t>（二）</w:t>
      </w:r>
      <w:r>
        <w:rPr>
          <w:rFonts w:hint="eastAsia" w:ascii="仿宋" w:hAnsi="仿宋" w:eastAsia="仿宋" w:cs="仿宋"/>
          <w:bCs/>
          <w:sz w:val="28"/>
          <w:szCs w:val="28"/>
          <w:highlight w:val="none"/>
        </w:rPr>
        <w:t>主体资格</w:t>
      </w:r>
    </w:p>
    <w:p w14:paraId="38E14953">
      <w:pPr>
        <w:ind w:firstLine="560" w:firstLineChars="200"/>
        <w:jc w:val="left"/>
        <w:rPr>
          <w:rFonts w:hint="eastAsia" w:ascii="仿宋" w:hAnsi="仿宋" w:eastAsia="仿宋" w:cs="仿宋"/>
          <w:bCs/>
          <w:sz w:val="28"/>
          <w:szCs w:val="28"/>
          <w:highlight w:val="none"/>
          <w:lang w:eastAsia="zh-CN"/>
        </w:rPr>
      </w:pPr>
      <w:r>
        <w:rPr>
          <w:rFonts w:hint="eastAsia" w:ascii="仿宋" w:hAnsi="仿宋" w:eastAsia="仿宋" w:cs="仿宋"/>
          <w:bCs/>
          <w:sz w:val="28"/>
          <w:szCs w:val="28"/>
          <w:highlight w:val="none"/>
        </w:rPr>
        <w:t>名称：</w:t>
      </w:r>
      <w:r>
        <w:rPr>
          <w:rFonts w:hint="eastAsia" w:ascii="仿宋" w:hAnsi="仿宋" w:eastAsia="仿宋" w:cs="仿宋"/>
          <w:bCs/>
          <w:sz w:val="28"/>
          <w:szCs w:val="28"/>
          <w:highlight w:val="none"/>
          <w:lang w:eastAsia="zh-CN"/>
        </w:rPr>
        <w:t>河北武安工业园区管理委员会</w:t>
      </w:r>
    </w:p>
    <w:p w14:paraId="3DA76722">
      <w:pPr>
        <w:ind w:firstLine="560" w:firstLineChars="200"/>
        <w:jc w:val="left"/>
        <w:rPr>
          <w:rFonts w:hint="eastAsia" w:ascii="仿宋" w:hAnsi="仿宋" w:eastAsia="仿宋" w:cs="仿宋"/>
          <w:bCs/>
          <w:sz w:val="28"/>
          <w:szCs w:val="28"/>
          <w:highlight w:val="none"/>
          <w:lang w:val="en-US" w:eastAsia="zh-CN"/>
        </w:rPr>
      </w:pPr>
      <w:r>
        <w:rPr>
          <w:rFonts w:hint="eastAsia" w:ascii="仿宋" w:hAnsi="仿宋" w:eastAsia="仿宋" w:cs="仿宋"/>
          <w:bCs/>
          <w:sz w:val="28"/>
          <w:szCs w:val="28"/>
          <w:highlight w:val="none"/>
          <w:lang w:val="en-US" w:eastAsia="zh-CN"/>
        </w:rPr>
        <w:t>地址：河北省邯郸市武安市工业园区</w:t>
      </w:r>
    </w:p>
    <w:p w14:paraId="0DB2B093">
      <w:pPr>
        <w:ind w:firstLine="560" w:firstLineChars="200"/>
        <w:jc w:val="left"/>
        <w:rPr>
          <w:rFonts w:hint="eastAsia" w:ascii="仿宋" w:hAnsi="仿宋" w:eastAsia="仿宋" w:cs="仿宋"/>
          <w:bCs/>
          <w:sz w:val="28"/>
          <w:szCs w:val="28"/>
          <w:highlight w:val="none"/>
          <w:lang w:val="en-US" w:eastAsia="zh-CN"/>
        </w:rPr>
      </w:pPr>
      <w:r>
        <w:rPr>
          <w:rFonts w:hint="eastAsia" w:ascii="仿宋" w:hAnsi="仿宋" w:eastAsia="仿宋" w:cs="仿宋"/>
          <w:bCs/>
          <w:sz w:val="28"/>
          <w:szCs w:val="28"/>
          <w:highlight w:val="none"/>
          <w:lang w:val="en-US" w:eastAsia="zh-CN"/>
        </w:rPr>
        <w:t>负责人：姚振军</w:t>
      </w:r>
    </w:p>
    <w:p w14:paraId="3EC45EA7">
      <w:pPr>
        <w:ind w:firstLine="560" w:firstLineChars="200"/>
        <w:jc w:val="left"/>
        <w:rPr>
          <w:rFonts w:hint="eastAsia" w:ascii="仿宋" w:hAnsi="仿宋" w:eastAsia="仿宋" w:cs="仿宋"/>
          <w:sz w:val="28"/>
          <w:szCs w:val="28"/>
          <w:highlight w:val="none"/>
          <w:lang w:val="en-US" w:eastAsia="zh-CN"/>
        </w:rPr>
      </w:pPr>
      <w:r>
        <w:rPr>
          <w:rFonts w:hint="eastAsia" w:ascii="仿宋" w:hAnsi="仿宋" w:eastAsia="仿宋" w:cs="仿宋"/>
          <w:sz w:val="28"/>
          <w:szCs w:val="28"/>
          <w:highlight w:val="none"/>
        </w:rPr>
        <w:t>统一社会信用代码：</w:t>
      </w:r>
      <w:r>
        <w:rPr>
          <w:rFonts w:hint="eastAsia" w:ascii="仿宋" w:hAnsi="仿宋" w:eastAsia="仿宋" w:cs="仿宋"/>
          <w:sz w:val="28"/>
          <w:szCs w:val="28"/>
          <w:highlight w:val="none"/>
          <w:lang w:val="en-US" w:eastAsia="zh-CN"/>
        </w:rPr>
        <w:t>11130481401839544B</w:t>
      </w:r>
    </w:p>
    <w:p w14:paraId="29043188">
      <w:pPr>
        <w:ind w:firstLine="560" w:firstLineChars="200"/>
        <w:jc w:val="left"/>
        <w:rPr>
          <w:rFonts w:hint="eastAsia" w:ascii="仿宋" w:hAnsi="仿宋" w:eastAsia="仿宋" w:cs="仿宋"/>
          <w:sz w:val="28"/>
          <w:szCs w:val="28"/>
          <w:highlight w:val="none"/>
        </w:rPr>
      </w:pPr>
      <w:r>
        <w:rPr>
          <w:rFonts w:hint="eastAsia" w:ascii="仿宋" w:hAnsi="仿宋" w:eastAsia="仿宋" w:cs="仿宋"/>
          <w:sz w:val="28"/>
          <w:szCs w:val="28"/>
          <w:highlight w:val="none"/>
        </w:rPr>
        <w:t>本所律师认为：</w:t>
      </w:r>
      <w:r>
        <w:rPr>
          <w:rFonts w:hint="eastAsia" w:ascii="仿宋" w:hAnsi="仿宋" w:eastAsia="仿宋" w:cs="仿宋"/>
          <w:sz w:val="28"/>
          <w:szCs w:val="28"/>
          <w:highlight w:val="none"/>
          <w:lang w:eastAsia="zh-CN"/>
        </w:rPr>
        <w:t>河北武安工业园区管理委员会为政府</w:t>
      </w:r>
      <w:r>
        <w:rPr>
          <w:rFonts w:hint="eastAsia" w:ascii="仿宋" w:hAnsi="仿宋" w:eastAsia="仿宋" w:cs="仿宋"/>
          <w:sz w:val="28"/>
          <w:szCs w:val="28"/>
          <w:highlight w:val="none"/>
          <w:lang w:val="en-US" w:eastAsia="zh-CN"/>
        </w:rPr>
        <w:t>机关</w:t>
      </w:r>
      <w:r>
        <w:rPr>
          <w:rFonts w:hint="eastAsia" w:ascii="仿宋" w:hAnsi="仿宋" w:eastAsia="仿宋" w:cs="仿宋"/>
          <w:sz w:val="28"/>
          <w:szCs w:val="28"/>
          <w:highlight w:val="none"/>
        </w:rPr>
        <w:t>单位，具有相应民事权力能力和民事行为能力；历史沿革合法合规、依法有效存续；本期专项债券涉及项目属于</w:t>
      </w:r>
      <w:r>
        <w:rPr>
          <w:rFonts w:hint="eastAsia" w:ascii="仿宋" w:hAnsi="仿宋" w:eastAsia="仿宋" w:cs="仿宋"/>
          <w:sz w:val="28"/>
          <w:szCs w:val="28"/>
          <w:highlight w:val="none"/>
          <w:lang w:eastAsia="zh-CN"/>
        </w:rPr>
        <w:t>河北武安工业园区管理委员会</w:t>
      </w:r>
      <w:r>
        <w:rPr>
          <w:rFonts w:hint="eastAsia" w:ascii="仿宋" w:hAnsi="仿宋" w:eastAsia="仿宋" w:cs="仿宋"/>
          <w:sz w:val="28"/>
          <w:szCs w:val="28"/>
          <w:highlight w:val="none"/>
        </w:rPr>
        <w:t>经营范围。具备负责实施</w:t>
      </w:r>
      <w:r>
        <w:rPr>
          <w:rFonts w:hint="eastAsia" w:ascii="仿宋" w:hAnsi="仿宋" w:eastAsia="仿宋" w:cs="仿宋"/>
          <w:sz w:val="28"/>
          <w:szCs w:val="28"/>
          <w:highlight w:val="none"/>
          <w:lang w:eastAsia="zh-CN"/>
        </w:rPr>
        <w:t>武安工业园区裕祥北路管网工程</w:t>
      </w:r>
      <w:r>
        <w:rPr>
          <w:rFonts w:hint="eastAsia" w:ascii="仿宋" w:hAnsi="仿宋" w:eastAsia="仿宋" w:cs="仿宋"/>
          <w:sz w:val="28"/>
          <w:szCs w:val="28"/>
          <w:highlight w:val="none"/>
        </w:rPr>
        <w:t>本期债券募投的主体资格。</w:t>
      </w:r>
    </w:p>
    <w:p w14:paraId="27D51A3C">
      <w:pPr>
        <w:ind w:firstLine="560" w:firstLineChars="200"/>
        <w:jc w:val="left"/>
        <w:rPr>
          <w:rFonts w:hint="eastAsia" w:ascii="仿宋" w:hAnsi="仿宋" w:eastAsia="仿宋" w:cs="仿宋"/>
          <w:sz w:val="28"/>
          <w:szCs w:val="28"/>
          <w:highlight w:val="none"/>
        </w:rPr>
      </w:pPr>
      <w:r>
        <w:rPr>
          <w:rFonts w:hint="eastAsia" w:ascii="仿宋" w:hAnsi="仿宋" w:eastAsia="仿宋" w:cs="仿宋"/>
          <w:sz w:val="28"/>
          <w:szCs w:val="28"/>
          <w:highlight w:val="none"/>
        </w:rPr>
        <w:t>（三）项目合法性</w:t>
      </w:r>
    </w:p>
    <w:p w14:paraId="7A3FC2EA">
      <w:pPr>
        <w:ind w:firstLine="560" w:firstLineChars="200"/>
        <w:jc w:val="left"/>
        <w:rPr>
          <w:rFonts w:hint="eastAsia" w:ascii="仿宋" w:hAnsi="仿宋" w:eastAsia="仿宋" w:cs="仿宋"/>
          <w:sz w:val="28"/>
          <w:szCs w:val="28"/>
          <w:highlight w:val="none"/>
          <w:lang w:val="en-US" w:eastAsia="zh-CN"/>
        </w:rPr>
      </w:pPr>
      <w:r>
        <w:rPr>
          <w:rFonts w:hint="eastAsia" w:ascii="仿宋" w:hAnsi="仿宋" w:eastAsia="仿宋" w:cs="仿宋"/>
          <w:sz w:val="28"/>
          <w:szCs w:val="28"/>
          <w:highlight w:val="none"/>
          <w:lang w:val="en-US" w:eastAsia="zh-CN"/>
        </w:rPr>
        <w:t>1、《国务院关于调整和完善固定资产投资项目资本金制度的通知》</w:t>
      </w:r>
    </w:p>
    <w:p w14:paraId="4F6B58A0">
      <w:pPr>
        <w:jc w:val="left"/>
        <w:rPr>
          <w:rFonts w:hint="eastAsia" w:ascii="仿宋" w:hAnsi="仿宋" w:eastAsia="仿宋" w:cs="仿宋"/>
          <w:sz w:val="28"/>
          <w:szCs w:val="28"/>
          <w:highlight w:val="none"/>
          <w:lang w:val="en-US" w:eastAsia="zh-CN"/>
        </w:rPr>
      </w:pPr>
      <w:r>
        <w:rPr>
          <w:rFonts w:hint="eastAsia" w:ascii="仿宋" w:hAnsi="仿宋" w:eastAsia="仿宋" w:cs="仿宋"/>
          <w:sz w:val="28"/>
          <w:szCs w:val="28"/>
          <w:highlight w:val="none"/>
          <w:lang w:val="en-US" w:eastAsia="zh-CN"/>
        </w:rPr>
        <w:t>国发〔2015〕51号；</w:t>
      </w:r>
    </w:p>
    <w:p w14:paraId="098C1451">
      <w:pPr>
        <w:ind w:firstLine="560" w:firstLineChars="200"/>
        <w:jc w:val="left"/>
        <w:rPr>
          <w:rFonts w:hint="eastAsia" w:ascii="仿宋" w:hAnsi="仿宋" w:eastAsia="仿宋" w:cs="仿宋"/>
          <w:sz w:val="28"/>
          <w:szCs w:val="28"/>
          <w:highlight w:val="none"/>
          <w:lang w:val="en-US" w:eastAsia="zh-CN"/>
        </w:rPr>
      </w:pPr>
      <w:r>
        <w:rPr>
          <w:rFonts w:hint="eastAsia" w:ascii="仿宋" w:hAnsi="仿宋" w:eastAsia="仿宋" w:cs="仿宋"/>
          <w:sz w:val="28"/>
          <w:szCs w:val="28"/>
          <w:highlight w:val="none"/>
          <w:lang w:val="en-US" w:eastAsia="zh-CN"/>
        </w:rPr>
        <w:t>2、《河北武安工业园区管理委员会武安工业园区裕祥北路管网工程</w:t>
      </w:r>
    </w:p>
    <w:p w14:paraId="65BE75FD">
      <w:pPr>
        <w:jc w:val="left"/>
        <w:rPr>
          <w:rFonts w:hint="eastAsia" w:ascii="仿宋" w:hAnsi="仿宋" w:eastAsia="仿宋" w:cs="仿宋"/>
          <w:sz w:val="28"/>
          <w:szCs w:val="28"/>
          <w:highlight w:val="none"/>
          <w:lang w:val="en-US" w:eastAsia="zh-CN"/>
        </w:rPr>
      </w:pPr>
      <w:r>
        <w:rPr>
          <w:rFonts w:hint="eastAsia" w:ascii="仿宋" w:hAnsi="仿宋" w:eastAsia="仿宋" w:cs="仿宋"/>
          <w:sz w:val="28"/>
          <w:szCs w:val="28"/>
          <w:highlight w:val="none"/>
          <w:lang w:val="en-US" w:eastAsia="zh-CN"/>
        </w:rPr>
        <w:t>行性研究报告》河北蓝光工程咨询有限公司；</w:t>
      </w:r>
    </w:p>
    <w:p w14:paraId="3A06F286">
      <w:pPr>
        <w:ind w:firstLine="560" w:firstLineChars="200"/>
        <w:jc w:val="left"/>
        <w:rPr>
          <w:rFonts w:hint="eastAsia" w:ascii="仿宋" w:hAnsi="仿宋" w:eastAsia="仿宋" w:cs="仿宋"/>
          <w:sz w:val="28"/>
          <w:szCs w:val="28"/>
          <w:highlight w:val="none"/>
          <w:lang w:val="en-US" w:eastAsia="zh-CN"/>
        </w:rPr>
      </w:pPr>
      <w:r>
        <w:rPr>
          <w:rFonts w:hint="eastAsia" w:ascii="仿宋" w:hAnsi="仿宋" w:eastAsia="仿宋" w:cs="仿宋"/>
          <w:sz w:val="28"/>
          <w:szCs w:val="28"/>
          <w:highlight w:val="none"/>
          <w:lang w:val="en-US" w:eastAsia="zh-CN"/>
        </w:rPr>
        <w:t>3、《财政部发展改革委人民银行 银监会关于贯彻国务院关于加强</w:t>
      </w:r>
    </w:p>
    <w:p w14:paraId="0B656367">
      <w:pPr>
        <w:jc w:val="left"/>
        <w:rPr>
          <w:rFonts w:hint="eastAsia" w:ascii="仿宋" w:hAnsi="仿宋" w:eastAsia="仿宋" w:cs="仿宋"/>
          <w:sz w:val="28"/>
          <w:szCs w:val="28"/>
          <w:highlight w:val="none"/>
          <w:lang w:val="en-US" w:eastAsia="zh-CN"/>
        </w:rPr>
      </w:pPr>
      <w:r>
        <w:rPr>
          <w:rFonts w:hint="eastAsia" w:ascii="仿宋" w:hAnsi="仿宋" w:eastAsia="仿宋" w:cs="仿宋"/>
          <w:sz w:val="28"/>
          <w:szCs w:val="28"/>
          <w:highlight w:val="none"/>
          <w:lang w:val="en-US" w:eastAsia="zh-CN"/>
        </w:rPr>
        <w:t>地方政府融资平台公司管理有关问题的通知相关事项的通知》财预〔2010〕</w:t>
      </w:r>
    </w:p>
    <w:p w14:paraId="46FE5396">
      <w:pPr>
        <w:jc w:val="left"/>
        <w:rPr>
          <w:rFonts w:hint="eastAsia" w:ascii="仿宋" w:hAnsi="仿宋" w:eastAsia="仿宋" w:cs="仿宋"/>
          <w:sz w:val="28"/>
          <w:szCs w:val="28"/>
          <w:highlight w:val="none"/>
          <w:lang w:val="en-US" w:eastAsia="zh-CN"/>
        </w:rPr>
      </w:pPr>
      <w:r>
        <w:rPr>
          <w:rFonts w:hint="eastAsia" w:ascii="仿宋" w:hAnsi="仿宋" w:eastAsia="仿宋" w:cs="仿宋"/>
          <w:sz w:val="28"/>
          <w:szCs w:val="28"/>
          <w:highlight w:val="none"/>
          <w:lang w:val="en-US" w:eastAsia="zh-CN"/>
        </w:rPr>
        <w:t>412号；</w:t>
      </w:r>
    </w:p>
    <w:p w14:paraId="7DFEADB5">
      <w:pPr>
        <w:ind w:firstLine="560" w:firstLineChars="200"/>
        <w:jc w:val="left"/>
        <w:rPr>
          <w:rFonts w:hint="eastAsia" w:ascii="仿宋" w:hAnsi="仿宋" w:eastAsia="仿宋" w:cs="仿宋"/>
          <w:sz w:val="28"/>
          <w:szCs w:val="28"/>
          <w:highlight w:val="none"/>
          <w:lang w:val="en-US" w:eastAsia="zh-CN"/>
        </w:rPr>
      </w:pPr>
      <w:r>
        <w:rPr>
          <w:rFonts w:hint="eastAsia" w:ascii="仿宋" w:hAnsi="仿宋" w:eastAsia="仿宋" w:cs="仿宋"/>
          <w:sz w:val="28"/>
          <w:szCs w:val="28"/>
          <w:highlight w:val="none"/>
          <w:lang w:val="en-US" w:eastAsia="zh-CN"/>
        </w:rPr>
        <w:t>5、《财政部关于试点发展项目收益与融资自求平衡的地方政府专项</w:t>
      </w:r>
    </w:p>
    <w:p w14:paraId="2AF3FC86">
      <w:pPr>
        <w:jc w:val="left"/>
        <w:rPr>
          <w:rFonts w:hint="eastAsia" w:ascii="仿宋" w:hAnsi="仿宋" w:eastAsia="仿宋" w:cs="仿宋"/>
          <w:sz w:val="28"/>
          <w:szCs w:val="28"/>
          <w:highlight w:val="none"/>
          <w:lang w:val="en-US" w:eastAsia="zh-CN"/>
        </w:rPr>
      </w:pPr>
      <w:r>
        <w:rPr>
          <w:rFonts w:hint="eastAsia" w:ascii="仿宋" w:hAnsi="仿宋" w:eastAsia="仿宋" w:cs="仿宋"/>
          <w:sz w:val="28"/>
          <w:szCs w:val="28"/>
          <w:highlight w:val="none"/>
          <w:lang w:val="en-US" w:eastAsia="zh-CN"/>
        </w:rPr>
        <w:t>债券品种的通知》财预〔2017〕89号；</w:t>
      </w:r>
    </w:p>
    <w:p w14:paraId="77D0828E">
      <w:pPr>
        <w:ind w:firstLine="560" w:firstLineChars="200"/>
        <w:jc w:val="left"/>
        <w:rPr>
          <w:rFonts w:hint="eastAsia" w:ascii="仿宋" w:hAnsi="仿宋" w:eastAsia="仿宋" w:cs="仿宋"/>
          <w:sz w:val="28"/>
          <w:szCs w:val="28"/>
          <w:highlight w:val="none"/>
          <w:lang w:val="en-US" w:eastAsia="zh-CN"/>
        </w:rPr>
      </w:pPr>
      <w:r>
        <w:rPr>
          <w:rFonts w:hint="eastAsia" w:ascii="仿宋" w:hAnsi="仿宋" w:eastAsia="仿宋" w:cs="仿宋"/>
          <w:sz w:val="28"/>
          <w:szCs w:val="28"/>
          <w:highlight w:val="none"/>
          <w:lang w:val="en-US" w:eastAsia="zh-CN"/>
        </w:rPr>
        <w:t>6、《地方政府债务信息公开办法（试行）》财预〔2018〕209号。</w:t>
      </w:r>
    </w:p>
    <w:p w14:paraId="0154097B">
      <w:pPr>
        <w:ind w:firstLine="560" w:firstLineChars="200"/>
        <w:jc w:val="left"/>
        <w:rPr>
          <w:rFonts w:hint="eastAsia" w:ascii="仿宋" w:hAnsi="仿宋" w:eastAsia="仿宋" w:cs="仿宋"/>
          <w:sz w:val="28"/>
          <w:szCs w:val="28"/>
          <w:highlight w:val="none"/>
          <w:lang w:val="en-US" w:eastAsia="zh-CN"/>
        </w:rPr>
      </w:pPr>
      <w:r>
        <w:rPr>
          <w:rFonts w:hint="eastAsia" w:ascii="仿宋" w:hAnsi="仿宋" w:eastAsia="仿宋" w:cs="仿宋"/>
          <w:sz w:val="28"/>
          <w:szCs w:val="28"/>
          <w:highlight w:val="none"/>
          <w:lang w:val="en-US" w:eastAsia="zh-CN"/>
        </w:rPr>
        <w:t>本所律师认为：本期专项债券募集资金拟投资的项目已取得有关部门的审批手续，项目符合产业政策及地区发展规划；本期专项债券涉及项目已经取得有关建设批文，项目合法合规，符合国家的产业政策。</w:t>
      </w:r>
    </w:p>
    <w:p w14:paraId="726CF22F">
      <w:pPr>
        <w:jc w:val="left"/>
        <w:rPr>
          <w:rFonts w:hint="eastAsia" w:ascii="仿宋" w:hAnsi="仿宋" w:eastAsia="仿宋" w:cs="仿宋"/>
          <w:sz w:val="28"/>
          <w:szCs w:val="28"/>
          <w:highlight w:val="none"/>
          <w:lang w:val="en-US" w:eastAsia="zh-CN"/>
        </w:rPr>
      </w:pPr>
      <w:r>
        <w:rPr>
          <w:rFonts w:hint="eastAsia" w:ascii="仿宋" w:hAnsi="仿宋" w:eastAsia="仿宋" w:cs="仿宋"/>
          <w:sz w:val="28"/>
          <w:szCs w:val="28"/>
          <w:highlight w:val="none"/>
          <w:lang w:val="en-US" w:eastAsia="zh-CN"/>
        </w:rPr>
        <w:t>二、项目融资来源</w:t>
      </w:r>
    </w:p>
    <w:tbl>
      <w:tblPr>
        <w:tblStyle w:val="7"/>
        <w:tblW w:w="8081"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545"/>
        <w:gridCol w:w="2268"/>
        <w:gridCol w:w="2268"/>
      </w:tblGrid>
      <w:tr w14:paraId="15F86E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trPr>
        <w:tc>
          <w:tcPr>
            <w:tcW w:w="3545" w:type="dxa"/>
            <w:shd w:val="clear" w:color="auto" w:fill="auto"/>
            <w:vAlign w:val="center"/>
          </w:tcPr>
          <w:p w14:paraId="7EDC8F3A">
            <w:pPr>
              <w:widowControl/>
              <w:adjustRightInd w:val="0"/>
              <w:snapToGrid w:val="0"/>
              <w:jc w:val="center"/>
              <w:rPr>
                <w:rFonts w:hint="eastAsia" w:ascii="仿宋" w:hAnsi="仿宋" w:eastAsia="仿宋" w:cs="仿宋"/>
                <w:bCs/>
                <w:kern w:val="0"/>
                <w:szCs w:val="21"/>
                <w:highlight w:val="none"/>
              </w:rPr>
            </w:pPr>
            <w:r>
              <w:rPr>
                <w:rFonts w:hint="eastAsia" w:ascii="仿宋" w:hAnsi="仿宋" w:eastAsia="仿宋" w:cs="仿宋"/>
                <w:bCs/>
                <w:kern w:val="0"/>
                <w:szCs w:val="21"/>
                <w:highlight w:val="none"/>
              </w:rPr>
              <w:t>资金名称（来源）</w:t>
            </w:r>
          </w:p>
        </w:tc>
        <w:tc>
          <w:tcPr>
            <w:tcW w:w="2268" w:type="dxa"/>
            <w:vAlign w:val="center"/>
          </w:tcPr>
          <w:p w14:paraId="121DE816">
            <w:pPr>
              <w:widowControl/>
              <w:adjustRightInd w:val="0"/>
              <w:snapToGrid w:val="0"/>
              <w:jc w:val="center"/>
              <w:rPr>
                <w:rFonts w:hint="eastAsia" w:ascii="仿宋" w:hAnsi="仿宋" w:eastAsia="仿宋" w:cs="仿宋"/>
                <w:bCs/>
                <w:kern w:val="0"/>
                <w:szCs w:val="21"/>
                <w:highlight w:val="none"/>
              </w:rPr>
            </w:pPr>
            <w:r>
              <w:rPr>
                <w:rFonts w:hint="eastAsia" w:ascii="仿宋" w:hAnsi="仿宋" w:eastAsia="仿宋" w:cs="仿宋"/>
                <w:bCs/>
                <w:kern w:val="0"/>
                <w:szCs w:val="21"/>
                <w:highlight w:val="none"/>
              </w:rPr>
              <w:t>项目总投资（万元）</w:t>
            </w:r>
          </w:p>
        </w:tc>
        <w:tc>
          <w:tcPr>
            <w:tcW w:w="2268" w:type="dxa"/>
            <w:vAlign w:val="center"/>
          </w:tcPr>
          <w:p w14:paraId="65E63CA3">
            <w:pPr>
              <w:widowControl/>
              <w:adjustRightInd w:val="0"/>
              <w:snapToGrid w:val="0"/>
              <w:jc w:val="center"/>
              <w:rPr>
                <w:rFonts w:hint="eastAsia" w:ascii="仿宋" w:hAnsi="仿宋" w:eastAsia="仿宋" w:cs="仿宋"/>
                <w:bCs/>
                <w:kern w:val="0"/>
                <w:szCs w:val="21"/>
                <w:highlight w:val="none"/>
              </w:rPr>
            </w:pPr>
            <w:r>
              <w:rPr>
                <w:rFonts w:hint="eastAsia" w:ascii="仿宋" w:hAnsi="仿宋" w:eastAsia="仿宋" w:cs="仿宋"/>
                <w:bCs/>
                <w:kern w:val="0"/>
                <w:szCs w:val="21"/>
                <w:highlight w:val="none"/>
              </w:rPr>
              <w:t>占总投资比例</w:t>
            </w:r>
          </w:p>
        </w:tc>
      </w:tr>
      <w:tr w14:paraId="3B165B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2" w:hRule="atLeast"/>
        </w:trPr>
        <w:tc>
          <w:tcPr>
            <w:tcW w:w="3545" w:type="dxa"/>
            <w:shd w:val="clear" w:color="auto" w:fill="auto"/>
            <w:vAlign w:val="center"/>
          </w:tcPr>
          <w:p w14:paraId="614672C7">
            <w:pPr>
              <w:widowControl/>
              <w:adjustRightInd w:val="0"/>
              <w:snapToGrid w:val="0"/>
              <w:jc w:val="center"/>
              <w:rPr>
                <w:rFonts w:hint="eastAsia" w:ascii="仿宋" w:hAnsi="仿宋" w:eastAsia="仿宋" w:cs="仿宋"/>
                <w:bCs/>
                <w:kern w:val="0"/>
                <w:szCs w:val="21"/>
                <w:highlight w:val="none"/>
              </w:rPr>
            </w:pPr>
            <w:r>
              <w:rPr>
                <w:rFonts w:hint="eastAsia" w:ascii="仿宋" w:hAnsi="仿宋" w:eastAsia="仿宋" w:cs="仿宋"/>
                <w:bCs/>
                <w:kern w:val="0"/>
                <w:szCs w:val="21"/>
                <w:highlight w:val="none"/>
              </w:rPr>
              <w:t>财政资本金投入</w:t>
            </w:r>
          </w:p>
        </w:tc>
        <w:tc>
          <w:tcPr>
            <w:tcW w:w="2268" w:type="dxa"/>
            <w:shd w:val="clear" w:color="auto" w:fill="auto"/>
            <w:vAlign w:val="center"/>
          </w:tcPr>
          <w:p w14:paraId="15ADE124">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仿宋" w:hAnsi="仿宋" w:eastAsia="仿宋" w:cs="仿宋"/>
                <w:sz w:val="24"/>
                <w:szCs w:val="20"/>
                <w:highlight w:val="none"/>
                <w:lang w:val="en-US" w:eastAsia="zh-CN"/>
              </w:rPr>
            </w:pPr>
            <w:r>
              <w:rPr>
                <w:rFonts w:hint="eastAsia" w:ascii="Times New Roman" w:hAnsi="Times New Roman"/>
                <w:sz w:val="24"/>
                <w:szCs w:val="20"/>
                <w:lang w:val="en-US" w:eastAsia="zh-CN"/>
              </w:rPr>
              <w:t>620</w:t>
            </w:r>
          </w:p>
        </w:tc>
        <w:tc>
          <w:tcPr>
            <w:tcW w:w="2268" w:type="dxa"/>
            <w:shd w:val="clear" w:color="auto" w:fill="auto"/>
            <w:vAlign w:val="center"/>
          </w:tcPr>
          <w:p w14:paraId="5009EB8D">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仿宋" w:hAnsi="仿宋" w:eastAsia="仿宋" w:cs="仿宋"/>
                <w:sz w:val="24"/>
                <w:szCs w:val="20"/>
                <w:highlight w:val="none"/>
                <w:lang w:val="en-US" w:eastAsia="zh-CN"/>
              </w:rPr>
            </w:pPr>
            <w:r>
              <w:rPr>
                <w:rFonts w:hint="eastAsia" w:ascii="Times New Roman" w:hAnsi="Times New Roman"/>
                <w:sz w:val="24"/>
                <w:szCs w:val="20"/>
                <w:lang w:val="en-US" w:eastAsia="zh-CN"/>
              </w:rPr>
              <w:t>20.00%</w:t>
            </w:r>
          </w:p>
        </w:tc>
      </w:tr>
      <w:tr w14:paraId="422DAE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 w:hRule="atLeast"/>
        </w:trPr>
        <w:tc>
          <w:tcPr>
            <w:tcW w:w="3545" w:type="dxa"/>
            <w:shd w:val="clear" w:color="auto" w:fill="auto"/>
            <w:vAlign w:val="center"/>
          </w:tcPr>
          <w:p w14:paraId="1AA5BA3F">
            <w:pPr>
              <w:widowControl/>
              <w:adjustRightInd w:val="0"/>
              <w:snapToGrid w:val="0"/>
              <w:jc w:val="center"/>
              <w:rPr>
                <w:rFonts w:hint="eastAsia" w:ascii="仿宋" w:hAnsi="仿宋" w:eastAsia="仿宋" w:cs="仿宋"/>
                <w:bCs/>
                <w:kern w:val="0"/>
                <w:szCs w:val="21"/>
                <w:highlight w:val="none"/>
                <w:lang w:val="en-US"/>
              </w:rPr>
            </w:pPr>
            <w:r>
              <w:rPr>
                <w:rFonts w:hint="eastAsia" w:ascii="仿宋" w:hAnsi="仿宋" w:eastAsia="仿宋" w:cs="仿宋"/>
                <w:color w:val="000000"/>
                <w:sz w:val="21"/>
                <w:szCs w:val="21"/>
                <w:highlight w:val="none"/>
                <w:lang w:eastAsia="zh-CN"/>
              </w:rPr>
              <w:t>通过发行地方政府债券融资</w:t>
            </w:r>
          </w:p>
        </w:tc>
        <w:tc>
          <w:tcPr>
            <w:tcW w:w="2268" w:type="dxa"/>
            <w:shd w:val="clear" w:color="auto" w:fill="auto"/>
            <w:vAlign w:val="center"/>
          </w:tcPr>
          <w:p w14:paraId="6A98F8AB">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仿宋" w:hAnsi="仿宋" w:eastAsia="仿宋" w:cs="仿宋"/>
                <w:sz w:val="24"/>
                <w:szCs w:val="20"/>
                <w:highlight w:val="none"/>
                <w:lang w:val="en-US" w:eastAsia="zh-CN"/>
              </w:rPr>
            </w:pPr>
            <w:r>
              <w:rPr>
                <w:rFonts w:hint="eastAsia" w:ascii="Times New Roman" w:hAnsi="Times New Roman"/>
                <w:sz w:val="24"/>
                <w:szCs w:val="20"/>
                <w:lang w:val="en-US" w:eastAsia="zh-CN"/>
              </w:rPr>
              <w:t>1000</w:t>
            </w:r>
          </w:p>
        </w:tc>
        <w:tc>
          <w:tcPr>
            <w:tcW w:w="2268" w:type="dxa"/>
            <w:shd w:val="clear" w:color="auto" w:fill="auto"/>
            <w:vAlign w:val="center"/>
          </w:tcPr>
          <w:p w14:paraId="2DE47A21">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仿宋" w:hAnsi="仿宋" w:eastAsia="仿宋" w:cs="仿宋"/>
                <w:sz w:val="24"/>
                <w:szCs w:val="20"/>
                <w:highlight w:val="none"/>
                <w:lang w:val="en-US" w:eastAsia="zh-CN"/>
              </w:rPr>
            </w:pPr>
            <w:r>
              <w:rPr>
                <w:rFonts w:hint="eastAsia" w:ascii="Times New Roman" w:hAnsi="Times New Roman"/>
                <w:sz w:val="24"/>
                <w:szCs w:val="20"/>
                <w:lang w:val="en-US" w:eastAsia="zh-CN"/>
              </w:rPr>
              <w:t>32.26%</w:t>
            </w:r>
          </w:p>
        </w:tc>
      </w:tr>
      <w:tr w14:paraId="7FA0C9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trPr>
        <w:tc>
          <w:tcPr>
            <w:tcW w:w="3545" w:type="dxa"/>
            <w:shd w:val="clear" w:color="auto" w:fill="auto"/>
            <w:vAlign w:val="center"/>
          </w:tcPr>
          <w:p w14:paraId="19AAA381">
            <w:pPr>
              <w:widowControl/>
              <w:adjustRightInd w:val="0"/>
              <w:snapToGrid w:val="0"/>
              <w:jc w:val="center"/>
              <w:rPr>
                <w:rFonts w:hint="eastAsia" w:ascii="仿宋" w:hAnsi="仿宋" w:eastAsia="仿宋" w:cs="仿宋"/>
                <w:bCs/>
                <w:kern w:val="0"/>
                <w:szCs w:val="21"/>
                <w:highlight w:val="none"/>
              </w:rPr>
            </w:pPr>
            <w:r>
              <w:rPr>
                <w:rFonts w:hint="eastAsia" w:ascii="仿宋" w:hAnsi="仿宋" w:eastAsia="仿宋" w:cs="仿宋"/>
                <w:bCs/>
                <w:kern w:val="0"/>
                <w:szCs w:val="21"/>
                <w:highlight w:val="none"/>
              </w:rPr>
              <w:t>市财政另行筹措</w:t>
            </w:r>
          </w:p>
        </w:tc>
        <w:tc>
          <w:tcPr>
            <w:tcW w:w="2268" w:type="dxa"/>
            <w:shd w:val="clear" w:color="auto" w:fill="auto"/>
            <w:vAlign w:val="center"/>
          </w:tcPr>
          <w:p w14:paraId="5D3DFDAC">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仿宋" w:hAnsi="仿宋" w:eastAsia="仿宋" w:cs="仿宋"/>
                <w:sz w:val="24"/>
                <w:szCs w:val="20"/>
                <w:highlight w:val="none"/>
                <w:lang w:val="en-US" w:eastAsia="zh-CN"/>
              </w:rPr>
            </w:pPr>
            <w:r>
              <w:rPr>
                <w:rFonts w:hint="eastAsia" w:ascii="Times New Roman" w:hAnsi="Times New Roman"/>
                <w:sz w:val="24"/>
                <w:szCs w:val="20"/>
                <w:lang w:val="en-US" w:eastAsia="zh-CN"/>
              </w:rPr>
              <w:t>1480</w:t>
            </w:r>
          </w:p>
        </w:tc>
        <w:tc>
          <w:tcPr>
            <w:tcW w:w="2268" w:type="dxa"/>
            <w:shd w:val="clear" w:color="auto" w:fill="auto"/>
            <w:vAlign w:val="center"/>
          </w:tcPr>
          <w:p w14:paraId="255436FD">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仿宋" w:hAnsi="仿宋" w:eastAsia="仿宋" w:cs="仿宋"/>
                <w:sz w:val="24"/>
                <w:szCs w:val="20"/>
                <w:highlight w:val="none"/>
                <w:lang w:val="en-US" w:eastAsia="zh-CN"/>
              </w:rPr>
            </w:pPr>
            <w:r>
              <w:rPr>
                <w:rFonts w:hint="eastAsia" w:ascii="Times New Roman" w:hAnsi="Times New Roman"/>
                <w:sz w:val="24"/>
                <w:szCs w:val="20"/>
                <w:lang w:val="en-US" w:eastAsia="zh-CN"/>
              </w:rPr>
              <w:t>47.74%</w:t>
            </w:r>
          </w:p>
        </w:tc>
      </w:tr>
      <w:tr w14:paraId="08DBFD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trPr>
        <w:tc>
          <w:tcPr>
            <w:tcW w:w="3545" w:type="dxa"/>
            <w:shd w:val="clear" w:color="auto" w:fill="auto"/>
            <w:vAlign w:val="top"/>
          </w:tcPr>
          <w:p w14:paraId="16B86484">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仿宋" w:hAnsi="仿宋" w:eastAsia="仿宋" w:cs="仿宋"/>
                <w:kern w:val="2"/>
                <w:sz w:val="24"/>
                <w:szCs w:val="20"/>
                <w:highlight w:val="none"/>
                <w:lang w:val="en-US" w:eastAsia="zh-CN" w:bidi="ar-SA"/>
              </w:rPr>
            </w:pPr>
            <w:r>
              <w:rPr>
                <w:rFonts w:hint="eastAsia" w:ascii="仿宋" w:hAnsi="仿宋" w:eastAsia="仿宋" w:cs="仿宋"/>
                <w:sz w:val="24"/>
                <w:szCs w:val="20"/>
                <w:highlight w:val="none"/>
                <w:lang w:val="en-US" w:eastAsia="zh-CN"/>
              </w:rPr>
              <w:t>估算总投资</w:t>
            </w:r>
          </w:p>
        </w:tc>
        <w:tc>
          <w:tcPr>
            <w:tcW w:w="2268" w:type="dxa"/>
            <w:shd w:val="clear" w:color="auto" w:fill="auto"/>
            <w:vAlign w:val="center"/>
          </w:tcPr>
          <w:p w14:paraId="1485D5AB">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仿宋" w:hAnsi="仿宋" w:eastAsia="仿宋" w:cs="仿宋"/>
                <w:sz w:val="24"/>
                <w:szCs w:val="20"/>
                <w:highlight w:val="none"/>
                <w:lang w:val="en-US" w:eastAsia="zh-CN"/>
              </w:rPr>
            </w:pPr>
            <w:r>
              <w:rPr>
                <w:rFonts w:hint="eastAsia" w:ascii="Times New Roman" w:hAnsi="Times New Roman"/>
                <w:sz w:val="24"/>
                <w:szCs w:val="20"/>
                <w:lang w:val="en-US" w:eastAsia="zh-CN"/>
              </w:rPr>
              <w:t>3100</w:t>
            </w:r>
          </w:p>
        </w:tc>
        <w:tc>
          <w:tcPr>
            <w:tcW w:w="2268" w:type="dxa"/>
            <w:shd w:val="clear" w:color="auto" w:fill="auto"/>
            <w:vAlign w:val="center"/>
          </w:tcPr>
          <w:p w14:paraId="42B3BAA6">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仿宋" w:hAnsi="仿宋" w:eastAsia="仿宋" w:cs="仿宋"/>
                <w:sz w:val="24"/>
                <w:szCs w:val="20"/>
                <w:highlight w:val="none"/>
                <w:lang w:val="en-US" w:eastAsia="zh-CN"/>
              </w:rPr>
            </w:pPr>
            <w:r>
              <w:rPr>
                <w:rFonts w:hint="eastAsia" w:ascii="Times New Roman" w:hAnsi="Times New Roman"/>
                <w:sz w:val="24"/>
                <w:szCs w:val="20"/>
                <w:lang w:val="en-US" w:eastAsia="zh-CN"/>
              </w:rPr>
              <w:t>100%</w:t>
            </w:r>
          </w:p>
        </w:tc>
      </w:tr>
    </w:tbl>
    <w:p w14:paraId="73785CDF">
      <w:pPr>
        <w:ind w:firstLine="560" w:firstLineChars="200"/>
        <w:jc w:val="left"/>
        <w:rPr>
          <w:rFonts w:hint="eastAsia" w:ascii="仿宋" w:hAnsi="仿宋" w:eastAsia="仿宋" w:cs="仿宋"/>
          <w:color w:val="000000"/>
          <w:sz w:val="28"/>
          <w:szCs w:val="28"/>
          <w:highlight w:val="none"/>
          <w:lang w:eastAsia="zh-CN"/>
        </w:rPr>
      </w:pPr>
      <w:r>
        <w:rPr>
          <w:rFonts w:hint="eastAsia" w:ascii="仿宋" w:hAnsi="仿宋" w:eastAsia="仿宋" w:cs="仿宋"/>
          <w:bCs/>
          <w:sz w:val="28"/>
          <w:szCs w:val="28"/>
          <w:highlight w:val="none"/>
        </w:rPr>
        <w:t>本所律师认为：</w:t>
      </w:r>
      <w:r>
        <w:rPr>
          <w:rFonts w:hint="eastAsia" w:ascii="仿宋" w:hAnsi="仿宋" w:eastAsia="仿宋" w:cs="仿宋"/>
          <w:color w:val="000000"/>
          <w:sz w:val="28"/>
          <w:szCs w:val="28"/>
          <w:highlight w:val="none"/>
        </w:rPr>
        <w:t>项目预计总投资额</w:t>
      </w:r>
      <w:r>
        <w:rPr>
          <w:rFonts w:hint="eastAsia" w:ascii="仿宋" w:hAnsi="仿宋" w:eastAsia="仿宋" w:cs="仿宋"/>
          <w:color w:val="000000"/>
          <w:sz w:val="28"/>
          <w:szCs w:val="28"/>
          <w:highlight w:val="none"/>
          <w:lang w:val="en-US" w:eastAsia="zh-CN"/>
        </w:rPr>
        <w:t>3100</w:t>
      </w:r>
      <w:r>
        <w:rPr>
          <w:rFonts w:hint="eastAsia" w:ascii="仿宋" w:hAnsi="仿宋" w:eastAsia="仿宋" w:cs="仿宋"/>
          <w:color w:val="000000"/>
          <w:sz w:val="28"/>
          <w:szCs w:val="28"/>
          <w:highlight w:val="none"/>
          <w:lang w:eastAsia="zh-CN"/>
        </w:rPr>
        <w:t>.00</w:t>
      </w:r>
      <w:r>
        <w:rPr>
          <w:rFonts w:hint="eastAsia" w:ascii="仿宋" w:hAnsi="仿宋" w:eastAsia="仿宋" w:cs="仿宋"/>
          <w:color w:val="000000"/>
          <w:sz w:val="28"/>
          <w:szCs w:val="28"/>
          <w:highlight w:val="none"/>
        </w:rPr>
        <w:t>万元。其中：</w:t>
      </w:r>
      <w:r>
        <w:rPr>
          <w:rFonts w:hint="eastAsia" w:ascii="仿宋" w:hAnsi="仿宋" w:eastAsia="仿宋" w:cs="仿宋"/>
          <w:bCs/>
          <w:color w:val="auto"/>
          <w:kern w:val="2"/>
          <w:sz w:val="28"/>
          <w:szCs w:val="28"/>
          <w:highlight w:val="none"/>
          <w:lang w:val="en-US" w:eastAsia="zh-CN" w:bidi="ar-SA"/>
        </w:rPr>
        <w:t>财政</w:t>
      </w:r>
      <w:bookmarkStart w:id="0" w:name="_GoBack"/>
      <w:bookmarkEnd w:id="0"/>
      <w:r>
        <w:rPr>
          <w:rFonts w:hint="eastAsia" w:ascii="仿宋" w:hAnsi="仿宋" w:eastAsia="仿宋" w:cs="仿宋"/>
          <w:bCs/>
          <w:color w:val="auto"/>
          <w:kern w:val="2"/>
          <w:sz w:val="28"/>
          <w:szCs w:val="28"/>
          <w:highlight w:val="none"/>
          <w:lang w:val="en-US" w:eastAsia="zh-CN" w:bidi="ar-SA"/>
        </w:rPr>
        <w:t>资金投入620.00万元，占比20.00%，通过发行专项债券融资方式融资1,000.00万元，占比32.26%；差额部分1,480.00万元由市财政另行筹措解决，占比47.74%</w:t>
      </w:r>
      <w:r>
        <w:rPr>
          <w:rFonts w:hint="eastAsia" w:ascii="仿宋" w:hAnsi="仿宋" w:eastAsia="仿宋" w:cs="仿宋"/>
          <w:color w:val="000000"/>
          <w:sz w:val="28"/>
          <w:szCs w:val="28"/>
          <w:highlight w:val="none"/>
          <w:lang w:eastAsia="zh-CN"/>
        </w:rPr>
        <w:t>。</w:t>
      </w:r>
    </w:p>
    <w:p w14:paraId="7880F058">
      <w:pPr>
        <w:ind w:firstLine="560" w:firstLineChars="200"/>
        <w:jc w:val="left"/>
        <w:rPr>
          <w:rFonts w:hint="eastAsia" w:ascii="仿宋" w:hAnsi="仿宋" w:eastAsia="仿宋" w:cs="仿宋"/>
          <w:sz w:val="28"/>
          <w:szCs w:val="28"/>
          <w:highlight w:val="none"/>
        </w:rPr>
      </w:pPr>
      <w:r>
        <w:rPr>
          <w:rFonts w:hint="eastAsia" w:ascii="仿宋" w:hAnsi="仿宋" w:eastAsia="仿宋" w:cs="仿宋"/>
          <w:sz w:val="28"/>
          <w:szCs w:val="28"/>
          <w:highlight w:val="none"/>
        </w:rPr>
        <w:t>三、预期偿债资金来源</w:t>
      </w:r>
    </w:p>
    <w:p w14:paraId="0F7B3959">
      <w:pPr>
        <w:ind w:firstLine="560" w:firstLineChars="200"/>
        <w:jc w:val="left"/>
        <w:rPr>
          <w:rFonts w:hint="eastAsia" w:ascii="仿宋" w:hAnsi="仿宋" w:eastAsia="仿宋" w:cs="仿宋"/>
          <w:sz w:val="28"/>
          <w:szCs w:val="28"/>
          <w:highlight w:val="none"/>
        </w:rPr>
      </w:pPr>
      <w:r>
        <w:rPr>
          <w:rFonts w:hint="eastAsia" w:ascii="仿宋" w:hAnsi="仿宋" w:eastAsia="仿宋" w:cs="仿宋"/>
          <w:sz w:val="28"/>
          <w:szCs w:val="28"/>
          <w:highlight w:val="none"/>
        </w:rPr>
        <w:t>参考《专项财务评价报告》内容，列明偿债资金来源及对债券本息覆盖情况。</w:t>
      </w:r>
    </w:p>
    <w:p w14:paraId="55427583">
      <w:pPr>
        <w:ind w:firstLine="560" w:firstLineChars="200"/>
        <w:jc w:val="left"/>
        <w:rPr>
          <w:rFonts w:hint="eastAsia" w:ascii="仿宋" w:hAnsi="仿宋" w:eastAsia="仿宋" w:cs="仿宋"/>
          <w:sz w:val="28"/>
          <w:szCs w:val="28"/>
          <w:highlight w:val="none"/>
        </w:rPr>
      </w:pPr>
      <w:r>
        <w:rPr>
          <w:rFonts w:hint="eastAsia" w:ascii="仿宋" w:hAnsi="仿宋" w:eastAsia="仿宋" w:cs="仿宋"/>
          <w:sz w:val="28"/>
          <w:szCs w:val="28"/>
          <w:highlight w:val="none"/>
          <w:lang w:eastAsia="zh-CN"/>
        </w:rPr>
        <w:t>武安工业园区裕祥北路管网工程</w:t>
      </w:r>
      <w:r>
        <w:rPr>
          <w:rFonts w:hint="eastAsia" w:ascii="仿宋" w:hAnsi="仿宋" w:eastAsia="仿宋" w:cs="仿宋"/>
          <w:sz w:val="28"/>
          <w:szCs w:val="28"/>
          <w:highlight w:val="none"/>
        </w:rPr>
        <w:t>本期债券募投事宜经</w:t>
      </w:r>
      <w:r>
        <w:rPr>
          <w:rFonts w:hint="eastAsia" w:ascii="仿宋" w:hAnsi="仿宋" w:eastAsia="仿宋" w:cs="仿宋"/>
          <w:sz w:val="28"/>
          <w:szCs w:val="28"/>
          <w:highlight w:val="none"/>
          <w:lang w:eastAsia="zh-CN"/>
        </w:rPr>
        <w:t>邯郸博华</w:t>
      </w:r>
      <w:r>
        <w:rPr>
          <w:rFonts w:hint="eastAsia" w:ascii="仿宋" w:hAnsi="仿宋" w:eastAsia="仿宋" w:cs="仿宋"/>
          <w:sz w:val="28"/>
          <w:szCs w:val="28"/>
          <w:highlight w:val="none"/>
        </w:rPr>
        <w:t>会计师事务所评价报告对该方案总体评价，认为本项目通过财政投资资本金和项目收益与融资自求平衡的方式完成项目筹资。</w:t>
      </w:r>
    </w:p>
    <w:p w14:paraId="41F662C6">
      <w:pPr>
        <w:ind w:firstLine="560" w:firstLineChars="200"/>
        <w:jc w:val="left"/>
        <w:rPr>
          <w:rFonts w:hint="eastAsia" w:ascii="仿宋" w:hAnsi="仿宋" w:eastAsia="仿宋" w:cs="仿宋"/>
          <w:sz w:val="28"/>
          <w:szCs w:val="28"/>
          <w:highlight w:val="none"/>
        </w:rPr>
      </w:pPr>
      <w:r>
        <w:rPr>
          <w:rFonts w:hint="eastAsia" w:ascii="仿宋" w:hAnsi="仿宋" w:eastAsia="仿宋" w:cs="仿宋"/>
          <w:sz w:val="28"/>
          <w:szCs w:val="28"/>
          <w:highlight w:val="none"/>
        </w:rPr>
        <w:t>根据</w:t>
      </w:r>
      <w:r>
        <w:rPr>
          <w:rFonts w:hint="eastAsia" w:ascii="仿宋" w:hAnsi="仿宋" w:eastAsia="仿宋" w:cs="仿宋"/>
          <w:sz w:val="28"/>
          <w:szCs w:val="28"/>
          <w:highlight w:val="none"/>
          <w:lang w:eastAsia="zh-CN"/>
        </w:rPr>
        <w:t>武安工业园区裕祥北路管网工程</w:t>
      </w:r>
      <w:r>
        <w:rPr>
          <w:rFonts w:hint="eastAsia" w:ascii="仿宋" w:hAnsi="仿宋" w:eastAsia="仿宋" w:cs="仿宋"/>
          <w:sz w:val="28"/>
          <w:szCs w:val="28"/>
          <w:highlight w:val="none"/>
        </w:rPr>
        <w:t>工程《</w:t>
      </w:r>
      <w:r>
        <w:rPr>
          <w:rFonts w:hint="eastAsia" w:ascii="仿宋" w:hAnsi="仿宋" w:eastAsia="仿宋" w:cs="仿宋"/>
          <w:sz w:val="28"/>
          <w:szCs w:val="28"/>
          <w:highlight w:val="none"/>
          <w:lang w:val="en-US" w:eastAsia="zh-CN"/>
        </w:rPr>
        <w:t>实施方案</w:t>
      </w:r>
      <w:r>
        <w:rPr>
          <w:rFonts w:hint="eastAsia" w:ascii="仿宋" w:hAnsi="仿宋" w:eastAsia="仿宋" w:cs="仿宋"/>
          <w:sz w:val="28"/>
          <w:szCs w:val="28"/>
          <w:highlight w:val="none"/>
        </w:rPr>
        <w:t>》</w:t>
      </w:r>
      <w:r>
        <w:rPr>
          <w:rFonts w:hint="eastAsia" w:ascii="仿宋" w:hAnsi="仿宋" w:eastAsia="仿宋" w:cs="仿宋"/>
          <w:sz w:val="28"/>
          <w:szCs w:val="28"/>
          <w:highlight w:val="none"/>
          <w:lang w:eastAsia="zh-CN"/>
        </w:rPr>
        <w:t>，本期拟通过发行地方债券融资融资</w:t>
      </w:r>
      <w:r>
        <w:rPr>
          <w:rFonts w:hint="eastAsia" w:ascii="仿宋" w:hAnsi="仿宋" w:eastAsia="仿宋" w:cs="仿宋"/>
          <w:sz w:val="28"/>
          <w:szCs w:val="28"/>
          <w:highlight w:val="none"/>
          <w:lang w:val="en-US" w:eastAsia="zh-CN"/>
        </w:rPr>
        <w:t>1,000.00</w:t>
      </w:r>
      <w:r>
        <w:rPr>
          <w:rFonts w:hint="eastAsia" w:ascii="仿宋" w:hAnsi="仿宋" w:eastAsia="仿宋" w:cs="仿宋"/>
          <w:sz w:val="28"/>
          <w:szCs w:val="28"/>
          <w:highlight w:val="none"/>
          <w:lang w:eastAsia="zh-CN"/>
        </w:rPr>
        <w:t>万元，期限为</w:t>
      </w:r>
      <w:r>
        <w:rPr>
          <w:rFonts w:hint="eastAsia" w:ascii="仿宋" w:hAnsi="仿宋" w:eastAsia="仿宋" w:cs="仿宋"/>
          <w:sz w:val="28"/>
          <w:szCs w:val="28"/>
          <w:highlight w:val="none"/>
          <w:lang w:val="en-US" w:eastAsia="zh-CN"/>
        </w:rPr>
        <w:t>10</w:t>
      </w:r>
      <w:r>
        <w:rPr>
          <w:rFonts w:hint="eastAsia" w:ascii="仿宋" w:hAnsi="仿宋" w:eastAsia="仿宋" w:cs="仿宋"/>
          <w:sz w:val="28"/>
          <w:szCs w:val="28"/>
          <w:highlight w:val="none"/>
          <w:lang w:eastAsia="zh-CN"/>
        </w:rPr>
        <w:t>年，</w:t>
      </w:r>
      <w:r>
        <w:rPr>
          <w:rFonts w:hint="eastAsia" w:ascii="仿宋" w:hAnsi="仿宋" w:eastAsia="仿宋" w:cs="仿宋"/>
          <w:sz w:val="28"/>
          <w:szCs w:val="28"/>
          <w:highlight w:val="none"/>
        </w:rPr>
        <w:t>融资与总投资之间差额由财政另行筹措。</w:t>
      </w:r>
    </w:p>
    <w:p w14:paraId="72B7D416">
      <w:pPr>
        <w:keepNext w:val="0"/>
        <w:keepLines w:val="0"/>
        <w:widowControl/>
        <w:suppressLineNumbers w:val="0"/>
        <w:ind w:firstLine="560" w:firstLineChars="200"/>
        <w:jc w:val="left"/>
        <w:rPr>
          <w:rFonts w:hint="eastAsia" w:ascii="仿宋" w:hAnsi="仿宋" w:eastAsia="仿宋" w:cs="仿宋"/>
          <w:sz w:val="28"/>
          <w:szCs w:val="28"/>
          <w:highlight w:val="none"/>
        </w:rPr>
      </w:pPr>
      <w:r>
        <w:rPr>
          <w:rFonts w:hint="eastAsia" w:ascii="仿宋" w:hAnsi="仿宋" w:eastAsia="仿宋" w:cs="仿宋"/>
          <w:color w:val="000000"/>
          <w:sz w:val="28"/>
          <w:szCs w:val="28"/>
          <w:highlight w:val="none"/>
        </w:rPr>
        <w:t>根据</w:t>
      </w:r>
      <w:r>
        <w:rPr>
          <w:rFonts w:hint="eastAsia" w:ascii="仿宋" w:hAnsi="仿宋" w:eastAsia="仿宋" w:cs="仿宋"/>
          <w:color w:val="000000"/>
          <w:sz w:val="28"/>
          <w:szCs w:val="28"/>
          <w:highlight w:val="none"/>
          <w:lang w:eastAsia="zh-CN"/>
        </w:rPr>
        <w:t>河北武安工业园区管理委员会</w:t>
      </w:r>
      <w:r>
        <w:rPr>
          <w:rFonts w:hint="eastAsia" w:ascii="仿宋" w:hAnsi="仿宋" w:eastAsia="仿宋" w:cs="仿宋"/>
          <w:color w:val="000000"/>
          <w:sz w:val="28"/>
          <w:szCs w:val="28"/>
          <w:highlight w:val="none"/>
        </w:rPr>
        <w:t>提供数据，</w:t>
      </w:r>
      <w:r>
        <w:rPr>
          <w:rFonts w:hint="eastAsia" w:ascii="仿宋" w:hAnsi="仿宋" w:eastAsia="仿宋" w:cs="仿宋"/>
          <w:color w:val="000000"/>
          <w:sz w:val="28"/>
          <w:szCs w:val="28"/>
          <w:highlight w:val="none"/>
          <w:lang w:eastAsia="zh-CN"/>
        </w:rPr>
        <w:t>武安市城市基础设施建设工程用于资金平衡的相关收益为</w:t>
      </w:r>
      <w:r>
        <w:rPr>
          <w:rFonts w:hint="eastAsia" w:ascii="仿宋" w:hAnsi="仿宋" w:eastAsia="仿宋" w:cs="仿宋"/>
          <w:color w:val="000000"/>
          <w:sz w:val="28"/>
          <w:szCs w:val="28"/>
          <w:highlight w:val="none"/>
          <w:lang w:val="en-US" w:eastAsia="zh-CN"/>
        </w:rPr>
        <w:t>3,892.99万元（息</w:t>
      </w:r>
      <w:r>
        <w:rPr>
          <w:rFonts w:hint="eastAsia" w:ascii="仿宋" w:hAnsi="仿宋" w:eastAsia="仿宋" w:cs="仿宋"/>
          <w:bCs/>
          <w:color w:val="auto"/>
          <w:kern w:val="2"/>
          <w:sz w:val="28"/>
          <w:szCs w:val="28"/>
          <w:highlight w:val="none"/>
          <w:lang w:val="en-US" w:eastAsia="zh-CN" w:bidi="ar-SA"/>
        </w:rPr>
        <w:t>税折旧摊销前利润）</w:t>
      </w:r>
      <w:r>
        <w:rPr>
          <w:rFonts w:hint="eastAsia" w:ascii="仿宋" w:hAnsi="仿宋" w:eastAsia="仿宋" w:cs="仿宋"/>
          <w:color w:val="000000"/>
          <w:kern w:val="0"/>
          <w:sz w:val="28"/>
          <w:szCs w:val="28"/>
          <w:highlight w:val="none"/>
          <w:lang w:val="en-US" w:eastAsia="zh-CN" w:bidi="ar"/>
        </w:rPr>
        <w:t>。</w:t>
      </w:r>
      <w:r>
        <w:rPr>
          <w:rFonts w:hint="eastAsia" w:ascii="仿宋" w:hAnsi="仿宋" w:eastAsia="仿宋" w:cs="仿宋"/>
          <w:color w:val="000000"/>
          <w:sz w:val="28"/>
          <w:szCs w:val="28"/>
          <w:highlight w:val="none"/>
          <w:lang w:eastAsia="zh-CN"/>
        </w:rPr>
        <w:t>在融资存续期内，对应项目净收益可有效覆盖融资本金支出。测算期（三十年）内的留存资金可以支付到期的本金偿还支出。本项目资金稳定性总体上可以得到保证。债券本息和</w:t>
      </w:r>
      <w:r>
        <w:rPr>
          <w:rFonts w:hint="eastAsia" w:ascii="仿宋" w:hAnsi="仿宋" w:eastAsia="仿宋" w:cs="仿宋"/>
          <w:color w:val="000000"/>
          <w:sz w:val="28"/>
          <w:szCs w:val="28"/>
          <w:highlight w:val="none"/>
          <w:lang w:val="en-US" w:eastAsia="zh-CN"/>
        </w:rPr>
        <w:t>1,210.00万</w:t>
      </w:r>
      <w:r>
        <w:rPr>
          <w:rFonts w:hint="eastAsia" w:ascii="仿宋" w:hAnsi="仿宋" w:eastAsia="仿宋" w:cs="仿宋"/>
          <w:color w:val="000000"/>
          <w:sz w:val="28"/>
          <w:szCs w:val="28"/>
          <w:highlight w:val="none"/>
          <w:lang w:eastAsia="zh-CN"/>
        </w:rPr>
        <w:t>元，资金覆盖率可达到</w:t>
      </w:r>
      <w:r>
        <w:rPr>
          <w:rFonts w:hint="eastAsia" w:ascii="仿宋" w:hAnsi="仿宋" w:eastAsia="仿宋" w:cs="仿宋"/>
          <w:color w:val="000000"/>
          <w:sz w:val="28"/>
          <w:szCs w:val="28"/>
          <w:highlight w:val="none"/>
          <w:lang w:val="en-US" w:eastAsia="zh-CN"/>
        </w:rPr>
        <w:t>3.22</w:t>
      </w:r>
      <w:r>
        <w:rPr>
          <w:rFonts w:hint="eastAsia" w:ascii="仿宋" w:hAnsi="仿宋" w:eastAsia="仿宋" w:cs="仿宋"/>
          <w:color w:val="000000"/>
          <w:sz w:val="28"/>
          <w:szCs w:val="28"/>
          <w:highlight w:val="none"/>
          <w:lang w:eastAsia="zh-CN"/>
        </w:rPr>
        <w:t>倍，基于预测本身的不确定性考虑，将</w:t>
      </w:r>
      <w:r>
        <w:rPr>
          <w:rFonts w:hint="eastAsia" w:ascii="仿宋" w:hAnsi="仿宋" w:eastAsia="仿宋" w:cs="仿宋"/>
          <w:sz w:val="28"/>
          <w:szCs w:val="28"/>
          <w:highlight w:val="none"/>
        </w:rPr>
        <w:t>弹性范围定为±10%对项目覆盖率倍数进行敏感性分析</w:t>
      </w:r>
      <w:r>
        <w:rPr>
          <w:rFonts w:hint="eastAsia" w:ascii="仿宋" w:hAnsi="仿宋" w:eastAsia="仿宋" w:cs="仿宋"/>
          <w:color w:val="000000"/>
          <w:sz w:val="28"/>
          <w:szCs w:val="28"/>
          <w:highlight w:val="none"/>
          <w:lang w:eastAsia="zh-CN"/>
        </w:rPr>
        <w:t>结果：当收益下浮5%时覆盖倍数为</w:t>
      </w:r>
      <w:r>
        <w:rPr>
          <w:rFonts w:hint="eastAsia" w:ascii="仿宋" w:hAnsi="仿宋" w:eastAsia="仿宋" w:cs="仿宋"/>
          <w:color w:val="000000"/>
          <w:sz w:val="28"/>
          <w:szCs w:val="28"/>
          <w:highlight w:val="none"/>
          <w:lang w:val="en-US" w:eastAsia="zh-CN"/>
        </w:rPr>
        <w:t>3.06</w:t>
      </w:r>
      <w:r>
        <w:rPr>
          <w:rFonts w:hint="eastAsia" w:ascii="仿宋" w:hAnsi="仿宋" w:eastAsia="仿宋" w:cs="仿宋"/>
          <w:color w:val="000000"/>
          <w:sz w:val="28"/>
          <w:szCs w:val="28"/>
          <w:highlight w:val="none"/>
          <w:lang w:eastAsia="zh-CN"/>
        </w:rPr>
        <w:t>倍，下浮10%时覆盖倍数为</w:t>
      </w:r>
      <w:r>
        <w:rPr>
          <w:rFonts w:hint="eastAsia" w:ascii="仿宋" w:hAnsi="仿宋" w:eastAsia="仿宋" w:cs="仿宋"/>
          <w:color w:val="000000"/>
          <w:sz w:val="28"/>
          <w:szCs w:val="28"/>
          <w:highlight w:val="none"/>
          <w:lang w:val="en-US" w:eastAsia="zh-CN"/>
        </w:rPr>
        <w:t>2.90</w:t>
      </w:r>
      <w:r>
        <w:rPr>
          <w:rFonts w:hint="eastAsia" w:ascii="仿宋" w:hAnsi="仿宋" w:eastAsia="仿宋" w:cs="仿宋"/>
          <w:color w:val="000000"/>
          <w:sz w:val="28"/>
          <w:szCs w:val="28"/>
          <w:highlight w:val="none"/>
          <w:lang w:eastAsia="zh-CN"/>
        </w:rPr>
        <w:t>倍。覆盖倍数变动并不明显，</w:t>
      </w:r>
      <w:r>
        <w:rPr>
          <w:rFonts w:hint="eastAsia" w:ascii="仿宋" w:hAnsi="仿宋" w:eastAsia="仿宋" w:cs="仿宋"/>
          <w:sz w:val="28"/>
          <w:szCs w:val="28"/>
          <w:highlight w:val="none"/>
        </w:rPr>
        <w:t>由于收入变动对还本付息产生的风险基本在可控范围内。</w:t>
      </w:r>
    </w:p>
    <w:p w14:paraId="63D40412">
      <w:pPr>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本所律师认为：本期专项债券的偿债资金安排能满足项目收益与融资自求平衡的要求，符合专项债券相关政策法规的有关规定。</w:t>
      </w:r>
    </w:p>
    <w:p w14:paraId="285B907D">
      <w:pPr>
        <w:ind w:firstLine="560" w:firstLineChars="200"/>
        <w:jc w:val="left"/>
        <w:rPr>
          <w:rFonts w:hint="eastAsia" w:ascii="仿宋" w:hAnsi="仿宋" w:eastAsia="仿宋" w:cs="仿宋"/>
          <w:sz w:val="28"/>
          <w:szCs w:val="28"/>
          <w:highlight w:val="none"/>
        </w:rPr>
      </w:pPr>
      <w:r>
        <w:rPr>
          <w:rFonts w:hint="eastAsia" w:ascii="仿宋" w:hAnsi="仿宋" w:eastAsia="仿宋" w:cs="仿宋"/>
          <w:sz w:val="28"/>
          <w:szCs w:val="28"/>
          <w:highlight w:val="none"/>
        </w:rPr>
        <w:t>四、中介服务机构</w:t>
      </w:r>
    </w:p>
    <w:p w14:paraId="6C27A3E2">
      <w:pPr>
        <w:ind w:firstLine="560" w:firstLineChars="200"/>
        <w:jc w:val="left"/>
        <w:rPr>
          <w:rFonts w:hint="eastAsia" w:ascii="仿宋" w:hAnsi="仿宋" w:eastAsia="仿宋" w:cs="仿宋"/>
          <w:sz w:val="28"/>
          <w:szCs w:val="28"/>
          <w:highlight w:val="none"/>
        </w:rPr>
      </w:pPr>
      <w:r>
        <w:rPr>
          <w:rFonts w:hint="eastAsia" w:ascii="仿宋" w:hAnsi="仿宋" w:eastAsia="仿宋" w:cs="仿宋"/>
          <w:sz w:val="28"/>
          <w:szCs w:val="28"/>
          <w:highlight w:val="none"/>
        </w:rPr>
        <w:t>（一）会计师事务所资质。</w:t>
      </w:r>
    </w:p>
    <w:p w14:paraId="6BA27C50">
      <w:pPr>
        <w:ind w:firstLine="560" w:firstLineChars="200"/>
        <w:jc w:val="left"/>
        <w:rPr>
          <w:rFonts w:hint="eastAsia" w:ascii="仿宋" w:hAnsi="仿宋" w:eastAsia="仿宋" w:cs="仿宋"/>
          <w:sz w:val="28"/>
          <w:szCs w:val="28"/>
          <w:highlight w:val="none"/>
          <w:lang w:val="en-US" w:eastAsia="zh-CN"/>
        </w:rPr>
      </w:pPr>
      <w:r>
        <w:rPr>
          <w:rFonts w:hint="eastAsia" w:ascii="仿宋" w:hAnsi="仿宋" w:eastAsia="仿宋" w:cs="仿宋"/>
          <w:sz w:val="28"/>
          <w:szCs w:val="28"/>
          <w:highlight w:val="none"/>
        </w:rPr>
        <w:t>1.</w:t>
      </w:r>
      <w:r>
        <w:rPr>
          <w:rFonts w:hint="eastAsia" w:ascii="仿宋" w:hAnsi="仿宋" w:eastAsia="仿宋" w:cs="仿宋"/>
          <w:sz w:val="28"/>
          <w:szCs w:val="28"/>
          <w:highlight w:val="none"/>
          <w:lang w:eastAsia="zh-CN"/>
        </w:rPr>
        <w:t>邯郸博华</w:t>
      </w:r>
      <w:r>
        <w:rPr>
          <w:rFonts w:hint="eastAsia" w:ascii="仿宋" w:hAnsi="仿宋" w:eastAsia="仿宋" w:cs="仿宋"/>
          <w:sz w:val="28"/>
          <w:szCs w:val="28"/>
          <w:highlight w:val="none"/>
        </w:rPr>
        <w:t>会计事务所（普通合伙）：由河北省财政厅审批的会计事务所职业证书，批准职业文号为冀财会[201</w:t>
      </w:r>
      <w:r>
        <w:rPr>
          <w:rFonts w:hint="eastAsia" w:ascii="仿宋" w:hAnsi="仿宋" w:eastAsia="仿宋" w:cs="仿宋"/>
          <w:sz w:val="28"/>
          <w:szCs w:val="28"/>
          <w:highlight w:val="none"/>
          <w:lang w:val="en-US" w:eastAsia="zh-CN"/>
        </w:rPr>
        <w:t>2</w:t>
      </w:r>
      <w:r>
        <w:rPr>
          <w:rFonts w:hint="eastAsia" w:ascii="仿宋" w:hAnsi="仿宋" w:eastAsia="仿宋" w:cs="仿宋"/>
          <w:sz w:val="28"/>
          <w:szCs w:val="28"/>
          <w:highlight w:val="none"/>
        </w:rPr>
        <w:t>]</w:t>
      </w:r>
      <w:r>
        <w:rPr>
          <w:rFonts w:hint="eastAsia" w:ascii="仿宋" w:hAnsi="仿宋" w:eastAsia="仿宋" w:cs="仿宋"/>
          <w:sz w:val="28"/>
          <w:szCs w:val="28"/>
          <w:highlight w:val="none"/>
          <w:lang w:val="en-US" w:eastAsia="zh-CN"/>
        </w:rPr>
        <w:t>36</w:t>
      </w:r>
      <w:r>
        <w:rPr>
          <w:rFonts w:hint="eastAsia" w:ascii="仿宋" w:hAnsi="仿宋" w:eastAsia="仿宋" w:cs="仿宋"/>
          <w:sz w:val="28"/>
          <w:szCs w:val="28"/>
          <w:highlight w:val="none"/>
        </w:rPr>
        <w:t>号，职业证书编号</w:t>
      </w:r>
      <w:r>
        <w:rPr>
          <w:rFonts w:hint="eastAsia" w:ascii="仿宋" w:hAnsi="仿宋" w:eastAsia="仿宋" w:cs="仿宋"/>
          <w:sz w:val="28"/>
          <w:szCs w:val="28"/>
          <w:highlight w:val="none"/>
          <w:lang w:val="en-US" w:eastAsia="zh-CN"/>
        </w:rPr>
        <w:t>13040019.</w:t>
      </w:r>
      <w:r>
        <w:rPr>
          <w:rFonts w:hint="eastAsia" w:ascii="仿宋" w:hAnsi="仿宋" w:eastAsia="仿宋" w:cs="仿宋"/>
          <w:sz w:val="28"/>
          <w:szCs w:val="28"/>
          <w:highlight w:val="none"/>
        </w:rPr>
        <w:t>营业执照统一社会信用代码为9113040</w:t>
      </w:r>
      <w:r>
        <w:rPr>
          <w:rFonts w:hint="eastAsia" w:ascii="仿宋" w:hAnsi="仿宋" w:eastAsia="仿宋" w:cs="仿宋"/>
          <w:sz w:val="28"/>
          <w:szCs w:val="28"/>
          <w:highlight w:val="none"/>
          <w:lang w:val="en-US" w:eastAsia="zh-CN"/>
        </w:rPr>
        <w:t>30526509535.</w:t>
      </w:r>
    </w:p>
    <w:p w14:paraId="78CCAAB3">
      <w:pPr>
        <w:ind w:firstLine="560" w:firstLineChars="200"/>
        <w:jc w:val="left"/>
        <w:rPr>
          <w:rFonts w:hint="eastAsia" w:ascii="仿宋" w:hAnsi="仿宋" w:eastAsia="仿宋" w:cs="仿宋"/>
          <w:sz w:val="28"/>
          <w:szCs w:val="28"/>
          <w:highlight w:val="none"/>
        </w:rPr>
      </w:pPr>
      <w:r>
        <w:rPr>
          <w:rFonts w:hint="eastAsia" w:ascii="仿宋" w:hAnsi="仿宋" w:eastAsia="仿宋" w:cs="仿宋"/>
          <w:sz w:val="28"/>
          <w:szCs w:val="28"/>
          <w:highlight w:val="none"/>
        </w:rPr>
        <w:t>本所律师认为：</w:t>
      </w:r>
      <w:r>
        <w:rPr>
          <w:rFonts w:hint="eastAsia" w:ascii="仿宋" w:hAnsi="仿宋" w:eastAsia="仿宋" w:cs="仿宋"/>
          <w:sz w:val="28"/>
          <w:szCs w:val="28"/>
          <w:highlight w:val="none"/>
          <w:lang w:eastAsia="zh-CN"/>
        </w:rPr>
        <w:t>邯郸博华</w:t>
      </w:r>
      <w:r>
        <w:rPr>
          <w:rFonts w:hint="eastAsia" w:ascii="仿宋" w:hAnsi="仿宋" w:eastAsia="仿宋" w:cs="仿宋"/>
          <w:sz w:val="28"/>
          <w:szCs w:val="28"/>
          <w:highlight w:val="none"/>
        </w:rPr>
        <w:t>会计师事务所（普通合伙）为在中国境内依法设立的会计师事务所，具有审查企业会计报表、出具审计报告；验证企业资本、出具验资报告；办理企业合并、分立、清算事宜中的审计业务，出具有关报告；承办会计咨询、会计服务业务；法律、行政法规规定的其他审计业务。具备为本期专项债券发行提供财务评价报告的主体资格；两名签字注册会计师均持有经注册会计师协会颁发的已经年检的《注册会计师证》，具有相应的从业资格。</w:t>
      </w:r>
    </w:p>
    <w:p w14:paraId="42BB6DD6">
      <w:pPr>
        <w:ind w:firstLine="560" w:firstLineChars="200"/>
        <w:jc w:val="left"/>
        <w:rPr>
          <w:rFonts w:hint="eastAsia" w:ascii="仿宋" w:hAnsi="仿宋" w:eastAsia="仿宋" w:cs="仿宋"/>
          <w:sz w:val="28"/>
          <w:szCs w:val="28"/>
          <w:highlight w:val="none"/>
        </w:rPr>
      </w:pPr>
      <w:r>
        <w:rPr>
          <w:rFonts w:hint="eastAsia" w:ascii="仿宋" w:hAnsi="仿宋" w:eastAsia="仿宋" w:cs="仿宋"/>
          <w:sz w:val="28"/>
          <w:szCs w:val="28"/>
          <w:highlight w:val="none"/>
        </w:rPr>
        <w:t>（二）律师事务所资质</w:t>
      </w:r>
    </w:p>
    <w:p w14:paraId="744D06F1">
      <w:pPr>
        <w:ind w:firstLine="560" w:firstLineChars="200"/>
        <w:jc w:val="left"/>
        <w:rPr>
          <w:rFonts w:hint="eastAsia" w:ascii="仿宋" w:hAnsi="仿宋" w:eastAsia="仿宋" w:cs="仿宋"/>
          <w:sz w:val="28"/>
          <w:szCs w:val="28"/>
          <w:highlight w:val="none"/>
        </w:rPr>
      </w:pPr>
      <w:r>
        <w:rPr>
          <w:rFonts w:hint="eastAsia" w:ascii="仿宋" w:hAnsi="仿宋" w:eastAsia="仿宋" w:cs="仿宋"/>
          <w:sz w:val="28"/>
          <w:szCs w:val="28"/>
          <w:highlight w:val="none"/>
          <w:lang w:val="en-US" w:eastAsia="zh-CN"/>
        </w:rPr>
        <w:t>河北奉法</w:t>
      </w:r>
      <w:r>
        <w:rPr>
          <w:rFonts w:hint="eastAsia" w:ascii="仿宋" w:hAnsi="仿宋" w:eastAsia="仿宋" w:cs="仿宋"/>
          <w:sz w:val="28"/>
          <w:szCs w:val="28"/>
          <w:highlight w:val="none"/>
          <w:lang w:eastAsia="zh-CN"/>
        </w:rPr>
        <w:t>律师事务所</w:t>
      </w:r>
      <w:r>
        <w:rPr>
          <w:rFonts w:hint="eastAsia" w:ascii="仿宋" w:hAnsi="仿宋" w:eastAsia="仿宋" w:cs="仿宋"/>
          <w:sz w:val="28"/>
          <w:szCs w:val="28"/>
          <w:highlight w:val="none"/>
        </w:rPr>
        <w:t>：由河北省司法厅批准的职业许可证。</w:t>
      </w:r>
    </w:p>
    <w:p w14:paraId="2255D79A">
      <w:pPr>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本所律师认为：</w:t>
      </w:r>
      <w:r>
        <w:rPr>
          <w:rFonts w:hint="eastAsia" w:ascii="仿宋" w:hAnsi="仿宋" w:eastAsia="仿宋" w:cs="仿宋"/>
          <w:sz w:val="28"/>
          <w:szCs w:val="28"/>
          <w:highlight w:val="none"/>
          <w:lang w:val="en-US" w:eastAsia="zh-CN"/>
        </w:rPr>
        <w:t>河北奉法律师事务所</w:t>
      </w:r>
      <w:r>
        <w:rPr>
          <w:rFonts w:hint="eastAsia" w:ascii="仿宋" w:hAnsi="仿宋" w:eastAsia="仿宋" w:cs="仿宋"/>
          <w:sz w:val="28"/>
          <w:szCs w:val="28"/>
          <w:highlight w:val="none"/>
        </w:rPr>
        <w:t>系经批准依法成立的合伙型律师事务所，具备为本期专项债券出具法律意见书的资质，两名执业律师具有从事法律服务业务的资格，具备担任本法律意见书签字律师的资格。</w:t>
      </w:r>
    </w:p>
    <w:p w14:paraId="039CC2DC">
      <w:pPr>
        <w:ind w:firstLine="560" w:firstLineChars="200"/>
        <w:jc w:val="left"/>
        <w:rPr>
          <w:rFonts w:hint="eastAsia" w:ascii="仿宋" w:hAnsi="仿宋" w:eastAsia="仿宋" w:cs="仿宋"/>
          <w:sz w:val="28"/>
          <w:szCs w:val="28"/>
          <w:highlight w:val="none"/>
        </w:rPr>
      </w:pPr>
      <w:r>
        <w:rPr>
          <w:rFonts w:hint="eastAsia" w:ascii="仿宋" w:hAnsi="仿宋" w:eastAsia="仿宋" w:cs="仿宋"/>
          <w:sz w:val="28"/>
          <w:szCs w:val="28"/>
          <w:highlight w:val="none"/>
        </w:rPr>
        <w:t>五、法律风险管理评估</w:t>
      </w:r>
    </w:p>
    <w:p w14:paraId="35EBEAEE">
      <w:pPr>
        <w:ind w:firstLine="560" w:firstLineChars="200"/>
        <w:rPr>
          <w:rFonts w:hint="eastAsia" w:ascii="仿宋" w:hAnsi="仿宋" w:eastAsia="仿宋" w:cs="仿宋"/>
          <w:color w:val="333333"/>
          <w:sz w:val="28"/>
          <w:szCs w:val="28"/>
          <w:highlight w:val="none"/>
          <w:shd w:val="clear" w:color="auto" w:fill="FFFFFF"/>
        </w:rPr>
      </w:pPr>
      <w:r>
        <w:rPr>
          <w:rFonts w:hint="eastAsia" w:ascii="仿宋" w:hAnsi="仿宋" w:eastAsia="仿宋" w:cs="仿宋"/>
          <w:color w:val="333333"/>
          <w:sz w:val="28"/>
          <w:szCs w:val="28"/>
          <w:highlight w:val="none"/>
          <w:shd w:val="clear" w:color="auto" w:fill="FFFFFF"/>
        </w:rPr>
        <w:t>（一）利率风险及控制措施</w:t>
      </w:r>
    </w:p>
    <w:p w14:paraId="7D9B02D0">
      <w:pPr>
        <w:ind w:firstLine="560" w:firstLineChars="200"/>
        <w:rPr>
          <w:rFonts w:hint="eastAsia" w:ascii="仿宋" w:hAnsi="仿宋" w:eastAsia="仿宋" w:cs="仿宋"/>
          <w:color w:val="333333"/>
          <w:sz w:val="28"/>
          <w:szCs w:val="28"/>
          <w:highlight w:val="none"/>
          <w:shd w:val="clear" w:color="auto" w:fill="FFFFFF"/>
        </w:rPr>
      </w:pPr>
      <w:r>
        <w:rPr>
          <w:rFonts w:hint="eastAsia" w:ascii="仿宋" w:hAnsi="仿宋" w:eastAsia="仿宋" w:cs="仿宋"/>
          <w:color w:val="333333"/>
          <w:sz w:val="28"/>
          <w:szCs w:val="28"/>
          <w:highlight w:val="none"/>
          <w:shd w:val="clear" w:color="auto" w:fill="FFFFFF"/>
        </w:rPr>
        <w:t>受国民经济总体运行状况、国家宏观经济、金融货币政策及国际经济环境变化等因素的影响，在专项债券的存续期内，市场利率存在波动的可能性。由于专项债券期限较长，在存续期内，可能面临市场利率周期性波动，而市场利率的波动可能使专项债券投资者的实际投资收益具有一定的不确定性。</w:t>
      </w:r>
    </w:p>
    <w:p w14:paraId="76A30C1C">
      <w:pPr>
        <w:ind w:firstLine="560" w:firstLineChars="200"/>
        <w:rPr>
          <w:rFonts w:hint="eastAsia" w:ascii="仿宋" w:hAnsi="仿宋" w:eastAsia="仿宋" w:cs="仿宋"/>
          <w:color w:val="333333"/>
          <w:sz w:val="28"/>
          <w:szCs w:val="28"/>
          <w:highlight w:val="none"/>
          <w:shd w:val="clear" w:color="auto" w:fill="FFFFFF"/>
        </w:rPr>
      </w:pPr>
      <w:r>
        <w:rPr>
          <w:rFonts w:hint="eastAsia" w:ascii="仿宋" w:hAnsi="仿宋" w:eastAsia="仿宋" w:cs="仿宋"/>
          <w:color w:val="333333"/>
          <w:sz w:val="28"/>
          <w:szCs w:val="28"/>
          <w:highlight w:val="none"/>
          <w:shd w:val="clear" w:color="auto" w:fill="FFFFFF"/>
        </w:rPr>
        <w:t>风险控制措施：本期债券采用固定利率，不随市场利率波动而调整，可有效缓释利率波动对投资者预期收益率的影响。</w:t>
      </w:r>
    </w:p>
    <w:p w14:paraId="598DFA04">
      <w:pPr>
        <w:ind w:firstLine="560" w:firstLineChars="200"/>
        <w:rPr>
          <w:rFonts w:hint="eastAsia" w:ascii="仿宋" w:hAnsi="仿宋" w:eastAsia="仿宋" w:cs="仿宋"/>
          <w:color w:val="333333"/>
          <w:sz w:val="28"/>
          <w:szCs w:val="28"/>
          <w:highlight w:val="none"/>
          <w:shd w:val="clear" w:color="auto" w:fill="FFFFFF"/>
        </w:rPr>
      </w:pPr>
      <w:r>
        <w:rPr>
          <w:rFonts w:hint="eastAsia" w:ascii="仿宋" w:hAnsi="仿宋" w:eastAsia="仿宋" w:cs="仿宋"/>
          <w:color w:val="333333"/>
          <w:sz w:val="28"/>
          <w:szCs w:val="28"/>
          <w:highlight w:val="none"/>
          <w:shd w:val="clear" w:color="auto" w:fill="FFFFFF"/>
        </w:rPr>
        <w:t>（二）流动性风险及控制措施</w:t>
      </w:r>
    </w:p>
    <w:p w14:paraId="2B936399">
      <w:pPr>
        <w:ind w:firstLine="560" w:firstLineChars="200"/>
        <w:rPr>
          <w:rFonts w:hint="eastAsia" w:ascii="仿宋" w:hAnsi="仿宋" w:eastAsia="仿宋" w:cs="仿宋"/>
          <w:color w:val="333333"/>
          <w:sz w:val="28"/>
          <w:szCs w:val="28"/>
          <w:highlight w:val="none"/>
          <w:shd w:val="clear" w:color="auto" w:fill="FFFFFF"/>
        </w:rPr>
      </w:pPr>
      <w:r>
        <w:rPr>
          <w:rFonts w:hint="eastAsia" w:ascii="仿宋" w:hAnsi="仿宋" w:eastAsia="仿宋" w:cs="仿宋"/>
          <w:color w:val="333333"/>
          <w:sz w:val="28"/>
          <w:szCs w:val="28"/>
          <w:highlight w:val="none"/>
          <w:shd w:val="clear" w:color="auto" w:fill="FFFFFF"/>
        </w:rPr>
        <w:t>专项债券发行后可在银行间债券市场、上海证券交易所、深圳证券交易所市场交易流通。专项债券的交易活跃程度受到宏观经济环境、市场资金情况、投资者分布、投资者交易意愿等因素的影响，发行人无法保证专项债券的持有人能够随时并足额交易其所持有的债券，可能会出现专项债券在相应的交易场所不活跃的情况，从而影响专项债券流动性。</w:t>
      </w:r>
    </w:p>
    <w:p w14:paraId="5347E72F">
      <w:pPr>
        <w:ind w:firstLine="560" w:firstLineChars="200"/>
        <w:rPr>
          <w:rFonts w:hint="eastAsia" w:ascii="仿宋" w:hAnsi="仿宋" w:eastAsia="仿宋" w:cs="仿宋"/>
          <w:color w:val="333333"/>
          <w:sz w:val="28"/>
          <w:szCs w:val="28"/>
          <w:highlight w:val="none"/>
          <w:shd w:val="clear" w:color="auto" w:fill="FFFFFF"/>
        </w:rPr>
      </w:pPr>
      <w:r>
        <w:rPr>
          <w:rFonts w:hint="eastAsia" w:ascii="仿宋" w:hAnsi="仿宋" w:eastAsia="仿宋" w:cs="仿宋"/>
          <w:color w:val="333333"/>
          <w:sz w:val="28"/>
          <w:szCs w:val="28"/>
          <w:highlight w:val="none"/>
          <w:shd w:val="clear" w:color="auto" w:fill="FFFFFF"/>
        </w:rPr>
        <w:t>风险控制措施：为减少流动性风险对本期债券收益率的影响，发行人将努力扩大投资者范围，通过充分的产品募集发行工作，使更多的投资者能够参与本期债券的投资。</w:t>
      </w:r>
    </w:p>
    <w:p w14:paraId="342C75F4">
      <w:pPr>
        <w:ind w:firstLine="560" w:firstLineChars="200"/>
        <w:rPr>
          <w:rFonts w:hint="eastAsia" w:ascii="仿宋" w:hAnsi="仿宋" w:eastAsia="仿宋" w:cs="仿宋"/>
          <w:color w:val="333333"/>
          <w:sz w:val="28"/>
          <w:szCs w:val="28"/>
          <w:highlight w:val="none"/>
          <w:shd w:val="clear" w:color="auto" w:fill="FFFFFF"/>
        </w:rPr>
      </w:pPr>
      <w:r>
        <w:rPr>
          <w:rFonts w:hint="eastAsia" w:ascii="仿宋" w:hAnsi="仿宋" w:eastAsia="仿宋" w:cs="仿宋"/>
          <w:color w:val="333333"/>
          <w:sz w:val="28"/>
          <w:szCs w:val="28"/>
          <w:highlight w:val="none"/>
          <w:shd w:val="clear" w:color="auto" w:fill="FFFFFF"/>
        </w:rPr>
        <w:t>（三）经济环境风险及控制措施</w:t>
      </w:r>
    </w:p>
    <w:p w14:paraId="6F4AE8B9">
      <w:pPr>
        <w:ind w:firstLine="560" w:firstLineChars="200"/>
        <w:rPr>
          <w:rFonts w:hint="eastAsia" w:ascii="仿宋" w:hAnsi="仿宋" w:eastAsia="仿宋" w:cs="仿宋"/>
          <w:color w:val="333333"/>
          <w:sz w:val="28"/>
          <w:szCs w:val="28"/>
          <w:highlight w:val="none"/>
          <w:shd w:val="clear" w:color="auto" w:fill="FFFFFF"/>
        </w:rPr>
      </w:pPr>
      <w:r>
        <w:rPr>
          <w:rFonts w:hint="eastAsia" w:ascii="仿宋" w:hAnsi="仿宋" w:eastAsia="仿宋" w:cs="仿宋"/>
          <w:color w:val="333333"/>
          <w:sz w:val="28"/>
          <w:szCs w:val="28"/>
          <w:highlight w:val="none"/>
          <w:shd w:val="clear" w:color="auto" w:fill="FFFFFF"/>
        </w:rPr>
        <w:t>基础设施建设不仅涉及对现有土地及地上物的整理开发，同时还涉及到未来区域规划定位和发展方向。未来经济环境的变化，不仅对土地的有形增值和无形增值产生影响，未来区域经济发展还会受政治形势、经济政策、城市规划方案等一系列经济环境因素影响后而发生变化，从而影响基础设施建设所带来的效益。</w:t>
      </w:r>
    </w:p>
    <w:p w14:paraId="167BC23B">
      <w:pPr>
        <w:ind w:firstLine="560" w:firstLineChars="200"/>
        <w:rPr>
          <w:rFonts w:hint="eastAsia" w:ascii="仿宋" w:hAnsi="仿宋" w:eastAsia="仿宋" w:cs="仿宋"/>
          <w:color w:val="333333"/>
          <w:sz w:val="28"/>
          <w:szCs w:val="28"/>
          <w:highlight w:val="none"/>
          <w:shd w:val="clear" w:color="auto" w:fill="FFFFFF"/>
        </w:rPr>
      </w:pPr>
      <w:r>
        <w:rPr>
          <w:rFonts w:hint="eastAsia" w:ascii="仿宋" w:hAnsi="仿宋" w:eastAsia="仿宋" w:cs="仿宋"/>
          <w:color w:val="333333"/>
          <w:sz w:val="28"/>
          <w:szCs w:val="28"/>
          <w:highlight w:val="none"/>
          <w:shd w:val="clear" w:color="auto" w:fill="FFFFFF"/>
        </w:rPr>
        <w:t>风险控制措施：基础设施建设行业对经济周期的敏感性弱于其他行业。投资项目区域集中河北省内，在我国目前具有一定区位优势，保持较快经济发展速度、具备一定发展潜力的区域，财政支持力度较大。</w:t>
      </w:r>
    </w:p>
    <w:p w14:paraId="18C96647">
      <w:pPr>
        <w:ind w:firstLine="560" w:firstLineChars="200"/>
        <w:rPr>
          <w:rFonts w:hint="eastAsia" w:ascii="仿宋" w:hAnsi="仿宋" w:eastAsia="仿宋" w:cs="仿宋"/>
          <w:color w:val="333333"/>
          <w:sz w:val="28"/>
          <w:szCs w:val="28"/>
          <w:highlight w:val="none"/>
          <w:shd w:val="clear" w:color="auto" w:fill="FFFFFF"/>
        </w:rPr>
      </w:pPr>
      <w:r>
        <w:rPr>
          <w:rFonts w:hint="eastAsia" w:ascii="仿宋" w:hAnsi="仿宋" w:eastAsia="仿宋" w:cs="仿宋"/>
          <w:color w:val="333333"/>
          <w:sz w:val="28"/>
          <w:szCs w:val="28"/>
          <w:highlight w:val="none"/>
          <w:shd w:val="clear" w:color="auto" w:fill="FFFFFF"/>
        </w:rPr>
        <w:t>（四）财务风险及控制措施</w:t>
      </w:r>
    </w:p>
    <w:p w14:paraId="5FC840F7">
      <w:pPr>
        <w:ind w:firstLine="560" w:firstLineChars="200"/>
        <w:rPr>
          <w:rFonts w:hint="eastAsia" w:ascii="仿宋" w:hAnsi="仿宋" w:eastAsia="仿宋" w:cs="仿宋"/>
          <w:color w:val="333333"/>
          <w:sz w:val="28"/>
          <w:szCs w:val="28"/>
          <w:highlight w:val="none"/>
          <w:shd w:val="clear" w:color="auto" w:fill="FFFFFF"/>
        </w:rPr>
      </w:pPr>
      <w:r>
        <w:rPr>
          <w:rFonts w:hint="eastAsia" w:ascii="仿宋" w:hAnsi="仿宋" w:eastAsia="仿宋" w:cs="仿宋"/>
          <w:color w:val="333333"/>
          <w:sz w:val="28"/>
          <w:szCs w:val="28"/>
          <w:highlight w:val="none"/>
          <w:shd w:val="clear" w:color="auto" w:fill="FFFFFF"/>
        </w:rPr>
        <w:t>实施主体或参与主体在未来投资项目建设中仍需承担一定的投融资压力。所投资的基础设施建设行业属资金密集型行业，具有投资规模大、回收时间长的特点，可能对实施主体或参与主体现金流和债务偿付产生影响，从而使实施主体或参与主体面临一定财务压力。</w:t>
      </w:r>
    </w:p>
    <w:p w14:paraId="09C1819E">
      <w:pPr>
        <w:ind w:firstLine="560" w:firstLineChars="200"/>
        <w:rPr>
          <w:rFonts w:hint="eastAsia" w:ascii="仿宋" w:hAnsi="仿宋" w:eastAsia="仿宋" w:cs="仿宋"/>
          <w:color w:val="333333"/>
          <w:sz w:val="28"/>
          <w:szCs w:val="28"/>
          <w:highlight w:val="none"/>
          <w:shd w:val="clear" w:color="auto" w:fill="FFFFFF"/>
        </w:rPr>
      </w:pPr>
      <w:r>
        <w:rPr>
          <w:rFonts w:hint="eastAsia" w:ascii="仿宋" w:hAnsi="仿宋" w:eastAsia="仿宋" w:cs="仿宋"/>
          <w:color w:val="333333"/>
          <w:sz w:val="28"/>
          <w:szCs w:val="28"/>
          <w:highlight w:val="none"/>
          <w:shd w:val="clear" w:color="auto" w:fill="FFFFFF"/>
        </w:rPr>
        <w:t>风险控制措施：实施主体或参与主体治理结构完善，能够持续获得河北省财政在政策和资金层面的持续有力支持，融资渠道畅通。</w:t>
      </w:r>
    </w:p>
    <w:p w14:paraId="0A838F77">
      <w:pPr>
        <w:ind w:firstLine="560" w:firstLineChars="200"/>
        <w:rPr>
          <w:rFonts w:hint="eastAsia" w:ascii="仿宋" w:hAnsi="仿宋" w:eastAsia="仿宋" w:cs="仿宋"/>
          <w:color w:val="333333"/>
          <w:sz w:val="28"/>
          <w:szCs w:val="28"/>
          <w:highlight w:val="none"/>
          <w:shd w:val="clear" w:color="auto" w:fill="FFFFFF"/>
        </w:rPr>
      </w:pPr>
      <w:r>
        <w:rPr>
          <w:rFonts w:hint="eastAsia" w:ascii="仿宋" w:hAnsi="仿宋" w:eastAsia="仿宋" w:cs="仿宋"/>
          <w:color w:val="333333"/>
          <w:sz w:val="28"/>
          <w:szCs w:val="28"/>
          <w:highlight w:val="none"/>
          <w:shd w:val="clear" w:color="auto" w:fill="FFFFFF"/>
        </w:rPr>
        <w:t>（五）自然灾害风险及控制措施</w:t>
      </w:r>
    </w:p>
    <w:p w14:paraId="5D27C05E">
      <w:pPr>
        <w:ind w:firstLine="560" w:firstLineChars="200"/>
        <w:rPr>
          <w:rFonts w:hint="eastAsia" w:ascii="仿宋" w:hAnsi="仿宋" w:eastAsia="仿宋" w:cs="仿宋"/>
          <w:color w:val="333333"/>
          <w:sz w:val="28"/>
          <w:szCs w:val="28"/>
          <w:highlight w:val="none"/>
          <w:shd w:val="clear" w:color="auto" w:fill="FFFFFF"/>
        </w:rPr>
      </w:pPr>
      <w:r>
        <w:rPr>
          <w:rFonts w:hint="eastAsia" w:ascii="仿宋" w:hAnsi="仿宋" w:eastAsia="仿宋" w:cs="仿宋"/>
          <w:color w:val="333333"/>
          <w:sz w:val="28"/>
          <w:szCs w:val="28"/>
          <w:highlight w:val="none"/>
          <w:shd w:val="clear" w:color="auto" w:fill="FFFFFF"/>
        </w:rPr>
        <w:t>项目实施主体或参与主体主业运营受自然条件影响较显著。若在本期债券存续期内，区域出现水灾、火灾、大雾等重大自然灾害，或相关主体应对不当，将对投资项目运营带来负面影响。</w:t>
      </w:r>
    </w:p>
    <w:p w14:paraId="693BEF9A">
      <w:pPr>
        <w:ind w:firstLine="560" w:firstLineChars="200"/>
        <w:rPr>
          <w:rFonts w:hint="eastAsia" w:ascii="仿宋" w:hAnsi="仿宋" w:eastAsia="仿宋" w:cs="仿宋"/>
          <w:color w:val="333333"/>
          <w:sz w:val="28"/>
          <w:szCs w:val="28"/>
          <w:highlight w:val="none"/>
          <w:shd w:val="clear" w:color="auto" w:fill="FFFFFF"/>
        </w:rPr>
      </w:pPr>
      <w:r>
        <w:rPr>
          <w:rFonts w:hint="eastAsia" w:ascii="仿宋" w:hAnsi="仿宋" w:eastAsia="仿宋" w:cs="仿宋"/>
          <w:color w:val="333333"/>
          <w:sz w:val="28"/>
          <w:szCs w:val="28"/>
          <w:highlight w:val="none"/>
          <w:shd w:val="clear" w:color="auto" w:fill="FFFFFF"/>
        </w:rPr>
        <w:t>风险控制措施：实施主体或参与主体应建立重大灾害预警机制，与河北省各级政府相关部门、各社会相关机构建立预灾、救灾的联动机制，积累重大灾害处理经验，可有效缓释或有自然灾害对投资项目带来冲击。</w:t>
      </w:r>
    </w:p>
    <w:p w14:paraId="482206AC">
      <w:pPr>
        <w:ind w:firstLine="560" w:firstLineChars="200"/>
        <w:jc w:val="left"/>
        <w:rPr>
          <w:rFonts w:hint="eastAsia" w:ascii="仿宋" w:hAnsi="仿宋" w:eastAsia="仿宋" w:cs="仿宋"/>
          <w:sz w:val="28"/>
          <w:szCs w:val="28"/>
          <w:highlight w:val="none"/>
        </w:rPr>
      </w:pPr>
      <w:r>
        <w:rPr>
          <w:rFonts w:hint="eastAsia" w:ascii="仿宋" w:hAnsi="仿宋" w:eastAsia="仿宋" w:cs="仿宋"/>
          <w:sz w:val="28"/>
          <w:szCs w:val="28"/>
          <w:highlight w:val="none"/>
        </w:rPr>
        <w:t>六、结论意见</w:t>
      </w:r>
    </w:p>
    <w:p w14:paraId="150545DA">
      <w:pPr>
        <w:ind w:firstLine="560" w:firstLineChars="200"/>
        <w:jc w:val="left"/>
        <w:rPr>
          <w:rFonts w:hint="eastAsia" w:ascii="仿宋" w:hAnsi="仿宋" w:eastAsia="仿宋" w:cs="仿宋"/>
          <w:sz w:val="28"/>
          <w:szCs w:val="28"/>
          <w:highlight w:val="none"/>
        </w:rPr>
      </w:pPr>
      <w:r>
        <w:rPr>
          <w:rFonts w:hint="eastAsia" w:ascii="仿宋" w:hAnsi="仿宋" w:eastAsia="仿宋" w:cs="仿宋"/>
          <w:sz w:val="28"/>
          <w:szCs w:val="28"/>
          <w:highlight w:val="none"/>
        </w:rPr>
        <w:t>综上所述，本所律师认为：</w:t>
      </w:r>
    </w:p>
    <w:p w14:paraId="73FCC7AA">
      <w:pPr>
        <w:ind w:firstLine="560" w:firstLineChars="200"/>
        <w:jc w:val="left"/>
        <w:rPr>
          <w:rFonts w:hint="eastAsia" w:ascii="仿宋" w:hAnsi="仿宋" w:eastAsia="仿宋" w:cs="仿宋"/>
          <w:sz w:val="28"/>
          <w:szCs w:val="28"/>
          <w:highlight w:val="none"/>
        </w:rPr>
      </w:pPr>
      <w:r>
        <w:rPr>
          <w:rFonts w:hint="eastAsia" w:ascii="仿宋" w:hAnsi="仿宋" w:eastAsia="仿宋" w:cs="仿宋"/>
          <w:sz w:val="28"/>
          <w:szCs w:val="28"/>
          <w:highlight w:val="none"/>
        </w:rPr>
        <w:t>（一）</w:t>
      </w:r>
      <w:r>
        <w:rPr>
          <w:rFonts w:hint="eastAsia" w:ascii="仿宋" w:hAnsi="仿宋" w:eastAsia="仿宋" w:cs="仿宋"/>
          <w:sz w:val="28"/>
          <w:szCs w:val="28"/>
          <w:highlight w:val="none"/>
          <w:lang w:eastAsia="zh-CN"/>
        </w:rPr>
        <w:t>河北武安工业园区管理委员会</w:t>
      </w:r>
      <w:r>
        <w:rPr>
          <w:rFonts w:hint="eastAsia" w:ascii="仿宋" w:hAnsi="仿宋" w:eastAsia="仿宋" w:cs="仿宋"/>
          <w:sz w:val="28"/>
          <w:szCs w:val="28"/>
          <w:highlight w:val="none"/>
        </w:rPr>
        <w:t>具备</w:t>
      </w:r>
      <w:r>
        <w:rPr>
          <w:rFonts w:hint="eastAsia" w:ascii="仿宋" w:hAnsi="仿宋" w:eastAsia="仿宋" w:cs="仿宋"/>
          <w:sz w:val="28"/>
          <w:szCs w:val="28"/>
          <w:highlight w:val="none"/>
          <w:lang w:eastAsia="zh-CN"/>
        </w:rPr>
        <w:t>武安工业园区裕祥北路管网工程</w:t>
      </w:r>
      <w:r>
        <w:rPr>
          <w:rFonts w:hint="eastAsia" w:ascii="仿宋" w:hAnsi="仿宋" w:eastAsia="仿宋" w:cs="仿宋"/>
          <w:sz w:val="28"/>
          <w:szCs w:val="28"/>
          <w:highlight w:val="none"/>
        </w:rPr>
        <w:t>的建设及本期债券募投的主体资格；</w:t>
      </w:r>
    </w:p>
    <w:p w14:paraId="35348A20">
      <w:pPr>
        <w:ind w:firstLine="560" w:firstLineChars="200"/>
        <w:jc w:val="left"/>
        <w:rPr>
          <w:rFonts w:hint="eastAsia" w:ascii="仿宋" w:hAnsi="仿宋" w:eastAsia="仿宋" w:cs="仿宋"/>
          <w:sz w:val="28"/>
          <w:szCs w:val="28"/>
          <w:highlight w:val="none"/>
        </w:rPr>
      </w:pPr>
      <w:r>
        <w:rPr>
          <w:rFonts w:hint="eastAsia" w:ascii="仿宋" w:hAnsi="仿宋" w:eastAsia="仿宋" w:cs="仿宋"/>
          <w:sz w:val="28"/>
          <w:szCs w:val="28"/>
          <w:highlight w:val="none"/>
        </w:rPr>
        <w:t>（二）</w:t>
      </w:r>
      <w:r>
        <w:rPr>
          <w:rFonts w:hint="eastAsia" w:ascii="仿宋" w:hAnsi="仿宋" w:eastAsia="仿宋" w:cs="仿宋"/>
          <w:sz w:val="28"/>
          <w:szCs w:val="28"/>
          <w:highlight w:val="none"/>
          <w:lang w:eastAsia="zh-CN"/>
        </w:rPr>
        <w:t>河北武安工业园区管理委员会</w:t>
      </w:r>
      <w:r>
        <w:rPr>
          <w:rFonts w:hint="eastAsia" w:ascii="仿宋" w:hAnsi="仿宋" w:eastAsia="仿宋" w:cs="仿宋"/>
          <w:sz w:val="28"/>
          <w:szCs w:val="28"/>
          <w:highlight w:val="none"/>
        </w:rPr>
        <w:t>符合中国法律规定的债券募投的各项实质条件。</w:t>
      </w:r>
    </w:p>
    <w:p w14:paraId="5E0F1BE8">
      <w:pPr>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——本《法律意见书》正文结束——</w:t>
      </w:r>
      <w:r>
        <w:rPr>
          <w:rFonts w:hint="eastAsia" w:ascii="仿宋" w:hAnsi="仿宋" w:eastAsia="仿宋" w:cs="仿宋"/>
          <w:sz w:val="28"/>
          <w:szCs w:val="28"/>
          <w:highlight w:val="none"/>
        </w:rPr>
        <w:br w:type="page"/>
      </w:r>
    </w:p>
    <w:p w14:paraId="5F23992B">
      <w:pPr>
        <w:ind w:firstLine="560" w:firstLineChars="200"/>
        <w:jc w:val="left"/>
        <w:rPr>
          <w:rFonts w:hint="eastAsia" w:ascii="仿宋" w:hAnsi="仿宋" w:eastAsia="仿宋" w:cs="仿宋"/>
          <w:sz w:val="28"/>
          <w:szCs w:val="28"/>
          <w:highlight w:val="none"/>
        </w:rPr>
      </w:pPr>
      <w:r>
        <w:rPr>
          <w:rFonts w:hint="eastAsia" w:ascii="仿宋" w:hAnsi="仿宋" w:eastAsia="仿宋" w:cs="仿宋"/>
          <w:sz w:val="28"/>
          <w:szCs w:val="28"/>
          <w:highlight w:val="none"/>
        </w:rPr>
        <w:t>【本页系《</w:t>
      </w:r>
      <w:r>
        <w:rPr>
          <w:rFonts w:hint="eastAsia" w:ascii="仿宋" w:hAnsi="仿宋" w:eastAsia="仿宋" w:cs="仿宋"/>
          <w:sz w:val="28"/>
          <w:szCs w:val="28"/>
          <w:highlight w:val="none"/>
          <w:lang w:val="en-US" w:eastAsia="zh-CN"/>
        </w:rPr>
        <w:t>河北奉法</w:t>
      </w:r>
      <w:r>
        <w:rPr>
          <w:rFonts w:hint="eastAsia" w:ascii="仿宋" w:hAnsi="仿宋" w:eastAsia="仿宋" w:cs="仿宋"/>
          <w:sz w:val="28"/>
          <w:szCs w:val="28"/>
          <w:highlight w:val="none"/>
          <w:lang w:eastAsia="zh-CN"/>
        </w:rPr>
        <w:t>律师事务所</w:t>
      </w:r>
      <w:r>
        <w:rPr>
          <w:rFonts w:hint="eastAsia" w:ascii="仿宋" w:hAnsi="仿宋" w:eastAsia="仿宋" w:cs="仿宋"/>
          <w:sz w:val="28"/>
          <w:szCs w:val="28"/>
          <w:highlight w:val="none"/>
        </w:rPr>
        <w:t>关于</w:t>
      </w:r>
      <w:r>
        <w:rPr>
          <w:rFonts w:hint="eastAsia" w:ascii="仿宋" w:hAnsi="仿宋" w:eastAsia="仿宋" w:cs="仿宋"/>
          <w:sz w:val="28"/>
          <w:szCs w:val="28"/>
          <w:highlight w:val="none"/>
          <w:lang w:eastAsia="zh-CN"/>
        </w:rPr>
        <w:t>武安工业园区裕祥北路管网工程之</w:t>
      </w:r>
      <w:r>
        <w:rPr>
          <w:rFonts w:hint="eastAsia" w:ascii="仿宋" w:hAnsi="仿宋" w:eastAsia="仿宋" w:cs="仿宋"/>
          <w:sz w:val="28"/>
          <w:szCs w:val="28"/>
          <w:highlight w:val="none"/>
        </w:rPr>
        <w:t>法律意见书》的签署页】</w:t>
      </w:r>
    </w:p>
    <w:p w14:paraId="612C7D54">
      <w:pPr>
        <w:ind w:firstLine="560" w:firstLineChars="200"/>
        <w:jc w:val="left"/>
        <w:rPr>
          <w:rFonts w:hint="eastAsia" w:ascii="仿宋" w:hAnsi="仿宋" w:eastAsia="仿宋" w:cs="仿宋"/>
          <w:sz w:val="28"/>
          <w:szCs w:val="28"/>
          <w:highlight w:val="none"/>
        </w:rPr>
      </w:pPr>
    </w:p>
    <w:p w14:paraId="37A85152">
      <w:pPr>
        <w:ind w:firstLine="560" w:firstLineChars="200"/>
        <w:jc w:val="left"/>
        <w:rPr>
          <w:rFonts w:hint="eastAsia" w:ascii="仿宋" w:hAnsi="仿宋" w:eastAsia="仿宋" w:cs="仿宋"/>
          <w:sz w:val="28"/>
          <w:szCs w:val="28"/>
          <w:highlight w:val="none"/>
        </w:rPr>
      </w:pPr>
      <w:r>
        <w:rPr>
          <w:rFonts w:hint="eastAsia" w:ascii="仿宋" w:hAnsi="仿宋" w:eastAsia="仿宋" w:cs="仿宋"/>
          <w:sz w:val="28"/>
          <w:szCs w:val="28"/>
          <w:highlight w:val="none"/>
        </w:rPr>
        <w:t>本《法律意见书》正本</w:t>
      </w:r>
      <w:r>
        <w:rPr>
          <w:rFonts w:hint="eastAsia" w:ascii="仿宋" w:hAnsi="仿宋" w:eastAsia="仿宋" w:cs="仿宋"/>
          <w:sz w:val="28"/>
          <w:szCs w:val="28"/>
          <w:highlight w:val="none"/>
          <w:lang w:val="en-US" w:eastAsia="zh-CN"/>
        </w:rPr>
        <w:t>七</w:t>
      </w:r>
      <w:r>
        <w:rPr>
          <w:rFonts w:hint="eastAsia" w:ascii="仿宋" w:hAnsi="仿宋" w:eastAsia="仿宋" w:cs="仿宋"/>
          <w:sz w:val="28"/>
          <w:szCs w:val="28"/>
          <w:highlight w:val="none"/>
        </w:rPr>
        <w:t>份，无副本。</w:t>
      </w:r>
    </w:p>
    <w:p w14:paraId="690F512A">
      <w:pPr>
        <w:ind w:firstLine="560" w:firstLineChars="200"/>
        <w:jc w:val="left"/>
        <w:rPr>
          <w:rFonts w:hint="eastAsia" w:ascii="仿宋" w:hAnsi="仿宋" w:eastAsia="仿宋" w:cs="仿宋"/>
          <w:color w:val="auto"/>
          <w:sz w:val="28"/>
          <w:szCs w:val="28"/>
          <w:highlight w:val="none"/>
          <w:lang w:val="en-US" w:eastAsia="zh-CN"/>
        </w:rPr>
      </w:pPr>
      <w:r>
        <w:rPr>
          <w:rFonts w:hint="eastAsia" w:ascii="仿宋" w:hAnsi="仿宋" w:eastAsia="仿宋" w:cs="仿宋"/>
          <w:sz w:val="28"/>
          <w:szCs w:val="28"/>
          <w:highlight w:val="none"/>
        </w:rPr>
        <w:t>本《法律意见书》的出具日期为</w:t>
      </w:r>
      <w:r>
        <w:rPr>
          <w:rFonts w:hint="eastAsia" w:ascii="仿宋" w:hAnsi="仿宋" w:eastAsia="仿宋" w:cs="仿宋"/>
          <w:color w:val="auto"/>
          <w:sz w:val="28"/>
          <w:szCs w:val="28"/>
          <w:highlight w:val="none"/>
          <w:lang w:val="en-US" w:eastAsia="zh-CN"/>
        </w:rPr>
        <w:t>2025年8月.</w:t>
      </w:r>
    </w:p>
    <w:p w14:paraId="5C5A3EE5">
      <w:pPr>
        <w:tabs>
          <w:tab w:val="left" w:pos="3637"/>
        </w:tabs>
        <w:ind w:firstLine="560" w:firstLineChars="200"/>
        <w:jc w:val="left"/>
        <w:rPr>
          <w:rFonts w:hint="eastAsia" w:ascii="仿宋" w:hAnsi="仿宋" w:eastAsia="仿宋" w:cs="仿宋"/>
          <w:sz w:val="28"/>
          <w:szCs w:val="28"/>
          <w:highlight w:val="none"/>
        </w:rPr>
      </w:pPr>
      <w:r>
        <w:rPr>
          <w:rFonts w:hint="eastAsia" w:ascii="仿宋" w:hAnsi="仿宋" w:eastAsia="仿宋" w:cs="仿宋"/>
          <w:sz w:val="28"/>
          <w:szCs w:val="28"/>
          <w:highlight w:val="none"/>
        </w:rPr>
        <w:tab/>
      </w:r>
    </w:p>
    <w:p w14:paraId="246C8D26">
      <w:pPr>
        <w:ind w:firstLine="5880" w:firstLineChars="2100"/>
        <w:jc w:val="left"/>
        <w:rPr>
          <w:rFonts w:hint="eastAsia" w:ascii="仿宋" w:hAnsi="仿宋" w:eastAsia="仿宋" w:cs="仿宋"/>
          <w:sz w:val="28"/>
          <w:szCs w:val="28"/>
          <w:highlight w:val="none"/>
          <w:u w:val="single"/>
        </w:rPr>
      </w:pPr>
      <w:r>
        <w:rPr>
          <w:rFonts w:hint="eastAsia" w:ascii="仿宋" w:hAnsi="仿宋" w:eastAsia="仿宋" w:cs="仿宋"/>
          <w:sz w:val="28"/>
          <w:szCs w:val="28"/>
          <w:highlight w:val="none"/>
          <w:lang w:val="en-US" w:eastAsia="zh-CN"/>
        </w:rPr>
        <w:t>河北奉法</w:t>
      </w:r>
      <w:r>
        <w:rPr>
          <w:rFonts w:hint="eastAsia" w:ascii="仿宋" w:hAnsi="仿宋" w:eastAsia="仿宋" w:cs="仿宋"/>
          <w:sz w:val="28"/>
          <w:szCs w:val="28"/>
          <w:highlight w:val="none"/>
          <w:lang w:eastAsia="zh-CN"/>
        </w:rPr>
        <w:t>律师事务所</w:t>
      </w:r>
      <w:r>
        <w:rPr>
          <w:rFonts w:hint="eastAsia" w:ascii="仿宋" w:hAnsi="仿宋" w:eastAsia="仿宋" w:cs="仿宋"/>
          <w:sz w:val="28"/>
          <w:szCs w:val="28"/>
          <w:highlight w:val="none"/>
        </w:rPr>
        <w:t xml:space="preserve">                  </w:t>
      </w:r>
    </w:p>
    <w:sectPr>
      <w:headerReference r:id="rId3" w:type="default"/>
      <w:footerReference r:id="rId4" w:type="default"/>
      <w:pgSz w:w="11906" w:h="16838"/>
      <w:pgMar w:top="1440" w:right="1480" w:bottom="1440" w:left="1661" w:header="851" w:footer="992" w:gutter="0"/>
      <w:pgNumType w:start="0"/>
      <w:cols w:space="425"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FangSong_GB2312">
    <w:altName w:val="仿宋_GB2312"/>
    <w:panose1 w:val="02010609060101010101"/>
    <w:charset w:val="00"/>
    <w:family w:val="roman"/>
    <w:pitch w:val="default"/>
    <w:sig w:usb0="00000000" w:usb1="00000000" w:usb2="00000000" w:usb3="00000000" w:csb0="00000000"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759719"/>
    </w:sdtPr>
    <w:sdtContent>
      <w:p w14:paraId="17F1CD67">
        <w:pPr>
          <w:pStyle w:val="4"/>
          <w:jc w:val="right"/>
        </w:pPr>
        <w:r>
          <w:fldChar w:fldCharType="begin"/>
        </w:r>
        <w:r>
          <w:instrText xml:space="preserve"> PAGE   \* MERGEFORMAT </w:instrText>
        </w:r>
        <w:r>
          <w:fldChar w:fldCharType="separate"/>
        </w:r>
        <w:r>
          <w:rPr>
            <w:lang w:val="zh-CN"/>
          </w:rPr>
          <w:t>9</w:t>
        </w:r>
        <w:r>
          <w:rPr>
            <w:lang w:val="zh-CN"/>
          </w:rPr>
          <w:fldChar w:fldCharType="end"/>
        </w:r>
      </w:p>
    </w:sdtContent>
  </w:sdt>
  <w:p w14:paraId="7BC374C7">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34CC24A">
    <w:pPr>
      <w:pStyle w:val="5"/>
      <w:jc w:val="both"/>
    </w:pPr>
    <w:r>
      <w:rPr>
        <w:rFonts w:hint="eastAsia"/>
        <w:lang w:val="en-US" w:eastAsia="zh-CN"/>
      </w:rPr>
      <w:t>河北奉法</w:t>
    </w:r>
    <w:r>
      <w:rPr>
        <w:rFonts w:hint="eastAsia"/>
        <w:lang w:eastAsia="zh-CN"/>
      </w:rPr>
      <w:t>律师事务所</w:t>
    </w:r>
    <w:r>
      <w:rPr>
        <w:rFonts w:hint="eastAsia"/>
      </w:rPr>
      <w:t xml:space="preserve">                </w:t>
    </w:r>
    <w:r>
      <w:rPr>
        <w:rFonts w:hint="eastAsia"/>
        <w:lang w:val="en-US" w:eastAsia="zh-CN"/>
      </w:rPr>
      <w:t xml:space="preserve">            </w:t>
    </w:r>
    <w:r>
      <w:rPr>
        <w:rFonts w:hint="eastAsia"/>
      </w:rPr>
      <w:t xml:space="preserve">           </w:t>
    </w:r>
    <w:r>
      <w:rPr>
        <w:rFonts w:hint="eastAsia"/>
        <w:lang w:eastAsia="zh-CN"/>
      </w:rPr>
      <w:t>武安工业园区裕祥北路管网工程之</w:t>
    </w:r>
    <w:r>
      <w:rPr>
        <w:rFonts w:hint="eastAsia"/>
      </w:rPr>
      <w:t>法律意见书</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AF07403"/>
    <w:multiLevelType w:val="singleLevel"/>
    <w:tmpl w:val="5AF07403"/>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77A6"/>
    <w:rsid w:val="000019A3"/>
    <w:rsid w:val="00003004"/>
    <w:rsid w:val="00031154"/>
    <w:rsid w:val="00033912"/>
    <w:rsid w:val="00042E19"/>
    <w:rsid w:val="00045BED"/>
    <w:rsid w:val="0005127C"/>
    <w:rsid w:val="00054175"/>
    <w:rsid w:val="000562B0"/>
    <w:rsid w:val="00062AB4"/>
    <w:rsid w:val="00066F48"/>
    <w:rsid w:val="0007750B"/>
    <w:rsid w:val="00082382"/>
    <w:rsid w:val="0008403B"/>
    <w:rsid w:val="00084F35"/>
    <w:rsid w:val="00086783"/>
    <w:rsid w:val="00087AF1"/>
    <w:rsid w:val="00094C1C"/>
    <w:rsid w:val="000A2C52"/>
    <w:rsid w:val="000C0470"/>
    <w:rsid w:val="000C41EC"/>
    <w:rsid w:val="000C6AA4"/>
    <w:rsid w:val="000D7C4E"/>
    <w:rsid w:val="000D7FAB"/>
    <w:rsid w:val="000E0EFA"/>
    <w:rsid w:val="000E45FA"/>
    <w:rsid w:val="000E6FDF"/>
    <w:rsid w:val="000F0311"/>
    <w:rsid w:val="001000FF"/>
    <w:rsid w:val="00101646"/>
    <w:rsid w:val="00104297"/>
    <w:rsid w:val="001202A6"/>
    <w:rsid w:val="001232CA"/>
    <w:rsid w:val="00127DFA"/>
    <w:rsid w:val="00130826"/>
    <w:rsid w:val="00131337"/>
    <w:rsid w:val="00133F0F"/>
    <w:rsid w:val="00136BBB"/>
    <w:rsid w:val="0014419B"/>
    <w:rsid w:val="001574C6"/>
    <w:rsid w:val="00167491"/>
    <w:rsid w:val="00174783"/>
    <w:rsid w:val="00174A4F"/>
    <w:rsid w:val="0017585E"/>
    <w:rsid w:val="00176790"/>
    <w:rsid w:val="00177828"/>
    <w:rsid w:val="00182077"/>
    <w:rsid w:val="00182EB2"/>
    <w:rsid w:val="001874E1"/>
    <w:rsid w:val="0019161B"/>
    <w:rsid w:val="001976FC"/>
    <w:rsid w:val="001A362E"/>
    <w:rsid w:val="001A55E1"/>
    <w:rsid w:val="001A79D8"/>
    <w:rsid w:val="001B1FF7"/>
    <w:rsid w:val="001B5E95"/>
    <w:rsid w:val="001D1863"/>
    <w:rsid w:val="001D7E79"/>
    <w:rsid w:val="001F08FD"/>
    <w:rsid w:val="001F6BE4"/>
    <w:rsid w:val="002026D3"/>
    <w:rsid w:val="00202ACD"/>
    <w:rsid w:val="002108A2"/>
    <w:rsid w:val="00224EBC"/>
    <w:rsid w:val="00231B40"/>
    <w:rsid w:val="00231DE5"/>
    <w:rsid w:val="00237CCA"/>
    <w:rsid w:val="00243E8F"/>
    <w:rsid w:val="00247E76"/>
    <w:rsid w:val="00253027"/>
    <w:rsid w:val="00253B5A"/>
    <w:rsid w:val="002770FF"/>
    <w:rsid w:val="00280168"/>
    <w:rsid w:val="00285589"/>
    <w:rsid w:val="00285F5B"/>
    <w:rsid w:val="00287A42"/>
    <w:rsid w:val="002A20BE"/>
    <w:rsid w:val="002B1C7E"/>
    <w:rsid w:val="002B4CC5"/>
    <w:rsid w:val="002B7598"/>
    <w:rsid w:val="002C040B"/>
    <w:rsid w:val="002F3816"/>
    <w:rsid w:val="002F5992"/>
    <w:rsid w:val="002F7B20"/>
    <w:rsid w:val="00306E0C"/>
    <w:rsid w:val="0031189E"/>
    <w:rsid w:val="00313E3C"/>
    <w:rsid w:val="00320C6C"/>
    <w:rsid w:val="00322448"/>
    <w:rsid w:val="00331B8F"/>
    <w:rsid w:val="00333A84"/>
    <w:rsid w:val="003347BD"/>
    <w:rsid w:val="003446AE"/>
    <w:rsid w:val="003524B1"/>
    <w:rsid w:val="0035256E"/>
    <w:rsid w:val="00354AB7"/>
    <w:rsid w:val="00355A25"/>
    <w:rsid w:val="00361E7B"/>
    <w:rsid w:val="0036400E"/>
    <w:rsid w:val="00370CAA"/>
    <w:rsid w:val="003731C6"/>
    <w:rsid w:val="00376EBE"/>
    <w:rsid w:val="00384F54"/>
    <w:rsid w:val="00392D59"/>
    <w:rsid w:val="00396449"/>
    <w:rsid w:val="003A0E30"/>
    <w:rsid w:val="003A7134"/>
    <w:rsid w:val="003B48D3"/>
    <w:rsid w:val="003B6563"/>
    <w:rsid w:val="003D3CDE"/>
    <w:rsid w:val="003E178D"/>
    <w:rsid w:val="003E4CCC"/>
    <w:rsid w:val="003F336B"/>
    <w:rsid w:val="003F442F"/>
    <w:rsid w:val="004049D7"/>
    <w:rsid w:val="004071E8"/>
    <w:rsid w:val="00411FCF"/>
    <w:rsid w:val="00420DDD"/>
    <w:rsid w:val="00421EB5"/>
    <w:rsid w:val="004221AD"/>
    <w:rsid w:val="00425A61"/>
    <w:rsid w:val="00426845"/>
    <w:rsid w:val="0044745C"/>
    <w:rsid w:val="00447BF6"/>
    <w:rsid w:val="00463A48"/>
    <w:rsid w:val="00464F0C"/>
    <w:rsid w:val="00470A57"/>
    <w:rsid w:val="004715CE"/>
    <w:rsid w:val="00474146"/>
    <w:rsid w:val="004804E4"/>
    <w:rsid w:val="0048400F"/>
    <w:rsid w:val="00486103"/>
    <w:rsid w:val="004A122B"/>
    <w:rsid w:val="004A787E"/>
    <w:rsid w:val="004B575B"/>
    <w:rsid w:val="004C0030"/>
    <w:rsid w:val="004C290E"/>
    <w:rsid w:val="004D3A6F"/>
    <w:rsid w:val="005035DD"/>
    <w:rsid w:val="005077C8"/>
    <w:rsid w:val="00511D55"/>
    <w:rsid w:val="00512A3D"/>
    <w:rsid w:val="00513C0B"/>
    <w:rsid w:val="00521BB2"/>
    <w:rsid w:val="00530B40"/>
    <w:rsid w:val="005372F1"/>
    <w:rsid w:val="0054011C"/>
    <w:rsid w:val="0054432D"/>
    <w:rsid w:val="00544DD3"/>
    <w:rsid w:val="005462FC"/>
    <w:rsid w:val="00547D76"/>
    <w:rsid w:val="0055006C"/>
    <w:rsid w:val="00551C30"/>
    <w:rsid w:val="00553D7F"/>
    <w:rsid w:val="00571161"/>
    <w:rsid w:val="0057619B"/>
    <w:rsid w:val="00576272"/>
    <w:rsid w:val="0058248C"/>
    <w:rsid w:val="00586445"/>
    <w:rsid w:val="00590635"/>
    <w:rsid w:val="005A1302"/>
    <w:rsid w:val="005B0C30"/>
    <w:rsid w:val="005B4EDC"/>
    <w:rsid w:val="005B57DD"/>
    <w:rsid w:val="005B7687"/>
    <w:rsid w:val="005B77A4"/>
    <w:rsid w:val="005D1B30"/>
    <w:rsid w:val="005D4D08"/>
    <w:rsid w:val="005D727B"/>
    <w:rsid w:val="005E634B"/>
    <w:rsid w:val="00610C52"/>
    <w:rsid w:val="006118AE"/>
    <w:rsid w:val="006131B7"/>
    <w:rsid w:val="00624682"/>
    <w:rsid w:val="00627580"/>
    <w:rsid w:val="006405FD"/>
    <w:rsid w:val="0064303E"/>
    <w:rsid w:val="00644A37"/>
    <w:rsid w:val="00645C2D"/>
    <w:rsid w:val="0065299A"/>
    <w:rsid w:val="00662D13"/>
    <w:rsid w:val="006677A6"/>
    <w:rsid w:val="00667F82"/>
    <w:rsid w:val="006729BC"/>
    <w:rsid w:val="00684B80"/>
    <w:rsid w:val="00684F58"/>
    <w:rsid w:val="00687E97"/>
    <w:rsid w:val="00695EF7"/>
    <w:rsid w:val="00697655"/>
    <w:rsid w:val="006978D4"/>
    <w:rsid w:val="006A49F5"/>
    <w:rsid w:val="006B3472"/>
    <w:rsid w:val="006D1C50"/>
    <w:rsid w:val="006D43E8"/>
    <w:rsid w:val="006E2C5F"/>
    <w:rsid w:val="006E3F5F"/>
    <w:rsid w:val="006E61BF"/>
    <w:rsid w:val="006F5713"/>
    <w:rsid w:val="00703859"/>
    <w:rsid w:val="0070454D"/>
    <w:rsid w:val="007079AD"/>
    <w:rsid w:val="00711833"/>
    <w:rsid w:val="00717964"/>
    <w:rsid w:val="00726749"/>
    <w:rsid w:val="00731F65"/>
    <w:rsid w:val="00735CB0"/>
    <w:rsid w:val="00740207"/>
    <w:rsid w:val="00753794"/>
    <w:rsid w:val="00765A0E"/>
    <w:rsid w:val="00765A54"/>
    <w:rsid w:val="007665B2"/>
    <w:rsid w:val="0076682C"/>
    <w:rsid w:val="00773774"/>
    <w:rsid w:val="00774DA4"/>
    <w:rsid w:val="00775BB7"/>
    <w:rsid w:val="00777A46"/>
    <w:rsid w:val="0078649C"/>
    <w:rsid w:val="00787BE3"/>
    <w:rsid w:val="00791638"/>
    <w:rsid w:val="007935FD"/>
    <w:rsid w:val="007A1F59"/>
    <w:rsid w:val="007A2D9E"/>
    <w:rsid w:val="007C0768"/>
    <w:rsid w:val="007C1D03"/>
    <w:rsid w:val="007C2C9A"/>
    <w:rsid w:val="007D0D1C"/>
    <w:rsid w:val="007D3F62"/>
    <w:rsid w:val="007D6C66"/>
    <w:rsid w:val="00811B8B"/>
    <w:rsid w:val="00821573"/>
    <w:rsid w:val="00831054"/>
    <w:rsid w:val="00832863"/>
    <w:rsid w:val="0083501B"/>
    <w:rsid w:val="00846211"/>
    <w:rsid w:val="00860B99"/>
    <w:rsid w:val="0087161F"/>
    <w:rsid w:val="00871D1A"/>
    <w:rsid w:val="0088128C"/>
    <w:rsid w:val="008820C0"/>
    <w:rsid w:val="008971D2"/>
    <w:rsid w:val="008A383D"/>
    <w:rsid w:val="008C1C00"/>
    <w:rsid w:val="008C27AB"/>
    <w:rsid w:val="008C2E0A"/>
    <w:rsid w:val="008C3194"/>
    <w:rsid w:val="008C3476"/>
    <w:rsid w:val="008C492D"/>
    <w:rsid w:val="008C4BA9"/>
    <w:rsid w:val="008C71FA"/>
    <w:rsid w:val="008D24EE"/>
    <w:rsid w:val="008D26A8"/>
    <w:rsid w:val="008E15E3"/>
    <w:rsid w:val="008E3801"/>
    <w:rsid w:val="008E42A5"/>
    <w:rsid w:val="008E573B"/>
    <w:rsid w:val="008E5867"/>
    <w:rsid w:val="008E75DE"/>
    <w:rsid w:val="008F0128"/>
    <w:rsid w:val="008F2646"/>
    <w:rsid w:val="008F72B4"/>
    <w:rsid w:val="00907075"/>
    <w:rsid w:val="00912B14"/>
    <w:rsid w:val="009224D0"/>
    <w:rsid w:val="00924980"/>
    <w:rsid w:val="009341FC"/>
    <w:rsid w:val="00934825"/>
    <w:rsid w:val="00955188"/>
    <w:rsid w:val="00955F80"/>
    <w:rsid w:val="00957711"/>
    <w:rsid w:val="00960801"/>
    <w:rsid w:val="00961341"/>
    <w:rsid w:val="00964BA4"/>
    <w:rsid w:val="0097378F"/>
    <w:rsid w:val="00985930"/>
    <w:rsid w:val="009900FE"/>
    <w:rsid w:val="009929AD"/>
    <w:rsid w:val="0099316F"/>
    <w:rsid w:val="00995AC3"/>
    <w:rsid w:val="009A35C9"/>
    <w:rsid w:val="009A7F14"/>
    <w:rsid w:val="009B0C98"/>
    <w:rsid w:val="009B793E"/>
    <w:rsid w:val="009C5657"/>
    <w:rsid w:val="009D239C"/>
    <w:rsid w:val="009E1020"/>
    <w:rsid w:val="009F6DAF"/>
    <w:rsid w:val="009F6E63"/>
    <w:rsid w:val="00A005BC"/>
    <w:rsid w:val="00A019DE"/>
    <w:rsid w:val="00A01E15"/>
    <w:rsid w:val="00A03D3E"/>
    <w:rsid w:val="00A10142"/>
    <w:rsid w:val="00A13F6E"/>
    <w:rsid w:val="00A16549"/>
    <w:rsid w:val="00A20BDF"/>
    <w:rsid w:val="00A234DD"/>
    <w:rsid w:val="00A26569"/>
    <w:rsid w:val="00A33986"/>
    <w:rsid w:val="00A42B84"/>
    <w:rsid w:val="00A619CA"/>
    <w:rsid w:val="00A6335B"/>
    <w:rsid w:val="00A67EDE"/>
    <w:rsid w:val="00A7413E"/>
    <w:rsid w:val="00A75D61"/>
    <w:rsid w:val="00A77FF5"/>
    <w:rsid w:val="00A80A2D"/>
    <w:rsid w:val="00AB12DA"/>
    <w:rsid w:val="00AC56B0"/>
    <w:rsid w:val="00AC64D3"/>
    <w:rsid w:val="00AC6855"/>
    <w:rsid w:val="00AC76CA"/>
    <w:rsid w:val="00AC79BA"/>
    <w:rsid w:val="00AD28B4"/>
    <w:rsid w:val="00AD2A88"/>
    <w:rsid w:val="00AD734F"/>
    <w:rsid w:val="00AE1285"/>
    <w:rsid w:val="00AE32E9"/>
    <w:rsid w:val="00AF0110"/>
    <w:rsid w:val="00AF43AE"/>
    <w:rsid w:val="00AF4649"/>
    <w:rsid w:val="00B27C49"/>
    <w:rsid w:val="00B344E8"/>
    <w:rsid w:val="00B7204B"/>
    <w:rsid w:val="00B72FFB"/>
    <w:rsid w:val="00B7655C"/>
    <w:rsid w:val="00B80BE0"/>
    <w:rsid w:val="00B8228A"/>
    <w:rsid w:val="00B905E5"/>
    <w:rsid w:val="00B94FC5"/>
    <w:rsid w:val="00B96201"/>
    <w:rsid w:val="00B97926"/>
    <w:rsid w:val="00BA069A"/>
    <w:rsid w:val="00BA365F"/>
    <w:rsid w:val="00BA681D"/>
    <w:rsid w:val="00BB0A4D"/>
    <w:rsid w:val="00BB4DDD"/>
    <w:rsid w:val="00BB521A"/>
    <w:rsid w:val="00BC3DD4"/>
    <w:rsid w:val="00BC4EA9"/>
    <w:rsid w:val="00BC5649"/>
    <w:rsid w:val="00BF1AFF"/>
    <w:rsid w:val="00BF1E6D"/>
    <w:rsid w:val="00BF2DE2"/>
    <w:rsid w:val="00C048A0"/>
    <w:rsid w:val="00C118EB"/>
    <w:rsid w:val="00C17999"/>
    <w:rsid w:val="00C221AC"/>
    <w:rsid w:val="00C37E81"/>
    <w:rsid w:val="00C6763D"/>
    <w:rsid w:val="00C7143A"/>
    <w:rsid w:val="00C724DF"/>
    <w:rsid w:val="00C77D32"/>
    <w:rsid w:val="00C84593"/>
    <w:rsid w:val="00C915DB"/>
    <w:rsid w:val="00C91D4F"/>
    <w:rsid w:val="00C96891"/>
    <w:rsid w:val="00CB69B0"/>
    <w:rsid w:val="00CC4112"/>
    <w:rsid w:val="00CC641D"/>
    <w:rsid w:val="00CC7287"/>
    <w:rsid w:val="00CD5BC9"/>
    <w:rsid w:val="00CF16A6"/>
    <w:rsid w:val="00D078D8"/>
    <w:rsid w:val="00D12174"/>
    <w:rsid w:val="00D17159"/>
    <w:rsid w:val="00D25432"/>
    <w:rsid w:val="00D25B56"/>
    <w:rsid w:val="00D2725A"/>
    <w:rsid w:val="00D35A30"/>
    <w:rsid w:val="00D4230A"/>
    <w:rsid w:val="00D46457"/>
    <w:rsid w:val="00D5228D"/>
    <w:rsid w:val="00D648BE"/>
    <w:rsid w:val="00D64EB8"/>
    <w:rsid w:val="00D6571C"/>
    <w:rsid w:val="00D708AF"/>
    <w:rsid w:val="00D87794"/>
    <w:rsid w:val="00D960F9"/>
    <w:rsid w:val="00D96E15"/>
    <w:rsid w:val="00DA13C2"/>
    <w:rsid w:val="00DA2B1F"/>
    <w:rsid w:val="00DB4C7B"/>
    <w:rsid w:val="00DB5567"/>
    <w:rsid w:val="00DB5E57"/>
    <w:rsid w:val="00DB60A9"/>
    <w:rsid w:val="00DD348C"/>
    <w:rsid w:val="00DE1432"/>
    <w:rsid w:val="00DE5712"/>
    <w:rsid w:val="00DF763C"/>
    <w:rsid w:val="00E07816"/>
    <w:rsid w:val="00E2164A"/>
    <w:rsid w:val="00E2339B"/>
    <w:rsid w:val="00E33F39"/>
    <w:rsid w:val="00E4232A"/>
    <w:rsid w:val="00E43608"/>
    <w:rsid w:val="00E54BE5"/>
    <w:rsid w:val="00E71E20"/>
    <w:rsid w:val="00E83B6C"/>
    <w:rsid w:val="00E862FA"/>
    <w:rsid w:val="00E901BB"/>
    <w:rsid w:val="00EA473F"/>
    <w:rsid w:val="00EB04F6"/>
    <w:rsid w:val="00EB2432"/>
    <w:rsid w:val="00EB3A68"/>
    <w:rsid w:val="00EB4B35"/>
    <w:rsid w:val="00EC1EAF"/>
    <w:rsid w:val="00ED6EC7"/>
    <w:rsid w:val="00EF65B7"/>
    <w:rsid w:val="00F0458A"/>
    <w:rsid w:val="00F11B49"/>
    <w:rsid w:val="00F11EF9"/>
    <w:rsid w:val="00F1300C"/>
    <w:rsid w:val="00F1407B"/>
    <w:rsid w:val="00F2458B"/>
    <w:rsid w:val="00F37FA2"/>
    <w:rsid w:val="00F500FD"/>
    <w:rsid w:val="00F71AC1"/>
    <w:rsid w:val="00F7283A"/>
    <w:rsid w:val="00F821A4"/>
    <w:rsid w:val="00F83787"/>
    <w:rsid w:val="00F841E5"/>
    <w:rsid w:val="00F858D0"/>
    <w:rsid w:val="00F970EC"/>
    <w:rsid w:val="00FA424B"/>
    <w:rsid w:val="00FA540E"/>
    <w:rsid w:val="00FA6928"/>
    <w:rsid w:val="00FB7F05"/>
    <w:rsid w:val="00FC6FB5"/>
    <w:rsid w:val="00FD35A5"/>
    <w:rsid w:val="01EF39D1"/>
    <w:rsid w:val="036F4413"/>
    <w:rsid w:val="04BE27C1"/>
    <w:rsid w:val="0671705A"/>
    <w:rsid w:val="06D9633D"/>
    <w:rsid w:val="06EF7070"/>
    <w:rsid w:val="07620632"/>
    <w:rsid w:val="07802062"/>
    <w:rsid w:val="086A3D60"/>
    <w:rsid w:val="0978424A"/>
    <w:rsid w:val="099F40DF"/>
    <w:rsid w:val="09C07C2F"/>
    <w:rsid w:val="0AE95411"/>
    <w:rsid w:val="0C8A7825"/>
    <w:rsid w:val="0CF347BE"/>
    <w:rsid w:val="0D3F62E7"/>
    <w:rsid w:val="0D7F02AE"/>
    <w:rsid w:val="0F5B4DF4"/>
    <w:rsid w:val="10152804"/>
    <w:rsid w:val="10951066"/>
    <w:rsid w:val="11AC53EA"/>
    <w:rsid w:val="12130435"/>
    <w:rsid w:val="12891287"/>
    <w:rsid w:val="135B35A6"/>
    <w:rsid w:val="1450109E"/>
    <w:rsid w:val="1467230A"/>
    <w:rsid w:val="14ED3966"/>
    <w:rsid w:val="152D0912"/>
    <w:rsid w:val="15F76B65"/>
    <w:rsid w:val="1603491D"/>
    <w:rsid w:val="16B50F4D"/>
    <w:rsid w:val="16CE539C"/>
    <w:rsid w:val="174F0C6D"/>
    <w:rsid w:val="1771576A"/>
    <w:rsid w:val="185C2346"/>
    <w:rsid w:val="19141924"/>
    <w:rsid w:val="19462F56"/>
    <w:rsid w:val="1A622132"/>
    <w:rsid w:val="1B122762"/>
    <w:rsid w:val="1B747839"/>
    <w:rsid w:val="1C6413F5"/>
    <w:rsid w:val="1D53662E"/>
    <w:rsid w:val="1F5E1891"/>
    <w:rsid w:val="208D45F3"/>
    <w:rsid w:val="217D5728"/>
    <w:rsid w:val="21F665EC"/>
    <w:rsid w:val="222222FB"/>
    <w:rsid w:val="223F73B3"/>
    <w:rsid w:val="2289011C"/>
    <w:rsid w:val="2328566F"/>
    <w:rsid w:val="23841E03"/>
    <w:rsid w:val="243B579E"/>
    <w:rsid w:val="24AC4876"/>
    <w:rsid w:val="24E36C18"/>
    <w:rsid w:val="26176E7E"/>
    <w:rsid w:val="267D3604"/>
    <w:rsid w:val="26A22586"/>
    <w:rsid w:val="26FE6E2A"/>
    <w:rsid w:val="2727416A"/>
    <w:rsid w:val="27FC156C"/>
    <w:rsid w:val="2A8D27CD"/>
    <w:rsid w:val="2B011055"/>
    <w:rsid w:val="2C6733C7"/>
    <w:rsid w:val="2CC032E9"/>
    <w:rsid w:val="2D1A2D28"/>
    <w:rsid w:val="2E5D389C"/>
    <w:rsid w:val="2EF270F2"/>
    <w:rsid w:val="2F780752"/>
    <w:rsid w:val="2F941DFC"/>
    <w:rsid w:val="30191FEF"/>
    <w:rsid w:val="31306E8F"/>
    <w:rsid w:val="33DC5263"/>
    <w:rsid w:val="35C97A69"/>
    <w:rsid w:val="36B16523"/>
    <w:rsid w:val="374134A9"/>
    <w:rsid w:val="37BF32DF"/>
    <w:rsid w:val="39ED01CA"/>
    <w:rsid w:val="3A7255DC"/>
    <w:rsid w:val="3BB63A88"/>
    <w:rsid w:val="3CF47BBC"/>
    <w:rsid w:val="3D0A0A63"/>
    <w:rsid w:val="3D2C4851"/>
    <w:rsid w:val="3F281CA4"/>
    <w:rsid w:val="3F5C7B59"/>
    <w:rsid w:val="41BE244C"/>
    <w:rsid w:val="42347E20"/>
    <w:rsid w:val="44932709"/>
    <w:rsid w:val="44963CEA"/>
    <w:rsid w:val="44E13E88"/>
    <w:rsid w:val="44F3065E"/>
    <w:rsid w:val="45DF2040"/>
    <w:rsid w:val="477367E4"/>
    <w:rsid w:val="47933E35"/>
    <w:rsid w:val="48236356"/>
    <w:rsid w:val="48292822"/>
    <w:rsid w:val="4CCE57B4"/>
    <w:rsid w:val="4D9B4FDB"/>
    <w:rsid w:val="4EDC4AE0"/>
    <w:rsid w:val="503C7A1C"/>
    <w:rsid w:val="51814214"/>
    <w:rsid w:val="51BA678C"/>
    <w:rsid w:val="51C615D4"/>
    <w:rsid w:val="53A869CF"/>
    <w:rsid w:val="541F70ED"/>
    <w:rsid w:val="54260108"/>
    <w:rsid w:val="563C719E"/>
    <w:rsid w:val="565664F7"/>
    <w:rsid w:val="56BF77A3"/>
    <w:rsid w:val="58D822EA"/>
    <w:rsid w:val="59943D66"/>
    <w:rsid w:val="59A43D8B"/>
    <w:rsid w:val="59AE3FDA"/>
    <w:rsid w:val="59C86985"/>
    <w:rsid w:val="5B6D219F"/>
    <w:rsid w:val="5B725E3B"/>
    <w:rsid w:val="5BC7529D"/>
    <w:rsid w:val="5BCF6909"/>
    <w:rsid w:val="5CD94967"/>
    <w:rsid w:val="5DB13EEA"/>
    <w:rsid w:val="5F207D63"/>
    <w:rsid w:val="5F4B6079"/>
    <w:rsid w:val="5F795BB5"/>
    <w:rsid w:val="5FBB2F2E"/>
    <w:rsid w:val="5FBE0534"/>
    <w:rsid w:val="60E16353"/>
    <w:rsid w:val="633B52B3"/>
    <w:rsid w:val="634236DC"/>
    <w:rsid w:val="636A2ACF"/>
    <w:rsid w:val="648614BB"/>
    <w:rsid w:val="64C64273"/>
    <w:rsid w:val="65935AB8"/>
    <w:rsid w:val="66BA4424"/>
    <w:rsid w:val="67512022"/>
    <w:rsid w:val="675F7E3D"/>
    <w:rsid w:val="68903CA5"/>
    <w:rsid w:val="6A6B6BF7"/>
    <w:rsid w:val="6ABC4ECB"/>
    <w:rsid w:val="6EC66FF4"/>
    <w:rsid w:val="6FC17A32"/>
    <w:rsid w:val="70C95159"/>
    <w:rsid w:val="727D5888"/>
    <w:rsid w:val="73F751C6"/>
    <w:rsid w:val="74581CA8"/>
    <w:rsid w:val="746455D4"/>
    <w:rsid w:val="748E7A7C"/>
    <w:rsid w:val="74C43117"/>
    <w:rsid w:val="750D16A5"/>
    <w:rsid w:val="75740D36"/>
    <w:rsid w:val="75B77477"/>
    <w:rsid w:val="760256C8"/>
    <w:rsid w:val="77D47C28"/>
    <w:rsid w:val="78CE1B50"/>
    <w:rsid w:val="7A0348C4"/>
    <w:rsid w:val="7B7F4A36"/>
    <w:rsid w:val="7BBE05D9"/>
    <w:rsid w:val="7BFA6773"/>
    <w:rsid w:val="7C8D5928"/>
    <w:rsid w:val="7D214FC8"/>
    <w:rsid w:val="7D6403E7"/>
    <w:rsid w:val="7DBD4A63"/>
    <w:rsid w:val="7E6D4132"/>
    <w:rsid w:val="7E835FD4"/>
    <w:rsid w:val="7EB9307C"/>
    <w:rsid w:val="7F2D7CEE"/>
    <w:rsid w:val="7FC904F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qFormat="1" w:unhideWhenUsed="0"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toc 2"/>
    <w:basedOn w:val="1"/>
    <w:next w:val="1"/>
    <w:qFormat/>
    <w:uiPriority w:val="39"/>
    <w:pPr>
      <w:tabs>
        <w:tab w:val="right" w:leader="dot" w:pos="8507"/>
      </w:tabs>
      <w:spacing w:line="440" w:lineRule="exact"/>
      <w:ind w:left="420" w:leftChars="200"/>
    </w:pPr>
  </w:style>
  <w:style w:type="paragraph" w:styleId="3">
    <w:name w:val="Balloon Text"/>
    <w:basedOn w:val="1"/>
    <w:link w:val="13"/>
    <w:semiHidden/>
    <w:unhideWhenUsed/>
    <w:qFormat/>
    <w:uiPriority w:val="99"/>
    <w:rPr>
      <w:sz w:val="18"/>
      <w:szCs w:val="18"/>
    </w:rPr>
  </w:style>
  <w:style w:type="paragraph" w:styleId="4">
    <w:name w:val="footer"/>
    <w:basedOn w:val="1"/>
    <w:link w:val="12"/>
    <w:unhideWhenUsed/>
    <w:qFormat/>
    <w:uiPriority w:val="99"/>
    <w:pPr>
      <w:tabs>
        <w:tab w:val="center" w:pos="4153"/>
        <w:tab w:val="right" w:pos="8306"/>
      </w:tabs>
      <w:snapToGrid w:val="0"/>
      <w:jc w:val="left"/>
    </w:pPr>
    <w:rPr>
      <w:sz w:val="18"/>
      <w:szCs w:val="18"/>
    </w:rPr>
  </w:style>
  <w:style w:type="paragraph" w:styleId="5">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table" w:styleId="8">
    <w:name w:val="Table Grid"/>
    <w:basedOn w:val="7"/>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0">
    <w:name w:val="Hyperlink"/>
    <w:basedOn w:val="9"/>
    <w:semiHidden/>
    <w:unhideWhenUsed/>
    <w:qFormat/>
    <w:uiPriority w:val="99"/>
    <w:rPr>
      <w:color w:val="0000FF"/>
      <w:u w:val="single"/>
    </w:rPr>
  </w:style>
  <w:style w:type="character" w:customStyle="1" w:styleId="11">
    <w:name w:val="页眉 Char"/>
    <w:basedOn w:val="9"/>
    <w:link w:val="5"/>
    <w:qFormat/>
    <w:uiPriority w:val="99"/>
    <w:rPr>
      <w:sz w:val="18"/>
      <w:szCs w:val="18"/>
    </w:rPr>
  </w:style>
  <w:style w:type="character" w:customStyle="1" w:styleId="12">
    <w:name w:val="页脚 Char"/>
    <w:basedOn w:val="9"/>
    <w:link w:val="4"/>
    <w:qFormat/>
    <w:uiPriority w:val="99"/>
    <w:rPr>
      <w:sz w:val="18"/>
      <w:szCs w:val="18"/>
    </w:rPr>
  </w:style>
  <w:style w:type="character" w:customStyle="1" w:styleId="13">
    <w:name w:val="批注框文本 Char"/>
    <w:basedOn w:val="9"/>
    <w:link w:val="3"/>
    <w:semiHidden/>
    <w:qFormat/>
    <w:uiPriority w:val="99"/>
    <w:rPr>
      <w:sz w:val="18"/>
      <w:szCs w:val="18"/>
    </w:rPr>
  </w:style>
  <w:style w:type="character" w:customStyle="1" w:styleId="14">
    <w:name w:val="fontstyle01"/>
    <w:basedOn w:val="9"/>
    <w:qFormat/>
    <w:uiPriority w:val="0"/>
    <w:rPr>
      <w:rFonts w:hint="default" w:ascii="FangSong_GB2312" w:hAnsi="FangSong_GB2312"/>
      <w:color w:val="000000"/>
      <w:sz w:val="30"/>
      <w:szCs w:val="30"/>
    </w:rPr>
  </w:style>
  <w:style w:type="character" w:customStyle="1" w:styleId="15">
    <w:name w:val="fontstyle21"/>
    <w:basedOn w:val="9"/>
    <w:qFormat/>
    <w:uiPriority w:val="0"/>
    <w:rPr>
      <w:rFonts w:hint="eastAsia" w:ascii="宋体" w:hAnsi="宋体" w:eastAsia="宋体"/>
      <w:color w:val="000000"/>
      <w:sz w:val="30"/>
      <w:szCs w:val="30"/>
    </w:rPr>
  </w:style>
  <w:style w:type="character" w:customStyle="1" w:styleId="16">
    <w:name w:val="fontstyle31"/>
    <w:basedOn w:val="9"/>
    <w:qFormat/>
    <w:uiPriority w:val="0"/>
    <w:rPr>
      <w:rFonts w:hint="eastAsia" w:ascii="宋体" w:hAnsi="宋体" w:eastAsia="宋体"/>
      <w:color w:val="000000"/>
      <w:sz w:val="30"/>
      <w:szCs w:val="30"/>
    </w:rPr>
  </w:style>
  <w:style w:type="character" w:customStyle="1" w:styleId="17">
    <w:name w:val="fontstyle11"/>
    <w:basedOn w:val="9"/>
    <w:qFormat/>
    <w:uiPriority w:val="0"/>
    <w:rPr>
      <w:rFonts w:hint="eastAsia" w:ascii="宋体" w:hAnsi="宋体" w:eastAsia="宋体"/>
      <w:color w:val="000000"/>
      <w:sz w:val="30"/>
      <w:szCs w:val="30"/>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13</Pages>
  <Words>5464</Words>
  <Characters>5835</Characters>
  <Lines>50</Lines>
  <Paragraphs>14</Paragraphs>
  <TotalTime>2</TotalTime>
  <ScaleCrop>false</ScaleCrop>
  <LinksUpToDate>false</LinksUpToDate>
  <CharactersWithSpaces>5867</CharactersWithSpaces>
  <Application>WPS Office_12.1.0.22215_F1E327BC-269C-435d-A152-05C5408002CA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2018-06-28T14:32:00Z</dcterms:created>
  <dc:creator>PC</dc:creator>
  <cp:lastModifiedBy>孙晓航</cp:lastModifiedBy>
  <cp:lastPrinted>2021-11-24T06:33:00Z</cp:lastPrinted>
  <dcterms:modified xsi:type="dcterms:W3CDTF">2025-08-08T20:21:24Z</dcterms:modified>
  <cp:revision>295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2052-12.1.0.22215</vt:lpwstr>
  </property>
  <property fmtid="{D5CDD505-2E9C-101B-9397-08002B2CF9AE}" pid="3" name="ICV">
    <vt:lpwstr>8C1479D7ED6D40149F9258AC922CBEC4</vt:lpwstr>
  </property>
  <property fmtid="{D5CDD505-2E9C-101B-9397-08002B2CF9AE}" pid="4" name="KSOTemplateDocerSaveRecord">
    <vt:lpwstr>eyJoZGlkIjoiMzgyZGUzMmIyZmJkM2M1MTQzMzI4MjNkMjczZmVlYmMiLCJ1c2VySWQiOiI1NzM1MDE1NDAifQ==</vt:lpwstr>
  </property>
</Properties>
</file>