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contextualSpacing/>
        <w:jc w:val="center"/>
        <w:rPr>
          <w:rFonts w:ascii="宋体" w:hAnsi="宋体" w:eastAsia="宋体" w:cs="宋体"/>
          <w:b/>
          <w:kern w:val="0"/>
          <w:sz w:val="36"/>
          <w:szCs w:val="36"/>
          <w:lang w:val="en-GB"/>
        </w:rPr>
      </w:pPr>
    </w:p>
    <w:p>
      <w:pPr>
        <w:contextualSpacing/>
        <w:jc w:val="center"/>
        <w:rPr>
          <w:rFonts w:ascii="宋体" w:hAnsi="宋体" w:eastAsia="宋体" w:cs="宋体"/>
          <w:b/>
          <w:kern w:val="0"/>
          <w:sz w:val="36"/>
          <w:szCs w:val="36"/>
          <w:lang w:val="en-GB"/>
        </w:rPr>
      </w:pPr>
    </w:p>
    <w:p>
      <w:pPr>
        <w:contextualSpacing/>
        <w:jc w:val="center"/>
        <w:rPr>
          <w:rFonts w:ascii="宋体" w:hAnsi="宋体" w:eastAsia="宋体" w:cs="宋体"/>
          <w:b/>
          <w:kern w:val="0"/>
          <w:sz w:val="36"/>
          <w:szCs w:val="36"/>
          <w:lang w:val="en-GB"/>
        </w:rPr>
      </w:pPr>
    </w:p>
    <w:p>
      <w:pPr>
        <w:spacing w:line="360" w:lineRule="auto"/>
        <w:contextualSpacing/>
        <w:jc w:val="center"/>
        <w:rPr>
          <w:rFonts w:ascii="宋体" w:hAnsi="宋体" w:eastAsia="宋体" w:cs="宋体"/>
          <w:b/>
          <w:bCs/>
          <w:kern w:val="0"/>
          <w:sz w:val="36"/>
          <w:szCs w:val="36"/>
          <w:lang w:val="en-GB"/>
        </w:rPr>
      </w:pPr>
      <w:r>
        <w:rPr>
          <w:rFonts w:hint="eastAsia" w:ascii="宋体" w:hAnsi="宋体" w:eastAsia="宋体" w:cs="宋体"/>
          <w:b/>
          <w:bCs/>
          <w:kern w:val="0"/>
          <w:sz w:val="36"/>
          <w:szCs w:val="36"/>
          <w:lang w:val="en-GB"/>
        </w:rPr>
        <w:t>山西华炬律师事务所</w:t>
      </w:r>
    </w:p>
    <w:p>
      <w:pPr>
        <w:spacing w:line="360" w:lineRule="auto"/>
        <w:jc w:val="center"/>
        <w:rPr>
          <w:rFonts w:ascii="宋体" w:hAnsi="宋体" w:eastAsia="宋体" w:cs="宋体"/>
          <w:b/>
          <w:bCs/>
          <w:sz w:val="36"/>
          <w:szCs w:val="36"/>
        </w:rPr>
      </w:pPr>
      <w:r>
        <w:rPr>
          <w:rFonts w:hint="eastAsia" w:ascii="宋体" w:hAnsi="宋体" w:eastAsia="宋体" w:cs="宋体"/>
          <w:b/>
          <w:bCs/>
          <w:kern w:val="0"/>
          <w:sz w:val="36"/>
          <w:szCs w:val="36"/>
        </w:rPr>
        <w:t>2023年至2024年太原市杏花岭区康乐幼儿园（五一北路校区）新建</w:t>
      </w:r>
      <w:r>
        <w:rPr>
          <w:rFonts w:hint="eastAsia" w:ascii="宋体" w:hAnsi="宋体" w:eastAsia="宋体" w:cs="宋体"/>
          <w:b/>
          <w:bCs/>
          <w:kern w:val="0"/>
          <w:sz w:val="36"/>
          <w:szCs w:val="36"/>
          <w:lang w:val="en-GB"/>
        </w:rPr>
        <w:t>专项债券</w:t>
      </w:r>
      <w:r>
        <w:rPr>
          <w:rFonts w:hint="eastAsia" w:ascii="宋体" w:hAnsi="宋体" w:eastAsia="宋体" w:cs="宋体"/>
          <w:b/>
          <w:bCs/>
          <w:sz w:val="36"/>
          <w:szCs w:val="36"/>
        </w:rPr>
        <w:t>项目</w:t>
      </w:r>
    </w:p>
    <w:p>
      <w:pPr>
        <w:spacing w:line="360" w:lineRule="auto"/>
        <w:jc w:val="center"/>
        <w:rPr>
          <w:rFonts w:ascii="宋体" w:hAnsi="宋体" w:eastAsia="宋体" w:cs="宋体"/>
          <w:b/>
          <w:bCs/>
          <w:sz w:val="36"/>
          <w:szCs w:val="36"/>
        </w:rPr>
      </w:pPr>
      <w:r>
        <w:rPr>
          <w:rFonts w:hint="eastAsia" w:ascii="宋体" w:hAnsi="宋体" w:eastAsia="宋体" w:cs="宋体"/>
          <w:b/>
          <w:bCs/>
          <w:sz w:val="36"/>
          <w:szCs w:val="36"/>
        </w:rPr>
        <w:t>之</w:t>
      </w:r>
    </w:p>
    <w:p>
      <w:pPr>
        <w:adjustRightInd w:val="0"/>
        <w:spacing w:line="360" w:lineRule="auto"/>
        <w:jc w:val="center"/>
        <w:rPr>
          <w:rFonts w:ascii="宋体" w:hAnsi="宋体" w:eastAsia="宋体" w:cs="宋体"/>
          <w:b/>
          <w:sz w:val="52"/>
          <w:szCs w:val="52"/>
        </w:rPr>
      </w:pPr>
      <w:r>
        <w:rPr>
          <w:rFonts w:hint="eastAsia" w:ascii="宋体" w:hAnsi="宋体" w:eastAsia="宋体" w:cs="宋体"/>
          <w:b/>
          <w:sz w:val="52"/>
          <w:szCs w:val="52"/>
        </w:rPr>
        <w:t>法律意见书</w:t>
      </w:r>
    </w:p>
    <w:p>
      <w:pPr>
        <w:adjustRightInd w:val="0"/>
        <w:spacing w:line="360" w:lineRule="auto"/>
        <w:jc w:val="center"/>
        <w:rPr>
          <w:rFonts w:ascii="宋体" w:hAnsi="宋体" w:eastAsia="宋体" w:cs="宋体"/>
          <w:b/>
          <w:sz w:val="36"/>
          <w:szCs w:val="36"/>
        </w:rPr>
      </w:pPr>
    </w:p>
    <w:p>
      <w:pPr>
        <w:adjustRightInd w:val="0"/>
        <w:spacing w:line="360" w:lineRule="auto"/>
        <w:jc w:val="center"/>
        <w:rPr>
          <w:rFonts w:ascii="宋体" w:hAnsi="宋体" w:eastAsia="宋体" w:cs="宋体"/>
          <w:b/>
          <w:sz w:val="36"/>
          <w:szCs w:val="36"/>
        </w:rPr>
      </w:pPr>
    </w:p>
    <w:p>
      <w:pPr>
        <w:adjustRightInd w:val="0"/>
        <w:spacing w:line="360" w:lineRule="auto"/>
        <w:jc w:val="center"/>
        <w:rPr>
          <w:rFonts w:ascii="宋体" w:hAnsi="宋体" w:eastAsia="宋体" w:cs="宋体"/>
          <w:b/>
          <w:sz w:val="36"/>
          <w:szCs w:val="36"/>
        </w:rPr>
      </w:pPr>
    </w:p>
    <w:p>
      <w:pPr>
        <w:pStyle w:val="2"/>
        <w:ind w:firstLine="420"/>
      </w:pPr>
    </w:p>
    <w:p>
      <w:pPr>
        <w:pStyle w:val="2"/>
        <w:ind w:firstLine="420"/>
      </w:pPr>
    </w:p>
    <w:p>
      <w:pPr>
        <w:pStyle w:val="2"/>
        <w:ind w:firstLine="723"/>
        <w:rPr>
          <w:rFonts w:eastAsia="宋体" w:cs="宋体"/>
          <w:b/>
          <w:sz w:val="36"/>
          <w:szCs w:val="36"/>
        </w:rPr>
      </w:pPr>
    </w:p>
    <w:p>
      <w:pPr>
        <w:pStyle w:val="2"/>
        <w:ind w:firstLine="723"/>
        <w:rPr>
          <w:rFonts w:eastAsia="宋体" w:cs="宋体"/>
          <w:b/>
          <w:sz w:val="36"/>
          <w:szCs w:val="36"/>
        </w:rPr>
      </w:pPr>
    </w:p>
    <w:p>
      <w:pPr>
        <w:adjustRightInd w:val="0"/>
        <w:spacing w:line="360" w:lineRule="auto"/>
        <w:jc w:val="center"/>
        <w:rPr>
          <w:rFonts w:ascii="宋体" w:hAnsi="宋体" w:eastAsia="宋体" w:cs="宋体"/>
          <w:b/>
          <w:sz w:val="36"/>
          <w:szCs w:val="36"/>
        </w:rPr>
      </w:pPr>
    </w:p>
    <w:p>
      <w:pPr>
        <w:adjustRightInd w:val="0"/>
        <w:spacing w:line="360" w:lineRule="auto"/>
        <w:jc w:val="center"/>
        <w:rPr>
          <w:rFonts w:ascii="宋体" w:hAnsi="宋体" w:eastAsia="宋体" w:cs="宋体"/>
          <w:b/>
          <w:sz w:val="36"/>
          <w:szCs w:val="36"/>
        </w:rPr>
      </w:pPr>
    </w:p>
    <w:p>
      <w:pPr>
        <w:adjustRightInd w:val="0"/>
        <w:spacing w:line="360" w:lineRule="auto"/>
        <w:jc w:val="center"/>
        <w:rPr>
          <w:rFonts w:ascii="宋体" w:hAnsi="宋体" w:eastAsia="宋体" w:cs="宋体"/>
          <w:b/>
          <w:sz w:val="36"/>
          <w:szCs w:val="36"/>
        </w:rPr>
      </w:pPr>
      <w:r>
        <w:rPr>
          <w:rFonts w:hint="eastAsia" w:ascii="宋体" w:hAnsi="宋体" w:eastAsia="宋体" w:cs="宋体"/>
          <w:b/>
          <w:sz w:val="36"/>
          <w:szCs w:val="36"/>
        </w:rPr>
        <w:drawing>
          <wp:inline distT="0" distB="0" distL="114300" distR="114300">
            <wp:extent cx="1561465" cy="386715"/>
            <wp:effectExtent l="0" t="0" r="635" b="13335"/>
            <wp:docPr id="26" name="图片 1" descr="说明: 说明: LOG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descr="说明: 说明: LOGO3"/>
                    <pic:cNvPicPr>
                      <a:picLocks noChangeAspect="1"/>
                    </pic:cNvPicPr>
                  </pic:nvPicPr>
                  <pic:blipFill>
                    <a:blip r:embed="rId9" cstate="print"/>
                    <a:stretch>
                      <a:fillRect/>
                    </a:stretch>
                  </pic:blipFill>
                  <pic:spPr>
                    <a:xfrm>
                      <a:off x="0" y="0"/>
                      <a:ext cx="1561465" cy="386715"/>
                    </a:xfrm>
                    <a:prstGeom prst="rect">
                      <a:avLst/>
                    </a:prstGeom>
                    <a:noFill/>
                    <a:ln w="9525">
                      <a:noFill/>
                    </a:ln>
                  </pic:spPr>
                </pic:pic>
              </a:graphicData>
            </a:graphic>
          </wp:inline>
        </w:drawing>
      </w:r>
    </w:p>
    <w:p>
      <w:pPr>
        <w:jc w:val="center"/>
        <w:rPr>
          <w:rFonts w:ascii="宋体" w:hAnsi="宋体" w:eastAsia="宋体" w:cs="宋体"/>
          <w:szCs w:val="21"/>
        </w:rPr>
      </w:pPr>
      <w:r>
        <w:rPr>
          <w:rFonts w:hint="eastAsia" w:ascii="宋体" w:hAnsi="宋体" w:eastAsia="宋体" w:cs="宋体"/>
          <w:szCs w:val="21"/>
        </w:rPr>
        <w:t>山西太原长风商务区长兴路1号华润大厦T4座34-35层</w:t>
      </w:r>
    </w:p>
    <w:p>
      <w:pPr>
        <w:jc w:val="center"/>
        <w:rPr>
          <w:rFonts w:ascii="宋体" w:hAnsi="宋体" w:eastAsia="宋体" w:cs="宋体"/>
          <w:szCs w:val="21"/>
        </w:rPr>
      </w:pPr>
      <w:r>
        <w:rPr>
          <w:rFonts w:hint="eastAsia" w:ascii="宋体" w:hAnsi="宋体" w:eastAsia="宋体" w:cs="宋体"/>
          <w:szCs w:val="21"/>
        </w:rPr>
        <w:t>34/35th Floor， Tower 4， China Resources Building，</w:t>
      </w:r>
    </w:p>
    <w:p>
      <w:pPr>
        <w:jc w:val="center"/>
        <w:rPr>
          <w:rFonts w:ascii="宋体" w:hAnsi="宋体" w:eastAsia="宋体" w:cs="宋体"/>
          <w:szCs w:val="21"/>
        </w:rPr>
      </w:pPr>
      <w:r>
        <w:rPr>
          <w:rFonts w:hint="eastAsia" w:ascii="宋体" w:hAnsi="宋体" w:eastAsia="宋体" w:cs="宋体"/>
          <w:szCs w:val="21"/>
        </w:rPr>
        <w:t>No.1 Changxing Road， Changfeng CBD， Taiyuan， PRC</w:t>
      </w:r>
    </w:p>
    <w:p>
      <w:pPr>
        <w:jc w:val="center"/>
        <w:rPr>
          <w:rFonts w:ascii="宋体" w:hAnsi="宋体" w:eastAsia="宋体" w:cs="宋体"/>
          <w:szCs w:val="21"/>
        </w:rPr>
      </w:pPr>
      <w:r>
        <w:rPr>
          <w:rFonts w:hint="eastAsia" w:ascii="宋体" w:hAnsi="宋体" w:eastAsia="宋体" w:cs="宋体"/>
          <w:szCs w:val="21"/>
        </w:rPr>
        <w:t>电话/Tel：+86351 2715333/4/5/6/7/8/9  传真/Fax：+86351 2715337</w:t>
      </w:r>
    </w:p>
    <w:p>
      <w:pPr>
        <w:jc w:val="center"/>
        <w:rPr>
          <w:rFonts w:ascii="宋体" w:hAnsi="宋体" w:eastAsia="宋体" w:cs="宋体"/>
          <w:szCs w:val="21"/>
        </w:rPr>
      </w:pPr>
      <w:r>
        <w:rPr>
          <w:rFonts w:hint="eastAsia" w:ascii="宋体" w:hAnsi="宋体" w:eastAsia="宋体" w:cs="宋体"/>
          <w:szCs w:val="21"/>
        </w:rPr>
        <w:t>E-mail: office@huajulaw.com</w:t>
      </w:r>
    </w:p>
    <w:p>
      <w:pPr>
        <w:jc w:val="center"/>
        <w:rPr>
          <w:rFonts w:ascii="宋体" w:hAnsi="宋体" w:eastAsia="宋体" w:cs="宋体"/>
          <w:szCs w:val="21"/>
        </w:rPr>
      </w:pPr>
      <w:r>
        <w:rPr>
          <w:rFonts w:hint="eastAsia" w:ascii="宋体" w:hAnsi="宋体" w:eastAsia="宋体" w:cs="宋体"/>
          <w:szCs w:val="21"/>
        </w:rPr>
        <w:t>www.huajulaw.com</w:t>
      </w:r>
    </w:p>
    <w:p>
      <w:pPr>
        <w:tabs>
          <w:tab w:val="left" w:pos="5631"/>
        </w:tabs>
        <w:spacing w:line="340" w:lineRule="exact"/>
        <w:jc w:val="left"/>
        <w:rPr>
          <w:rFonts w:ascii="宋体" w:hAnsi="宋体" w:eastAsia="宋体" w:cs="宋体"/>
        </w:rPr>
        <w:sectPr>
          <w:headerReference r:id="rId3" w:type="default"/>
          <w:footerReference r:id="rId4" w:type="default"/>
          <w:footerReference r:id="rId5" w:type="even"/>
          <w:pgSz w:w="11906" w:h="16838"/>
          <w:pgMar w:top="850" w:right="1800" w:bottom="850" w:left="1800" w:header="851" w:footer="992" w:gutter="0"/>
          <w:pgNumType w:start="1"/>
          <w:cols w:space="720" w:num="1"/>
          <w:titlePg/>
          <w:docGrid w:type="lines" w:linePitch="312" w:charSpace="0"/>
        </w:sectPr>
      </w:pPr>
    </w:p>
    <w:p>
      <w:pPr>
        <w:tabs>
          <w:tab w:val="right" w:leader="dot" w:pos="8720"/>
        </w:tabs>
        <w:spacing w:before="312" w:beforeLines="100" w:after="312" w:afterLines="100" w:line="600" w:lineRule="exact"/>
        <w:jc w:val="center"/>
        <w:rPr>
          <w:rFonts w:ascii="宋体" w:hAnsi="宋体" w:eastAsia="宋体" w:cs="宋体"/>
          <w:b/>
          <w:bCs/>
          <w:caps/>
          <w:kern w:val="0"/>
          <w:sz w:val="32"/>
          <w:szCs w:val="32"/>
        </w:rPr>
      </w:pPr>
      <w:r>
        <w:rPr>
          <w:rFonts w:hint="eastAsia" w:ascii="宋体" w:hAnsi="宋体" w:eastAsia="宋体" w:cs="宋体"/>
          <w:b/>
          <w:bCs/>
          <w:caps/>
          <w:kern w:val="0"/>
          <w:sz w:val="32"/>
          <w:szCs w:val="32"/>
        </w:rPr>
        <w:t>目录</w:t>
      </w:r>
    </w:p>
    <w:p>
      <w:pPr>
        <w:pStyle w:val="11"/>
        <w:tabs>
          <w:tab w:val="right" w:leader="dot" w:pos="8306"/>
        </w:tabs>
        <w:spacing w:after="0" w:line="240" w:lineRule="auto"/>
        <w:rPr>
          <w:rFonts w:ascii="宋体" w:hAnsi="宋体" w:eastAsia="宋体" w:cs="宋体"/>
          <w:sz w:val="28"/>
          <w:szCs w:val="28"/>
        </w:rPr>
      </w:pPr>
      <w:r>
        <w:rPr>
          <w:rFonts w:hint="eastAsia" w:ascii="宋体" w:hAnsi="宋体" w:eastAsia="宋体" w:cs="宋体"/>
          <w:b/>
          <w:kern w:val="2"/>
          <w:sz w:val="28"/>
          <w:szCs w:val="28"/>
        </w:rPr>
        <w:fldChar w:fldCharType="begin"/>
      </w:r>
      <w:r>
        <w:rPr>
          <w:rFonts w:hint="eastAsia" w:ascii="宋体" w:hAnsi="宋体" w:eastAsia="宋体" w:cs="宋体"/>
          <w:b/>
          <w:kern w:val="2"/>
          <w:sz w:val="28"/>
          <w:szCs w:val="28"/>
        </w:rPr>
        <w:instrText xml:space="preserve"> TOC \o "1-3" \h \z \u </w:instrText>
      </w:r>
      <w:r>
        <w:rPr>
          <w:rFonts w:hint="eastAsia" w:ascii="宋体" w:hAnsi="宋体" w:eastAsia="宋体" w:cs="宋体"/>
          <w:b/>
          <w:kern w:val="2"/>
          <w:sz w:val="28"/>
          <w:szCs w:val="28"/>
        </w:rPr>
        <w:fldChar w:fldCharType="separate"/>
      </w:r>
      <w:r>
        <w:rPr>
          <w:rFonts w:hint="eastAsia" w:ascii="宋体" w:hAnsi="宋体" w:eastAsia="宋体" w:cs="宋体"/>
          <w:b/>
          <w:bCs/>
          <w:kern w:val="2"/>
          <w:sz w:val="28"/>
          <w:szCs w:val="28"/>
        </w:rPr>
        <w:fldChar w:fldCharType="begin"/>
      </w:r>
      <w:r>
        <w:rPr>
          <w:rFonts w:hint="eastAsia" w:ascii="宋体" w:hAnsi="宋体" w:eastAsia="宋体" w:cs="宋体"/>
          <w:b/>
          <w:bCs/>
          <w:kern w:val="2"/>
          <w:sz w:val="28"/>
          <w:szCs w:val="28"/>
        </w:rPr>
        <w:instrText xml:space="preserve"> HYPERLINK \l _Toc16360 </w:instrText>
      </w:r>
      <w:r>
        <w:rPr>
          <w:rFonts w:hint="eastAsia" w:ascii="宋体" w:hAnsi="宋体" w:eastAsia="宋体" w:cs="宋体"/>
          <w:b/>
          <w:bCs/>
          <w:kern w:val="2"/>
          <w:sz w:val="28"/>
          <w:szCs w:val="28"/>
        </w:rPr>
        <w:fldChar w:fldCharType="separate"/>
      </w:r>
      <w:r>
        <w:rPr>
          <w:rFonts w:hint="eastAsia" w:ascii="宋体" w:hAnsi="宋体" w:eastAsia="宋体" w:cs="宋体"/>
          <w:b/>
          <w:bCs/>
          <w:sz w:val="28"/>
          <w:szCs w:val="28"/>
        </w:rPr>
        <w:t>第一部分　引言</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_Toc16360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_Toc7909 </w:instrText>
      </w:r>
      <w:r>
        <w:rPr>
          <w:rFonts w:hint="eastAsia" w:ascii="宋体" w:hAnsi="宋体" w:eastAsia="宋体" w:cs="宋体"/>
          <w:sz w:val="28"/>
          <w:szCs w:val="28"/>
        </w:rPr>
        <w:fldChar w:fldCharType="separate"/>
      </w:r>
      <w:r>
        <w:rPr>
          <w:rFonts w:hint="eastAsia" w:ascii="宋体" w:hAnsi="宋体" w:eastAsia="宋体" w:cs="宋体"/>
          <w:sz w:val="28"/>
          <w:szCs w:val="28"/>
        </w:rPr>
        <w:t>一、出具本法律意见书的依据</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_Toc7909 \h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_Toc25087 </w:instrText>
      </w:r>
      <w:r>
        <w:rPr>
          <w:rFonts w:hint="eastAsia" w:ascii="宋体" w:hAnsi="宋体" w:eastAsia="宋体" w:cs="宋体"/>
          <w:sz w:val="28"/>
          <w:szCs w:val="28"/>
        </w:rPr>
        <w:fldChar w:fldCharType="separate"/>
      </w:r>
      <w:r>
        <w:rPr>
          <w:rFonts w:hint="eastAsia" w:ascii="宋体" w:hAnsi="宋体" w:eastAsia="宋体" w:cs="宋体"/>
          <w:sz w:val="28"/>
          <w:szCs w:val="28"/>
        </w:rPr>
        <w:t>二、声明事项</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_Toc25087 \h </w:instrText>
      </w:r>
      <w:r>
        <w:rPr>
          <w:rFonts w:hint="eastAsia" w:ascii="宋体" w:hAnsi="宋体" w:eastAsia="宋体" w:cs="宋体"/>
          <w:sz w:val="28"/>
          <w:szCs w:val="28"/>
        </w:rPr>
        <w:fldChar w:fldCharType="separate"/>
      </w:r>
      <w:r>
        <w:rPr>
          <w:rFonts w:hint="eastAsia" w:ascii="宋体" w:hAnsi="宋体" w:eastAsia="宋体" w:cs="宋体"/>
          <w:sz w:val="28"/>
          <w:szCs w:val="28"/>
        </w:rPr>
        <w:t>2</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1"/>
        <w:tabs>
          <w:tab w:val="right" w:leader="dot" w:pos="8306"/>
        </w:tabs>
        <w:spacing w:after="0" w:line="240" w:lineRule="auto"/>
        <w:rPr>
          <w:rFonts w:ascii="宋体" w:hAnsi="宋体" w:eastAsia="宋体" w:cs="宋体"/>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_Toc29871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第二部分  正文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_Toc29871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_Toc29721 </w:instrText>
      </w:r>
      <w:r>
        <w:rPr>
          <w:rFonts w:hint="eastAsia" w:ascii="宋体" w:hAnsi="宋体" w:eastAsia="宋体" w:cs="宋体"/>
          <w:sz w:val="28"/>
          <w:szCs w:val="28"/>
        </w:rPr>
        <w:fldChar w:fldCharType="separate"/>
      </w:r>
      <w:r>
        <w:rPr>
          <w:rFonts w:hint="eastAsia" w:ascii="宋体" w:hAnsi="宋体" w:eastAsia="宋体" w:cs="宋体"/>
          <w:sz w:val="28"/>
          <w:szCs w:val="28"/>
        </w:rPr>
        <w:t>一、项目主体</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_Toc29721 \h </w:instrText>
      </w:r>
      <w:r>
        <w:rPr>
          <w:rFonts w:hint="eastAsia" w:ascii="宋体" w:hAnsi="宋体" w:eastAsia="宋体" w:cs="宋体"/>
          <w:sz w:val="28"/>
          <w:szCs w:val="28"/>
        </w:rPr>
        <w:fldChar w:fldCharType="separate"/>
      </w:r>
      <w:r>
        <w:rPr>
          <w:rFonts w:hint="eastAsia" w:ascii="宋体" w:hAnsi="宋体" w:eastAsia="宋体" w:cs="宋体"/>
          <w:sz w:val="28"/>
          <w:szCs w:val="28"/>
        </w:rPr>
        <w:t>4</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_Toc11543 </w:instrText>
      </w:r>
      <w:r>
        <w:rPr>
          <w:rFonts w:hint="eastAsia" w:ascii="宋体" w:hAnsi="宋体" w:eastAsia="宋体" w:cs="宋体"/>
          <w:sz w:val="28"/>
          <w:szCs w:val="28"/>
        </w:rPr>
        <w:fldChar w:fldCharType="separate"/>
      </w:r>
      <w:r>
        <w:rPr>
          <w:rFonts w:hint="eastAsia" w:ascii="宋体" w:hAnsi="宋体" w:eastAsia="宋体" w:cs="宋体"/>
          <w:sz w:val="28"/>
          <w:szCs w:val="28"/>
        </w:rPr>
        <w:t>二、项目基本情况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_Toc11543 \h </w:instrText>
      </w:r>
      <w:r>
        <w:rPr>
          <w:rFonts w:hint="eastAsia" w:ascii="宋体" w:hAnsi="宋体" w:eastAsia="宋体" w:cs="宋体"/>
          <w:sz w:val="28"/>
          <w:szCs w:val="28"/>
        </w:rPr>
        <w:fldChar w:fldCharType="separate"/>
      </w:r>
      <w:r>
        <w:rPr>
          <w:rFonts w:hint="eastAsia" w:ascii="宋体" w:hAnsi="宋体" w:eastAsia="宋体" w:cs="宋体"/>
          <w:sz w:val="28"/>
          <w:szCs w:val="28"/>
        </w:rPr>
        <w:t>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_Toc854 </w:instrText>
      </w:r>
      <w:r>
        <w:rPr>
          <w:rFonts w:hint="eastAsia" w:ascii="宋体" w:hAnsi="宋体" w:eastAsia="宋体" w:cs="宋体"/>
          <w:sz w:val="28"/>
          <w:szCs w:val="28"/>
        </w:rPr>
        <w:fldChar w:fldCharType="separate"/>
      </w:r>
      <w:r>
        <w:rPr>
          <w:rFonts w:hint="eastAsia" w:ascii="宋体" w:hAnsi="宋体" w:eastAsia="宋体" w:cs="宋体"/>
          <w:sz w:val="28"/>
          <w:szCs w:val="28"/>
        </w:rPr>
        <w:t>（一）项目概况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_Toc854 \h </w:instrText>
      </w:r>
      <w:r>
        <w:rPr>
          <w:rFonts w:hint="eastAsia" w:ascii="宋体" w:hAnsi="宋体" w:eastAsia="宋体" w:cs="宋体"/>
          <w:sz w:val="28"/>
          <w:szCs w:val="28"/>
        </w:rPr>
        <w:fldChar w:fldCharType="separate"/>
      </w:r>
      <w:r>
        <w:rPr>
          <w:rFonts w:hint="eastAsia" w:ascii="宋体" w:hAnsi="宋体" w:eastAsia="宋体" w:cs="宋体"/>
          <w:sz w:val="28"/>
          <w:szCs w:val="28"/>
        </w:rPr>
        <w:t>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_Toc18462 </w:instrText>
      </w:r>
      <w:r>
        <w:rPr>
          <w:rFonts w:hint="eastAsia" w:ascii="宋体" w:hAnsi="宋体" w:eastAsia="宋体" w:cs="宋体"/>
          <w:sz w:val="28"/>
          <w:szCs w:val="28"/>
        </w:rPr>
        <w:fldChar w:fldCharType="separate"/>
      </w:r>
      <w:r>
        <w:rPr>
          <w:rFonts w:hint="eastAsia" w:ascii="宋体" w:hAnsi="宋体" w:eastAsia="宋体" w:cs="宋体"/>
          <w:sz w:val="28"/>
          <w:szCs w:val="28"/>
        </w:rPr>
        <w:t>（二）项目批复文件</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_Toc18462 \h </w:instrText>
      </w:r>
      <w:r>
        <w:rPr>
          <w:rFonts w:hint="eastAsia" w:ascii="宋体" w:hAnsi="宋体" w:eastAsia="宋体" w:cs="宋体"/>
          <w:sz w:val="28"/>
          <w:szCs w:val="28"/>
        </w:rPr>
        <w:fldChar w:fldCharType="separate"/>
      </w:r>
      <w:r>
        <w:rPr>
          <w:rFonts w:hint="eastAsia" w:ascii="宋体" w:hAnsi="宋体" w:eastAsia="宋体" w:cs="宋体"/>
          <w:sz w:val="28"/>
          <w:szCs w:val="28"/>
        </w:rPr>
        <w:t>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_Toc424 </w:instrText>
      </w:r>
      <w:r>
        <w:rPr>
          <w:rFonts w:hint="eastAsia" w:ascii="宋体" w:hAnsi="宋体" w:eastAsia="宋体" w:cs="宋体"/>
          <w:sz w:val="28"/>
          <w:szCs w:val="28"/>
        </w:rPr>
        <w:fldChar w:fldCharType="separate"/>
      </w:r>
      <w:r>
        <w:rPr>
          <w:rFonts w:hint="eastAsia" w:ascii="宋体" w:hAnsi="宋体" w:eastAsia="宋体" w:cs="宋体"/>
          <w:sz w:val="28"/>
          <w:szCs w:val="28"/>
          <w:lang w:eastAsia="zh-Hans"/>
        </w:rPr>
        <w:t>（三）项目建设进度情况</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_Toc424 \h </w:instrText>
      </w:r>
      <w:r>
        <w:rPr>
          <w:rFonts w:hint="eastAsia" w:ascii="宋体" w:hAnsi="宋体" w:eastAsia="宋体" w:cs="宋体"/>
          <w:sz w:val="28"/>
          <w:szCs w:val="28"/>
        </w:rPr>
        <w:fldChar w:fldCharType="separate"/>
      </w:r>
      <w:r>
        <w:rPr>
          <w:rFonts w:hint="eastAsia" w:ascii="宋体" w:hAnsi="宋体" w:eastAsia="宋体" w:cs="宋体"/>
          <w:sz w:val="28"/>
          <w:szCs w:val="28"/>
        </w:rPr>
        <w:t>5</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_Toc25110 </w:instrText>
      </w:r>
      <w:r>
        <w:rPr>
          <w:rFonts w:hint="eastAsia" w:ascii="宋体" w:hAnsi="宋体" w:eastAsia="宋体" w:cs="宋体"/>
          <w:sz w:val="28"/>
          <w:szCs w:val="28"/>
        </w:rPr>
        <w:fldChar w:fldCharType="separate"/>
      </w:r>
      <w:r>
        <w:rPr>
          <w:rFonts w:hint="eastAsia" w:ascii="宋体" w:hAnsi="宋体" w:eastAsia="宋体" w:cs="宋体"/>
          <w:sz w:val="28"/>
          <w:szCs w:val="28"/>
        </w:rPr>
        <w:t>三、项目资金筹措</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_Toc25110 \h </w:instrText>
      </w:r>
      <w:r>
        <w:rPr>
          <w:rFonts w:hint="eastAsia" w:ascii="宋体" w:hAnsi="宋体" w:eastAsia="宋体" w:cs="宋体"/>
          <w:sz w:val="28"/>
          <w:szCs w:val="28"/>
        </w:rPr>
        <w:fldChar w:fldCharType="separate"/>
      </w:r>
      <w:r>
        <w:rPr>
          <w:rFonts w:hint="eastAsia" w:ascii="宋体" w:hAnsi="宋体" w:eastAsia="宋体" w:cs="宋体"/>
          <w:sz w:val="28"/>
          <w:szCs w:val="28"/>
        </w:rPr>
        <w:t>9</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_Toc27545 </w:instrText>
      </w:r>
      <w:r>
        <w:rPr>
          <w:rFonts w:hint="eastAsia" w:ascii="宋体" w:hAnsi="宋体" w:eastAsia="宋体" w:cs="宋体"/>
          <w:sz w:val="28"/>
          <w:szCs w:val="28"/>
        </w:rPr>
        <w:fldChar w:fldCharType="separate"/>
      </w:r>
      <w:r>
        <w:rPr>
          <w:rFonts w:hint="eastAsia" w:ascii="宋体" w:hAnsi="宋体" w:eastAsia="宋体" w:cs="宋体"/>
          <w:sz w:val="28"/>
          <w:szCs w:val="28"/>
        </w:rPr>
        <w:t>四、项目对应专项债券预期偿债资金来源</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_Toc27545 \h </w:instrText>
      </w:r>
      <w:r>
        <w:rPr>
          <w:rFonts w:hint="eastAsia" w:ascii="宋体" w:hAnsi="宋体" w:eastAsia="宋体" w:cs="宋体"/>
          <w:sz w:val="28"/>
          <w:szCs w:val="28"/>
        </w:rPr>
        <w:fldChar w:fldCharType="separate"/>
      </w:r>
      <w:r>
        <w:rPr>
          <w:rFonts w:hint="eastAsia" w:ascii="宋体" w:hAnsi="宋体" w:eastAsia="宋体" w:cs="宋体"/>
          <w:sz w:val="28"/>
          <w:szCs w:val="28"/>
        </w:rPr>
        <w:t>10</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_Toc6361 </w:instrText>
      </w:r>
      <w:r>
        <w:rPr>
          <w:rFonts w:hint="eastAsia" w:ascii="宋体" w:hAnsi="宋体" w:eastAsia="宋体" w:cs="宋体"/>
          <w:sz w:val="28"/>
          <w:szCs w:val="28"/>
        </w:rPr>
        <w:fldChar w:fldCharType="separate"/>
      </w:r>
      <w:r>
        <w:rPr>
          <w:rFonts w:hint="eastAsia" w:ascii="宋体" w:hAnsi="宋体" w:eastAsia="宋体" w:cs="宋体"/>
          <w:sz w:val="28"/>
          <w:szCs w:val="28"/>
        </w:rPr>
        <w:t>五、项目对应专项债券的中介服务机构</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_Toc6361 \h </w:instrText>
      </w:r>
      <w:r>
        <w:rPr>
          <w:rFonts w:hint="eastAsia" w:ascii="宋体" w:hAnsi="宋体" w:eastAsia="宋体" w:cs="宋体"/>
          <w:sz w:val="28"/>
          <w:szCs w:val="28"/>
        </w:rPr>
        <w:fldChar w:fldCharType="separate"/>
      </w:r>
      <w:r>
        <w:rPr>
          <w:rFonts w:hint="eastAsia" w:ascii="宋体" w:hAnsi="宋体" w:eastAsia="宋体" w:cs="宋体"/>
          <w:sz w:val="28"/>
          <w:szCs w:val="28"/>
        </w:rPr>
        <w:t>11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_Toc5421 </w:instrText>
      </w:r>
      <w:r>
        <w:rPr>
          <w:rFonts w:hint="eastAsia" w:ascii="宋体" w:hAnsi="宋体" w:eastAsia="宋体" w:cs="宋体"/>
          <w:sz w:val="28"/>
          <w:szCs w:val="28"/>
        </w:rPr>
        <w:fldChar w:fldCharType="separate"/>
      </w:r>
      <w:r>
        <w:rPr>
          <w:rFonts w:hint="eastAsia" w:ascii="宋体" w:hAnsi="宋体" w:eastAsia="宋体" w:cs="宋体"/>
          <w:sz w:val="28"/>
          <w:szCs w:val="28"/>
        </w:rPr>
        <w:t>（一）会计师事务所</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_Toc5421 \h </w:instrText>
      </w:r>
      <w:r>
        <w:rPr>
          <w:rFonts w:hint="eastAsia" w:ascii="宋体" w:hAnsi="宋体" w:eastAsia="宋体" w:cs="宋体"/>
          <w:sz w:val="28"/>
          <w:szCs w:val="28"/>
        </w:rPr>
        <w:fldChar w:fldCharType="separate"/>
      </w:r>
      <w:r>
        <w:rPr>
          <w:rFonts w:hint="eastAsia" w:ascii="宋体" w:hAnsi="宋体" w:eastAsia="宋体" w:cs="宋体"/>
          <w:sz w:val="28"/>
          <w:szCs w:val="28"/>
        </w:rPr>
        <w:t>11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_Toc12199 </w:instrText>
      </w:r>
      <w:r>
        <w:rPr>
          <w:rFonts w:hint="eastAsia" w:ascii="宋体" w:hAnsi="宋体" w:eastAsia="宋体" w:cs="宋体"/>
          <w:sz w:val="28"/>
          <w:szCs w:val="28"/>
        </w:rPr>
        <w:fldChar w:fldCharType="separate"/>
      </w:r>
      <w:r>
        <w:rPr>
          <w:rFonts w:hint="eastAsia" w:ascii="宋体" w:hAnsi="宋体" w:eastAsia="宋体" w:cs="宋体"/>
          <w:sz w:val="28"/>
          <w:szCs w:val="28"/>
        </w:rPr>
        <w:t>（二）律师事务所</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_Toc12199 \h </w:instrText>
      </w:r>
      <w:r>
        <w:rPr>
          <w:rFonts w:hint="eastAsia" w:ascii="宋体" w:hAnsi="宋体" w:eastAsia="宋体" w:cs="宋体"/>
          <w:sz w:val="28"/>
          <w:szCs w:val="28"/>
        </w:rPr>
        <w:fldChar w:fldCharType="separate"/>
      </w:r>
      <w:r>
        <w:rPr>
          <w:rFonts w:hint="eastAsia" w:ascii="宋体" w:hAnsi="宋体" w:eastAsia="宋体" w:cs="宋体"/>
          <w:sz w:val="28"/>
          <w:szCs w:val="28"/>
        </w:rPr>
        <w:t>11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2"/>
        <w:tabs>
          <w:tab w:val="right" w:leader="dot" w:pos="8306"/>
        </w:tabs>
        <w:spacing w:after="0" w:line="240" w:lineRule="auto"/>
        <w:ind w:left="0"/>
        <w:rPr>
          <w:rFonts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_Toc7877 </w:instrText>
      </w:r>
      <w:r>
        <w:rPr>
          <w:rFonts w:hint="eastAsia" w:ascii="宋体" w:hAnsi="宋体" w:eastAsia="宋体" w:cs="宋体"/>
          <w:sz w:val="28"/>
          <w:szCs w:val="28"/>
        </w:rPr>
        <w:fldChar w:fldCharType="separate"/>
      </w:r>
      <w:r>
        <w:rPr>
          <w:rFonts w:hint="eastAsia" w:ascii="宋体" w:hAnsi="宋体" w:eastAsia="宋体" w:cs="宋体"/>
          <w:sz w:val="28"/>
          <w:szCs w:val="28"/>
        </w:rPr>
        <w:t>六、结论意见</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_Toc7877 \h </w:instrText>
      </w:r>
      <w:r>
        <w:rPr>
          <w:rFonts w:hint="eastAsia" w:ascii="宋体" w:hAnsi="宋体" w:eastAsia="宋体" w:cs="宋体"/>
          <w:sz w:val="28"/>
          <w:szCs w:val="28"/>
        </w:rPr>
        <w:fldChar w:fldCharType="separate"/>
      </w:r>
      <w:r>
        <w:rPr>
          <w:rFonts w:hint="eastAsia" w:ascii="宋体" w:hAnsi="宋体" w:eastAsia="宋体" w:cs="宋体"/>
          <w:sz w:val="28"/>
          <w:szCs w:val="28"/>
        </w:rPr>
        <w:t>11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11"/>
        <w:tabs>
          <w:tab w:val="right" w:leader="dot" w:pos="8306"/>
        </w:tabs>
        <w:spacing w:after="0" w:line="240" w:lineRule="auto"/>
        <w:rPr>
          <w:rFonts w:ascii="宋体" w:hAnsi="宋体" w:eastAsia="宋体" w:cs="宋体"/>
          <w:sz w:val="28"/>
          <w:szCs w:val="28"/>
        </w:rPr>
      </w:pPr>
      <w:r>
        <w:rPr>
          <w:rFonts w:hint="eastAsia" w:ascii="宋体" w:hAnsi="宋体" w:eastAsia="宋体" w:cs="宋体"/>
          <w:szCs w:val="28"/>
        </w:rPr>
        <w:fldChar w:fldCharType="end"/>
      </w:r>
    </w:p>
    <w:p>
      <w:pPr>
        <w:tabs>
          <w:tab w:val="left" w:pos="6170"/>
        </w:tabs>
        <w:rPr>
          <w:rFonts w:ascii="宋体" w:hAnsi="宋体" w:eastAsia="宋体" w:cs="宋体"/>
        </w:rPr>
        <w:sectPr>
          <w:footerReference r:id="rId6" w:type="default"/>
          <w:pgSz w:w="11906" w:h="16838"/>
          <w:pgMar w:top="1440" w:right="1800" w:bottom="1440" w:left="1800" w:header="851" w:footer="992" w:gutter="0"/>
          <w:pgNumType w:start="1"/>
          <w:cols w:space="720" w:num="1"/>
          <w:docGrid w:type="lines" w:linePitch="312" w:charSpace="0"/>
        </w:sectPr>
      </w:pPr>
      <w:r>
        <w:rPr>
          <w:rFonts w:hint="eastAsia" w:ascii="宋体" w:hAnsi="宋体" w:eastAsia="宋体" w:cs="宋体"/>
        </w:rPr>
        <w:tab/>
      </w:r>
      <w:r>
        <w:rPr>
          <w:rFonts w:hint="eastAsia" w:ascii="宋体" w:hAnsi="宋体" w:eastAsia="宋体" w:cs="宋体"/>
        </w:rPr>
        <w:tab/>
      </w:r>
    </w:p>
    <w:p>
      <w:pPr>
        <w:autoSpaceDE w:val="0"/>
        <w:autoSpaceDN w:val="0"/>
        <w:adjustRightInd w:val="0"/>
        <w:snapToGrid w:val="0"/>
        <w:spacing w:before="312" w:beforeLines="100" w:line="600" w:lineRule="exact"/>
        <w:jc w:val="center"/>
        <w:rPr>
          <w:rFonts w:ascii="宋体" w:hAnsi="宋体" w:eastAsia="宋体" w:cs="宋体"/>
          <w:b/>
          <w:kern w:val="0"/>
          <w:sz w:val="32"/>
          <w:szCs w:val="32"/>
          <w:lang w:val="en-GB"/>
        </w:rPr>
      </w:pPr>
      <w:bookmarkStart w:id="0" w:name="_Toc318126189"/>
      <w:bookmarkStart w:id="1" w:name="_Toc318124256"/>
      <w:bookmarkStart w:id="2" w:name="_Toc318125493"/>
      <w:bookmarkStart w:id="3" w:name="_Toc346553206"/>
      <w:bookmarkStart w:id="4" w:name="_Toc253152314"/>
      <w:bookmarkStart w:id="5" w:name="_Toc252124407"/>
      <w:r>
        <w:rPr>
          <w:rFonts w:hint="eastAsia" w:ascii="宋体" w:hAnsi="宋体" w:eastAsia="宋体" w:cs="宋体"/>
          <w:b/>
          <w:kern w:val="0"/>
          <w:sz w:val="32"/>
          <w:szCs w:val="32"/>
          <w:lang w:val="en-GB"/>
        </w:rPr>
        <w:t>山西华炬律师事务所</w:t>
      </w:r>
    </w:p>
    <w:p>
      <w:pPr>
        <w:spacing w:line="600" w:lineRule="exact"/>
        <w:jc w:val="center"/>
        <w:rPr>
          <w:rFonts w:ascii="宋体" w:hAnsi="宋体" w:eastAsia="宋体" w:cs="宋体"/>
          <w:b/>
          <w:bCs/>
          <w:sz w:val="32"/>
          <w:szCs w:val="32"/>
        </w:rPr>
      </w:pPr>
      <w:r>
        <w:rPr>
          <w:rFonts w:hint="eastAsia" w:ascii="宋体" w:hAnsi="宋体" w:eastAsia="宋体" w:cs="宋体"/>
          <w:b/>
          <w:bCs/>
          <w:kern w:val="0"/>
          <w:sz w:val="32"/>
          <w:szCs w:val="32"/>
          <w:lang w:val="en-GB"/>
        </w:rPr>
        <w:t>2023年至2024年太原市杏花岭区康乐幼儿园（五一北路校区）新建专项债券项目</w:t>
      </w:r>
      <w:r>
        <w:rPr>
          <w:rFonts w:hint="eastAsia" w:ascii="宋体" w:hAnsi="宋体" w:eastAsia="宋体" w:cs="宋体"/>
          <w:b/>
          <w:kern w:val="0"/>
          <w:sz w:val="32"/>
          <w:szCs w:val="32"/>
          <w:lang w:val="en-GB"/>
        </w:rPr>
        <w:t>之</w:t>
      </w:r>
    </w:p>
    <w:p>
      <w:pPr>
        <w:autoSpaceDE w:val="0"/>
        <w:autoSpaceDN w:val="0"/>
        <w:adjustRightInd w:val="0"/>
        <w:snapToGrid w:val="0"/>
        <w:spacing w:after="312" w:afterLines="100" w:line="600" w:lineRule="exact"/>
        <w:jc w:val="center"/>
        <w:rPr>
          <w:rFonts w:ascii="宋体" w:hAnsi="宋体" w:eastAsia="宋体" w:cs="宋体"/>
          <w:b/>
          <w:kern w:val="0"/>
          <w:sz w:val="32"/>
          <w:szCs w:val="32"/>
        </w:rPr>
      </w:pPr>
      <w:r>
        <w:rPr>
          <w:rFonts w:hint="eastAsia" w:ascii="宋体" w:hAnsi="宋体" w:eastAsia="宋体" w:cs="宋体"/>
          <w:b/>
          <w:kern w:val="0"/>
          <w:sz w:val="32"/>
          <w:szCs w:val="32"/>
          <w:lang w:val="en-GB"/>
        </w:rPr>
        <w:t>法律意见书</w:t>
      </w:r>
    </w:p>
    <w:p>
      <w:pPr>
        <w:autoSpaceDE w:val="0"/>
        <w:autoSpaceDN w:val="0"/>
        <w:spacing w:line="600" w:lineRule="exact"/>
        <w:contextualSpacing/>
        <w:jc w:val="right"/>
        <w:rPr>
          <w:rFonts w:ascii="宋体" w:hAnsi="宋体" w:eastAsia="宋体" w:cs="宋体"/>
          <w:kern w:val="0"/>
          <w:sz w:val="28"/>
          <w:szCs w:val="28"/>
        </w:rPr>
      </w:pPr>
      <w:r>
        <w:rPr>
          <w:rFonts w:hint="eastAsia" w:ascii="宋体" w:hAnsi="宋体" w:eastAsia="宋体" w:cs="宋体"/>
          <w:kern w:val="0"/>
          <w:sz w:val="24"/>
          <w:szCs w:val="24"/>
        </w:rPr>
        <w:t xml:space="preserve">                           </w:t>
      </w:r>
      <w:r>
        <w:rPr>
          <w:rFonts w:hint="eastAsia" w:ascii="宋体" w:hAnsi="宋体" w:eastAsia="宋体" w:cs="宋体"/>
          <w:sz w:val="28"/>
          <w:szCs w:val="28"/>
        </w:rPr>
        <w:tab/>
      </w:r>
      <w:r>
        <w:rPr>
          <w:rFonts w:hint="eastAsia" w:ascii="宋体" w:hAnsi="宋体" w:eastAsia="宋体" w:cs="宋体"/>
          <w:sz w:val="28"/>
          <w:szCs w:val="28"/>
        </w:rPr>
        <w:tab/>
      </w:r>
      <w:r>
        <w:rPr>
          <w:rFonts w:hint="eastAsia" w:ascii="宋体" w:hAnsi="宋体" w:eastAsia="宋体" w:cs="宋体"/>
          <w:sz w:val="28"/>
          <w:szCs w:val="28"/>
        </w:rPr>
        <w:t>华律字〔2023〕1114-32号</w:t>
      </w:r>
    </w:p>
    <w:p>
      <w:pPr>
        <w:autoSpaceDE w:val="0"/>
        <w:autoSpaceDN w:val="0"/>
        <w:spacing w:line="600" w:lineRule="exact"/>
        <w:contextualSpacing/>
        <w:rPr>
          <w:rFonts w:ascii="宋体" w:hAnsi="宋体" w:eastAsia="宋体" w:cs="宋体"/>
          <w:b/>
          <w:kern w:val="0"/>
          <w:sz w:val="28"/>
          <w:szCs w:val="28"/>
        </w:rPr>
      </w:pPr>
      <w:r>
        <w:rPr>
          <w:rFonts w:hint="eastAsia" w:ascii="宋体" w:hAnsi="宋体" w:eastAsia="宋体" w:cs="宋体"/>
          <w:b/>
          <w:kern w:val="0"/>
          <w:sz w:val="28"/>
          <w:szCs w:val="28"/>
        </w:rPr>
        <w:t>致：太原市杏花岭区教育局</w:t>
      </w:r>
    </w:p>
    <w:p>
      <w:pPr>
        <w:spacing w:line="600" w:lineRule="exact"/>
        <w:ind w:firstLine="560" w:firstLineChars="200"/>
        <w:contextualSpacing/>
        <w:rPr>
          <w:rFonts w:ascii="宋体" w:hAnsi="宋体" w:eastAsia="宋体" w:cs="宋体"/>
          <w:bCs/>
          <w:kern w:val="0"/>
          <w:sz w:val="28"/>
          <w:szCs w:val="28"/>
          <w:lang w:val="en-GB"/>
        </w:rPr>
      </w:pPr>
      <w:r>
        <w:rPr>
          <w:rFonts w:hint="eastAsia" w:ascii="宋体" w:hAnsi="宋体" w:eastAsia="宋体" w:cs="宋体"/>
          <w:kern w:val="0"/>
          <w:sz w:val="28"/>
          <w:szCs w:val="28"/>
        </w:rPr>
        <w:t>山西华炬律师事务所接受</w:t>
      </w:r>
      <w:r>
        <w:rPr>
          <w:rFonts w:hint="eastAsia" w:ascii="宋体" w:hAnsi="宋体" w:eastAsia="宋体" w:cs="宋体"/>
          <w:sz w:val="28"/>
          <w:szCs w:val="28"/>
        </w:rPr>
        <w:t>太原市杏花岭区教育局（以下简称“委托方”）</w:t>
      </w:r>
      <w:r>
        <w:rPr>
          <w:rFonts w:hint="eastAsia" w:ascii="宋体" w:hAnsi="宋体" w:eastAsia="宋体" w:cs="宋体"/>
          <w:kern w:val="0"/>
          <w:sz w:val="28"/>
          <w:szCs w:val="28"/>
        </w:rPr>
        <w:t>的委托，指派本所律师作为2023年至2024年太原市杏花岭区康乐幼儿园（五一北路校区）新建专项债券项目的专项法律顾问，出具本法律意见书。</w:t>
      </w:r>
    </w:p>
    <w:p>
      <w:pPr>
        <w:pStyle w:val="3"/>
        <w:spacing w:before="312" w:after="312"/>
      </w:pPr>
      <w:bookmarkStart w:id="6" w:name="_Toc451766127"/>
      <w:bookmarkStart w:id="7" w:name="_Toc16664"/>
      <w:bookmarkStart w:id="8" w:name="_Toc16360"/>
      <w:r>
        <w:rPr>
          <w:rFonts w:hint="eastAsia"/>
        </w:rPr>
        <w:t>第一部分　</w:t>
      </w:r>
      <w:bookmarkEnd w:id="0"/>
      <w:bookmarkEnd w:id="1"/>
      <w:bookmarkEnd w:id="2"/>
      <w:bookmarkEnd w:id="3"/>
      <w:bookmarkEnd w:id="4"/>
      <w:bookmarkEnd w:id="5"/>
      <w:bookmarkEnd w:id="6"/>
      <w:bookmarkEnd w:id="7"/>
      <w:r>
        <w:rPr>
          <w:rFonts w:hint="eastAsia"/>
        </w:rPr>
        <w:t>引言</w:t>
      </w:r>
      <w:bookmarkEnd w:id="8"/>
    </w:p>
    <w:p>
      <w:pPr>
        <w:pStyle w:val="4"/>
        <w:ind w:firstLine="562"/>
        <w:rPr>
          <w:rFonts w:ascii="宋体" w:hAnsi="宋体" w:cs="宋体"/>
          <w:kern w:val="0"/>
          <w:szCs w:val="28"/>
        </w:rPr>
      </w:pPr>
      <w:bookmarkStart w:id="9" w:name="_Toc252124408"/>
      <w:bookmarkStart w:id="10" w:name="_Toc318124257"/>
      <w:bookmarkStart w:id="11" w:name="_Toc451766128"/>
      <w:bookmarkStart w:id="12" w:name="_Toc253152315"/>
      <w:bookmarkStart w:id="13" w:name="_Toc318125494"/>
      <w:bookmarkStart w:id="14" w:name="_Toc251853104"/>
      <w:bookmarkStart w:id="15" w:name="_Toc346553207"/>
      <w:bookmarkStart w:id="16" w:name="_Toc318126190"/>
      <w:bookmarkStart w:id="17" w:name="_Toc7660"/>
      <w:bookmarkStart w:id="18" w:name="_Toc7909"/>
      <w:r>
        <w:rPr>
          <w:rFonts w:hint="eastAsia" w:ascii="宋体" w:hAnsi="宋体" w:cs="宋体"/>
          <w:kern w:val="0"/>
          <w:szCs w:val="28"/>
        </w:rPr>
        <w:t>一、</w:t>
      </w:r>
      <w:bookmarkEnd w:id="9"/>
      <w:bookmarkEnd w:id="10"/>
      <w:bookmarkEnd w:id="11"/>
      <w:bookmarkEnd w:id="12"/>
      <w:bookmarkEnd w:id="13"/>
      <w:bookmarkEnd w:id="14"/>
      <w:bookmarkEnd w:id="15"/>
      <w:bookmarkEnd w:id="16"/>
      <w:r>
        <w:rPr>
          <w:rFonts w:hint="eastAsia" w:ascii="宋体" w:hAnsi="宋体" w:cs="宋体"/>
          <w:kern w:val="0"/>
          <w:szCs w:val="28"/>
        </w:rPr>
        <w:t>出具本法律意见书的依据</w:t>
      </w:r>
      <w:bookmarkEnd w:id="17"/>
      <w:bookmarkEnd w:id="18"/>
    </w:p>
    <w:p>
      <w:pPr>
        <w:spacing w:line="600" w:lineRule="exact"/>
        <w:ind w:firstLine="560" w:firstLineChars="200"/>
        <w:contextualSpacing/>
        <w:rPr>
          <w:rFonts w:ascii="宋体" w:hAnsi="宋体" w:eastAsia="宋体" w:cs="宋体"/>
          <w:kern w:val="0"/>
          <w:sz w:val="28"/>
          <w:szCs w:val="28"/>
        </w:rPr>
      </w:pPr>
      <w:bookmarkStart w:id="19" w:name="_Toc237267902"/>
      <w:r>
        <w:rPr>
          <w:rFonts w:hint="eastAsia" w:ascii="宋体" w:hAnsi="宋体" w:eastAsia="宋体" w:cs="宋体"/>
          <w:kern w:val="0"/>
          <w:sz w:val="28"/>
          <w:szCs w:val="28"/>
        </w:rPr>
        <w:t>本所律师依据以下法律、法规、规范性文件等出具本法律意见书：</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1.《中华人民共和国预算法》；</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2.《中华人民共和国预算法实施条例》；</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3.《政府投资条例》；</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4.</w:t>
      </w:r>
      <w:r>
        <w:rPr>
          <w:rFonts w:hint="eastAsia" w:ascii="宋体" w:hAnsi="宋体" w:eastAsia="宋体" w:cs="宋体"/>
          <w:kern w:val="0"/>
          <w:sz w:val="28"/>
          <w:szCs w:val="28"/>
          <w:lang w:eastAsia="zh-Hans"/>
        </w:rPr>
        <w:t>《</w:t>
      </w:r>
      <w:r>
        <w:rPr>
          <w:rFonts w:hint="eastAsia" w:ascii="宋体" w:hAnsi="宋体" w:eastAsia="宋体" w:cs="宋体"/>
          <w:kern w:val="0"/>
          <w:sz w:val="28"/>
          <w:szCs w:val="28"/>
        </w:rPr>
        <w:t>关于加强地方政府性债务管理的意见》（国发[2014]43号）；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5.《中共中央办公厅、国务院办公厅关于做好地方政府专项债券发行及项目配套融资工作的通知》（厅字[2019]33号）；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6.《地方政府债券发行管理办法》（财库[2020]43号）；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7.《关于进一步做好地方政府债券发行工作的意见》（财库[2020]36号；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8.《关于进一步规范政府专项债券发行前期工作的通知》（晋财债[2020]74号）；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9.《山西省财政厅关于印发&lt;政府专项债券项目资金绩效管理办法&gt;的通知》（晋财债[2021]38号）；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10.《山西省财政厅关于加强政府专项债券项目支持工作的若干意见》（晋财债[2021]52号）；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11.《国家发展改革委办公厅关于组织申报2023年地方政府专项债券项目的通知》（发改办投资[2022]873号）；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12.《山西省财政厅关于报送2023年政府新增债券需求的通知》（晋财债[2022]47号）；</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13.其他相关的法律法规及政策规定。</w:t>
      </w:r>
    </w:p>
    <w:p>
      <w:pPr>
        <w:pStyle w:val="4"/>
        <w:ind w:firstLine="562"/>
        <w:rPr>
          <w:rFonts w:ascii="宋体" w:hAnsi="宋体" w:cs="宋体"/>
          <w:kern w:val="0"/>
          <w:szCs w:val="28"/>
        </w:rPr>
      </w:pPr>
      <w:bookmarkStart w:id="20" w:name="_Toc27642"/>
      <w:bookmarkStart w:id="21" w:name="_Toc25087"/>
      <w:r>
        <w:rPr>
          <w:rFonts w:hint="eastAsia" w:ascii="宋体" w:hAnsi="宋体" w:cs="宋体"/>
          <w:kern w:val="0"/>
          <w:szCs w:val="28"/>
        </w:rPr>
        <w:t>二、声明事项</w:t>
      </w:r>
      <w:bookmarkEnd w:id="20"/>
      <w:bookmarkEnd w:id="21"/>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1.本所依据本法律意见书出具之日已发生或存在的事实和现行有效的中国法律、法规、规范性文件发表法律意见。本所不对有关法律、法规或规范性文件的变化或调整作出任何预测，亦不会据此出具任何意见或建议。</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2.本所仅就与本次专项债券项目有关的法律问题发表法律意见。在本法律意见书中涉及专项债券项目情况及资金平衡方案、财务评价（评估）报告中某些数据或结论的引述，并不意味着本所对这些内容的真实性和准确性做出任何明示或暗示性的评价、意见和保证。对出具本法律意见书至关重要的涉及行政或专业机构审核的事项，以该相关机构出具的批复、报告、证书或备案等文件为准。</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3.本所对本法律意见书所涉及有关事实的了解和判断，最终依赖于委托方向本所提供的文件、资料及所作说明的真实性、合法性、完整性、准确性和有效性。</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4.委托方已作出承诺，向本所律师提供的所有资料，包括但不限于原始书面材料、副本材料或者口头证言，均为真实、完整、有效。</w:t>
      </w:r>
    </w:p>
    <w:p>
      <w:pPr>
        <w:spacing w:line="600" w:lineRule="exact"/>
        <w:ind w:firstLine="560" w:firstLineChars="200"/>
        <w:contextualSpacing/>
        <w:rPr>
          <w:rFonts w:ascii="宋体" w:hAnsi="宋体" w:eastAsia="宋体" w:cs="宋体"/>
          <w:kern w:val="0"/>
          <w:sz w:val="28"/>
          <w:szCs w:val="28"/>
        </w:rPr>
      </w:pPr>
      <w:r>
        <w:rPr>
          <w:rFonts w:hint="eastAsia" w:ascii="宋体" w:hAnsi="宋体" w:eastAsia="宋体" w:cs="宋体"/>
          <w:kern w:val="0"/>
          <w:sz w:val="28"/>
          <w:szCs w:val="28"/>
        </w:rPr>
        <w:t>5.本法律意见书仅供本次专项债券发行之目的使用，不得用作其他任何目的。本法律意见书应该被作为一个整体理解，不应被单独摘引适用，未经书面同意，不得为其他任何第三方适用。</w:t>
      </w:r>
    </w:p>
    <w:bookmarkEnd w:id="19"/>
    <w:p>
      <w:pPr>
        <w:pStyle w:val="3"/>
        <w:spacing w:before="312" w:after="312"/>
        <w:rPr>
          <w:rFonts w:ascii="宋体" w:hAnsi="宋体" w:cs="宋体"/>
          <w:kern w:val="0"/>
          <w:szCs w:val="32"/>
        </w:rPr>
      </w:pPr>
      <w:r>
        <w:rPr>
          <w:rFonts w:hint="eastAsia" w:ascii="宋体" w:hAnsi="宋体" w:cs="宋体"/>
          <w:kern w:val="0"/>
          <w:sz w:val="28"/>
          <w:szCs w:val="28"/>
        </w:rPr>
        <w:br w:type="page"/>
      </w:r>
      <w:bookmarkStart w:id="22" w:name="_Toc29871"/>
      <w:bookmarkStart w:id="23" w:name="_Toc31854"/>
      <w:r>
        <w:rPr>
          <w:rFonts w:hint="eastAsia" w:ascii="宋体" w:hAnsi="宋体" w:cs="宋体"/>
          <w:kern w:val="0"/>
          <w:szCs w:val="32"/>
        </w:rPr>
        <w:t>第二部分  正文</w:t>
      </w:r>
      <w:bookmarkEnd w:id="22"/>
      <w:bookmarkEnd w:id="23"/>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sz w:val="28"/>
          <w:szCs w:val="28"/>
        </w:rPr>
      </w:pPr>
      <w:r>
        <w:rPr>
          <w:rFonts w:hint="eastAsia" w:ascii="宋体" w:hAnsi="宋体" w:eastAsia="宋体" w:cs="宋体"/>
          <w:sz w:val="28"/>
          <w:szCs w:val="28"/>
        </w:rPr>
        <w:t>基于上述声明、推定和本所已获悉的事实和文件的判断，本所律师按照律师行业公认的业务标准、道德规范和勤勉尽责精神，仅就委托方本次专项债券发行事宜出具法律意见如下：</w:t>
      </w:r>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bCs w:val="0"/>
          <w:sz w:val="28"/>
          <w:szCs w:val="28"/>
        </w:rPr>
      </w:pPr>
      <w:bookmarkStart w:id="24" w:name="_Toc29721"/>
      <w:bookmarkStart w:id="25" w:name="_Toc1012"/>
      <w:r>
        <w:rPr>
          <w:rFonts w:hint="eastAsia" w:ascii="宋体" w:hAnsi="宋体" w:eastAsia="宋体" w:cs="宋体"/>
          <w:bCs w:val="0"/>
          <w:sz w:val="28"/>
          <w:szCs w:val="28"/>
        </w:rPr>
        <w:t>一、项目主体</w:t>
      </w:r>
      <w:bookmarkEnd w:id="24"/>
    </w:p>
    <w:bookmarkEnd w:id="25"/>
    <w:p>
      <w:pPr>
        <w:pageBreakBefore w:val="0"/>
        <w:kinsoku/>
        <w:wordWrap/>
        <w:overflowPunct/>
        <w:topLinePunct w:val="0"/>
        <w:autoSpaceDE/>
        <w:autoSpaceDN/>
        <w:bidi w:val="0"/>
        <w:snapToGrid/>
        <w:spacing w:line="600" w:lineRule="exact"/>
        <w:ind w:firstLine="560"/>
        <w:contextualSpacing/>
        <w:textAlignment w:val="auto"/>
        <w:rPr>
          <w:rFonts w:hint="eastAsia" w:ascii="宋体" w:hAnsi="宋体" w:eastAsia="宋体" w:cs="宋体"/>
          <w:bCs/>
          <w:sz w:val="28"/>
          <w:szCs w:val="28"/>
        </w:rPr>
      </w:pPr>
      <w:bookmarkStart w:id="26" w:name="_Toc454195475"/>
      <w:bookmarkStart w:id="27" w:name="_Toc454195454"/>
      <w:r>
        <w:rPr>
          <w:rFonts w:hint="eastAsia" w:ascii="宋体" w:hAnsi="宋体" w:eastAsia="宋体" w:cs="宋体"/>
          <w:bCs/>
          <w:kern w:val="0"/>
          <w:sz w:val="28"/>
          <w:szCs w:val="28"/>
          <w:lang w:eastAsia="zh-Hans"/>
        </w:rPr>
        <w:t>1.</w:t>
      </w:r>
      <w:r>
        <w:rPr>
          <w:rFonts w:hint="eastAsia" w:ascii="宋体" w:hAnsi="宋体" w:eastAsia="宋体" w:cs="宋体"/>
          <w:bCs/>
          <w:kern w:val="0"/>
          <w:sz w:val="28"/>
          <w:szCs w:val="28"/>
        </w:rPr>
        <w:t>康乐幼儿园（五一北路校区）新建</w:t>
      </w:r>
      <w:r>
        <w:rPr>
          <w:rFonts w:hint="eastAsia" w:ascii="宋体" w:hAnsi="宋体" w:eastAsia="宋体" w:cs="宋体"/>
          <w:bCs/>
          <w:kern w:val="0"/>
          <w:sz w:val="28"/>
          <w:szCs w:val="28"/>
          <w:lang w:eastAsia="zh-Hans"/>
        </w:rPr>
        <w:t>项目</w:t>
      </w:r>
      <w:r>
        <w:rPr>
          <w:rFonts w:hint="eastAsia" w:ascii="宋体" w:hAnsi="宋体" w:eastAsia="宋体" w:cs="宋体"/>
          <w:bCs/>
          <w:kern w:val="0"/>
          <w:sz w:val="28"/>
          <w:szCs w:val="28"/>
        </w:rPr>
        <w:t>实施主体为太原市杏花岭区教育局，该局</w:t>
      </w:r>
      <w:r>
        <w:rPr>
          <w:rFonts w:hint="eastAsia" w:ascii="宋体" w:hAnsi="宋体" w:eastAsia="宋体" w:cs="宋体"/>
          <w:bCs/>
          <w:sz w:val="28"/>
          <w:szCs w:val="28"/>
        </w:rPr>
        <w:t>持有《</w:t>
      </w:r>
      <w:r>
        <w:rPr>
          <w:rFonts w:hint="eastAsia" w:ascii="宋体" w:hAnsi="宋体" w:eastAsia="宋体" w:cs="宋体"/>
          <w:bCs/>
          <w:sz w:val="28"/>
          <w:szCs w:val="28"/>
          <w:lang w:eastAsia="zh-Hans"/>
        </w:rPr>
        <w:t>统一社会信用代码证书</w:t>
      </w:r>
      <w:r>
        <w:rPr>
          <w:rFonts w:hint="eastAsia" w:ascii="宋体" w:hAnsi="宋体" w:eastAsia="宋体" w:cs="宋体"/>
          <w:bCs/>
          <w:sz w:val="28"/>
          <w:szCs w:val="28"/>
        </w:rPr>
        <w:t>》，证载信息如下：</w:t>
      </w:r>
    </w:p>
    <w:tbl>
      <w:tblPr>
        <w:tblStyle w:val="15"/>
        <w:tblW w:w="8400" w:type="dxa"/>
        <w:tblInd w:w="23" w:type="dxa"/>
        <w:tblLayout w:type="fixed"/>
        <w:tblCellMar>
          <w:top w:w="15" w:type="dxa"/>
          <w:left w:w="15" w:type="dxa"/>
          <w:bottom w:w="15" w:type="dxa"/>
          <w:right w:w="15" w:type="dxa"/>
        </w:tblCellMar>
      </w:tblPr>
      <w:tblGrid>
        <w:gridCol w:w="2383"/>
        <w:gridCol w:w="6017"/>
      </w:tblGrid>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机构名称</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kern w:val="0"/>
                <w:sz w:val="28"/>
                <w:szCs w:val="28"/>
              </w:rPr>
            </w:pPr>
            <w:r>
              <w:rPr>
                <w:rFonts w:hint="eastAsia" w:ascii="宋体" w:hAnsi="宋体" w:eastAsia="宋体" w:cs="宋体"/>
                <w:bCs/>
                <w:kern w:val="0"/>
                <w:sz w:val="28"/>
                <w:szCs w:val="28"/>
                <w:lang w:eastAsia="zh-Hans"/>
              </w:rPr>
              <w:t>太原市杏花岭区教育局</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统一社会信用代码</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1114010701222559X4</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机构性质</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机关</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机构地址</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太原市杏花岭区半坡东街天平西巷6号</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负责人</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孟巍</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赋码机关</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中国共产党太原市杏花岭区委员会机构编制委员会办公室</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颁发日期</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lang w:eastAsia="zh-Hans"/>
              </w:rPr>
            </w:pPr>
            <w:r>
              <w:rPr>
                <w:rFonts w:hint="eastAsia" w:ascii="宋体" w:hAnsi="宋体" w:eastAsia="宋体" w:cs="宋体"/>
                <w:sz w:val="28"/>
                <w:szCs w:val="28"/>
                <w:lang w:eastAsia="zh-Hans"/>
              </w:rPr>
              <w:t>2021年9月15日</w:t>
            </w:r>
          </w:p>
        </w:tc>
      </w:tr>
    </w:tbl>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sz w:val="28"/>
          <w:szCs w:val="28"/>
        </w:rPr>
      </w:pPr>
      <w:r>
        <w:rPr>
          <w:rFonts w:hint="eastAsia" w:ascii="宋体" w:hAnsi="宋体" w:eastAsia="宋体" w:cs="宋体"/>
          <w:sz w:val="28"/>
          <w:szCs w:val="28"/>
          <w:lang w:eastAsia="zh-Hans"/>
        </w:rPr>
        <w:t>2.</w:t>
      </w:r>
      <w:r>
        <w:rPr>
          <w:rFonts w:hint="eastAsia" w:ascii="宋体" w:hAnsi="宋体" w:eastAsia="宋体" w:cs="宋体"/>
          <w:sz w:val="28"/>
          <w:szCs w:val="28"/>
        </w:rPr>
        <w:t>经查询中国执行信息公开网，</w:t>
      </w:r>
      <w:r>
        <w:rPr>
          <w:rFonts w:hint="eastAsia" w:ascii="宋体" w:hAnsi="宋体" w:eastAsia="宋体" w:cs="宋体"/>
          <w:bCs/>
          <w:kern w:val="0"/>
          <w:sz w:val="28"/>
          <w:szCs w:val="28"/>
          <w:highlight w:val="none"/>
          <w:lang w:eastAsia="zh-Hans"/>
        </w:rPr>
        <w:t>太原市杏花岭区教育局</w:t>
      </w:r>
      <w:r>
        <w:rPr>
          <w:rFonts w:hint="eastAsia" w:ascii="宋体" w:hAnsi="宋体" w:eastAsia="宋体" w:cs="宋体"/>
          <w:b w:val="0"/>
          <w:bCs/>
          <w:sz w:val="28"/>
          <w:szCs w:val="28"/>
          <w:highlight w:val="none"/>
          <w:lang w:val="en-US" w:eastAsia="zh-CN"/>
        </w:rPr>
        <w:t>未被列入失信被执行人名单</w:t>
      </w:r>
      <w:r>
        <w:rPr>
          <w:rFonts w:hint="eastAsia" w:ascii="宋体" w:hAnsi="宋体" w:eastAsia="宋体" w:cs="宋体"/>
          <w:b w:val="0"/>
          <w:bCs/>
          <w:sz w:val="28"/>
          <w:szCs w:val="28"/>
          <w:highlight w:val="none"/>
          <w:lang w:eastAsia="zh-CN"/>
        </w:rPr>
        <w:t>、</w:t>
      </w:r>
      <w:r>
        <w:rPr>
          <w:rFonts w:hint="eastAsia" w:ascii="宋体" w:hAnsi="宋体" w:eastAsia="宋体" w:cs="宋体"/>
          <w:b w:val="0"/>
          <w:bCs/>
          <w:sz w:val="28"/>
          <w:szCs w:val="28"/>
          <w:highlight w:val="none"/>
          <w:lang w:val="en-US" w:eastAsia="zh-CN"/>
        </w:rPr>
        <w:t>不存在被执行信息</w:t>
      </w:r>
      <w:r>
        <w:rPr>
          <w:rFonts w:hint="eastAsia" w:ascii="宋体" w:hAnsi="宋体" w:eastAsia="宋体" w:cs="宋体"/>
          <w:bCs/>
          <w:sz w:val="28"/>
          <w:szCs w:val="28"/>
        </w:rPr>
        <w:t>。</w:t>
      </w:r>
    </w:p>
    <w:p>
      <w:pPr>
        <w:pageBreakBefore w:val="0"/>
        <w:kinsoku/>
        <w:wordWrap/>
        <w:overflowPunct/>
        <w:topLinePunct w:val="0"/>
        <w:autoSpaceDE/>
        <w:autoSpaceDN/>
        <w:bidi w:val="0"/>
        <w:snapToGrid/>
        <w:spacing w:line="600" w:lineRule="exact"/>
        <w:ind w:firstLine="562" w:firstLineChars="200"/>
        <w:contextualSpacing/>
        <w:textAlignment w:val="auto"/>
        <w:rPr>
          <w:rFonts w:hint="eastAsia" w:ascii="宋体" w:hAnsi="宋体" w:eastAsia="宋体" w:cs="宋体"/>
          <w:bCs/>
          <w:sz w:val="28"/>
          <w:szCs w:val="28"/>
        </w:rPr>
      </w:pPr>
      <w:r>
        <w:rPr>
          <w:rFonts w:hint="eastAsia" w:ascii="宋体" w:hAnsi="宋体" w:eastAsia="宋体" w:cs="宋体"/>
          <w:b/>
          <w:sz w:val="28"/>
          <w:szCs w:val="28"/>
        </w:rPr>
        <w:t>据此，本所律师认为，</w:t>
      </w:r>
      <w:r>
        <w:rPr>
          <w:rFonts w:hint="eastAsia" w:ascii="宋体" w:hAnsi="宋体" w:eastAsia="宋体" w:cs="宋体"/>
          <w:bCs/>
          <w:kern w:val="0"/>
          <w:sz w:val="28"/>
          <w:szCs w:val="28"/>
          <w:lang w:eastAsia="zh-Hans"/>
        </w:rPr>
        <w:t>太原市杏花岭区教育局</w:t>
      </w:r>
      <w:r>
        <w:rPr>
          <w:rFonts w:hint="eastAsia" w:ascii="宋体" w:hAnsi="宋体" w:eastAsia="宋体" w:cs="宋体"/>
          <w:bCs/>
          <w:sz w:val="28"/>
          <w:szCs w:val="28"/>
        </w:rPr>
        <w:t>依法设立并有效存续</w:t>
      </w:r>
      <w:r>
        <w:rPr>
          <w:rFonts w:hint="eastAsia" w:ascii="宋体" w:hAnsi="宋体" w:eastAsia="宋体" w:cs="宋体"/>
          <w:bCs/>
          <w:sz w:val="28"/>
          <w:szCs w:val="28"/>
          <w:lang w:eastAsia="zh-Hans"/>
        </w:rPr>
        <w:t>，</w:t>
      </w:r>
      <w:r>
        <w:rPr>
          <w:rFonts w:hint="eastAsia" w:ascii="宋体" w:hAnsi="宋体" w:eastAsia="宋体" w:cs="宋体"/>
          <w:bCs/>
          <w:sz w:val="28"/>
          <w:szCs w:val="28"/>
        </w:rPr>
        <w:t>具备独立法人资格，可以作为项目的实施主体。</w:t>
      </w:r>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28" w:name="_Toc11543"/>
      <w:bookmarkStart w:id="29" w:name="_Toc66825088"/>
      <w:r>
        <w:rPr>
          <w:rFonts w:hint="eastAsia" w:ascii="宋体" w:hAnsi="宋体" w:eastAsia="宋体" w:cs="宋体"/>
          <w:sz w:val="28"/>
          <w:szCs w:val="28"/>
        </w:rPr>
        <w:t>二、项目基本情况</w:t>
      </w:r>
      <w:bookmarkEnd w:id="28"/>
      <w:bookmarkEnd w:id="29"/>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30" w:name="_Toc25683_WPSOffice_Level3"/>
      <w:bookmarkStart w:id="31" w:name="_Toc29925"/>
      <w:bookmarkStart w:id="32" w:name="_Toc854"/>
      <w:bookmarkStart w:id="33" w:name="_Toc31600"/>
      <w:bookmarkStart w:id="34" w:name="_Toc21556"/>
      <w:bookmarkStart w:id="35" w:name="_Toc2067"/>
      <w:bookmarkStart w:id="36" w:name="_Toc66825089"/>
      <w:r>
        <w:rPr>
          <w:rFonts w:hint="eastAsia" w:ascii="宋体" w:hAnsi="宋体" w:eastAsia="宋体" w:cs="宋体"/>
          <w:sz w:val="28"/>
          <w:szCs w:val="28"/>
        </w:rPr>
        <w:t>（一）项目</w:t>
      </w:r>
      <w:bookmarkEnd w:id="30"/>
      <w:r>
        <w:rPr>
          <w:rFonts w:hint="eastAsia" w:ascii="宋体" w:hAnsi="宋体" w:eastAsia="宋体" w:cs="宋体"/>
          <w:sz w:val="28"/>
          <w:szCs w:val="28"/>
        </w:rPr>
        <w:t>概况</w:t>
      </w:r>
      <w:bookmarkEnd w:id="31"/>
      <w:bookmarkEnd w:id="32"/>
      <w:bookmarkEnd w:id="33"/>
      <w:bookmarkEnd w:id="34"/>
      <w:bookmarkEnd w:id="35"/>
      <w:bookmarkEnd w:id="36"/>
      <w:bookmarkStart w:id="37" w:name="_Toc12513"/>
      <w:bookmarkStart w:id="38" w:name="_Toc20775"/>
      <w:bookmarkStart w:id="39" w:name="_Toc31596"/>
      <w:bookmarkStart w:id="40" w:name="_Toc2699"/>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bCs/>
          <w:kern w:val="0"/>
          <w:sz w:val="28"/>
          <w:szCs w:val="28"/>
          <w:highlight w:val="none"/>
        </w:rPr>
      </w:pPr>
      <w:bookmarkStart w:id="41" w:name="_Toc66825090"/>
      <w:r>
        <w:rPr>
          <w:rFonts w:hint="eastAsia" w:ascii="宋体" w:hAnsi="宋体" w:eastAsia="宋体" w:cs="宋体"/>
          <w:bCs/>
          <w:kern w:val="0"/>
          <w:sz w:val="28"/>
          <w:szCs w:val="28"/>
          <w:highlight w:val="none"/>
        </w:rPr>
        <w:t>康乐幼儿园（五一北路校区）新建</w:t>
      </w:r>
      <w:r>
        <w:rPr>
          <w:rFonts w:hint="eastAsia" w:ascii="宋体" w:hAnsi="宋体" w:eastAsia="宋体" w:cs="宋体"/>
          <w:bCs/>
          <w:kern w:val="0"/>
          <w:sz w:val="28"/>
          <w:szCs w:val="28"/>
          <w:highlight w:val="none"/>
          <w:lang w:eastAsia="zh-Hans"/>
        </w:rPr>
        <w:t>项目位于太原市杏花岭区涧河路以南、五一北路以东、享堂街以北</w:t>
      </w:r>
      <w:r>
        <w:rPr>
          <w:rFonts w:hint="eastAsia" w:ascii="宋体" w:hAnsi="宋体" w:eastAsia="宋体" w:cs="宋体"/>
          <w:bCs/>
          <w:kern w:val="0"/>
          <w:sz w:val="28"/>
          <w:szCs w:val="28"/>
          <w:highlight w:val="none"/>
        </w:rPr>
        <w:t>。</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sz w:val="28"/>
          <w:szCs w:val="28"/>
          <w:lang w:eastAsia="zh-Hans"/>
        </w:rPr>
      </w:pPr>
      <w:r>
        <w:rPr>
          <w:rFonts w:hint="eastAsia" w:ascii="宋体" w:hAnsi="宋体" w:eastAsia="宋体" w:cs="宋体"/>
          <w:bCs/>
          <w:kern w:val="0"/>
          <w:sz w:val="28"/>
          <w:szCs w:val="28"/>
          <w:highlight w:val="none"/>
          <w:lang w:eastAsia="zh-Hans"/>
        </w:rPr>
        <w:t>项目总用地面积：15084.69平方米，总建筑面积21173.8平方米，其中：地上建筑面积15036.53平方米，地下建筑面积6137.27平方米。项目建设1幢地上3层地下1层的幼儿园综合楼，主要建设内容包括建筑物的土建装饰工程、结构工程、给排水消防工程、暖通工程、电气工程、智能化工程及室外各类管网、道路、广场硬化、绿化工程等基础设施配套工程</w:t>
      </w:r>
      <w:r>
        <w:rPr>
          <w:rFonts w:hint="eastAsia" w:ascii="宋体" w:hAnsi="宋体" w:eastAsia="宋体" w:cs="宋体"/>
          <w:sz w:val="28"/>
          <w:szCs w:val="28"/>
          <w:lang w:eastAsia="zh-Hans"/>
        </w:rPr>
        <w:t>。</w:t>
      </w:r>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42" w:name="_Toc18462"/>
      <w:r>
        <w:rPr>
          <w:rFonts w:hint="eastAsia" w:ascii="宋体" w:hAnsi="宋体" w:eastAsia="宋体" w:cs="宋体"/>
          <w:sz w:val="28"/>
          <w:szCs w:val="28"/>
        </w:rPr>
        <w:t>（二）项目</w:t>
      </w:r>
      <w:bookmarkEnd w:id="37"/>
      <w:bookmarkEnd w:id="38"/>
      <w:bookmarkEnd w:id="39"/>
      <w:bookmarkEnd w:id="40"/>
      <w:bookmarkEnd w:id="41"/>
      <w:bookmarkEnd w:id="42"/>
      <w:r>
        <w:rPr>
          <w:rFonts w:hint="eastAsia" w:ascii="宋体" w:hAnsi="宋体" w:eastAsia="宋体" w:cs="宋体"/>
          <w:sz w:val="28"/>
          <w:szCs w:val="28"/>
        </w:rPr>
        <w:t>批复文件</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bookmarkStart w:id="43" w:name="_Toc31588"/>
      <w:bookmarkStart w:id="44" w:name="_Toc1884"/>
      <w:bookmarkStart w:id="45" w:name="_Toc17937"/>
      <w:bookmarkStart w:id="46" w:name="_Toc18294"/>
      <w:bookmarkStart w:id="47" w:name="_Toc424"/>
      <w:bookmarkStart w:id="48" w:name="_Toc66825091"/>
      <w:r>
        <w:rPr>
          <w:rFonts w:hint="eastAsia" w:ascii="宋体" w:hAnsi="宋体" w:eastAsia="宋体" w:cs="宋体"/>
          <w:color w:val="000000"/>
          <w:sz w:val="28"/>
          <w:szCs w:val="28"/>
        </w:rPr>
        <w:t>1.2022年11月8日，项目取得太原市行政审批服务管理局《建设项目用地预审与选址意见书》（用字第140100202210052号），证载内容如下：</w:t>
      </w:r>
    </w:p>
    <w:tbl>
      <w:tblPr>
        <w:tblStyle w:val="15"/>
        <w:tblW w:w="8400" w:type="dxa"/>
        <w:tblInd w:w="23" w:type="dxa"/>
        <w:tblLayout w:type="fixed"/>
        <w:tblCellMar>
          <w:top w:w="15" w:type="dxa"/>
          <w:left w:w="15" w:type="dxa"/>
          <w:bottom w:w="15" w:type="dxa"/>
          <w:right w:w="15" w:type="dxa"/>
        </w:tblCellMar>
      </w:tblPr>
      <w:tblGrid>
        <w:gridCol w:w="2383"/>
        <w:gridCol w:w="6017"/>
      </w:tblGrid>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项目名称</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kern w:val="0"/>
                <w:sz w:val="28"/>
                <w:szCs w:val="28"/>
              </w:rPr>
            </w:pPr>
            <w:r>
              <w:rPr>
                <w:rFonts w:hint="eastAsia" w:ascii="宋体" w:hAnsi="宋体" w:eastAsia="宋体" w:cs="宋体"/>
                <w:bCs/>
                <w:sz w:val="28"/>
                <w:szCs w:val="28"/>
              </w:rPr>
              <w:t>康乐幼儿园（五一北路校区）</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项目代码</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color w:val="000000"/>
                <w:sz w:val="28"/>
                <w:szCs w:val="28"/>
              </w:rPr>
              <w:t>2205-140107-89-01-823286</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建设单位名称</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bCs/>
                <w:kern w:val="0"/>
                <w:sz w:val="28"/>
                <w:szCs w:val="28"/>
                <w:lang w:eastAsia="zh-Hans"/>
              </w:rPr>
            </w:pPr>
            <w:r>
              <w:rPr>
                <w:rFonts w:hint="eastAsia" w:ascii="宋体" w:hAnsi="宋体" w:eastAsia="宋体" w:cs="宋体"/>
                <w:bCs/>
                <w:kern w:val="0"/>
                <w:sz w:val="28"/>
                <w:szCs w:val="28"/>
                <w:lang w:eastAsia="zh-Hans"/>
              </w:rPr>
              <w:t>太原市杏花岭区教育局</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项目拟选位置</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bCs/>
                <w:kern w:val="0"/>
                <w:sz w:val="28"/>
                <w:szCs w:val="28"/>
              </w:rPr>
            </w:pPr>
            <w:r>
              <w:rPr>
                <w:rFonts w:hint="eastAsia" w:ascii="宋体" w:hAnsi="宋体" w:eastAsia="宋体" w:cs="宋体"/>
                <w:bCs/>
                <w:kern w:val="0"/>
                <w:sz w:val="28"/>
                <w:szCs w:val="28"/>
              </w:rPr>
              <w:t>杏花岭区</w:t>
            </w:r>
            <w:r>
              <w:rPr>
                <w:rFonts w:hint="eastAsia" w:ascii="宋体" w:hAnsi="宋体" w:eastAsia="宋体" w:cs="宋体"/>
                <w:color w:val="000000"/>
                <w:sz w:val="28"/>
                <w:szCs w:val="28"/>
              </w:rPr>
              <w:t>涧河路以南、五一北路以东、享堂街以北</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拟用地面积</w:t>
            </w:r>
          </w:p>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（含各地类明细）</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bCs/>
                <w:kern w:val="0"/>
                <w:sz w:val="28"/>
                <w:szCs w:val="28"/>
              </w:rPr>
            </w:pPr>
            <w:r>
              <w:rPr>
                <w:rFonts w:hint="eastAsia" w:ascii="宋体" w:hAnsi="宋体" w:eastAsia="宋体" w:cs="宋体"/>
                <w:bCs/>
                <w:kern w:val="0"/>
                <w:sz w:val="28"/>
                <w:szCs w:val="28"/>
              </w:rPr>
              <w:t>15084.69平方米</w:t>
            </w:r>
          </w:p>
        </w:tc>
      </w:tr>
    </w:tbl>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2.2022年11月11日，项目取得太原市杏花岭区行政审批服务管理局《关于对康乐幼儿园(五一北路校区)新建项目可行性研究报告的批复》（杏审管批[2022]49号），具体批复如下：</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（1）项目名称：康乐幼儿园(五一北路校区)新建项目；</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（2）建设单位：太原市杏花岭区教育局；</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（3）建设地址：位于杏花岭区，涧河路以南、五一北路以东、享堂街以北；</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4）建设规模及主要建设内容：项目总建筑面积21275m²,其中地上建筑面积15050m²、地下建筑面积6225m²。项目建设1幢3层的幼儿园综合楼，主要建设内容包括建筑物的土建装饰工程、给排水消防工程、暖通工程、电气工程、智能化工程及室外各类管网、道路、广场硬化、绿化工程等基础设施配套工程及保育教育设施设备购置；</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（5）总投资及资金来源：项目总投资估算29998.52万元，资金来源为申请杏花岭区财政资金解决；</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（6）建设期限：17个月；</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（7）项目编码：2205-140107-89-01-823286。</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3.2023年3月2日，项目取得太原市杏花岭区行政审批服务管理局《关于对康乐幼儿园(五一北路校区)新建项目初步设计的批复》（杏审管批[2023]7号），原则同意该项目初步设计，具体批复如下：</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w:t>
      </w:r>
      <w:r>
        <w:rPr>
          <w:rFonts w:hint="eastAsia" w:ascii="宋体" w:hAnsi="宋体" w:eastAsia="宋体" w:cs="宋体"/>
          <w:color w:val="000000"/>
          <w:sz w:val="28"/>
          <w:szCs w:val="28"/>
          <w:highlight w:val="none"/>
        </w:rPr>
        <w:t>1）本项目位于太原市杏花岭区涧河路以南、五一北路以东、享堂街以北；</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highlight w:val="none"/>
        </w:rPr>
      </w:pPr>
      <w:r>
        <w:rPr>
          <w:rFonts w:hint="eastAsia" w:ascii="宋体" w:hAnsi="宋体" w:eastAsia="宋体" w:cs="宋体"/>
          <w:color w:val="000000"/>
          <w:sz w:val="28"/>
          <w:szCs w:val="28"/>
        </w:rPr>
        <w:t>（</w:t>
      </w:r>
      <w:r>
        <w:rPr>
          <w:rFonts w:hint="eastAsia" w:ascii="宋体" w:hAnsi="宋体" w:eastAsia="宋体" w:cs="宋体"/>
          <w:color w:val="000000"/>
          <w:sz w:val="28"/>
          <w:szCs w:val="28"/>
          <w:highlight w:val="none"/>
        </w:rPr>
        <w:t>2）项目实施单位：太原市杏花岭区教育局</w:t>
      </w:r>
      <w:r>
        <w:rPr>
          <w:rFonts w:hint="eastAsia" w:ascii="宋体" w:hAnsi="宋体" w:eastAsia="宋体" w:cs="宋体"/>
          <w:color w:val="000000"/>
          <w:sz w:val="28"/>
          <w:szCs w:val="28"/>
        </w:rPr>
        <w:t>；</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3）建设规模及主要建设内容：项目总用地面积：15084.69平方米，总建筑面积21173.8平方米，其中：地上建筑面积15036.53平方米，地下建筑面积6137.27平方米。项目建设1幢地上3层地下1层的幼儿园综合楼，主要建设内容包括建筑物的土建装饰工程、结构工程、给排水消防工程、暖通工程、电气工程、智能化工程及室外各类管网、道路、广场硬化、绿化工程等基础设施配套工程；</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4）原则同意初步设计确定的土建装饰工程、结构工程、给排水消防工程、暖通工程、电气工程、智能化工程及室外各类管网、道路、广场硬化、绿化工程等工程的设计。工程的设计方案请在施工图设计时进一步优化；</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（5）总投资及资金来源：本项目总投资概算按29901万元控制(具体详见概算核定表)。所需资金来源与可行性研究报告批复一致；</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（6）建设期限：17个月；</w:t>
      </w:r>
    </w:p>
    <w:p>
      <w:pPr>
        <w:pStyle w:val="2"/>
        <w:pageBreakBefore w:val="0"/>
        <w:kinsoku/>
        <w:wordWrap/>
        <w:overflowPunct/>
        <w:topLinePunct w:val="0"/>
        <w:autoSpaceDE/>
        <w:autoSpaceDN/>
        <w:bidi w:val="0"/>
        <w:snapToGrid/>
        <w:spacing w:before="0" w:after="0" w:line="600" w:lineRule="exact"/>
        <w:textAlignment w:val="auto"/>
        <w:rPr>
          <w:rFonts w:hint="eastAsia" w:ascii="宋体" w:hAnsi="宋体" w:eastAsia="宋体" w:cs="宋体"/>
          <w:sz w:val="28"/>
          <w:szCs w:val="28"/>
        </w:rPr>
      </w:pPr>
      <w:r>
        <w:rPr>
          <w:rFonts w:hint="eastAsia" w:ascii="宋体" w:hAnsi="宋体" w:eastAsia="宋体" w:cs="宋体"/>
          <w:color w:val="000000"/>
          <w:sz w:val="28"/>
          <w:szCs w:val="28"/>
        </w:rPr>
        <w:t>（7）项目编码：2109-140107-89-01-127507。</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4.2023年5月22日，项目取得太原市行政审批服务管理局《建设用地规划许可证》（地字第140100202320033号），证载内容如下：</w:t>
      </w:r>
    </w:p>
    <w:tbl>
      <w:tblPr>
        <w:tblStyle w:val="15"/>
        <w:tblW w:w="8400" w:type="dxa"/>
        <w:tblInd w:w="23" w:type="dxa"/>
        <w:tblLayout w:type="fixed"/>
        <w:tblCellMar>
          <w:top w:w="15" w:type="dxa"/>
          <w:left w:w="15" w:type="dxa"/>
          <w:bottom w:w="15" w:type="dxa"/>
          <w:right w:w="15" w:type="dxa"/>
        </w:tblCellMar>
      </w:tblPr>
      <w:tblGrid>
        <w:gridCol w:w="2383"/>
        <w:gridCol w:w="6017"/>
      </w:tblGrid>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用地单位</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kern w:val="0"/>
                <w:sz w:val="28"/>
                <w:szCs w:val="28"/>
              </w:rPr>
            </w:pPr>
            <w:r>
              <w:rPr>
                <w:rFonts w:hint="eastAsia" w:ascii="宋体" w:hAnsi="宋体" w:eastAsia="宋体" w:cs="宋体"/>
                <w:color w:val="000000"/>
                <w:sz w:val="28"/>
                <w:szCs w:val="28"/>
              </w:rPr>
              <w:t>太原市杏花岭区教育局</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项目名称</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sz w:val="28"/>
                <w:szCs w:val="28"/>
              </w:rPr>
            </w:pPr>
            <w:r>
              <w:rPr>
                <w:rFonts w:hint="eastAsia" w:ascii="宋体" w:hAnsi="宋体" w:eastAsia="宋体" w:cs="宋体"/>
                <w:bCs/>
                <w:sz w:val="28"/>
                <w:szCs w:val="28"/>
              </w:rPr>
              <w:t>康乐幼儿园（五一北路校区）新建项目</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用地位置</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涧河路以南、五一北路以东、享堂街以北</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用地面积</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15084.69平方米</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土地用途</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幼儿园</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建设规模</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总建筑面积21275平方米</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取得方式</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划拨</w:t>
            </w:r>
          </w:p>
        </w:tc>
      </w:tr>
    </w:tbl>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5.2023年6月26日，项目取得太原市规划和自然资源局《国有建设用地划拨决定书》（编号HB1401072023048）。</w:t>
      </w:r>
    </w:p>
    <w:p>
      <w:pPr>
        <w:pageBreakBefore w:val="0"/>
        <w:kinsoku/>
        <w:wordWrap/>
        <w:overflowPunct/>
        <w:topLinePunct w:val="0"/>
        <w:autoSpaceDE/>
        <w:autoSpaceDN/>
        <w:bidi w:val="0"/>
        <w:snapToGrid/>
        <w:spacing w:line="600" w:lineRule="exact"/>
        <w:ind w:firstLine="560" w:firstLineChars="20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6.2023年7月5日，项目取得太原市行政审批服务管理局《建筑工程施工许可证》（编号140103202307050101），证载内容如下：</w:t>
      </w:r>
    </w:p>
    <w:tbl>
      <w:tblPr>
        <w:tblStyle w:val="15"/>
        <w:tblW w:w="8400" w:type="dxa"/>
        <w:tblInd w:w="23" w:type="dxa"/>
        <w:tblLayout w:type="fixed"/>
        <w:tblCellMar>
          <w:top w:w="15" w:type="dxa"/>
          <w:left w:w="15" w:type="dxa"/>
          <w:bottom w:w="15" w:type="dxa"/>
          <w:right w:w="15" w:type="dxa"/>
        </w:tblCellMar>
      </w:tblPr>
      <w:tblGrid>
        <w:gridCol w:w="2383"/>
        <w:gridCol w:w="6017"/>
      </w:tblGrid>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建设单位</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kern w:val="0"/>
                <w:sz w:val="28"/>
                <w:szCs w:val="28"/>
              </w:rPr>
            </w:pPr>
            <w:r>
              <w:rPr>
                <w:rFonts w:hint="eastAsia" w:ascii="宋体" w:hAnsi="宋体" w:eastAsia="宋体" w:cs="宋体"/>
                <w:color w:val="000000"/>
                <w:sz w:val="28"/>
                <w:szCs w:val="28"/>
              </w:rPr>
              <w:t>太原市杏花岭区教育局</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工程名称</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color w:val="000000"/>
                <w:sz w:val="28"/>
                <w:szCs w:val="28"/>
              </w:rPr>
            </w:pPr>
            <w:r>
              <w:rPr>
                <w:rFonts w:hint="eastAsia" w:ascii="宋体" w:hAnsi="宋体" w:eastAsia="宋体" w:cs="宋体"/>
                <w:bCs/>
                <w:sz w:val="28"/>
                <w:szCs w:val="28"/>
              </w:rPr>
              <w:t>康乐幼儿园（五一北路校区）新建项目（基坑支护和土方开挖阶段）</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建设地址</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sz w:val="28"/>
                <w:szCs w:val="28"/>
              </w:rPr>
            </w:pPr>
            <w:r>
              <w:rPr>
                <w:rFonts w:hint="eastAsia" w:ascii="宋体" w:hAnsi="宋体" w:eastAsia="宋体" w:cs="宋体"/>
                <w:bCs/>
                <w:sz w:val="28"/>
                <w:szCs w:val="28"/>
              </w:rPr>
              <w:t>山西省太原市杏花岭区</w:t>
            </w:r>
            <w:r>
              <w:rPr>
                <w:rFonts w:hint="eastAsia" w:ascii="宋体" w:hAnsi="宋体" w:eastAsia="宋体" w:cs="宋体"/>
                <w:color w:val="000000"/>
                <w:sz w:val="28"/>
                <w:szCs w:val="28"/>
              </w:rPr>
              <w:t>涧河路以南、五一北路以东、享堂街以北</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建设规模</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sz w:val="28"/>
                <w:szCs w:val="28"/>
              </w:rPr>
            </w:pPr>
            <w:r>
              <w:rPr>
                <w:rFonts w:hint="eastAsia" w:ascii="宋体" w:hAnsi="宋体" w:eastAsia="宋体" w:cs="宋体"/>
                <w:bCs/>
                <w:sz w:val="28"/>
                <w:szCs w:val="28"/>
              </w:rPr>
              <w:t>19128.04平方米</w:t>
            </w:r>
          </w:p>
        </w:tc>
      </w:tr>
    </w:tbl>
    <w:p>
      <w:pPr>
        <w:pageBreakBefore w:val="0"/>
        <w:kinsoku/>
        <w:wordWrap/>
        <w:overflowPunct/>
        <w:topLinePunct w:val="0"/>
        <w:autoSpaceDE/>
        <w:autoSpaceDN/>
        <w:bidi w:val="0"/>
        <w:snapToGrid/>
        <w:spacing w:line="600" w:lineRule="exact"/>
        <w:ind w:firstLine="56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7.2023年7月19日，项目填报《太原市建设工程质量登记表》，完成备案（登记编号：Z20230101）。</w:t>
      </w:r>
    </w:p>
    <w:p>
      <w:pPr>
        <w:pageBreakBefore w:val="0"/>
        <w:kinsoku/>
        <w:wordWrap/>
        <w:overflowPunct/>
        <w:topLinePunct w:val="0"/>
        <w:autoSpaceDE/>
        <w:autoSpaceDN/>
        <w:bidi w:val="0"/>
        <w:snapToGrid/>
        <w:spacing w:line="600" w:lineRule="exact"/>
        <w:ind w:firstLine="560"/>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8.</w:t>
      </w:r>
      <w:r>
        <w:rPr>
          <w:rFonts w:hint="eastAsia" w:ascii="宋体" w:hAnsi="宋体" w:eastAsia="宋体" w:cs="宋体"/>
          <w:b w:val="0"/>
          <w:bCs w:val="0"/>
          <w:color w:val="000000"/>
          <w:sz w:val="28"/>
          <w:szCs w:val="28"/>
          <w:lang w:eastAsia="zh-Hans"/>
        </w:rPr>
        <w:t>2023年8月16日，项目取得太原市规划和自然资源局</w:t>
      </w:r>
      <w:r>
        <w:rPr>
          <w:rFonts w:hint="eastAsia" w:ascii="宋体" w:hAnsi="宋体" w:eastAsia="宋体" w:cs="宋体"/>
          <w:color w:val="000000"/>
          <w:sz w:val="28"/>
          <w:szCs w:val="28"/>
        </w:rPr>
        <w:t>《不动产权证书》（编号：晋（2023）太原市不动产权第0187854号），证载内容如下：</w:t>
      </w:r>
    </w:p>
    <w:tbl>
      <w:tblPr>
        <w:tblStyle w:val="15"/>
        <w:tblW w:w="8400" w:type="dxa"/>
        <w:tblInd w:w="23" w:type="dxa"/>
        <w:tblLayout w:type="fixed"/>
        <w:tblCellMar>
          <w:top w:w="15" w:type="dxa"/>
          <w:left w:w="15" w:type="dxa"/>
          <w:bottom w:w="15" w:type="dxa"/>
          <w:right w:w="15" w:type="dxa"/>
        </w:tblCellMar>
      </w:tblPr>
      <w:tblGrid>
        <w:gridCol w:w="2383"/>
        <w:gridCol w:w="6017"/>
      </w:tblGrid>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权利人</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kern w:val="0"/>
                <w:sz w:val="28"/>
                <w:szCs w:val="28"/>
              </w:rPr>
            </w:pPr>
            <w:r>
              <w:rPr>
                <w:rFonts w:hint="eastAsia" w:ascii="宋体" w:hAnsi="宋体" w:eastAsia="宋体" w:cs="宋体"/>
                <w:bCs/>
                <w:kern w:val="0"/>
                <w:sz w:val="28"/>
                <w:szCs w:val="28"/>
              </w:rPr>
              <w:t>太原市杏花岭区教育局</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共有情况</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color w:val="000000"/>
                <w:sz w:val="28"/>
                <w:szCs w:val="28"/>
              </w:rPr>
            </w:pPr>
            <w:r>
              <w:rPr>
                <w:rFonts w:hint="eastAsia" w:ascii="宋体" w:hAnsi="宋体" w:eastAsia="宋体" w:cs="宋体"/>
                <w:color w:val="000000"/>
                <w:sz w:val="28"/>
                <w:szCs w:val="28"/>
              </w:rPr>
              <w:t>单独所有</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坐落</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sz w:val="28"/>
                <w:szCs w:val="28"/>
              </w:rPr>
            </w:pPr>
            <w:r>
              <w:rPr>
                <w:rFonts w:hint="eastAsia" w:ascii="宋体" w:hAnsi="宋体" w:eastAsia="宋体" w:cs="宋体"/>
                <w:bCs/>
                <w:sz w:val="28"/>
                <w:szCs w:val="28"/>
              </w:rPr>
              <w:t>杏花岭区，五一北路以东，涧河路以南，享堂街以北</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不动产单元号</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sz w:val="28"/>
                <w:szCs w:val="28"/>
              </w:rPr>
            </w:pPr>
            <w:r>
              <w:rPr>
                <w:rFonts w:hint="eastAsia" w:ascii="宋体" w:hAnsi="宋体" w:eastAsia="宋体" w:cs="宋体"/>
                <w:bCs/>
                <w:sz w:val="28"/>
                <w:szCs w:val="28"/>
              </w:rPr>
              <w:t>140107003004GB00124W00000000</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权利类型</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sz w:val="28"/>
                <w:szCs w:val="28"/>
              </w:rPr>
            </w:pPr>
            <w:r>
              <w:rPr>
                <w:rFonts w:hint="eastAsia" w:ascii="宋体" w:hAnsi="宋体" w:eastAsia="宋体" w:cs="宋体"/>
                <w:bCs/>
                <w:sz w:val="28"/>
                <w:szCs w:val="28"/>
              </w:rPr>
              <w:t>国有建设用地使用权</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权利性质</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sz w:val="28"/>
                <w:szCs w:val="28"/>
              </w:rPr>
            </w:pPr>
            <w:r>
              <w:rPr>
                <w:rFonts w:hint="eastAsia" w:ascii="宋体" w:hAnsi="宋体" w:eastAsia="宋体" w:cs="宋体"/>
                <w:bCs/>
                <w:sz w:val="28"/>
                <w:szCs w:val="28"/>
              </w:rPr>
              <w:t>划拨</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用途</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sz w:val="28"/>
                <w:szCs w:val="28"/>
              </w:rPr>
            </w:pPr>
            <w:r>
              <w:rPr>
                <w:rFonts w:hint="eastAsia" w:ascii="宋体" w:hAnsi="宋体" w:eastAsia="宋体" w:cs="宋体"/>
                <w:bCs/>
                <w:sz w:val="28"/>
                <w:szCs w:val="28"/>
              </w:rPr>
              <w:t>教育用地</w:t>
            </w:r>
          </w:p>
        </w:tc>
      </w:tr>
      <w:tr>
        <w:tblPrEx>
          <w:tblCellMar>
            <w:top w:w="15" w:type="dxa"/>
            <w:left w:w="15" w:type="dxa"/>
            <w:bottom w:w="15" w:type="dxa"/>
            <w:right w:w="15" w:type="dxa"/>
          </w:tblCellMar>
        </w:tblPrEx>
        <w:tc>
          <w:tcPr>
            <w:tcW w:w="2383" w:type="dxa"/>
            <w:tcBorders>
              <w:top w:val="single" w:color="000000" w:sz="6" w:space="0"/>
              <w:left w:val="single" w:color="000000" w:sz="6" w:space="0"/>
              <w:bottom w:val="single" w:color="000000" w:sz="6" w:space="0"/>
              <w:right w:val="single" w:color="000000" w:sz="6" w:space="0"/>
            </w:tcBorders>
            <w:shd w:val="clear" w:color="auto" w:fill="D0CECE"/>
            <w:vAlign w:val="center"/>
          </w:tcPr>
          <w:p>
            <w:pPr>
              <w:pageBreakBefore w:val="0"/>
              <w:widowControl/>
              <w:kinsoku/>
              <w:wordWrap/>
              <w:overflowPunct/>
              <w:topLinePunct w:val="0"/>
              <w:autoSpaceDE/>
              <w:autoSpaceDN/>
              <w:bidi w:val="0"/>
              <w:snapToGrid/>
              <w:spacing w:line="600" w:lineRule="exact"/>
              <w:textAlignment w:val="auto"/>
              <w:rPr>
                <w:rFonts w:hint="eastAsia" w:ascii="宋体" w:hAnsi="宋体" w:eastAsia="宋体" w:cs="宋体"/>
                <w:sz w:val="28"/>
                <w:szCs w:val="28"/>
              </w:rPr>
            </w:pPr>
            <w:r>
              <w:rPr>
                <w:rFonts w:hint="eastAsia" w:ascii="宋体" w:hAnsi="宋体" w:eastAsia="宋体" w:cs="宋体"/>
                <w:sz w:val="28"/>
                <w:szCs w:val="28"/>
              </w:rPr>
              <w:t>面积</w:t>
            </w:r>
          </w:p>
        </w:tc>
        <w:tc>
          <w:tcPr>
            <w:tcW w:w="6017" w:type="dxa"/>
            <w:tcBorders>
              <w:top w:val="single" w:color="000000" w:sz="6" w:space="0"/>
              <w:left w:val="single" w:color="000000" w:sz="6" w:space="0"/>
              <w:bottom w:val="single" w:color="000000" w:sz="6" w:space="0"/>
              <w:right w:val="single" w:color="000000" w:sz="6" w:space="0"/>
            </w:tcBorders>
            <w:vAlign w:val="center"/>
          </w:tcPr>
          <w:p>
            <w:pPr>
              <w:pageBreakBefore w:val="0"/>
              <w:widowControl/>
              <w:kinsoku/>
              <w:wordWrap/>
              <w:overflowPunct/>
              <w:topLinePunct w:val="0"/>
              <w:autoSpaceDE/>
              <w:autoSpaceDN/>
              <w:bidi w:val="0"/>
              <w:snapToGrid/>
              <w:spacing w:line="600" w:lineRule="exact"/>
              <w:jc w:val="left"/>
              <w:textAlignment w:val="auto"/>
              <w:rPr>
                <w:rFonts w:hint="eastAsia" w:ascii="宋体" w:hAnsi="宋体" w:eastAsia="宋体" w:cs="宋体"/>
                <w:bCs/>
                <w:sz w:val="28"/>
                <w:szCs w:val="28"/>
              </w:rPr>
            </w:pPr>
            <w:r>
              <w:rPr>
                <w:rFonts w:hint="eastAsia" w:ascii="宋体" w:hAnsi="宋体" w:eastAsia="宋体" w:cs="宋体"/>
                <w:bCs/>
                <w:sz w:val="28"/>
                <w:szCs w:val="28"/>
              </w:rPr>
              <w:t>15084.68㎡</w:t>
            </w:r>
          </w:p>
        </w:tc>
      </w:tr>
    </w:tbl>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r>
        <w:rPr>
          <w:rFonts w:hint="eastAsia" w:ascii="宋体" w:hAnsi="宋体" w:eastAsia="宋体" w:cs="宋体"/>
          <w:sz w:val="28"/>
          <w:szCs w:val="28"/>
          <w:lang w:eastAsia="zh-Hans"/>
        </w:rPr>
        <w:t>（三）</w:t>
      </w:r>
      <w:bookmarkEnd w:id="43"/>
      <w:bookmarkEnd w:id="44"/>
      <w:bookmarkEnd w:id="45"/>
      <w:bookmarkEnd w:id="46"/>
      <w:r>
        <w:rPr>
          <w:rFonts w:hint="eastAsia" w:ascii="宋体" w:hAnsi="宋体" w:eastAsia="宋体" w:cs="宋体"/>
          <w:sz w:val="28"/>
          <w:szCs w:val="28"/>
          <w:lang w:eastAsia="zh-Hans"/>
        </w:rPr>
        <w:t>项目建设进度情况</w:t>
      </w:r>
      <w:bookmarkEnd w:id="47"/>
      <w:bookmarkEnd w:id="48"/>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bookmarkStart w:id="49" w:name="_Toc521075376"/>
      <w:bookmarkStart w:id="50" w:name="_Toc475_WPSOffice_Level2"/>
      <w:r>
        <w:rPr>
          <w:rFonts w:hint="eastAsia" w:ascii="宋体" w:hAnsi="宋体" w:eastAsia="宋体" w:cs="宋体"/>
          <w:bCs/>
          <w:sz w:val="28"/>
          <w:szCs w:val="28"/>
        </w:rPr>
        <w:t>康乐幼儿园（五一北路校区）新建项目已开工实施，全部工程预计2024年9月完工。</w:t>
      </w:r>
    </w:p>
    <w:p>
      <w:pPr>
        <w:pageBreakBefore w:val="0"/>
        <w:kinsoku/>
        <w:wordWrap/>
        <w:overflowPunct/>
        <w:topLinePunct w:val="0"/>
        <w:autoSpaceDE/>
        <w:autoSpaceDN/>
        <w:bidi w:val="0"/>
        <w:snapToGrid/>
        <w:spacing w:line="600" w:lineRule="exact"/>
        <w:ind w:firstLine="562" w:firstLineChars="200"/>
        <w:contextualSpacing/>
        <w:textAlignment w:val="auto"/>
        <w:rPr>
          <w:rFonts w:hint="eastAsia" w:ascii="宋体" w:hAnsi="宋体" w:eastAsia="宋体" w:cs="宋体"/>
          <w:bCs/>
          <w:kern w:val="0"/>
          <w:sz w:val="28"/>
          <w:szCs w:val="28"/>
        </w:rPr>
      </w:pPr>
      <w:r>
        <w:rPr>
          <w:rFonts w:hint="eastAsia" w:ascii="宋体" w:hAnsi="宋体" w:eastAsia="宋体" w:cs="宋体"/>
          <w:b/>
          <w:sz w:val="28"/>
          <w:szCs w:val="28"/>
        </w:rPr>
        <w:t>据此，本所律师认为，</w:t>
      </w:r>
      <w:r>
        <w:rPr>
          <w:rFonts w:hint="eastAsia" w:ascii="宋体" w:hAnsi="宋体" w:eastAsia="宋体" w:cs="宋体"/>
          <w:sz w:val="28"/>
          <w:szCs w:val="28"/>
        </w:rPr>
        <w:t>康乐幼儿园（五一北路校区）新建</w:t>
      </w:r>
      <w:r>
        <w:rPr>
          <w:rFonts w:hint="eastAsia" w:ascii="宋体" w:hAnsi="宋体" w:eastAsia="宋体" w:cs="宋体"/>
          <w:sz w:val="28"/>
          <w:szCs w:val="28"/>
          <w:lang w:eastAsia="zh-Hans"/>
        </w:rPr>
        <w:t>项目属于公益性项目，</w:t>
      </w:r>
      <w:r>
        <w:rPr>
          <w:rFonts w:hint="eastAsia" w:ascii="宋体" w:hAnsi="宋体" w:eastAsia="宋体" w:cs="宋体"/>
          <w:sz w:val="28"/>
          <w:szCs w:val="28"/>
        </w:rPr>
        <w:t>已取得可研批复、</w:t>
      </w:r>
      <w:r>
        <w:rPr>
          <w:rFonts w:hint="eastAsia" w:ascii="宋体" w:hAnsi="宋体" w:eastAsia="宋体" w:cs="宋体"/>
          <w:bCs/>
          <w:sz w:val="28"/>
          <w:szCs w:val="28"/>
          <w:lang w:eastAsia="zh-Hans"/>
        </w:rPr>
        <w:t>初设批复、</w:t>
      </w:r>
      <w:r>
        <w:rPr>
          <w:rFonts w:hint="eastAsia" w:ascii="宋体" w:hAnsi="宋体" w:eastAsia="宋体" w:cs="宋体"/>
          <w:sz w:val="28"/>
          <w:szCs w:val="28"/>
        </w:rPr>
        <w:t>用地预审与选址意见、</w:t>
      </w:r>
      <w:r>
        <w:rPr>
          <w:rFonts w:hint="eastAsia" w:ascii="宋体" w:hAnsi="宋体" w:eastAsia="宋体" w:cs="宋体"/>
          <w:bCs/>
          <w:sz w:val="28"/>
          <w:szCs w:val="28"/>
          <w:lang w:eastAsia="zh-Hans"/>
        </w:rPr>
        <w:t>用地规划许可</w:t>
      </w:r>
      <w:r>
        <w:rPr>
          <w:rFonts w:hint="eastAsia" w:ascii="宋体" w:hAnsi="宋体" w:eastAsia="宋体" w:cs="宋体"/>
          <w:bCs/>
          <w:sz w:val="28"/>
          <w:szCs w:val="28"/>
        </w:rPr>
        <w:t>、</w:t>
      </w:r>
      <w:r>
        <w:rPr>
          <w:rFonts w:hint="eastAsia" w:ascii="宋体" w:hAnsi="宋体" w:eastAsia="宋体" w:cs="宋体"/>
          <w:bCs/>
          <w:kern w:val="0"/>
          <w:sz w:val="28"/>
          <w:szCs w:val="28"/>
        </w:rPr>
        <w:t>国有建设用地划拨决定书、</w:t>
      </w:r>
      <w:r>
        <w:rPr>
          <w:rFonts w:hint="eastAsia" w:ascii="宋体" w:hAnsi="宋体" w:eastAsia="宋体" w:cs="宋体"/>
          <w:bCs/>
          <w:kern w:val="0"/>
          <w:sz w:val="28"/>
          <w:szCs w:val="28"/>
          <w:lang w:val="en-US" w:eastAsia="zh-CN"/>
        </w:rPr>
        <w:t>不动产权证书、</w:t>
      </w:r>
      <w:r>
        <w:rPr>
          <w:rFonts w:hint="eastAsia" w:ascii="宋体" w:hAnsi="宋体" w:eastAsia="宋体" w:cs="宋体"/>
          <w:bCs/>
          <w:kern w:val="0"/>
          <w:sz w:val="28"/>
          <w:szCs w:val="28"/>
        </w:rPr>
        <w:t>施工许可</w:t>
      </w:r>
      <w:r>
        <w:rPr>
          <w:rFonts w:hint="eastAsia" w:ascii="宋体" w:hAnsi="宋体" w:eastAsia="宋体" w:cs="宋体"/>
          <w:bCs/>
          <w:sz w:val="28"/>
          <w:szCs w:val="28"/>
          <w:lang w:eastAsia="zh-Hans"/>
        </w:rPr>
        <w:t>等</w:t>
      </w:r>
      <w:r>
        <w:rPr>
          <w:rFonts w:hint="eastAsia" w:ascii="宋体" w:hAnsi="宋体" w:eastAsia="宋体" w:cs="宋体"/>
          <w:bCs/>
          <w:sz w:val="28"/>
          <w:szCs w:val="28"/>
        </w:rPr>
        <w:t>审批手续，</w:t>
      </w:r>
      <w:r>
        <w:rPr>
          <w:rFonts w:hint="eastAsia" w:ascii="宋体" w:hAnsi="宋体" w:eastAsia="宋体" w:cs="宋体"/>
          <w:sz w:val="28"/>
          <w:szCs w:val="28"/>
        </w:rPr>
        <w:t>建设审批手续有待陆续完善，项目</w:t>
      </w:r>
      <w:r>
        <w:rPr>
          <w:rFonts w:hint="eastAsia" w:ascii="宋体" w:hAnsi="宋体" w:eastAsia="宋体" w:cs="宋体"/>
          <w:kern w:val="0"/>
          <w:sz w:val="28"/>
          <w:szCs w:val="28"/>
        </w:rPr>
        <w:t>符合《地方政府债券发行管理办法》的要求</w:t>
      </w:r>
      <w:r>
        <w:rPr>
          <w:rFonts w:hint="eastAsia" w:ascii="宋体" w:hAnsi="宋体" w:eastAsia="宋体" w:cs="宋体"/>
          <w:bCs/>
          <w:kern w:val="0"/>
          <w:sz w:val="28"/>
          <w:szCs w:val="28"/>
        </w:rPr>
        <w:t>。</w:t>
      </w:r>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51" w:name="_Toc66825092"/>
      <w:bookmarkStart w:id="52" w:name="_Toc25110"/>
      <w:r>
        <w:rPr>
          <w:rFonts w:hint="eastAsia" w:ascii="宋体" w:hAnsi="宋体" w:eastAsia="宋体" w:cs="宋体"/>
          <w:sz w:val="28"/>
          <w:szCs w:val="28"/>
        </w:rPr>
        <w:t>三、项目</w:t>
      </w:r>
      <w:bookmarkEnd w:id="49"/>
      <w:bookmarkEnd w:id="50"/>
      <w:r>
        <w:rPr>
          <w:rFonts w:hint="eastAsia" w:ascii="宋体" w:hAnsi="宋体" w:eastAsia="宋体" w:cs="宋体"/>
          <w:sz w:val="28"/>
          <w:szCs w:val="28"/>
        </w:rPr>
        <w:t>资金筹措</w:t>
      </w:r>
      <w:bookmarkEnd w:id="51"/>
      <w:bookmarkEnd w:id="52"/>
    </w:p>
    <w:p>
      <w:pPr>
        <w:pageBreakBefore w:val="0"/>
        <w:kinsoku/>
        <w:wordWrap/>
        <w:overflowPunct/>
        <w:topLinePunct w:val="0"/>
        <w:autoSpaceDE/>
        <w:autoSpaceDN/>
        <w:bidi w:val="0"/>
        <w:adjustRightInd w:val="0"/>
        <w:snapToGrid/>
        <w:spacing w:line="600" w:lineRule="exact"/>
        <w:ind w:firstLine="560" w:firstLineChars="200"/>
        <w:textAlignment w:val="auto"/>
        <w:rPr>
          <w:rFonts w:hint="eastAsia" w:ascii="宋体" w:hAnsi="宋体" w:eastAsia="宋体" w:cs="宋体"/>
          <w:sz w:val="28"/>
          <w:szCs w:val="28"/>
        </w:rPr>
      </w:pPr>
      <w:r>
        <w:rPr>
          <w:rFonts w:hint="eastAsia" w:ascii="宋体" w:hAnsi="宋体" w:eastAsia="宋体" w:cs="宋体"/>
          <w:bCs/>
          <w:sz w:val="28"/>
          <w:szCs w:val="28"/>
        </w:rPr>
        <w:t>依据《</w:t>
      </w:r>
      <w:r>
        <w:rPr>
          <w:rFonts w:hint="eastAsia" w:ascii="宋体" w:hAnsi="宋体" w:eastAsia="宋体" w:cs="宋体"/>
          <w:bCs/>
          <w:sz w:val="28"/>
          <w:szCs w:val="28"/>
          <w:lang w:eastAsia="zh-CN"/>
        </w:rPr>
        <w:t>202</w:t>
      </w:r>
      <w:r>
        <w:rPr>
          <w:rFonts w:hint="eastAsia" w:ascii="宋体" w:hAnsi="宋体" w:eastAsia="宋体" w:cs="宋体"/>
          <w:bCs/>
          <w:sz w:val="28"/>
          <w:szCs w:val="28"/>
          <w:lang w:val="en-US" w:eastAsia="zh-CN"/>
        </w:rPr>
        <w:t>3</w:t>
      </w:r>
      <w:r>
        <w:rPr>
          <w:rFonts w:hint="eastAsia" w:ascii="宋体" w:hAnsi="宋体" w:eastAsia="宋体" w:cs="宋体"/>
          <w:bCs/>
          <w:sz w:val="28"/>
          <w:szCs w:val="28"/>
          <w:lang w:eastAsia="zh-CN"/>
        </w:rPr>
        <w:t>年</w:t>
      </w:r>
      <w:r>
        <w:rPr>
          <w:rFonts w:hint="eastAsia" w:ascii="宋体" w:hAnsi="宋体" w:eastAsia="宋体" w:cs="宋体"/>
          <w:bCs/>
          <w:sz w:val="28"/>
          <w:szCs w:val="28"/>
          <w:lang w:val="en-US" w:eastAsia="zh-Hans"/>
        </w:rPr>
        <w:t>至</w:t>
      </w:r>
      <w:r>
        <w:rPr>
          <w:rFonts w:hint="eastAsia" w:ascii="宋体" w:hAnsi="宋体" w:eastAsia="宋体" w:cs="宋体"/>
          <w:bCs/>
          <w:sz w:val="28"/>
          <w:szCs w:val="28"/>
          <w:lang w:eastAsia="zh-Hans"/>
        </w:rPr>
        <w:t>2024</w:t>
      </w:r>
      <w:r>
        <w:rPr>
          <w:rFonts w:hint="eastAsia" w:ascii="宋体" w:hAnsi="宋体" w:eastAsia="宋体" w:cs="宋体"/>
          <w:bCs/>
          <w:sz w:val="28"/>
          <w:szCs w:val="28"/>
          <w:lang w:val="en-US" w:eastAsia="zh-Hans"/>
        </w:rPr>
        <w:t>年</w:t>
      </w:r>
      <w:r>
        <w:rPr>
          <w:rFonts w:hint="eastAsia" w:ascii="宋体" w:hAnsi="宋体" w:eastAsia="宋体" w:cs="宋体"/>
          <w:bCs/>
          <w:sz w:val="28"/>
          <w:szCs w:val="28"/>
          <w:lang w:val="en-US" w:eastAsia="zh-CN"/>
        </w:rPr>
        <w:t>太原市杏花岭区康乐幼儿园（五一北路校区）新建项目</w:t>
      </w:r>
      <w:r>
        <w:rPr>
          <w:rFonts w:hint="eastAsia" w:ascii="宋体" w:hAnsi="宋体" w:eastAsia="宋体" w:cs="宋体"/>
          <w:bCs/>
          <w:sz w:val="28"/>
          <w:szCs w:val="28"/>
        </w:rPr>
        <w:t>专项债券项目情况及资金平衡方案》，康乐幼儿园（五一北路校区）新建</w:t>
      </w:r>
      <w:r>
        <w:rPr>
          <w:rFonts w:hint="eastAsia" w:ascii="宋体" w:hAnsi="宋体" w:eastAsia="宋体" w:cs="宋体"/>
          <w:kern w:val="0"/>
          <w:sz w:val="28"/>
          <w:szCs w:val="28"/>
        </w:rPr>
        <w:t>项目</w:t>
      </w:r>
      <w:r>
        <w:rPr>
          <w:rFonts w:hint="eastAsia" w:ascii="宋体" w:hAnsi="宋体" w:eastAsia="宋体" w:cs="宋体"/>
          <w:sz w:val="28"/>
          <w:szCs w:val="28"/>
        </w:rPr>
        <w:t>概算总投资29901.09万元，经测算建设期利息调整总投资为</w:t>
      </w:r>
      <w:r>
        <w:rPr>
          <w:rFonts w:hint="eastAsia" w:ascii="宋体" w:hAnsi="宋体" w:eastAsia="宋体" w:cs="宋体"/>
          <w:sz w:val="28"/>
          <w:szCs w:val="28"/>
          <w:lang w:val="en-US" w:eastAsia="zh-Hans"/>
        </w:rPr>
        <w:t>30065.55</w:t>
      </w:r>
      <w:r>
        <w:rPr>
          <w:rFonts w:hint="eastAsia" w:ascii="宋体" w:hAnsi="宋体" w:eastAsia="宋体" w:cs="宋体"/>
          <w:sz w:val="28"/>
          <w:szCs w:val="28"/>
        </w:rPr>
        <w:t>万元，资金来源为：</w:t>
      </w:r>
    </w:p>
    <w:p>
      <w:pPr>
        <w:pageBreakBefore w:val="0"/>
        <w:kinsoku/>
        <w:wordWrap/>
        <w:overflowPunct/>
        <w:topLinePunct w:val="0"/>
        <w:autoSpaceDE/>
        <w:autoSpaceDN/>
        <w:bidi w:val="0"/>
        <w:adjustRightInd w:val="0"/>
        <w:snapToGrid/>
        <w:spacing w:line="600" w:lineRule="exact"/>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1</w:t>
      </w:r>
      <w:r>
        <w:rPr>
          <w:rFonts w:hint="eastAsia" w:ascii="宋体" w:hAnsi="宋体" w:eastAsia="宋体" w:cs="宋体"/>
          <w:sz w:val="28"/>
          <w:szCs w:val="28"/>
          <w:lang w:eastAsia="zh-Hans"/>
        </w:rPr>
        <w:t>.自有</w:t>
      </w:r>
      <w:r>
        <w:rPr>
          <w:rFonts w:hint="eastAsia" w:ascii="宋体" w:hAnsi="宋体" w:eastAsia="宋体" w:cs="宋体"/>
          <w:sz w:val="28"/>
          <w:szCs w:val="28"/>
        </w:rPr>
        <w:t>资金</w:t>
      </w:r>
      <w:r>
        <w:rPr>
          <w:rFonts w:hint="eastAsia" w:ascii="宋体" w:hAnsi="宋体" w:eastAsia="宋体" w:cs="宋体"/>
          <w:kern w:val="0"/>
          <w:sz w:val="28"/>
          <w:szCs w:val="28"/>
          <w:lang w:val="en-US" w:eastAsia="zh-CN"/>
        </w:rPr>
        <w:t>6065.55</w:t>
      </w:r>
      <w:r>
        <w:rPr>
          <w:rFonts w:hint="eastAsia" w:ascii="宋体" w:hAnsi="宋体" w:eastAsia="宋体" w:cs="宋体"/>
          <w:sz w:val="28"/>
          <w:szCs w:val="28"/>
        </w:rPr>
        <w:t>万元，由项目单位申请财政资金解决；</w:t>
      </w:r>
    </w:p>
    <w:p>
      <w:pPr>
        <w:pageBreakBefore w:val="0"/>
        <w:kinsoku/>
        <w:wordWrap/>
        <w:overflowPunct/>
        <w:topLinePunct w:val="0"/>
        <w:autoSpaceDE/>
        <w:autoSpaceDN/>
        <w:bidi w:val="0"/>
        <w:adjustRightInd w:val="0"/>
        <w:snapToGrid/>
        <w:spacing w:line="600" w:lineRule="exact"/>
        <w:ind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2</w:t>
      </w:r>
      <w:r>
        <w:rPr>
          <w:rFonts w:hint="eastAsia" w:ascii="宋体" w:hAnsi="宋体" w:eastAsia="宋体" w:cs="宋体"/>
          <w:sz w:val="28"/>
          <w:szCs w:val="28"/>
          <w:lang w:eastAsia="zh-Hans"/>
        </w:rPr>
        <w:t>.</w:t>
      </w:r>
      <w:r>
        <w:rPr>
          <w:rFonts w:hint="eastAsia" w:ascii="宋体" w:hAnsi="宋体" w:eastAsia="宋体" w:cs="宋体"/>
          <w:sz w:val="28"/>
          <w:szCs w:val="28"/>
        </w:rPr>
        <w:t>2023</w:t>
      </w:r>
      <w:r>
        <w:rPr>
          <w:rFonts w:hint="eastAsia" w:ascii="宋体" w:hAnsi="宋体" w:eastAsia="宋体" w:cs="宋体"/>
          <w:sz w:val="28"/>
          <w:szCs w:val="28"/>
          <w:lang w:eastAsia="zh-Hans"/>
        </w:rPr>
        <w:t>年以前批次已申请地方政府专项债券筹措</w:t>
      </w:r>
      <w:r>
        <w:rPr>
          <w:rFonts w:hint="eastAsia" w:ascii="宋体" w:hAnsi="宋体" w:eastAsia="宋体" w:cs="宋体"/>
          <w:sz w:val="28"/>
          <w:szCs w:val="28"/>
          <w:lang w:val="en-US" w:eastAsia="zh-CN"/>
        </w:rPr>
        <w:t>115</w:t>
      </w:r>
      <w:r>
        <w:rPr>
          <w:rFonts w:hint="eastAsia" w:ascii="宋体" w:hAnsi="宋体" w:eastAsia="宋体" w:cs="宋体"/>
          <w:sz w:val="28"/>
          <w:szCs w:val="28"/>
          <w:lang w:eastAsia="zh-Hans"/>
        </w:rPr>
        <w:t>00万元</w:t>
      </w:r>
      <w:r>
        <w:rPr>
          <w:rFonts w:hint="eastAsia" w:ascii="宋体" w:hAnsi="宋体" w:eastAsia="宋体" w:cs="宋体"/>
          <w:sz w:val="28"/>
          <w:szCs w:val="28"/>
        </w:rPr>
        <w:t>；</w:t>
      </w:r>
    </w:p>
    <w:p>
      <w:pPr>
        <w:pageBreakBefore w:val="0"/>
        <w:kinsoku/>
        <w:wordWrap/>
        <w:overflowPunct/>
        <w:topLinePunct w:val="0"/>
        <w:autoSpaceDE/>
        <w:autoSpaceDN/>
        <w:bidi w:val="0"/>
        <w:adjustRightInd w:val="0"/>
        <w:snapToGrid/>
        <w:spacing w:line="600" w:lineRule="exact"/>
        <w:ind w:firstLine="560" w:firstLineChars="200"/>
        <w:textAlignment w:val="auto"/>
        <w:rPr>
          <w:rFonts w:hint="eastAsia" w:ascii="宋体" w:hAnsi="宋体" w:eastAsia="宋体" w:cs="宋体"/>
          <w:bCs/>
          <w:sz w:val="28"/>
          <w:szCs w:val="28"/>
        </w:rPr>
      </w:pPr>
      <w:r>
        <w:rPr>
          <w:rFonts w:hint="eastAsia" w:ascii="宋体" w:hAnsi="宋体" w:eastAsia="宋体" w:cs="宋体"/>
          <w:sz w:val="28"/>
          <w:szCs w:val="28"/>
        </w:rPr>
        <w:t>3.剩余资金缺口1</w:t>
      </w:r>
      <w:r>
        <w:rPr>
          <w:rFonts w:hint="eastAsia" w:ascii="宋体" w:hAnsi="宋体" w:eastAsia="宋体" w:cs="宋体"/>
          <w:sz w:val="28"/>
          <w:szCs w:val="28"/>
          <w:lang w:val="en-US" w:eastAsia="zh-CN"/>
        </w:rPr>
        <w:t>25</w:t>
      </w:r>
      <w:r>
        <w:rPr>
          <w:rFonts w:hint="eastAsia" w:ascii="宋体" w:hAnsi="宋体" w:eastAsia="宋体" w:cs="宋体"/>
          <w:sz w:val="28"/>
          <w:szCs w:val="28"/>
        </w:rPr>
        <w:t>00万元，拟通过分年度分批次申请发行地方政府专项债券筹措，其中本次申请</w:t>
      </w:r>
      <w:r>
        <w:rPr>
          <w:rFonts w:hint="eastAsia" w:ascii="宋体" w:hAnsi="宋体" w:eastAsia="宋体" w:cs="宋体"/>
          <w:sz w:val="28"/>
          <w:szCs w:val="28"/>
          <w:lang w:val="en-US" w:eastAsia="zh-CN"/>
        </w:rPr>
        <w:t>1680</w:t>
      </w:r>
      <w:r>
        <w:rPr>
          <w:rFonts w:hint="eastAsia" w:ascii="宋体" w:hAnsi="宋体" w:eastAsia="宋体" w:cs="宋体"/>
          <w:sz w:val="28"/>
          <w:szCs w:val="28"/>
        </w:rPr>
        <w:t>万元。</w:t>
      </w:r>
    </w:p>
    <w:p>
      <w:pPr>
        <w:pageBreakBefore w:val="0"/>
        <w:kinsoku/>
        <w:wordWrap/>
        <w:overflowPunct/>
        <w:topLinePunct w:val="0"/>
        <w:autoSpaceDE/>
        <w:autoSpaceDN/>
        <w:bidi w:val="0"/>
        <w:snapToGrid/>
        <w:spacing w:line="600" w:lineRule="exact"/>
        <w:ind w:firstLine="562" w:firstLineChars="200"/>
        <w:contextualSpacing/>
        <w:textAlignment w:val="auto"/>
        <w:rPr>
          <w:rFonts w:hint="eastAsia" w:ascii="宋体" w:hAnsi="宋体" w:eastAsia="宋体" w:cs="宋体"/>
          <w:bCs/>
          <w:sz w:val="28"/>
          <w:szCs w:val="28"/>
        </w:rPr>
      </w:pPr>
      <w:r>
        <w:rPr>
          <w:rFonts w:hint="eastAsia" w:ascii="宋体" w:hAnsi="宋体" w:eastAsia="宋体" w:cs="宋体"/>
          <w:b/>
          <w:sz w:val="28"/>
          <w:szCs w:val="28"/>
        </w:rPr>
        <w:t>据此，本所律师认为，</w:t>
      </w:r>
      <w:r>
        <w:rPr>
          <w:rFonts w:hint="eastAsia" w:ascii="宋体" w:hAnsi="宋体" w:eastAsia="宋体" w:cs="宋体"/>
          <w:bCs/>
          <w:sz w:val="28"/>
          <w:szCs w:val="28"/>
        </w:rPr>
        <w:t>康乐幼儿园（五一北路校区）新建项目资金来源已做合理安排，资金筹措方式符合相关法律法规的规定。</w:t>
      </w:r>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53" w:name="_Toc27545"/>
      <w:bookmarkStart w:id="54" w:name="_Toc66825093"/>
      <w:r>
        <w:rPr>
          <w:rFonts w:hint="eastAsia" w:ascii="宋体" w:hAnsi="宋体" w:eastAsia="宋体" w:cs="宋体"/>
          <w:sz w:val="28"/>
          <w:szCs w:val="28"/>
        </w:rPr>
        <w:t>四、项目对应专项债券预期偿债资金来源</w:t>
      </w:r>
      <w:bookmarkEnd w:id="53"/>
      <w:bookmarkEnd w:id="54"/>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kern w:val="0"/>
          <w:sz w:val="28"/>
          <w:szCs w:val="28"/>
        </w:rPr>
      </w:pPr>
      <w:r>
        <w:rPr>
          <w:rFonts w:hint="eastAsia" w:ascii="宋体" w:hAnsi="宋体" w:eastAsia="宋体" w:cs="宋体"/>
          <w:bCs/>
          <w:sz w:val="28"/>
          <w:szCs w:val="28"/>
        </w:rPr>
        <w:t>依据《</w:t>
      </w:r>
      <w:r>
        <w:rPr>
          <w:rFonts w:hint="eastAsia" w:ascii="宋体" w:hAnsi="宋体" w:eastAsia="宋体" w:cs="宋体"/>
          <w:bCs/>
          <w:sz w:val="28"/>
          <w:szCs w:val="28"/>
          <w:lang w:eastAsia="zh-Hans"/>
        </w:rPr>
        <w:t>2023年至2024年太原市杏花岭区康乐幼儿园（五一北路校区）新建项目专项债券</w:t>
      </w:r>
      <w:r>
        <w:rPr>
          <w:rFonts w:hint="eastAsia" w:ascii="宋体" w:hAnsi="宋体" w:eastAsia="宋体" w:cs="宋体"/>
          <w:bCs/>
          <w:sz w:val="28"/>
          <w:szCs w:val="28"/>
          <w:lang w:val="en-US" w:eastAsia="zh-Hans"/>
        </w:rPr>
        <w:t>项目收益与融资平衡方案财务咨询评估报告</w:t>
      </w:r>
      <w:r>
        <w:rPr>
          <w:rFonts w:hint="eastAsia" w:ascii="宋体" w:hAnsi="宋体" w:eastAsia="宋体" w:cs="宋体"/>
          <w:bCs/>
          <w:sz w:val="28"/>
          <w:szCs w:val="28"/>
        </w:rPr>
        <w:t>》，经专项审核，</w:t>
      </w:r>
      <w:r>
        <w:rPr>
          <w:rFonts w:hint="eastAsia" w:ascii="宋体" w:hAnsi="宋体" w:eastAsia="宋体" w:cs="宋体"/>
          <w:kern w:val="0"/>
          <w:sz w:val="28"/>
          <w:szCs w:val="28"/>
        </w:rPr>
        <w:t>大华会计师事务所（特殊普通合伙）山西分所认为：</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r>
        <w:rPr>
          <w:rFonts w:hint="eastAsia" w:ascii="宋体" w:hAnsi="宋体" w:eastAsia="宋体" w:cs="宋体"/>
          <w:sz w:val="28"/>
          <w:szCs w:val="28"/>
        </w:rPr>
        <w:t>在债券存续期内，项目收益可有效覆盖债券对应项目融资成本，且每年留存资金可</w:t>
      </w:r>
      <w:r>
        <w:rPr>
          <w:rFonts w:hint="eastAsia" w:ascii="宋体" w:hAnsi="宋体" w:eastAsia="宋体" w:cs="宋体"/>
          <w:sz w:val="28"/>
          <w:szCs w:val="28"/>
          <w:lang w:val="en-US" w:eastAsia="zh-CN"/>
        </w:rPr>
        <w:t>以支付后期债券存续期间的利息支出及到期的本金偿还支出。截至2039年还本息后项目累计净现金结余6,556.89</w:t>
      </w:r>
      <w:bookmarkStart w:id="108" w:name="_GoBack"/>
      <w:bookmarkEnd w:id="108"/>
      <w:r>
        <w:rPr>
          <w:rFonts w:hint="eastAsia" w:ascii="宋体" w:hAnsi="宋体" w:eastAsia="宋体" w:cs="宋体"/>
          <w:sz w:val="28"/>
          <w:szCs w:val="28"/>
          <w:lang w:val="en-US" w:eastAsia="zh-CN"/>
        </w:rPr>
        <w:t>万元，因此该项目在上述预测假设前提下资金稳定性总体上可以得到保证</w:t>
      </w:r>
      <w:r>
        <w:rPr>
          <w:rFonts w:hint="eastAsia" w:ascii="宋体" w:hAnsi="宋体" w:eastAsia="宋体" w:cs="宋体"/>
          <w:sz w:val="28"/>
          <w:szCs w:val="28"/>
        </w:rPr>
        <w:t>。</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kern w:val="0"/>
          <w:sz w:val="28"/>
          <w:szCs w:val="28"/>
        </w:rPr>
      </w:pPr>
      <w:r>
        <w:rPr>
          <w:rFonts w:hint="eastAsia" w:ascii="宋体" w:hAnsi="宋体" w:eastAsia="宋体" w:cs="宋体"/>
          <w:kern w:val="0"/>
          <w:sz w:val="28"/>
          <w:szCs w:val="28"/>
        </w:rPr>
        <w:t>该债券募投项目收益</w:t>
      </w:r>
      <w:r>
        <w:rPr>
          <w:rFonts w:hint="eastAsia" w:ascii="宋体" w:hAnsi="宋体" w:eastAsia="宋体" w:cs="宋体"/>
          <w:kern w:val="0"/>
          <w:sz w:val="28"/>
          <w:szCs w:val="28"/>
          <w:lang w:val="en-US" w:eastAsia="zh-CN"/>
        </w:rPr>
        <w:t>主要为保教费收入、食宿午托收入、教育培训收入和申请财政补助收入</w:t>
      </w:r>
      <w:r>
        <w:rPr>
          <w:rFonts w:hint="eastAsia" w:ascii="宋体" w:hAnsi="宋体" w:eastAsia="宋体" w:cs="宋体"/>
          <w:kern w:val="0"/>
          <w:sz w:val="28"/>
          <w:szCs w:val="28"/>
          <w:lang w:eastAsia="zh-CN"/>
        </w:rPr>
        <w:t>，</w:t>
      </w:r>
      <w:r>
        <w:rPr>
          <w:rFonts w:hint="eastAsia" w:ascii="宋体" w:hAnsi="宋体" w:eastAsia="宋体" w:cs="宋体"/>
          <w:kern w:val="0"/>
          <w:sz w:val="28"/>
          <w:szCs w:val="28"/>
        </w:rPr>
        <w:t>项目收益和现金流覆盖债券还本付息倍数为</w:t>
      </w:r>
      <w:r>
        <w:rPr>
          <w:rFonts w:hint="eastAsia" w:ascii="宋体" w:hAnsi="宋体" w:eastAsia="宋体" w:cs="宋体"/>
          <w:kern w:val="0"/>
          <w:sz w:val="28"/>
          <w:szCs w:val="28"/>
          <w:lang w:val="en-US" w:eastAsia="zh-CN"/>
        </w:rPr>
        <w:t>1.18</w:t>
      </w:r>
      <w:r>
        <w:rPr>
          <w:rFonts w:hint="eastAsia" w:ascii="宋体" w:hAnsi="宋体" w:eastAsia="宋体" w:cs="宋体"/>
          <w:kern w:val="0"/>
          <w:sz w:val="28"/>
          <w:szCs w:val="28"/>
          <w:lang w:eastAsia="zh-CN"/>
        </w:rPr>
        <w:t>，</w:t>
      </w:r>
      <w:r>
        <w:rPr>
          <w:rFonts w:hint="eastAsia" w:ascii="宋体" w:hAnsi="宋体" w:eastAsia="宋体" w:cs="宋体"/>
          <w:kern w:val="0"/>
          <w:sz w:val="28"/>
          <w:szCs w:val="28"/>
        </w:rPr>
        <w:t>上述测算用于还本付息资金的充足性得到保障，</w:t>
      </w:r>
      <w:r>
        <w:rPr>
          <w:rFonts w:hint="eastAsia" w:ascii="宋体" w:hAnsi="宋体" w:eastAsia="宋体" w:cs="宋体"/>
          <w:kern w:val="0"/>
          <w:sz w:val="28"/>
          <w:szCs w:val="28"/>
          <w:lang w:val="en-US" w:eastAsia="zh-CN"/>
        </w:rPr>
        <w:t>上述预测假设前提下</w:t>
      </w:r>
      <w:r>
        <w:rPr>
          <w:rFonts w:hint="eastAsia" w:ascii="宋体" w:hAnsi="宋体" w:eastAsia="宋体" w:cs="宋体"/>
          <w:kern w:val="0"/>
          <w:sz w:val="28"/>
          <w:szCs w:val="28"/>
        </w:rPr>
        <w:t>能够满足专项债券的还本付息要求，并实现本期债券募投项目收益与融资自求平衡。</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r>
        <w:rPr>
          <w:rFonts w:hint="eastAsia" w:ascii="宋体" w:hAnsi="宋体" w:eastAsia="宋体" w:cs="宋体"/>
          <w:kern w:val="0"/>
          <w:sz w:val="28"/>
          <w:szCs w:val="28"/>
        </w:rPr>
        <w:t>大华会计师事务所（特殊普通合伙）山西分所</w:t>
      </w:r>
      <w:r>
        <w:rPr>
          <w:rFonts w:hint="eastAsia" w:ascii="宋体" w:hAnsi="宋体" w:eastAsia="宋体" w:cs="宋体"/>
          <w:bCs/>
          <w:sz w:val="28"/>
          <w:szCs w:val="28"/>
        </w:rPr>
        <w:t>总体评价认为：</w:t>
      </w:r>
      <w:r>
        <w:rPr>
          <w:rFonts w:hint="eastAsia" w:ascii="宋体" w:hAnsi="宋体" w:eastAsia="宋体" w:cs="宋体"/>
          <w:bCs/>
          <w:sz w:val="28"/>
          <w:szCs w:val="28"/>
          <w:lang w:val="en-US" w:eastAsia="zh-CN"/>
        </w:rPr>
        <w:t>在上述预测假设前提下该项目的项目收益</w:t>
      </w:r>
      <w:r>
        <w:rPr>
          <w:rFonts w:hint="eastAsia" w:ascii="宋体" w:hAnsi="宋体" w:eastAsia="宋体" w:cs="宋体"/>
          <w:bCs/>
          <w:sz w:val="28"/>
          <w:szCs w:val="28"/>
        </w:rPr>
        <w:t>能够提供充足、稳定的现金流收入，充分满足债券发行还本付息的要求。</w:t>
      </w:r>
    </w:p>
    <w:p>
      <w:pPr>
        <w:pageBreakBefore w:val="0"/>
        <w:kinsoku/>
        <w:wordWrap/>
        <w:overflowPunct/>
        <w:topLinePunct w:val="0"/>
        <w:autoSpaceDE/>
        <w:autoSpaceDN/>
        <w:bidi w:val="0"/>
        <w:snapToGrid/>
        <w:spacing w:line="600" w:lineRule="exact"/>
        <w:ind w:firstLine="562" w:firstLineChars="200"/>
        <w:contextualSpacing/>
        <w:textAlignment w:val="auto"/>
        <w:rPr>
          <w:rFonts w:hint="eastAsia" w:ascii="宋体" w:hAnsi="宋体" w:eastAsia="宋体" w:cs="宋体"/>
          <w:sz w:val="28"/>
          <w:szCs w:val="28"/>
        </w:rPr>
      </w:pPr>
      <w:r>
        <w:rPr>
          <w:rFonts w:hint="eastAsia" w:ascii="宋体" w:hAnsi="宋体" w:eastAsia="宋体" w:cs="宋体"/>
          <w:b/>
          <w:bCs/>
          <w:sz w:val="28"/>
          <w:szCs w:val="28"/>
        </w:rPr>
        <w:t>据此，本所律师认为，</w:t>
      </w:r>
      <w:r>
        <w:rPr>
          <w:rFonts w:hint="eastAsia" w:ascii="宋体" w:hAnsi="宋体" w:eastAsia="宋体" w:cs="宋体"/>
          <w:sz w:val="28"/>
          <w:szCs w:val="28"/>
        </w:rPr>
        <w:t>康乐幼儿园（五一北路校区）新建项目具有稳定的预期偿债资金来源，能够保障偿还债券本金和利息，实现项目收益和融资自求平衡。</w:t>
      </w:r>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55" w:name="_Toc521075377"/>
      <w:bookmarkStart w:id="56" w:name="_Toc6361"/>
      <w:bookmarkStart w:id="57" w:name="_Toc66825094"/>
      <w:bookmarkStart w:id="58" w:name="_Toc607_WPSOffice_Level2"/>
      <w:r>
        <w:rPr>
          <w:rFonts w:hint="eastAsia" w:ascii="宋体" w:hAnsi="宋体" w:eastAsia="宋体" w:cs="宋体"/>
          <w:sz w:val="28"/>
          <w:szCs w:val="28"/>
        </w:rPr>
        <w:t>五、项目对应专项债券的中介服务机构</w:t>
      </w:r>
      <w:bookmarkEnd w:id="55"/>
      <w:bookmarkEnd w:id="56"/>
      <w:bookmarkEnd w:id="57"/>
      <w:bookmarkEnd w:id="58"/>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59" w:name="_Toc16233"/>
      <w:bookmarkStart w:id="60" w:name="_Toc8298_WPSOffice_Level3"/>
      <w:bookmarkStart w:id="61" w:name="_Toc9019"/>
      <w:bookmarkStart w:id="62" w:name="_Toc2625"/>
      <w:bookmarkStart w:id="63" w:name="_Toc233"/>
      <w:bookmarkStart w:id="64" w:name="_Toc5421"/>
      <w:bookmarkStart w:id="65" w:name="_Toc66825095"/>
      <w:bookmarkStart w:id="66" w:name="_Toc454195450"/>
      <w:bookmarkStart w:id="67" w:name="_Toc459205848"/>
      <w:r>
        <w:rPr>
          <w:rFonts w:hint="eastAsia" w:ascii="宋体" w:hAnsi="宋体" w:eastAsia="宋体" w:cs="宋体"/>
          <w:sz w:val="28"/>
          <w:szCs w:val="28"/>
        </w:rPr>
        <w:t>（一）</w:t>
      </w:r>
      <w:bookmarkEnd w:id="59"/>
      <w:bookmarkEnd w:id="60"/>
      <w:bookmarkEnd w:id="61"/>
      <w:bookmarkEnd w:id="62"/>
      <w:bookmarkEnd w:id="63"/>
      <w:r>
        <w:rPr>
          <w:rFonts w:hint="eastAsia" w:ascii="宋体" w:hAnsi="宋体" w:eastAsia="宋体" w:cs="宋体"/>
          <w:sz w:val="28"/>
          <w:szCs w:val="28"/>
        </w:rPr>
        <w:t>会计师事务所</w:t>
      </w:r>
      <w:bookmarkEnd w:id="64"/>
      <w:bookmarkEnd w:id="65"/>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sz w:val="28"/>
          <w:szCs w:val="28"/>
        </w:rPr>
      </w:pPr>
      <w:bookmarkStart w:id="68" w:name="_Toc22137"/>
      <w:bookmarkStart w:id="69" w:name="_Toc26662"/>
      <w:bookmarkStart w:id="70" w:name="_Toc14116"/>
      <w:bookmarkStart w:id="71" w:name="_Toc4217_WPSOffice_Level3"/>
      <w:bookmarkStart w:id="72" w:name="_Toc8470"/>
      <w:bookmarkStart w:id="73" w:name="_Toc459205845"/>
      <w:bookmarkStart w:id="74" w:name="_Toc11650"/>
      <w:bookmarkStart w:id="75" w:name="_Toc410"/>
      <w:bookmarkStart w:id="76" w:name="_Toc9965_WPSOffice_Level3"/>
      <w:bookmarkStart w:id="77" w:name="_Toc15513"/>
      <w:bookmarkStart w:id="78" w:name="_Toc10036"/>
      <w:bookmarkStart w:id="79" w:name="_Toc66825096"/>
      <w:r>
        <w:rPr>
          <w:rFonts w:hint="eastAsia" w:ascii="宋体" w:hAnsi="宋体" w:eastAsia="宋体" w:cs="宋体"/>
          <w:sz w:val="28"/>
          <w:szCs w:val="28"/>
        </w:rPr>
        <w:t>大华会计师事务所（特殊普通合伙）山西分所持有山西转型综合改革示范区管理委员会于2022年1月10日核发的《营业执照》（统一社会信用代码：91140100058863554J），山西省财政厅于2022年1月13日核发的《会计师事务所分所执业证书》（分所编号：110101481401）。</w:t>
      </w:r>
    </w:p>
    <w:p>
      <w:pPr>
        <w:pageBreakBefore w:val="0"/>
        <w:kinsoku/>
        <w:wordWrap/>
        <w:overflowPunct/>
        <w:topLinePunct w:val="0"/>
        <w:autoSpaceDE/>
        <w:autoSpaceDN/>
        <w:bidi w:val="0"/>
        <w:snapToGrid/>
        <w:spacing w:line="600" w:lineRule="exact"/>
        <w:ind w:firstLine="562" w:firstLineChars="200"/>
        <w:contextualSpacing/>
        <w:textAlignment w:val="auto"/>
        <w:rPr>
          <w:rFonts w:hint="eastAsia" w:ascii="宋体" w:hAnsi="宋体" w:eastAsia="宋体" w:cs="宋体"/>
          <w:sz w:val="28"/>
          <w:szCs w:val="28"/>
        </w:rPr>
      </w:pPr>
      <w:r>
        <w:rPr>
          <w:rFonts w:hint="eastAsia" w:ascii="宋体" w:hAnsi="宋体" w:eastAsia="宋体" w:cs="宋体"/>
          <w:b/>
          <w:bCs/>
          <w:sz w:val="28"/>
          <w:szCs w:val="28"/>
        </w:rPr>
        <w:t>据此，本所律师认为，</w:t>
      </w:r>
      <w:r>
        <w:rPr>
          <w:rFonts w:hint="eastAsia" w:ascii="宋体" w:hAnsi="宋体" w:eastAsia="宋体" w:cs="宋体"/>
          <w:sz w:val="28"/>
          <w:szCs w:val="28"/>
        </w:rPr>
        <w:t>大华会计师事务所（特殊普通合伙）山西分所具有从业资质，其出具的评估报告具有法律效力</w:t>
      </w:r>
      <w:bookmarkEnd w:id="68"/>
      <w:bookmarkEnd w:id="69"/>
      <w:bookmarkEnd w:id="70"/>
      <w:bookmarkEnd w:id="71"/>
      <w:bookmarkEnd w:id="72"/>
      <w:r>
        <w:rPr>
          <w:rFonts w:hint="eastAsia" w:ascii="宋体" w:hAnsi="宋体" w:eastAsia="宋体" w:cs="宋体"/>
          <w:sz w:val="28"/>
          <w:szCs w:val="28"/>
        </w:rPr>
        <w:t>。</w:t>
      </w:r>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80" w:name="_Toc12199"/>
      <w:r>
        <w:rPr>
          <w:rFonts w:hint="eastAsia" w:ascii="宋体" w:hAnsi="宋体" w:eastAsia="宋体" w:cs="宋体"/>
          <w:sz w:val="28"/>
          <w:szCs w:val="28"/>
        </w:rPr>
        <w:t>（二）</w:t>
      </w:r>
      <w:bookmarkEnd w:id="73"/>
      <w:bookmarkEnd w:id="74"/>
      <w:bookmarkEnd w:id="75"/>
      <w:bookmarkEnd w:id="76"/>
      <w:bookmarkEnd w:id="77"/>
      <w:bookmarkEnd w:id="78"/>
      <w:r>
        <w:rPr>
          <w:rFonts w:hint="eastAsia" w:ascii="宋体" w:hAnsi="宋体" w:eastAsia="宋体" w:cs="宋体"/>
          <w:sz w:val="28"/>
          <w:szCs w:val="28"/>
        </w:rPr>
        <w:t>律师事务所</w:t>
      </w:r>
      <w:bookmarkEnd w:id="79"/>
      <w:bookmarkEnd w:id="80"/>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bookmarkStart w:id="81" w:name="_Toc457033781"/>
      <w:bookmarkEnd w:id="81"/>
      <w:bookmarkStart w:id="82" w:name="_Toc457058450"/>
      <w:bookmarkStart w:id="83" w:name="_Toc459205846"/>
      <w:bookmarkStart w:id="84" w:name="_Toc457033782"/>
      <w:r>
        <w:rPr>
          <w:rFonts w:hint="eastAsia" w:ascii="宋体" w:hAnsi="宋体" w:eastAsia="宋体" w:cs="宋体"/>
          <w:bCs/>
          <w:sz w:val="28"/>
          <w:szCs w:val="28"/>
        </w:rPr>
        <w:t>山西华炬律师事务所对项目法律要素的合法合规性进行法律评估并出具法律意见，山西华炬律师事务所系山西省司法厅核准设立的特殊的普通合伙制律师事务所，统一社会信用代码为：31140000MD0046620Q，现持有山西省司法厅于2022年3月21日核发的《律师事务所执业许可证》。</w:t>
      </w:r>
    </w:p>
    <w:p>
      <w:pPr>
        <w:pageBreakBefore w:val="0"/>
        <w:kinsoku/>
        <w:wordWrap/>
        <w:overflowPunct/>
        <w:topLinePunct w:val="0"/>
        <w:autoSpaceDE/>
        <w:autoSpaceDN/>
        <w:bidi w:val="0"/>
        <w:snapToGrid/>
        <w:spacing w:line="600" w:lineRule="exact"/>
        <w:ind w:firstLine="562" w:firstLineChars="200"/>
        <w:contextualSpacing/>
        <w:textAlignment w:val="auto"/>
        <w:rPr>
          <w:rFonts w:hint="eastAsia" w:ascii="宋体" w:hAnsi="宋体" w:eastAsia="宋体" w:cs="宋体"/>
          <w:bCs/>
          <w:sz w:val="28"/>
          <w:szCs w:val="28"/>
        </w:rPr>
      </w:pPr>
      <w:r>
        <w:rPr>
          <w:rFonts w:hint="eastAsia" w:ascii="宋体" w:hAnsi="宋体" w:eastAsia="宋体" w:cs="宋体"/>
          <w:b/>
          <w:sz w:val="28"/>
          <w:szCs w:val="28"/>
        </w:rPr>
        <w:t>本所律师认为，</w:t>
      </w:r>
      <w:r>
        <w:rPr>
          <w:rFonts w:hint="eastAsia" w:ascii="宋体" w:hAnsi="宋体" w:eastAsia="宋体" w:cs="宋体"/>
          <w:bCs/>
          <w:sz w:val="28"/>
          <w:szCs w:val="28"/>
        </w:rPr>
        <w:t>山西华炬律师事务所</w:t>
      </w:r>
      <w:bookmarkEnd w:id="82"/>
      <w:bookmarkEnd w:id="83"/>
      <w:bookmarkEnd w:id="84"/>
      <w:r>
        <w:rPr>
          <w:rFonts w:hint="eastAsia" w:ascii="宋体" w:hAnsi="宋体" w:eastAsia="宋体" w:cs="宋体"/>
          <w:bCs/>
          <w:sz w:val="28"/>
          <w:szCs w:val="28"/>
        </w:rPr>
        <w:t>具有从业资格，出具的法律意见书具有法律效力</w:t>
      </w:r>
      <w:bookmarkEnd w:id="66"/>
      <w:bookmarkEnd w:id="67"/>
      <w:r>
        <w:rPr>
          <w:rFonts w:hint="eastAsia" w:ascii="宋体" w:hAnsi="宋体" w:eastAsia="宋体" w:cs="宋体"/>
          <w:bCs/>
          <w:sz w:val="28"/>
          <w:szCs w:val="28"/>
        </w:rPr>
        <w:t>。</w:t>
      </w:r>
    </w:p>
    <w:p>
      <w:pPr>
        <w:pStyle w:val="4"/>
        <w:pageBreakBefore w:val="0"/>
        <w:kinsoku/>
        <w:wordWrap/>
        <w:overflowPunct/>
        <w:topLinePunct w:val="0"/>
        <w:autoSpaceDE/>
        <w:autoSpaceDN/>
        <w:bidi w:val="0"/>
        <w:snapToGrid/>
        <w:spacing w:line="600" w:lineRule="exact"/>
        <w:ind w:firstLine="562"/>
        <w:textAlignment w:val="auto"/>
        <w:rPr>
          <w:rFonts w:hint="eastAsia" w:ascii="宋体" w:hAnsi="宋体" w:eastAsia="宋体" w:cs="宋体"/>
          <w:sz w:val="28"/>
          <w:szCs w:val="28"/>
        </w:rPr>
      </w:pPr>
      <w:bookmarkStart w:id="85" w:name="_Toc457058460"/>
      <w:bookmarkStart w:id="86" w:name="_Toc66825097"/>
      <w:bookmarkStart w:id="87" w:name="_Toc459205855"/>
      <w:bookmarkStart w:id="88" w:name="_Toc8221_WPSOffice_Level2"/>
      <w:bookmarkStart w:id="89" w:name="_Toc521075378"/>
      <w:bookmarkStart w:id="90" w:name="_Toc7877"/>
      <w:bookmarkStart w:id="91" w:name="_Toc457033929"/>
      <w:r>
        <w:rPr>
          <w:rFonts w:hint="eastAsia" w:ascii="宋体" w:hAnsi="宋体" w:eastAsia="宋体" w:cs="宋体"/>
          <w:sz w:val="28"/>
          <w:szCs w:val="28"/>
        </w:rPr>
        <w:t>六、结论意见</w:t>
      </w:r>
      <w:bookmarkEnd w:id="85"/>
      <w:bookmarkEnd w:id="86"/>
      <w:bookmarkEnd w:id="87"/>
      <w:bookmarkEnd w:id="88"/>
      <w:bookmarkEnd w:id="89"/>
      <w:bookmarkEnd w:id="90"/>
      <w:bookmarkEnd w:id="91"/>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r>
        <w:rPr>
          <w:rFonts w:hint="eastAsia" w:ascii="宋体" w:hAnsi="宋体" w:eastAsia="宋体" w:cs="宋体"/>
          <w:bCs/>
          <w:sz w:val="28"/>
          <w:szCs w:val="28"/>
        </w:rPr>
        <w:t>综上所述，本所律师认为：</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r>
        <w:rPr>
          <w:rFonts w:hint="eastAsia" w:ascii="宋体" w:hAnsi="宋体" w:eastAsia="宋体" w:cs="宋体"/>
          <w:bCs/>
          <w:sz w:val="28"/>
          <w:szCs w:val="28"/>
          <w:lang w:eastAsia="zh-Hans"/>
        </w:rPr>
        <w:t>太原市杏花岭区教育局</w:t>
      </w:r>
      <w:r>
        <w:rPr>
          <w:rFonts w:hint="eastAsia" w:ascii="宋体" w:hAnsi="宋体" w:eastAsia="宋体" w:cs="宋体"/>
          <w:bCs/>
          <w:sz w:val="28"/>
          <w:szCs w:val="28"/>
        </w:rPr>
        <w:t>依法设立并有效存续，可以作为项目的实施主体</w:t>
      </w:r>
      <w:r>
        <w:rPr>
          <w:rFonts w:hint="eastAsia" w:ascii="宋体" w:hAnsi="宋体" w:eastAsia="宋体" w:cs="宋体"/>
          <w:sz w:val="28"/>
          <w:szCs w:val="28"/>
        </w:rPr>
        <w:t>。</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r>
        <w:rPr>
          <w:rFonts w:hint="eastAsia" w:ascii="宋体" w:hAnsi="宋体" w:eastAsia="宋体" w:cs="宋体"/>
          <w:sz w:val="28"/>
          <w:szCs w:val="28"/>
        </w:rPr>
        <w:t>康乐幼儿园（五一北路校区）新建项目属于公益性项目，已取得可研批复、</w:t>
      </w:r>
      <w:r>
        <w:rPr>
          <w:rFonts w:hint="eastAsia" w:ascii="宋体" w:hAnsi="宋体" w:eastAsia="宋体" w:cs="宋体"/>
          <w:bCs/>
          <w:sz w:val="28"/>
          <w:szCs w:val="28"/>
          <w:lang w:eastAsia="zh-Hans"/>
        </w:rPr>
        <w:t>初设批复、</w:t>
      </w:r>
      <w:r>
        <w:rPr>
          <w:rFonts w:hint="eastAsia" w:ascii="宋体" w:hAnsi="宋体" w:eastAsia="宋体" w:cs="宋体"/>
          <w:sz w:val="28"/>
          <w:szCs w:val="28"/>
        </w:rPr>
        <w:t>用地预审与选址意见、</w:t>
      </w:r>
      <w:r>
        <w:rPr>
          <w:rFonts w:hint="eastAsia" w:ascii="宋体" w:hAnsi="宋体" w:eastAsia="宋体" w:cs="宋体"/>
          <w:bCs/>
          <w:sz w:val="28"/>
          <w:szCs w:val="28"/>
          <w:lang w:eastAsia="zh-Hans"/>
        </w:rPr>
        <w:t>用地规划许可</w:t>
      </w:r>
      <w:r>
        <w:rPr>
          <w:rFonts w:hint="eastAsia" w:ascii="宋体" w:hAnsi="宋体" w:eastAsia="宋体" w:cs="宋体"/>
          <w:bCs/>
          <w:sz w:val="28"/>
          <w:szCs w:val="28"/>
        </w:rPr>
        <w:t>、</w:t>
      </w:r>
      <w:r>
        <w:rPr>
          <w:rFonts w:hint="eastAsia" w:ascii="宋体" w:hAnsi="宋体" w:eastAsia="宋体" w:cs="宋体"/>
          <w:bCs/>
          <w:kern w:val="0"/>
          <w:sz w:val="28"/>
          <w:szCs w:val="28"/>
        </w:rPr>
        <w:t>国有建设用地划拨决定书、</w:t>
      </w:r>
      <w:r>
        <w:rPr>
          <w:rFonts w:hint="eastAsia" w:ascii="宋体" w:hAnsi="宋体" w:eastAsia="宋体" w:cs="宋体"/>
          <w:bCs/>
          <w:kern w:val="0"/>
          <w:sz w:val="28"/>
          <w:szCs w:val="28"/>
          <w:lang w:val="en-US" w:eastAsia="zh-CN"/>
        </w:rPr>
        <w:t>不动产权证书、</w:t>
      </w:r>
      <w:r>
        <w:rPr>
          <w:rFonts w:hint="eastAsia" w:ascii="宋体" w:hAnsi="宋体" w:eastAsia="宋体" w:cs="宋体"/>
          <w:bCs/>
          <w:kern w:val="0"/>
          <w:sz w:val="28"/>
          <w:szCs w:val="28"/>
        </w:rPr>
        <w:t>施工许可</w:t>
      </w:r>
      <w:r>
        <w:rPr>
          <w:rFonts w:hint="eastAsia" w:ascii="宋体" w:hAnsi="宋体" w:eastAsia="宋体" w:cs="宋体"/>
          <w:bCs/>
          <w:sz w:val="28"/>
          <w:szCs w:val="28"/>
          <w:lang w:eastAsia="zh-Hans"/>
        </w:rPr>
        <w:t>等</w:t>
      </w:r>
      <w:r>
        <w:rPr>
          <w:rFonts w:hint="eastAsia" w:ascii="宋体" w:hAnsi="宋体" w:eastAsia="宋体" w:cs="宋体"/>
          <w:bCs/>
          <w:sz w:val="28"/>
          <w:szCs w:val="28"/>
        </w:rPr>
        <w:t>审批手续，</w:t>
      </w:r>
      <w:r>
        <w:rPr>
          <w:rFonts w:hint="eastAsia" w:ascii="宋体" w:hAnsi="宋体" w:eastAsia="宋体" w:cs="宋体"/>
          <w:sz w:val="28"/>
          <w:szCs w:val="28"/>
        </w:rPr>
        <w:t>建设审批手续有待陆续完善</w:t>
      </w:r>
      <w:r>
        <w:rPr>
          <w:rFonts w:hint="eastAsia" w:ascii="宋体" w:hAnsi="宋体" w:eastAsia="宋体" w:cs="宋体"/>
          <w:bCs/>
          <w:kern w:val="0"/>
          <w:sz w:val="28"/>
          <w:szCs w:val="28"/>
          <w:lang w:eastAsia="zh-Hans"/>
        </w:rPr>
        <w:t>。</w:t>
      </w:r>
      <w:r>
        <w:rPr>
          <w:rFonts w:hint="eastAsia" w:ascii="宋体" w:hAnsi="宋体" w:eastAsia="宋体" w:cs="宋体"/>
          <w:bCs/>
          <w:sz w:val="28"/>
          <w:szCs w:val="28"/>
        </w:rPr>
        <w:t>该项目能够实现项目收益和融资自求平衡。</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r>
        <w:rPr>
          <w:rFonts w:hint="eastAsia" w:ascii="宋体" w:hAnsi="宋体" w:eastAsia="宋体" w:cs="宋体"/>
          <w:bCs/>
          <w:sz w:val="28"/>
          <w:szCs w:val="28"/>
        </w:rPr>
        <w:t>为专项债券项目提供服务的中介机构具备相应的从业资格。</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bCs/>
          <w:sz w:val="28"/>
          <w:szCs w:val="28"/>
        </w:rPr>
      </w:pPr>
      <w:r>
        <w:rPr>
          <w:rFonts w:hint="eastAsia" w:ascii="宋体" w:hAnsi="宋体" w:eastAsia="宋体" w:cs="宋体"/>
          <w:bCs/>
          <w:sz w:val="28"/>
          <w:szCs w:val="28"/>
        </w:rPr>
        <w:t>2023年至2024年太原市杏花岭区康乐幼儿园（五一北路校区）新建专项债券项目不存在实质性法律障碍。但由于专项债券期限较长，可能存在政策、市场等因素影响相关收入，从而影响专项债券还本付息的风险。</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sz w:val="28"/>
          <w:szCs w:val="28"/>
        </w:rPr>
      </w:pPr>
      <w:r>
        <w:rPr>
          <w:rFonts w:hint="eastAsia" w:ascii="宋体" w:hAnsi="宋体" w:eastAsia="宋体" w:cs="宋体"/>
          <w:bCs/>
          <w:sz w:val="28"/>
          <w:szCs w:val="28"/>
        </w:rPr>
        <w:t>本法律意见书自加盖本所公章及经办律师签字后生效。本法律意见书正本一式六份，本所留存一份，其余五份供项目对应专项债券发行之目的使用。</w:t>
      </w:r>
    </w:p>
    <w:p>
      <w:pPr>
        <w:pageBreakBefore w:val="0"/>
        <w:kinsoku/>
        <w:wordWrap/>
        <w:overflowPunct/>
        <w:topLinePunct w:val="0"/>
        <w:autoSpaceDE/>
        <w:autoSpaceDN/>
        <w:bidi w:val="0"/>
        <w:snapToGrid/>
        <w:spacing w:line="600" w:lineRule="exact"/>
        <w:ind w:firstLine="560" w:firstLineChars="200"/>
        <w:contextualSpacing/>
        <w:textAlignment w:val="auto"/>
        <w:rPr>
          <w:rFonts w:hint="eastAsia" w:ascii="宋体" w:hAnsi="宋体" w:eastAsia="宋体" w:cs="宋体"/>
          <w:sz w:val="28"/>
          <w:szCs w:val="28"/>
        </w:rPr>
      </w:pPr>
      <w:r>
        <w:rPr>
          <w:rFonts w:hint="eastAsia" w:ascii="宋体" w:hAnsi="宋体" w:eastAsia="宋体" w:cs="宋体"/>
          <w:sz w:val="28"/>
          <w:szCs w:val="28"/>
        </w:rPr>
        <w:t>（以下无正文）</w:t>
      </w:r>
    </w:p>
    <w:p>
      <w:pPr>
        <w:widowControl/>
        <w:spacing w:line="600" w:lineRule="exact"/>
        <w:jc w:val="left"/>
        <w:rPr>
          <w:rFonts w:ascii="宋体" w:hAnsi="宋体" w:eastAsia="宋体" w:cs="宋体"/>
          <w:bCs/>
          <w:kern w:val="0"/>
          <w:sz w:val="28"/>
          <w:szCs w:val="28"/>
        </w:rPr>
      </w:pPr>
      <w:r>
        <w:rPr>
          <w:rFonts w:hint="eastAsia" w:ascii="宋体" w:hAnsi="宋体" w:eastAsia="宋体" w:cs="宋体"/>
          <w:sz w:val="28"/>
          <w:szCs w:val="28"/>
        </w:rPr>
        <w:br w:type="page"/>
      </w:r>
      <w:bookmarkEnd w:id="26"/>
      <w:bookmarkEnd w:id="27"/>
      <w:r>
        <w:rPr>
          <w:rFonts w:hint="eastAsia" w:ascii="宋体" w:hAnsi="宋体" w:eastAsia="宋体" w:cs="宋体"/>
          <w:bCs/>
          <w:kern w:val="0"/>
          <w:sz w:val="28"/>
          <w:szCs w:val="28"/>
        </w:rPr>
        <w:t>（本页无正文，为《2023年至2024年太原市杏花岭区康乐幼儿园（五一北路校区）新建专项债券项目之法律意见书》之签署页）</w:t>
      </w:r>
    </w:p>
    <w:p>
      <w:pPr>
        <w:widowControl/>
        <w:spacing w:line="600" w:lineRule="exact"/>
        <w:jc w:val="left"/>
        <w:rPr>
          <w:rFonts w:ascii="宋体" w:hAnsi="宋体" w:eastAsia="宋体" w:cs="宋体"/>
          <w:bCs/>
          <w:kern w:val="0"/>
          <w:sz w:val="28"/>
          <w:szCs w:val="28"/>
        </w:rPr>
      </w:pPr>
    </w:p>
    <w:p>
      <w:pPr>
        <w:widowControl/>
        <w:spacing w:line="600" w:lineRule="exact"/>
        <w:contextualSpacing/>
        <w:jc w:val="left"/>
        <w:rPr>
          <w:rFonts w:ascii="宋体" w:hAnsi="宋体" w:eastAsia="宋体" w:cs="宋体"/>
          <w:bCs/>
          <w:kern w:val="0"/>
          <w:sz w:val="28"/>
          <w:szCs w:val="28"/>
        </w:rPr>
      </w:pPr>
    </w:p>
    <w:p>
      <w:pPr>
        <w:widowControl/>
        <w:spacing w:line="600" w:lineRule="exact"/>
        <w:ind w:firstLine="560" w:firstLineChars="200"/>
        <w:contextualSpacing/>
        <w:jc w:val="left"/>
        <w:rPr>
          <w:rFonts w:ascii="宋体" w:hAnsi="宋体" w:eastAsia="宋体" w:cs="宋体"/>
          <w:sz w:val="28"/>
          <w:szCs w:val="28"/>
        </w:rPr>
      </w:pPr>
    </w:p>
    <w:p>
      <w:pPr>
        <w:widowControl/>
        <w:spacing w:line="600" w:lineRule="exact"/>
        <w:ind w:firstLine="4760" w:firstLineChars="1700"/>
        <w:rPr>
          <w:rFonts w:ascii="宋体" w:hAnsi="宋体" w:cs="宋体"/>
          <w:bCs/>
          <w:kern w:val="0"/>
          <w:sz w:val="28"/>
          <w:szCs w:val="28"/>
        </w:rPr>
      </w:pPr>
      <w:r>
        <w:rPr>
          <w:rFonts w:hint="eastAsia" w:ascii="宋体" w:hAnsi="宋体" w:cs="宋体"/>
          <w:bCs/>
          <w:kern w:val="0"/>
          <w:sz w:val="28"/>
          <w:szCs w:val="28"/>
        </w:rPr>
        <w:t>山西华炬律师事务所</w:t>
      </w:r>
    </w:p>
    <w:p>
      <w:pPr>
        <w:widowControl/>
        <w:spacing w:line="600" w:lineRule="exact"/>
        <w:ind w:firstLine="5040" w:firstLineChars="1800"/>
        <w:jc w:val="left"/>
        <w:rPr>
          <w:rFonts w:ascii="宋体" w:hAnsi="宋体" w:cs="宋体"/>
          <w:bCs/>
          <w:kern w:val="0"/>
          <w:sz w:val="28"/>
          <w:szCs w:val="28"/>
        </w:rPr>
      </w:pPr>
    </w:p>
    <w:p>
      <w:pPr>
        <w:widowControl/>
        <w:spacing w:line="600" w:lineRule="exact"/>
        <w:ind w:firstLine="4760" w:firstLineChars="1700"/>
        <w:jc w:val="left"/>
        <w:rPr>
          <w:rFonts w:ascii="宋体" w:hAnsi="宋体" w:cs="宋体"/>
          <w:bCs/>
          <w:kern w:val="0"/>
          <w:sz w:val="28"/>
          <w:szCs w:val="28"/>
          <w:u w:val="single"/>
        </w:rPr>
      </w:pPr>
      <w:r>
        <w:rPr>
          <w:rFonts w:hint="eastAsia" w:ascii="宋体" w:hAnsi="宋体" w:cs="宋体"/>
          <w:bCs/>
          <w:kern w:val="0"/>
          <w:sz w:val="28"/>
          <w:szCs w:val="28"/>
        </w:rPr>
        <w:t>负责人：</w:t>
      </w:r>
      <w:r>
        <w:rPr>
          <w:rFonts w:ascii="宋体" w:hAnsi="宋体" w:cs="宋体"/>
          <w:bCs/>
          <w:kern w:val="0"/>
          <w:sz w:val="28"/>
          <w:szCs w:val="28"/>
        </w:rPr>
        <w:t>___________</w:t>
      </w:r>
    </w:p>
    <w:p>
      <w:pPr>
        <w:widowControl/>
        <w:spacing w:line="600" w:lineRule="exact"/>
        <w:ind w:firstLine="4200" w:firstLineChars="1500"/>
        <w:jc w:val="left"/>
        <w:rPr>
          <w:rFonts w:ascii="宋体" w:hAnsi="宋体" w:cs="宋体"/>
          <w:bCs/>
          <w:kern w:val="0"/>
          <w:sz w:val="28"/>
          <w:szCs w:val="28"/>
          <w:u w:val="single"/>
        </w:rPr>
      </w:pPr>
    </w:p>
    <w:p>
      <w:pPr>
        <w:widowControl/>
        <w:spacing w:line="600" w:lineRule="exact"/>
        <w:ind w:firstLine="4760" w:firstLineChars="1700"/>
        <w:jc w:val="left"/>
        <w:rPr>
          <w:rFonts w:ascii="宋体" w:hAnsi="宋体" w:cs="宋体"/>
          <w:bCs/>
          <w:kern w:val="0"/>
          <w:sz w:val="28"/>
          <w:szCs w:val="28"/>
          <w:u w:val="single"/>
        </w:rPr>
      </w:pPr>
      <w:r>
        <w:rPr>
          <w:rFonts w:hint="eastAsia" w:ascii="宋体" w:hAnsi="宋体" w:cs="宋体"/>
          <w:bCs/>
          <w:kern w:val="0"/>
          <w:sz w:val="28"/>
          <w:szCs w:val="28"/>
        </w:rPr>
        <w:t>律  师：</w:t>
      </w:r>
      <w:r>
        <w:rPr>
          <w:rFonts w:ascii="宋体" w:hAnsi="宋体" w:cs="宋体"/>
          <w:bCs/>
          <w:kern w:val="0"/>
          <w:sz w:val="28"/>
          <w:szCs w:val="28"/>
        </w:rPr>
        <w:t>___________</w:t>
      </w:r>
    </w:p>
    <w:p>
      <w:pPr>
        <w:widowControl/>
        <w:spacing w:line="600" w:lineRule="exact"/>
        <w:ind w:firstLine="5040" w:firstLineChars="1800"/>
        <w:jc w:val="left"/>
        <w:rPr>
          <w:rFonts w:ascii="宋体" w:hAnsi="宋体" w:cs="宋体"/>
          <w:bCs/>
          <w:kern w:val="0"/>
          <w:sz w:val="28"/>
          <w:szCs w:val="28"/>
        </w:rPr>
      </w:pPr>
    </w:p>
    <w:p>
      <w:pPr>
        <w:widowControl/>
        <w:spacing w:line="600" w:lineRule="exact"/>
        <w:ind w:firstLine="4760" w:firstLineChars="1700"/>
        <w:jc w:val="left"/>
        <w:rPr>
          <w:rFonts w:ascii="宋体" w:hAnsi="宋体" w:cs="宋体"/>
          <w:bCs/>
          <w:kern w:val="0"/>
          <w:sz w:val="28"/>
          <w:szCs w:val="28"/>
          <w:u w:val="single"/>
        </w:rPr>
      </w:pPr>
      <w:r>
        <w:rPr>
          <w:rFonts w:hint="eastAsia" w:ascii="宋体" w:hAnsi="宋体" w:cs="宋体"/>
          <w:bCs/>
          <w:kern w:val="0"/>
          <w:sz w:val="28"/>
          <w:szCs w:val="28"/>
        </w:rPr>
        <w:t>律  师：</w:t>
      </w:r>
      <w:r>
        <w:rPr>
          <w:rFonts w:ascii="宋体" w:hAnsi="宋体" w:cs="宋体"/>
          <w:bCs/>
          <w:kern w:val="0"/>
          <w:sz w:val="28"/>
          <w:szCs w:val="28"/>
        </w:rPr>
        <w:t>___________</w:t>
      </w:r>
    </w:p>
    <w:p>
      <w:pPr>
        <w:widowControl/>
        <w:spacing w:line="600" w:lineRule="exact"/>
        <w:ind w:firstLine="4200" w:firstLineChars="1500"/>
        <w:jc w:val="left"/>
        <w:rPr>
          <w:rFonts w:ascii="宋体" w:hAnsi="宋体" w:cs="宋体"/>
          <w:kern w:val="0"/>
          <w:sz w:val="28"/>
          <w:szCs w:val="28"/>
          <w:u w:val="single"/>
        </w:rPr>
      </w:pPr>
    </w:p>
    <w:p>
      <w:pPr>
        <w:widowControl/>
        <w:spacing w:line="600" w:lineRule="exact"/>
        <w:ind w:firstLine="4480" w:firstLineChars="1600"/>
        <w:contextualSpacing/>
        <w:jc w:val="left"/>
        <w:rPr>
          <w:rFonts w:ascii="宋体" w:hAnsi="宋体" w:eastAsia="宋体" w:cs="宋体"/>
          <w:kern w:val="0"/>
          <w:sz w:val="28"/>
          <w:szCs w:val="28"/>
        </w:rPr>
      </w:pPr>
      <w:r>
        <w:rPr>
          <w:rFonts w:hint="eastAsia" w:ascii="宋体" w:hAnsi="宋体" w:eastAsia="宋体" w:cs="宋体"/>
          <w:kern w:val="0"/>
          <w:sz w:val="28"/>
          <w:szCs w:val="28"/>
        </w:rPr>
        <w:t>二〇二三年</w:t>
      </w:r>
      <w:r>
        <w:rPr>
          <w:rFonts w:hint="eastAsia" w:ascii="宋体" w:hAnsi="宋体" w:eastAsia="宋体" w:cs="宋体"/>
          <w:kern w:val="0"/>
          <w:sz w:val="28"/>
          <w:szCs w:val="28"/>
          <w:lang w:val="en-US" w:eastAsia="zh-CN"/>
        </w:rPr>
        <w:t>十一</w:t>
      </w:r>
      <w:r>
        <w:rPr>
          <w:rFonts w:hint="eastAsia" w:ascii="宋体" w:hAnsi="宋体" w:eastAsia="宋体" w:cs="宋体"/>
          <w:kern w:val="0"/>
          <w:sz w:val="28"/>
          <w:szCs w:val="28"/>
        </w:rPr>
        <w:t>月</w:t>
      </w:r>
      <w:r>
        <w:rPr>
          <w:rFonts w:hint="eastAsia" w:ascii="宋体" w:hAnsi="宋体" w:cs="宋体"/>
          <w:kern w:val="0"/>
          <w:sz w:val="28"/>
          <w:szCs w:val="28"/>
          <w:lang w:val="en-US" w:eastAsia="zh-CN"/>
        </w:rPr>
        <w:t>十四</w:t>
      </w:r>
      <w:r>
        <w:rPr>
          <w:rFonts w:hint="eastAsia" w:ascii="宋体" w:hAnsi="宋体" w:eastAsia="宋体" w:cs="宋体"/>
          <w:kern w:val="0"/>
          <w:sz w:val="28"/>
          <w:szCs w:val="28"/>
        </w:rPr>
        <w:t xml:space="preserve">日 </w:t>
      </w:r>
    </w:p>
    <w:p>
      <w:pPr>
        <w:rPr>
          <w:rFonts w:ascii="宋体" w:hAnsi="宋体"/>
          <w:sz w:val="28"/>
          <w:szCs w:val="28"/>
        </w:rPr>
      </w:pPr>
    </w:p>
    <w:p>
      <w:r>
        <w:br w:type="page"/>
      </w:r>
    </w:p>
    <w:p>
      <w:pPr>
        <w:widowControl/>
        <w:spacing w:line="600" w:lineRule="exact"/>
        <w:ind w:firstLine="560" w:firstLineChars="200"/>
        <w:jc w:val="left"/>
        <w:outlineLvl w:val="0"/>
        <w:rPr>
          <w:rFonts w:ascii="宋体" w:hAnsi="宋体" w:eastAsia="宋体" w:cs="宋体"/>
          <w:kern w:val="0"/>
          <w:sz w:val="28"/>
          <w:szCs w:val="28"/>
        </w:rPr>
      </w:pPr>
      <w:bookmarkStart w:id="92" w:name="_Toc721"/>
      <w:bookmarkStart w:id="93" w:name="_Toc524447845"/>
      <w:bookmarkStart w:id="94" w:name="_Toc285"/>
      <w:bookmarkStart w:id="95" w:name="_Toc523208062"/>
      <w:bookmarkStart w:id="96" w:name="_Toc523207633"/>
      <w:bookmarkStart w:id="97" w:name="_Toc27801"/>
      <w:bookmarkStart w:id="98" w:name="_Toc7754"/>
      <w:bookmarkStart w:id="99" w:name="_Toc527558258"/>
      <w:r>
        <w:rPr>
          <w:rFonts w:hint="eastAsia" w:ascii="宋体" w:hAnsi="宋体" w:eastAsia="宋体" w:cs="宋体"/>
          <w:kern w:val="0"/>
          <w:sz w:val="28"/>
          <w:szCs w:val="28"/>
        </w:rPr>
        <w:t>附件一：律师事务所执业许可证</w:t>
      </w:r>
      <w:bookmarkEnd w:id="92"/>
      <w:bookmarkEnd w:id="93"/>
      <w:bookmarkEnd w:id="94"/>
      <w:bookmarkEnd w:id="95"/>
      <w:bookmarkEnd w:id="96"/>
      <w:bookmarkEnd w:id="97"/>
      <w:bookmarkEnd w:id="98"/>
      <w:bookmarkEnd w:id="99"/>
    </w:p>
    <w:p>
      <w:pPr>
        <w:widowControl/>
        <w:spacing w:line="600" w:lineRule="exact"/>
        <w:jc w:val="left"/>
        <w:rPr>
          <w:rFonts w:ascii="宋体" w:hAnsi="宋体" w:eastAsia="宋体" w:cs="宋体"/>
          <w:kern w:val="0"/>
          <w:sz w:val="28"/>
          <w:szCs w:val="28"/>
        </w:rPr>
      </w:pPr>
      <w:r>
        <w:rPr>
          <w:rFonts w:hint="eastAsia" w:ascii="宋体" w:hAnsi="宋体" w:eastAsia="宋体" w:cs="宋体"/>
          <w:kern w:val="0"/>
          <w:sz w:val="28"/>
          <w:szCs w:val="28"/>
        </w:rPr>
        <w:drawing>
          <wp:anchor distT="0" distB="0" distL="114300" distR="114300" simplePos="0" relativeHeight="251661312" behindDoc="1" locked="0" layoutInCell="1" allowOverlap="1">
            <wp:simplePos x="0" y="0"/>
            <wp:positionH relativeFrom="column">
              <wp:posOffset>-1172210</wp:posOffset>
            </wp:positionH>
            <wp:positionV relativeFrom="page">
              <wp:posOffset>2496820</wp:posOffset>
            </wp:positionV>
            <wp:extent cx="7562850" cy="5608955"/>
            <wp:effectExtent l="0" t="0" r="4445" b="6350"/>
            <wp:wrapThrough wrapText="bothSides">
              <wp:wrapPolygon>
                <wp:start x="21600" y="2"/>
                <wp:lineTo x="18" y="2"/>
                <wp:lineTo x="18" y="21571"/>
                <wp:lineTo x="21600" y="21571"/>
                <wp:lineTo x="21600" y="2"/>
              </wp:wrapPolygon>
            </wp:wrapThrough>
            <wp:docPr id="5" name="图片 5" descr="执业证正本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执业证正本_00(1)"/>
                    <pic:cNvPicPr>
                      <a:picLocks noChangeAspect="1"/>
                    </pic:cNvPicPr>
                  </pic:nvPicPr>
                  <pic:blipFill>
                    <a:blip r:embed="rId10"/>
                    <a:srcRect l="1324" r="3354"/>
                    <a:stretch>
                      <a:fillRect/>
                    </a:stretch>
                  </pic:blipFill>
                  <pic:spPr>
                    <a:xfrm rot="16200000">
                      <a:off x="0" y="0"/>
                      <a:ext cx="7562850" cy="5608955"/>
                    </a:xfrm>
                    <a:prstGeom prst="rect">
                      <a:avLst/>
                    </a:prstGeom>
                  </pic:spPr>
                </pic:pic>
              </a:graphicData>
            </a:graphic>
          </wp:anchor>
        </w:drawing>
      </w:r>
      <w:bookmarkStart w:id="100" w:name="_Toc25894"/>
      <w:bookmarkStart w:id="101" w:name="_Toc524447846"/>
      <w:bookmarkStart w:id="102" w:name="_Toc10901"/>
      <w:bookmarkStart w:id="103" w:name="_Toc16409"/>
      <w:bookmarkStart w:id="104" w:name="_Toc527558259"/>
      <w:bookmarkStart w:id="105" w:name="_Toc21982"/>
      <w:bookmarkStart w:id="106" w:name="_Toc523208063"/>
      <w:bookmarkStart w:id="107" w:name="_Toc523207634"/>
      <w:r>
        <w:rPr>
          <w:rFonts w:hint="eastAsia" w:ascii="宋体" w:hAnsi="宋体" w:eastAsia="宋体" w:cs="宋体"/>
          <w:kern w:val="0"/>
          <w:sz w:val="28"/>
          <w:szCs w:val="28"/>
        </w:rPr>
        <w:br w:type="page"/>
      </w:r>
    </w:p>
    <w:p>
      <w:pPr>
        <w:widowControl/>
        <w:spacing w:line="600" w:lineRule="exact"/>
        <w:ind w:firstLine="560" w:firstLineChars="200"/>
        <w:jc w:val="left"/>
        <w:outlineLvl w:val="0"/>
        <w:rPr>
          <w:rFonts w:hint="eastAsia" w:ascii="宋体" w:hAnsi="宋体" w:eastAsia="宋体" w:cs="宋体"/>
          <w:kern w:val="0"/>
          <w:sz w:val="28"/>
          <w:szCs w:val="28"/>
        </w:rPr>
      </w:pPr>
      <w:r>
        <w:rPr>
          <w:rFonts w:hint="eastAsia" w:ascii="宋体" w:hAnsi="宋体" w:eastAsia="宋体" w:cs="宋体"/>
          <w:kern w:val="0"/>
          <w:sz w:val="28"/>
          <w:szCs w:val="28"/>
        </w:rPr>
        <w:t>附件二：经办律师执业证</w:t>
      </w:r>
      <w:bookmarkEnd w:id="100"/>
      <w:bookmarkEnd w:id="101"/>
      <w:bookmarkEnd w:id="102"/>
      <w:bookmarkEnd w:id="103"/>
      <w:bookmarkEnd w:id="104"/>
      <w:bookmarkEnd w:id="105"/>
      <w:bookmarkEnd w:id="106"/>
      <w:bookmarkEnd w:id="107"/>
    </w:p>
    <w:p>
      <w:pPr>
        <w:keepNext w:val="0"/>
        <w:keepLines w:val="0"/>
        <w:pageBreakBefore w:val="0"/>
        <w:widowControl/>
        <w:kinsoku/>
        <w:wordWrap/>
        <w:overflowPunct/>
        <w:topLinePunct w:val="0"/>
        <w:autoSpaceDE/>
        <w:autoSpaceDN/>
        <w:bidi w:val="0"/>
        <w:adjustRightInd/>
        <w:snapToGrid/>
        <w:spacing w:line="600" w:lineRule="exact"/>
        <w:ind w:firstLine="420" w:firstLineChars="200"/>
        <w:jc w:val="left"/>
        <w:textAlignment w:val="auto"/>
        <w:outlineLvl w:val="0"/>
        <w:rPr>
          <w:rFonts w:hint="eastAsia"/>
          <w:highlight w:val="none"/>
        </w:rPr>
      </w:pPr>
      <w:r>
        <w:rPr>
          <w:rFonts w:hint="eastAsia"/>
          <w:highlight w:val="none"/>
        </w:rPr>
        <w:br w:type="page"/>
      </w:r>
      <w:r>
        <w:rPr>
          <w:rFonts w:hint="eastAsia"/>
          <w:highlight w:val="none"/>
        </w:rPr>
        <w:drawing>
          <wp:anchor distT="0" distB="0" distL="114300" distR="114300" simplePos="0" relativeHeight="251664384" behindDoc="0" locked="0" layoutInCell="1" allowOverlap="1">
            <wp:simplePos x="0" y="0"/>
            <wp:positionH relativeFrom="column">
              <wp:posOffset>-1905</wp:posOffset>
            </wp:positionH>
            <wp:positionV relativeFrom="paragraph">
              <wp:posOffset>219710</wp:posOffset>
            </wp:positionV>
            <wp:extent cx="5147945" cy="7376795"/>
            <wp:effectExtent l="0" t="0" r="14605" b="14605"/>
            <wp:wrapTopAndBottom/>
            <wp:docPr id="6" name="图片 6" descr="WechatIMG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echatIMG546"/>
                    <pic:cNvPicPr>
                      <a:picLocks noChangeAspect="1"/>
                    </pic:cNvPicPr>
                  </pic:nvPicPr>
                  <pic:blipFill>
                    <a:blip r:embed="rId11"/>
                    <a:stretch>
                      <a:fillRect/>
                    </a:stretch>
                  </pic:blipFill>
                  <pic:spPr>
                    <a:xfrm>
                      <a:off x="0" y="0"/>
                      <a:ext cx="5147945" cy="7376795"/>
                    </a:xfrm>
                    <a:prstGeom prst="rect">
                      <a:avLst/>
                    </a:prstGeom>
                  </pic:spPr>
                </pic:pic>
              </a:graphicData>
            </a:graphic>
          </wp:anchor>
        </w:drawing>
      </w:r>
    </w:p>
    <w:p>
      <w:pPr>
        <w:rPr>
          <w:rFonts w:hint="eastAsia" w:ascii="宋体" w:hAnsi="宋体" w:eastAsia="宋体" w:cs="宋体"/>
          <w:kern w:val="0"/>
          <w:sz w:val="28"/>
          <w:szCs w:val="28"/>
          <w:highlight w:val="none"/>
          <w:lang w:eastAsia="zh-CN"/>
        </w:rPr>
      </w:pPr>
      <w:r>
        <w:rPr>
          <w:rFonts w:hint="eastAsia" w:eastAsia="宋体"/>
          <w:highlight w:val="none"/>
          <w:lang w:eastAsia="zh-CN"/>
        </w:rPr>
        <w:drawing>
          <wp:anchor distT="0" distB="0" distL="114300" distR="114300" simplePos="0" relativeHeight="251663360" behindDoc="0" locked="0" layoutInCell="1" allowOverlap="1">
            <wp:simplePos x="0" y="0"/>
            <wp:positionH relativeFrom="column">
              <wp:posOffset>85090</wp:posOffset>
            </wp:positionH>
            <wp:positionV relativeFrom="page">
              <wp:posOffset>1515745</wp:posOffset>
            </wp:positionV>
            <wp:extent cx="5191760" cy="7440930"/>
            <wp:effectExtent l="0" t="0" r="2540" b="1270"/>
            <wp:wrapTopAndBottom/>
            <wp:docPr id="7" name="图片 7" descr="514bf1fb3b4df180120aea9cb539f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514bf1fb3b4df180120aea9cb539fdc"/>
                    <pic:cNvPicPr>
                      <a:picLocks noChangeAspect="1"/>
                    </pic:cNvPicPr>
                  </pic:nvPicPr>
                  <pic:blipFill>
                    <a:blip r:embed="rId12"/>
                    <a:stretch>
                      <a:fillRect/>
                    </a:stretch>
                  </pic:blipFill>
                  <pic:spPr>
                    <a:xfrm>
                      <a:off x="0" y="0"/>
                      <a:ext cx="5191760" cy="7440930"/>
                    </a:xfrm>
                    <a:prstGeom prst="rect">
                      <a:avLst/>
                    </a:prstGeom>
                  </pic:spPr>
                </pic:pic>
              </a:graphicData>
            </a:graphic>
          </wp:anchor>
        </w:drawing>
      </w:r>
    </w:p>
    <w:p/>
    <w:p>
      <w:pPr>
        <w:widowControl/>
        <w:spacing w:line="600" w:lineRule="exact"/>
        <w:ind w:firstLine="4200" w:firstLineChars="1500"/>
        <w:contextualSpacing/>
        <w:jc w:val="left"/>
        <w:rPr>
          <w:rFonts w:ascii="宋体" w:hAnsi="宋体" w:eastAsia="宋体" w:cs="宋体"/>
          <w:kern w:val="0"/>
          <w:sz w:val="28"/>
          <w:szCs w:val="28"/>
        </w:rPr>
      </w:pPr>
    </w:p>
    <w:sectPr>
      <w:footerReference r:id="rId7"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pPr>
  </w:p>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rap="around" w:vAnchor="text" w:hAnchor="margin" w:xAlign="center" w:y="1"/>
      <w:rPr>
        <w:rStyle w:val="26"/>
      </w:rPr>
    </w:pPr>
    <w:r>
      <w:rPr>
        <w:rStyle w:val="26"/>
      </w:rPr>
      <w:fldChar w:fldCharType="begin"/>
    </w:r>
    <w:r>
      <w:rPr>
        <w:rStyle w:val="26"/>
      </w:rPr>
      <w:instrText xml:space="preserve">PAGE  </w:instrText>
    </w:r>
    <w:r>
      <w:rPr>
        <w:rStyle w:val="26"/>
      </w:rPr>
      <w:fldChar w:fldCharType="end"/>
    </w:r>
  </w:p>
  <w:p>
    <w:pPr>
      <w:pStyle w:val="9"/>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rPr>
        <w:rFonts w:eastAsia="宋体"/>
      </w:rPr>
    </w:pPr>
    <w:r>
      <w:rPr>
        <w:sz w:val="11"/>
        <w:szCs w:val="11"/>
      </w:rPr>
      <w:drawing>
        <wp:inline distT="0" distB="0" distL="0" distR="0">
          <wp:extent cx="5190490" cy="495300"/>
          <wp:effectExtent l="0" t="0" r="10160" b="0"/>
          <wp:docPr id="1" name="officeArt object" descr="说明: 未标题-2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fficeArt object" descr="说明: 未标题-2_03.jpg"/>
                  <pic:cNvPicPr>
                    <a:picLocks noChangeAspect="1"/>
                  </pic:cNvPicPr>
                </pic:nvPicPr>
                <pic:blipFill>
                  <a:blip r:embed="rId1"/>
                  <a:stretch>
                    <a:fillRect/>
                  </a:stretch>
                </pic:blipFill>
                <pic:spPr>
                  <a:xfrm>
                    <a:off x="0" y="0"/>
                    <a:ext cx="5190490" cy="495300"/>
                  </a:xfrm>
                  <a:prstGeom prst="rect">
                    <a:avLst/>
                  </a:prstGeom>
                  <a:ln w="12700" cap="flat">
                    <a:noFill/>
                    <a:miter lim="400000"/>
                    <a:headEnd/>
                    <a:tailEnd/>
                  </a:ln>
                  <a:effectLst/>
                </pic:spPr>
              </pic:pic>
            </a:graphicData>
          </a:graphic>
        </wp:inline>
      </w:drawing>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21285" cy="168910"/>
              <wp:effectExtent l="0" t="0" r="0" b="0"/>
              <wp:wrapNone/>
              <wp:docPr id="3" name="文本框 1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EditPoints="1" noTextEdit="1"/>
                    </wps:cNvSpPr>
                    <wps:spPr>
                      <a:xfrm>
                        <a:off x="0" y="0"/>
                        <a:ext cx="121285" cy="168910"/>
                      </a:xfrm>
                      <a:prstGeom prst="rect">
                        <a:avLst/>
                      </a:prstGeom>
                      <a:noFill/>
                      <a:ln w="6350">
                        <a:noFill/>
                      </a:ln>
                    </wps:spPr>
                    <wps:txbx>
                      <w:txbxContent>
                        <w:p/>
                      </w:txbxContent>
                    </wps:txbx>
                    <wps:bodyPr wrap="none" lIns="0" tIns="0" rIns="0" bIns="0" anchor="t" upright="1">
                      <a:spAutoFit/>
                    </wps:bodyPr>
                  </wps:wsp>
                </a:graphicData>
              </a:graphic>
            </wp:anchor>
          </w:drawing>
        </mc:Choice>
        <mc:Fallback>
          <w:pict>
            <v:shape id="文本框 173" o:spid="_x0000_s1026" o:spt="202" type="#_x0000_t202" style="position:absolute;left:0pt;margin-top:0pt;height:13.3pt;width:9.55pt;mso-position-horizontal:center;mso-position-horizontal-relative:margin;mso-wrap-style:none;z-index:251659264;mso-width-relative:page;mso-height-relative:page;" filled="f" stroked="f" coordsize="21600,21600" o:gfxdata="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TwVJ9EAAAADAQAADwAAAAAAAAABACAAAAAiAAAAZHJzL2Rv&#10;d25yZXYueG1sUEsBAhQAFAAAAAgAh07iQC/5CR4IAgAA+QMAAA4AAAAAAAAAAQAgAAAAIAEAAGRy&#10;cy9lMm9Eb2MueG1sUEsFBgAAAAAGAAYAWQEAAJoFAAAAAA==&#10;">
              <v:fill on="f" focussize="0,0"/>
              <v:stroke on="f" weight="0.5pt"/>
              <v:imagedata o:title=""/>
              <o:lock v:ext="edit" text="t" aspectratio="t"/>
              <v:textbox inset="0mm,0mm,0mm,0mm" style="mso-fit-shape-to-text:t;">
                <w:txbxContent>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right="360"/>
      <w:rPr>
        <w:rFonts w:eastAsia="宋体"/>
      </w:rPr>
    </w:pPr>
    <w:r>
      <w:rPr>
        <w:sz w:val="1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36525" cy="116205"/>
              <wp:effectExtent l="0" t="0" r="15875" b="10795"/>
              <wp:wrapNone/>
              <wp:docPr id="12" name="文本框 12"/>
              <wp:cNvGraphicFramePr/>
              <a:graphic xmlns:a="http://schemas.openxmlformats.org/drawingml/2006/main">
                <a:graphicData uri="http://schemas.microsoft.com/office/word/2010/wordprocessingShape">
                  <wps:wsp>
                    <wps:cNvSpPr txBox="1"/>
                    <wps:spPr>
                      <a:xfrm>
                        <a:off x="0" y="0"/>
                        <a:ext cx="136824" cy="1163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rPr>
                              <w:rStyle w:val="26"/>
                            </w:rPr>
                            <w:id w:val="975334144"/>
                          </w:sdtPr>
                          <w:sdtEndPr>
                            <w:rPr>
                              <w:rStyle w:val="26"/>
                            </w:rPr>
                          </w:sdtEndPr>
                          <w:sdtContent>
                            <w:p>
                              <w:pPr>
                                <w:pStyle w:val="9"/>
                                <w:rPr>
                                  <w:rStyle w:val="26"/>
                                </w:rPr>
                              </w:pPr>
                              <w:r>
                                <w:rPr>
                                  <w:rStyle w:val="26"/>
                                </w:rPr>
                                <w:fldChar w:fldCharType="begin"/>
                              </w:r>
                              <w:r>
                                <w:rPr>
                                  <w:rStyle w:val="26"/>
                                </w:rPr>
                                <w:instrText xml:space="preserve"> PAGE </w:instrText>
                              </w:r>
                              <w:r>
                                <w:rPr>
                                  <w:rStyle w:val="26"/>
                                </w:rPr>
                                <w:fldChar w:fldCharType="separate"/>
                              </w:r>
                              <w:r>
                                <w:rPr>
                                  <w:rStyle w:val="26"/>
                                </w:rPr>
                                <w:t>36</w:t>
                              </w:r>
                              <w:r>
                                <w:rPr>
                                  <w:rStyle w:val="26"/>
                                </w:rPr>
                                <w:fldChar w:fldCharType="end"/>
                              </w:r>
                            </w:p>
                          </w:sdtContent>
                        </w:sdt>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top:0pt;height:9.15pt;width:10.75pt;mso-position-horizontal:center;mso-position-horizontal-relative:margin;z-index:251662336;mso-width-relative:page;mso-height-relative:page;" filled="f" stroked="f" coordsize="21600,21600" o:gfxdata="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1j4zDTAAAAAwEAAA8AAAAAAAAAAQAgAAAAIgAAAGRycy9kb3ducmV2LnhtbFBLAQIU&#10;ABQAAAAIAIdO4kDTGR0RMQIAAFcEAAAOAAAAAAAAAAEAIAAAACIBAABkcnMvZTJvRG9jLnhtbFBL&#10;BQYAAAAABgAGAFkBAADFBQAAAAA=&#10;">
              <v:fill on="f" focussize="0,0"/>
              <v:stroke on="f" weight="0.5pt"/>
              <v:imagedata o:title=""/>
              <o:lock v:ext="edit" aspectratio="f"/>
              <v:textbox inset="0mm,0mm,0mm,0mm">
                <w:txbxContent>
                  <w:sdt>
                    <w:sdtPr>
                      <w:rPr>
                        <w:rStyle w:val="26"/>
                      </w:rPr>
                      <w:id w:val="975334144"/>
                    </w:sdtPr>
                    <w:sdtEndPr>
                      <w:rPr>
                        <w:rStyle w:val="26"/>
                      </w:rPr>
                    </w:sdtEndPr>
                    <w:sdtContent>
                      <w:p>
                        <w:pPr>
                          <w:pStyle w:val="9"/>
                          <w:rPr>
                            <w:rStyle w:val="26"/>
                          </w:rPr>
                        </w:pPr>
                        <w:r>
                          <w:rPr>
                            <w:rStyle w:val="26"/>
                          </w:rPr>
                          <w:fldChar w:fldCharType="begin"/>
                        </w:r>
                        <w:r>
                          <w:rPr>
                            <w:rStyle w:val="26"/>
                          </w:rPr>
                          <w:instrText xml:space="preserve"> PAGE </w:instrText>
                        </w:r>
                        <w:r>
                          <w:rPr>
                            <w:rStyle w:val="26"/>
                          </w:rPr>
                          <w:fldChar w:fldCharType="separate"/>
                        </w:r>
                        <w:r>
                          <w:rPr>
                            <w:rStyle w:val="26"/>
                          </w:rPr>
                          <w:t>36</w:t>
                        </w:r>
                        <w:r>
                          <w:rPr>
                            <w:rStyle w:val="26"/>
                          </w:rPr>
                          <w:fldChar w:fldCharType="end"/>
                        </w:r>
                      </w:p>
                    </w:sdtContent>
                  </w:sdt>
                </w:txbxContent>
              </v:textbox>
            </v:shape>
          </w:pict>
        </mc:Fallback>
      </mc:AlternateContent>
    </w:r>
    <w:r>
      <w:rPr>
        <w:sz w:val="11"/>
        <w:szCs w:val="11"/>
      </w:rPr>
      <w:drawing>
        <wp:inline distT="0" distB="0" distL="0" distR="0">
          <wp:extent cx="5190490" cy="495300"/>
          <wp:effectExtent l="0" t="0" r="10160" b="0"/>
          <wp:docPr id="1073741828" name="officeArt object" descr="说明: 未标题-2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8" name="officeArt object" descr="说明: 未标题-2_03.jpg"/>
                  <pic:cNvPicPr>
                    <a:picLocks noChangeAspect="1"/>
                  </pic:cNvPicPr>
                </pic:nvPicPr>
                <pic:blipFill>
                  <a:blip r:embed="rId1"/>
                  <a:stretch>
                    <a:fillRect/>
                  </a:stretch>
                </pic:blipFill>
                <pic:spPr>
                  <a:xfrm>
                    <a:off x="0" y="0"/>
                    <a:ext cx="5190490" cy="495300"/>
                  </a:xfrm>
                  <a:prstGeom prst="rect">
                    <a:avLst/>
                  </a:prstGeom>
                  <a:ln w="12700" cap="flat">
                    <a:noFill/>
                    <a:miter lim="400000"/>
                    <a:headEnd/>
                    <a:tailEnd/>
                  </a:ln>
                  <a:effectLst/>
                </pic:spPr>
              </pic:pic>
            </a:graphicData>
          </a:graphic>
        </wp:inline>
      </w:drawing>
    </w: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23825" cy="171450"/>
              <wp:effectExtent l="0" t="0" r="0" b="0"/>
              <wp:wrapNone/>
              <wp:docPr id="8" name="文本框 2"/>
              <wp:cNvGraphicFramePr/>
              <a:graphic xmlns:a="http://schemas.openxmlformats.org/drawingml/2006/main">
                <a:graphicData uri="http://schemas.microsoft.com/office/word/2010/wordprocessingShape">
                  <wps:wsp>
                    <wps:cNvSpPr txBox="1"/>
                    <wps:spPr>
                      <a:xfrm>
                        <a:off x="0" y="0"/>
                        <a:ext cx="123825" cy="171450"/>
                      </a:xfrm>
                      <a:prstGeom prst="rect">
                        <a:avLst/>
                      </a:prstGeom>
                      <a:noFill/>
                      <a:ln w="9525">
                        <a:noFill/>
                      </a:ln>
                    </wps:spPr>
                    <wps:txbx>
                      <w:txbxContent>
                        <w:p/>
                      </w:txbxContent>
                    </wps:txbx>
                    <wps:bodyPr wrap="none" lIns="0" tIns="0" rIns="0" bIns="0" anchor="t" upright="1">
                      <a:spAutoFit/>
                    </wps:bodyPr>
                  </wps:wsp>
                </a:graphicData>
              </a:graphic>
            </wp:anchor>
          </w:drawing>
        </mc:Choice>
        <mc:Fallback>
          <w:pict>
            <v:shape id="文本框 2" o:spid="_x0000_s1026" o:spt="202" type="#_x0000_t202" style="position:absolute;left:0pt;margin-top:0pt;height:13.5pt;width:9.75pt;mso-position-horizontal:center;mso-position-horizontal-relative:margin;mso-wrap-style:none;z-index:251661312;mso-width-relative:page;mso-height-relative:page;" filled="f" stroked="f" coordsize="21600,21600" o:gfxdata="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Ne8ILRAAAAAwEAAA8AAAAAAAAAAQAg&#10;AAAAIgAAAGRycy9kb3ducmV2LnhtbFBLAQIUABQAAAAIAIdO4kBlPtgb3AEAAKsDAAAOAAAAAAAA&#10;AAEAIAAAACABAABkcnMvZTJvRG9jLnhtbFBLBQYAAAAABgAGAFkBAABuBQAAAAA=&#10;">
              <v:fill on="f" focussize="0,0"/>
              <v:stroke on="f"/>
              <v:imagedata o:title=""/>
              <o:lock v:ext="edit" aspectratio="f"/>
              <v:textbox inset="0mm,0mm,0mm,0mm" style="mso-fit-shape-to-text:t;">
                <w:txbxContent>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21285" cy="168910"/>
              <wp:effectExtent l="0" t="0" r="0" b="0"/>
              <wp:wrapNone/>
              <wp:docPr id="4" name="文本框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EditPoints="1" noTextEdit="1"/>
                    </wps:cNvSpPr>
                    <wps:spPr>
                      <a:xfrm>
                        <a:off x="0" y="0"/>
                        <a:ext cx="121285" cy="168910"/>
                      </a:xfrm>
                      <a:prstGeom prst="rect">
                        <a:avLst/>
                      </a:prstGeom>
                      <a:noFill/>
                      <a:ln w="6350">
                        <a:noFill/>
                      </a:ln>
                    </wps:spPr>
                    <wps:txbx>
                      <w:txbxContent>
                        <w:p/>
                      </w:txbxContent>
                    </wps:txbx>
                    <wps:bodyPr wrap="none" lIns="0" tIns="0" rIns="0" bIns="0" anchor="t" upright="1">
                      <a:spAutoFit/>
                    </wps:bodyPr>
                  </wps:wsp>
                </a:graphicData>
              </a:graphic>
            </wp:anchor>
          </w:drawing>
        </mc:Choice>
        <mc:Fallback>
          <w:pict>
            <v:shape id="文本框 1" o:spid="_x0000_s1026" o:spt="202" type="#_x0000_t202" style="position:absolute;left:0pt;margin-top:0pt;height:13.3pt;width:9.55pt;mso-position-horizontal:center;mso-position-horizontal-relative:margin;mso-wrap-style:none;z-index:251660288;mso-width-relative:page;mso-height-relative:page;" filled="f" stroked="f" coordsize="21600,21600" o:gfxdata="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U8FSfRAAAAAwEAAA8AAAAAAAAAAQAgAAAAIgAAAGRycy9kb3du&#10;cmV2LnhtbFBLAQIUABQAAAAIAIdO4kABBqsJBgIAAPcDAAAOAAAAAAAAAAEAIAAAACABAABkcnMv&#10;ZTJvRG9jLnhtbFBLBQYAAAAABgAGAFkBAACYBQAAAAA=&#10;">
              <v:fill on="f" focussize="0,0"/>
              <v:stroke on="f" weight="0.5pt"/>
              <v:imagedata o:title=""/>
              <o:lock v:ext="edit" text="t" aspectratio="t"/>
              <v:textbox inset="0mm,0mm,0mm,0mm" style="mso-fit-shape-to-text:t;">
                <w:txbxContent>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double" w:color="auto" w:sz="8" w:space="1"/>
      </w:pBdr>
      <w:tabs>
        <w:tab w:val="left" w:pos="6754"/>
      </w:tabs>
      <w:ind w:left="420" w:hanging="420"/>
      <w:rPr>
        <w:rFonts w:ascii="楷体" w:hAnsi="楷体"/>
        <w:szCs w:val="21"/>
      </w:rPr>
    </w:pPr>
    <w:r>
      <w:rPr>
        <w:rFonts w:ascii="Times New Roman" w:hAnsi="Times New Roman" w:eastAsia="楷体"/>
        <w:b/>
        <w:sz w:val="36"/>
        <w:szCs w:val="36"/>
      </w:rPr>
      <w:drawing>
        <wp:inline distT="0" distB="0" distL="114300" distR="114300">
          <wp:extent cx="1181100" cy="288290"/>
          <wp:effectExtent l="19050" t="0" r="0" b="0"/>
          <wp:docPr id="2" name="图片 2" descr="说明: 说明: LOG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说明: 说明: LOGO3"/>
                  <pic:cNvPicPr>
                    <a:picLocks noChangeAspect="1"/>
                  </pic:cNvPicPr>
                </pic:nvPicPr>
                <pic:blipFill>
                  <a:blip r:embed="rId1"/>
                  <a:stretch>
                    <a:fillRect/>
                  </a:stretch>
                </pic:blipFill>
                <pic:spPr>
                  <a:xfrm>
                    <a:off x="0" y="0"/>
                    <a:ext cx="1184678" cy="289608"/>
                  </a:xfrm>
                  <a:prstGeom prst="rect">
                    <a:avLst/>
                  </a:prstGeom>
                  <a:noFill/>
                  <a:ln w="9525">
                    <a:noFill/>
                  </a:ln>
                </pic:spPr>
              </pic:pic>
            </a:graphicData>
          </a:graphic>
        </wp:inline>
      </w:drawing>
    </w:r>
    <w:r>
      <w:rPr>
        <w:rFonts w:hint="eastAsia" w:asciiTheme="minorEastAsia" w:hAnsiTheme="minorEastAsia"/>
        <w:kern w:val="0"/>
        <w:szCs w:val="21"/>
      </w:rPr>
      <w:t xml:space="preserve">                                                 </w:t>
    </w:r>
    <w:r>
      <w:rPr>
        <w:rFonts w:hint="eastAsia" w:asciiTheme="minorEastAsia" w:hAnsiTheme="minorEastAsia"/>
        <w:kern w:val="0"/>
        <w:sz w:val="24"/>
        <w:szCs w:val="24"/>
      </w:rPr>
      <w:t>法律意见书</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k1MWRlMDY5NmM3NmRkNzQ4Zjg0ZTMyMDU0MmI1YTEifQ=="/>
  </w:docVars>
  <w:rsids>
    <w:rsidRoot w:val="7A900ED4"/>
    <w:rsid w:val="000022BE"/>
    <w:rsid w:val="00002600"/>
    <w:rsid w:val="00003281"/>
    <w:rsid w:val="000054F1"/>
    <w:rsid w:val="000065E7"/>
    <w:rsid w:val="00007426"/>
    <w:rsid w:val="00007697"/>
    <w:rsid w:val="0001071B"/>
    <w:rsid w:val="0001125A"/>
    <w:rsid w:val="000127F2"/>
    <w:rsid w:val="00024340"/>
    <w:rsid w:val="0002478C"/>
    <w:rsid w:val="0003021D"/>
    <w:rsid w:val="00031C86"/>
    <w:rsid w:val="00033868"/>
    <w:rsid w:val="000339B9"/>
    <w:rsid w:val="00041A20"/>
    <w:rsid w:val="0004240F"/>
    <w:rsid w:val="000426EE"/>
    <w:rsid w:val="00047757"/>
    <w:rsid w:val="00047D78"/>
    <w:rsid w:val="00052E1C"/>
    <w:rsid w:val="000545B0"/>
    <w:rsid w:val="000549B9"/>
    <w:rsid w:val="00057817"/>
    <w:rsid w:val="0006095D"/>
    <w:rsid w:val="0006166A"/>
    <w:rsid w:val="00064974"/>
    <w:rsid w:val="000657B5"/>
    <w:rsid w:val="0006770D"/>
    <w:rsid w:val="00071006"/>
    <w:rsid w:val="00074BEA"/>
    <w:rsid w:val="00075030"/>
    <w:rsid w:val="00082CDA"/>
    <w:rsid w:val="00083AD6"/>
    <w:rsid w:val="00090A3D"/>
    <w:rsid w:val="00090F13"/>
    <w:rsid w:val="000924E7"/>
    <w:rsid w:val="000927A1"/>
    <w:rsid w:val="00094F38"/>
    <w:rsid w:val="000951EB"/>
    <w:rsid w:val="000A0346"/>
    <w:rsid w:val="000A6961"/>
    <w:rsid w:val="000B0776"/>
    <w:rsid w:val="000B230C"/>
    <w:rsid w:val="000B6344"/>
    <w:rsid w:val="000C0239"/>
    <w:rsid w:val="000C5E2C"/>
    <w:rsid w:val="000C67FF"/>
    <w:rsid w:val="000C798C"/>
    <w:rsid w:val="000D0210"/>
    <w:rsid w:val="000E14A5"/>
    <w:rsid w:val="000E2148"/>
    <w:rsid w:val="000E3C68"/>
    <w:rsid w:val="000F26F7"/>
    <w:rsid w:val="000F43FC"/>
    <w:rsid w:val="000F4F6C"/>
    <w:rsid w:val="000F53CB"/>
    <w:rsid w:val="000F6EB8"/>
    <w:rsid w:val="00100A93"/>
    <w:rsid w:val="00100C7F"/>
    <w:rsid w:val="00103668"/>
    <w:rsid w:val="00103C03"/>
    <w:rsid w:val="001047DC"/>
    <w:rsid w:val="00105561"/>
    <w:rsid w:val="001068B4"/>
    <w:rsid w:val="0010788D"/>
    <w:rsid w:val="00111AD3"/>
    <w:rsid w:val="00113B9E"/>
    <w:rsid w:val="00113D97"/>
    <w:rsid w:val="00120AB6"/>
    <w:rsid w:val="001266F8"/>
    <w:rsid w:val="001278E6"/>
    <w:rsid w:val="0013134F"/>
    <w:rsid w:val="00133814"/>
    <w:rsid w:val="001359B3"/>
    <w:rsid w:val="00140734"/>
    <w:rsid w:val="001432F2"/>
    <w:rsid w:val="00143F93"/>
    <w:rsid w:val="00145D73"/>
    <w:rsid w:val="00151C7F"/>
    <w:rsid w:val="001531B2"/>
    <w:rsid w:val="00153A03"/>
    <w:rsid w:val="00154F56"/>
    <w:rsid w:val="00156B69"/>
    <w:rsid w:val="00162097"/>
    <w:rsid w:val="00163C09"/>
    <w:rsid w:val="00166934"/>
    <w:rsid w:val="00166D44"/>
    <w:rsid w:val="00166FAB"/>
    <w:rsid w:val="0017345A"/>
    <w:rsid w:val="001743A8"/>
    <w:rsid w:val="001760D0"/>
    <w:rsid w:val="001824E7"/>
    <w:rsid w:val="001865A8"/>
    <w:rsid w:val="001865BA"/>
    <w:rsid w:val="001912AA"/>
    <w:rsid w:val="00192B0F"/>
    <w:rsid w:val="0019536E"/>
    <w:rsid w:val="001A07D3"/>
    <w:rsid w:val="001B011C"/>
    <w:rsid w:val="001B3556"/>
    <w:rsid w:val="001B4A4F"/>
    <w:rsid w:val="001B5919"/>
    <w:rsid w:val="001B686E"/>
    <w:rsid w:val="001C0B39"/>
    <w:rsid w:val="001C13CD"/>
    <w:rsid w:val="001C2838"/>
    <w:rsid w:val="001C32F4"/>
    <w:rsid w:val="001C6C7D"/>
    <w:rsid w:val="001C6E43"/>
    <w:rsid w:val="001D2B3B"/>
    <w:rsid w:val="001D4B64"/>
    <w:rsid w:val="001D5642"/>
    <w:rsid w:val="001D6FC8"/>
    <w:rsid w:val="001D776C"/>
    <w:rsid w:val="001E0F02"/>
    <w:rsid w:val="001E486E"/>
    <w:rsid w:val="001E5DAB"/>
    <w:rsid w:val="001F3648"/>
    <w:rsid w:val="001F3A54"/>
    <w:rsid w:val="001F46E5"/>
    <w:rsid w:val="001F6C4A"/>
    <w:rsid w:val="001F6F6A"/>
    <w:rsid w:val="00206F5D"/>
    <w:rsid w:val="002120B2"/>
    <w:rsid w:val="00213E11"/>
    <w:rsid w:val="002175B7"/>
    <w:rsid w:val="00225049"/>
    <w:rsid w:val="00226F10"/>
    <w:rsid w:val="002278C7"/>
    <w:rsid w:val="00233ADE"/>
    <w:rsid w:val="0023409C"/>
    <w:rsid w:val="00235211"/>
    <w:rsid w:val="0023581A"/>
    <w:rsid w:val="00237F56"/>
    <w:rsid w:val="00241155"/>
    <w:rsid w:val="00243C5C"/>
    <w:rsid w:val="00244F54"/>
    <w:rsid w:val="002465E8"/>
    <w:rsid w:val="0025596E"/>
    <w:rsid w:val="00255F66"/>
    <w:rsid w:val="002561E3"/>
    <w:rsid w:val="002616BF"/>
    <w:rsid w:val="0026178D"/>
    <w:rsid w:val="002647FF"/>
    <w:rsid w:val="00275061"/>
    <w:rsid w:val="00275DD4"/>
    <w:rsid w:val="00277314"/>
    <w:rsid w:val="00282A7B"/>
    <w:rsid w:val="0028779F"/>
    <w:rsid w:val="00293031"/>
    <w:rsid w:val="0029796D"/>
    <w:rsid w:val="002A0226"/>
    <w:rsid w:val="002A21E7"/>
    <w:rsid w:val="002A3838"/>
    <w:rsid w:val="002A4F60"/>
    <w:rsid w:val="002A55F5"/>
    <w:rsid w:val="002A5754"/>
    <w:rsid w:val="002A5E05"/>
    <w:rsid w:val="002A5FD9"/>
    <w:rsid w:val="002A6920"/>
    <w:rsid w:val="002B0F19"/>
    <w:rsid w:val="002B1127"/>
    <w:rsid w:val="002B1806"/>
    <w:rsid w:val="002B2158"/>
    <w:rsid w:val="002B34BA"/>
    <w:rsid w:val="002B4B8A"/>
    <w:rsid w:val="002B5722"/>
    <w:rsid w:val="002B7E30"/>
    <w:rsid w:val="002C094B"/>
    <w:rsid w:val="002C1DDF"/>
    <w:rsid w:val="002C280A"/>
    <w:rsid w:val="002C29F4"/>
    <w:rsid w:val="002C31BA"/>
    <w:rsid w:val="002C3E41"/>
    <w:rsid w:val="002C4164"/>
    <w:rsid w:val="002C76B4"/>
    <w:rsid w:val="002C7D1E"/>
    <w:rsid w:val="002D0CD3"/>
    <w:rsid w:val="002D5516"/>
    <w:rsid w:val="002D5C59"/>
    <w:rsid w:val="002D60DF"/>
    <w:rsid w:val="002D7E9E"/>
    <w:rsid w:val="002E0F1F"/>
    <w:rsid w:val="002E48AA"/>
    <w:rsid w:val="002E499C"/>
    <w:rsid w:val="002E6287"/>
    <w:rsid w:val="002E6DA8"/>
    <w:rsid w:val="002F0A2F"/>
    <w:rsid w:val="002F1541"/>
    <w:rsid w:val="002F3CC5"/>
    <w:rsid w:val="002F4410"/>
    <w:rsid w:val="002F6E79"/>
    <w:rsid w:val="002F7A42"/>
    <w:rsid w:val="00301213"/>
    <w:rsid w:val="003030FC"/>
    <w:rsid w:val="003034AC"/>
    <w:rsid w:val="00304366"/>
    <w:rsid w:val="00305A3D"/>
    <w:rsid w:val="003138F6"/>
    <w:rsid w:val="0031417B"/>
    <w:rsid w:val="00315656"/>
    <w:rsid w:val="00316486"/>
    <w:rsid w:val="003220E9"/>
    <w:rsid w:val="003235A1"/>
    <w:rsid w:val="00323DC3"/>
    <w:rsid w:val="00323E6B"/>
    <w:rsid w:val="003276D4"/>
    <w:rsid w:val="00330857"/>
    <w:rsid w:val="00333B01"/>
    <w:rsid w:val="00333BF8"/>
    <w:rsid w:val="003417C6"/>
    <w:rsid w:val="00344229"/>
    <w:rsid w:val="00350BBC"/>
    <w:rsid w:val="00355B28"/>
    <w:rsid w:val="00355E77"/>
    <w:rsid w:val="0036066F"/>
    <w:rsid w:val="00360874"/>
    <w:rsid w:val="0036209B"/>
    <w:rsid w:val="003637BB"/>
    <w:rsid w:val="00364A73"/>
    <w:rsid w:val="00370B66"/>
    <w:rsid w:val="0037259F"/>
    <w:rsid w:val="00373960"/>
    <w:rsid w:val="00373DF5"/>
    <w:rsid w:val="00376020"/>
    <w:rsid w:val="00376F61"/>
    <w:rsid w:val="003819AF"/>
    <w:rsid w:val="00383CAD"/>
    <w:rsid w:val="00384592"/>
    <w:rsid w:val="0038583E"/>
    <w:rsid w:val="00386D53"/>
    <w:rsid w:val="00387145"/>
    <w:rsid w:val="00390EC2"/>
    <w:rsid w:val="00392540"/>
    <w:rsid w:val="00394112"/>
    <w:rsid w:val="003A1624"/>
    <w:rsid w:val="003A24CE"/>
    <w:rsid w:val="003A645C"/>
    <w:rsid w:val="003A6B09"/>
    <w:rsid w:val="003B15FA"/>
    <w:rsid w:val="003B4098"/>
    <w:rsid w:val="003B5CE6"/>
    <w:rsid w:val="003B6EA0"/>
    <w:rsid w:val="003C0712"/>
    <w:rsid w:val="003C0BF2"/>
    <w:rsid w:val="003C1D1E"/>
    <w:rsid w:val="003C2144"/>
    <w:rsid w:val="003C3704"/>
    <w:rsid w:val="003C57D1"/>
    <w:rsid w:val="003D018F"/>
    <w:rsid w:val="003D0F09"/>
    <w:rsid w:val="003D3851"/>
    <w:rsid w:val="003D5FC4"/>
    <w:rsid w:val="003E4A6A"/>
    <w:rsid w:val="003F0C30"/>
    <w:rsid w:val="003F1901"/>
    <w:rsid w:val="003F4876"/>
    <w:rsid w:val="003F48F8"/>
    <w:rsid w:val="003F4FF0"/>
    <w:rsid w:val="003F64B4"/>
    <w:rsid w:val="003F7F92"/>
    <w:rsid w:val="00404266"/>
    <w:rsid w:val="00410740"/>
    <w:rsid w:val="00410F28"/>
    <w:rsid w:val="004140B7"/>
    <w:rsid w:val="004155B3"/>
    <w:rsid w:val="00415846"/>
    <w:rsid w:val="00417E9D"/>
    <w:rsid w:val="00422DDA"/>
    <w:rsid w:val="0042498C"/>
    <w:rsid w:val="00424B97"/>
    <w:rsid w:val="00427113"/>
    <w:rsid w:val="004305CF"/>
    <w:rsid w:val="00431649"/>
    <w:rsid w:val="00433565"/>
    <w:rsid w:val="00440EDF"/>
    <w:rsid w:val="00440FC3"/>
    <w:rsid w:val="00441C9B"/>
    <w:rsid w:val="00442ED8"/>
    <w:rsid w:val="00451AB5"/>
    <w:rsid w:val="004528A2"/>
    <w:rsid w:val="004533AF"/>
    <w:rsid w:val="004535C8"/>
    <w:rsid w:val="004550B1"/>
    <w:rsid w:val="00460294"/>
    <w:rsid w:val="00460FC9"/>
    <w:rsid w:val="00461CC2"/>
    <w:rsid w:val="00462766"/>
    <w:rsid w:val="0046287D"/>
    <w:rsid w:val="004644FA"/>
    <w:rsid w:val="00464AAC"/>
    <w:rsid w:val="004714C7"/>
    <w:rsid w:val="00472AD0"/>
    <w:rsid w:val="00475108"/>
    <w:rsid w:val="004751F1"/>
    <w:rsid w:val="004822CE"/>
    <w:rsid w:val="004851E6"/>
    <w:rsid w:val="004866D9"/>
    <w:rsid w:val="004868F5"/>
    <w:rsid w:val="004A2874"/>
    <w:rsid w:val="004A2909"/>
    <w:rsid w:val="004A5189"/>
    <w:rsid w:val="004B2A63"/>
    <w:rsid w:val="004B39B8"/>
    <w:rsid w:val="004B3BEF"/>
    <w:rsid w:val="004B5C41"/>
    <w:rsid w:val="004B5DDE"/>
    <w:rsid w:val="004B62B1"/>
    <w:rsid w:val="004B78D5"/>
    <w:rsid w:val="004C3A02"/>
    <w:rsid w:val="004C4F11"/>
    <w:rsid w:val="004C79E8"/>
    <w:rsid w:val="004C7D3D"/>
    <w:rsid w:val="004D016F"/>
    <w:rsid w:val="004D05AF"/>
    <w:rsid w:val="004D1D73"/>
    <w:rsid w:val="004D3F09"/>
    <w:rsid w:val="004D40E2"/>
    <w:rsid w:val="004D4BEE"/>
    <w:rsid w:val="004D54D1"/>
    <w:rsid w:val="004D77DF"/>
    <w:rsid w:val="004D7A04"/>
    <w:rsid w:val="004F1158"/>
    <w:rsid w:val="004F14CF"/>
    <w:rsid w:val="004F46EF"/>
    <w:rsid w:val="004F6C19"/>
    <w:rsid w:val="005002E5"/>
    <w:rsid w:val="0050446F"/>
    <w:rsid w:val="00504A9F"/>
    <w:rsid w:val="00505482"/>
    <w:rsid w:val="00507DA0"/>
    <w:rsid w:val="0051085F"/>
    <w:rsid w:val="005114C7"/>
    <w:rsid w:val="005129F1"/>
    <w:rsid w:val="005133EC"/>
    <w:rsid w:val="00515400"/>
    <w:rsid w:val="005228C3"/>
    <w:rsid w:val="0052298D"/>
    <w:rsid w:val="00535E8D"/>
    <w:rsid w:val="005422CC"/>
    <w:rsid w:val="0054325E"/>
    <w:rsid w:val="00543E58"/>
    <w:rsid w:val="00544427"/>
    <w:rsid w:val="00550608"/>
    <w:rsid w:val="00551245"/>
    <w:rsid w:val="005529DF"/>
    <w:rsid w:val="005541C1"/>
    <w:rsid w:val="005569AF"/>
    <w:rsid w:val="00556F6B"/>
    <w:rsid w:val="00562700"/>
    <w:rsid w:val="00563D6C"/>
    <w:rsid w:val="00565843"/>
    <w:rsid w:val="00566716"/>
    <w:rsid w:val="00570561"/>
    <w:rsid w:val="00571B06"/>
    <w:rsid w:val="005731D9"/>
    <w:rsid w:val="0057368A"/>
    <w:rsid w:val="00573C91"/>
    <w:rsid w:val="0057670B"/>
    <w:rsid w:val="0057688C"/>
    <w:rsid w:val="00580125"/>
    <w:rsid w:val="0058017E"/>
    <w:rsid w:val="00580496"/>
    <w:rsid w:val="00581B71"/>
    <w:rsid w:val="00582C56"/>
    <w:rsid w:val="00582D7B"/>
    <w:rsid w:val="00585E9B"/>
    <w:rsid w:val="0058674D"/>
    <w:rsid w:val="00586FA3"/>
    <w:rsid w:val="00590977"/>
    <w:rsid w:val="0059303C"/>
    <w:rsid w:val="00593567"/>
    <w:rsid w:val="0059378B"/>
    <w:rsid w:val="00595A9D"/>
    <w:rsid w:val="00595F0D"/>
    <w:rsid w:val="005A0871"/>
    <w:rsid w:val="005A1800"/>
    <w:rsid w:val="005A2751"/>
    <w:rsid w:val="005B0D21"/>
    <w:rsid w:val="005B11A2"/>
    <w:rsid w:val="005B1F07"/>
    <w:rsid w:val="005B37BA"/>
    <w:rsid w:val="005B6376"/>
    <w:rsid w:val="005B7DDC"/>
    <w:rsid w:val="005C0829"/>
    <w:rsid w:val="005C1F36"/>
    <w:rsid w:val="005C4A25"/>
    <w:rsid w:val="005D285C"/>
    <w:rsid w:val="005D43A5"/>
    <w:rsid w:val="005E5997"/>
    <w:rsid w:val="005E6AC5"/>
    <w:rsid w:val="005E6D45"/>
    <w:rsid w:val="005F2CE3"/>
    <w:rsid w:val="005F5D05"/>
    <w:rsid w:val="005F657D"/>
    <w:rsid w:val="006037B7"/>
    <w:rsid w:val="00610F9F"/>
    <w:rsid w:val="006127E8"/>
    <w:rsid w:val="00615C11"/>
    <w:rsid w:val="00620254"/>
    <w:rsid w:val="006203EA"/>
    <w:rsid w:val="00624875"/>
    <w:rsid w:val="00626E79"/>
    <w:rsid w:val="00630F82"/>
    <w:rsid w:val="00632317"/>
    <w:rsid w:val="00633284"/>
    <w:rsid w:val="00636138"/>
    <w:rsid w:val="006378A6"/>
    <w:rsid w:val="00640050"/>
    <w:rsid w:val="00645BD9"/>
    <w:rsid w:val="00646C12"/>
    <w:rsid w:val="00651CE1"/>
    <w:rsid w:val="006529E9"/>
    <w:rsid w:val="00657D5C"/>
    <w:rsid w:val="00660231"/>
    <w:rsid w:val="00660D7F"/>
    <w:rsid w:val="00663D1B"/>
    <w:rsid w:val="00664198"/>
    <w:rsid w:val="00664AF0"/>
    <w:rsid w:val="006673CC"/>
    <w:rsid w:val="0067166D"/>
    <w:rsid w:val="0067226D"/>
    <w:rsid w:val="00672614"/>
    <w:rsid w:val="00680588"/>
    <w:rsid w:val="00694118"/>
    <w:rsid w:val="00694375"/>
    <w:rsid w:val="00695C49"/>
    <w:rsid w:val="006A43BE"/>
    <w:rsid w:val="006B04C9"/>
    <w:rsid w:val="006B116F"/>
    <w:rsid w:val="006B24DD"/>
    <w:rsid w:val="006B4C15"/>
    <w:rsid w:val="006B6065"/>
    <w:rsid w:val="006C064A"/>
    <w:rsid w:val="006C3CE5"/>
    <w:rsid w:val="006C401D"/>
    <w:rsid w:val="006C4587"/>
    <w:rsid w:val="006C5ADF"/>
    <w:rsid w:val="006D03D5"/>
    <w:rsid w:val="006D401B"/>
    <w:rsid w:val="006D52DA"/>
    <w:rsid w:val="006D6408"/>
    <w:rsid w:val="006D70AE"/>
    <w:rsid w:val="006E3025"/>
    <w:rsid w:val="006E3085"/>
    <w:rsid w:val="006E60E3"/>
    <w:rsid w:val="006F04B7"/>
    <w:rsid w:val="006F21C7"/>
    <w:rsid w:val="006F47E4"/>
    <w:rsid w:val="00700A42"/>
    <w:rsid w:val="00700E6C"/>
    <w:rsid w:val="00702165"/>
    <w:rsid w:val="00704162"/>
    <w:rsid w:val="00705100"/>
    <w:rsid w:val="00705F91"/>
    <w:rsid w:val="007074E2"/>
    <w:rsid w:val="00710267"/>
    <w:rsid w:val="007111CF"/>
    <w:rsid w:val="007120D7"/>
    <w:rsid w:val="00713C5B"/>
    <w:rsid w:val="00714DAA"/>
    <w:rsid w:val="00717469"/>
    <w:rsid w:val="00725A5B"/>
    <w:rsid w:val="00726F4D"/>
    <w:rsid w:val="00735F2A"/>
    <w:rsid w:val="00742050"/>
    <w:rsid w:val="007438C4"/>
    <w:rsid w:val="00743C54"/>
    <w:rsid w:val="00743CF6"/>
    <w:rsid w:val="007512A8"/>
    <w:rsid w:val="00752561"/>
    <w:rsid w:val="007572DA"/>
    <w:rsid w:val="0076136E"/>
    <w:rsid w:val="00761B16"/>
    <w:rsid w:val="00763394"/>
    <w:rsid w:val="00763C02"/>
    <w:rsid w:val="007700F0"/>
    <w:rsid w:val="007702B1"/>
    <w:rsid w:val="00770A1D"/>
    <w:rsid w:val="00770B87"/>
    <w:rsid w:val="00774DBC"/>
    <w:rsid w:val="00776F77"/>
    <w:rsid w:val="00780FD6"/>
    <w:rsid w:val="00782D3B"/>
    <w:rsid w:val="00787510"/>
    <w:rsid w:val="007915B0"/>
    <w:rsid w:val="007916F3"/>
    <w:rsid w:val="007923E7"/>
    <w:rsid w:val="00792F3D"/>
    <w:rsid w:val="007A0503"/>
    <w:rsid w:val="007A056E"/>
    <w:rsid w:val="007A1199"/>
    <w:rsid w:val="007A43CA"/>
    <w:rsid w:val="007B0CB9"/>
    <w:rsid w:val="007B11CB"/>
    <w:rsid w:val="007C2011"/>
    <w:rsid w:val="007C2D27"/>
    <w:rsid w:val="007C3461"/>
    <w:rsid w:val="007C3A12"/>
    <w:rsid w:val="007C4B83"/>
    <w:rsid w:val="007C5548"/>
    <w:rsid w:val="007D1BBF"/>
    <w:rsid w:val="007D3BC6"/>
    <w:rsid w:val="007D694D"/>
    <w:rsid w:val="007E0560"/>
    <w:rsid w:val="007E1F63"/>
    <w:rsid w:val="007E2959"/>
    <w:rsid w:val="007E421D"/>
    <w:rsid w:val="007E60D9"/>
    <w:rsid w:val="007F001E"/>
    <w:rsid w:val="007F5B2F"/>
    <w:rsid w:val="008013F9"/>
    <w:rsid w:val="00801B6E"/>
    <w:rsid w:val="00803947"/>
    <w:rsid w:val="008049F7"/>
    <w:rsid w:val="00806354"/>
    <w:rsid w:val="00812742"/>
    <w:rsid w:val="00813EA0"/>
    <w:rsid w:val="0081453B"/>
    <w:rsid w:val="00817A24"/>
    <w:rsid w:val="00820C35"/>
    <w:rsid w:val="008211F9"/>
    <w:rsid w:val="00823617"/>
    <w:rsid w:val="00823F22"/>
    <w:rsid w:val="00824C98"/>
    <w:rsid w:val="008254E6"/>
    <w:rsid w:val="00827E6A"/>
    <w:rsid w:val="00830CD7"/>
    <w:rsid w:val="00832E67"/>
    <w:rsid w:val="00840249"/>
    <w:rsid w:val="00841232"/>
    <w:rsid w:val="00843941"/>
    <w:rsid w:val="00843C14"/>
    <w:rsid w:val="00843E7D"/>
    <w:rsid w:val="00844FD4"/>
    <w:rsid w:val="00846C30"/>
    <w:rsid w:val="00850760"/>
    <w:rsid w:val="00850D4C"/>
    <w:rsid w:val="00851683"/>
    <w:rsid w:val="008536BE"/>
    <w:rsid w:val="0085376C"/>
    <w:rsid w:val="00856AAF"/>
    <w:rsid w:val="00856D2E"/>
    <w:rsid w:val="0086204D"/>
    <w:rsid w:val="00863CD5"/>
    <w:rsid w:val="00864931"/>
    <w:rsid w:val="00865033"/>
    <w:rsid w:val="008650DE"/>
    <w:rsid w:val="00866BB5"/>
    <w:rsid w:val="00874D87"/>
    <w:rsid w:val="0087604A"/>
    <w:rsid w:val="0087648F"/>
    <w:rsid w:val="008803A8"/>
    <w:rsid w:val="0088108F"/>
    <w:rsid w:val="008824EE"/>
    <w:rsid w:val="0088521C"/>
    <w:rsid w:val="0088752F"/>
    <w:rsid w:val="0089132B"/>
    <w:rsid w:val="00893DAC"/>
    <w:rsid w:val="00894760"/>
    <w:rsid w:val="008A1C77"/>
    <w:rsid w:val="008A1DE2"/>
    <w:rsid w:val="008A302E"/>
    <w:rsid w:val="008A6AB1"/>
    <w:rsid w:val="008A6BC2"/>
    <w:rsid w:val="008B14C1"/>
    <w:rsid w:val="008B2222"/>
    <w:rsid w:val="008B3A7A"/>
    <w:rsid w:val="008B6FDE"/>
    <w:rsid w:val="008C4428"/>
    <w:rsid w:val="008C6743"/>
    <w:rsid w:val="008C674F"/>
    <w:rsid w:val="008D0178"/>
    <w:rsid w:val="008E10D0"/>
    <w:rsid w:val="008E1458"/>
    <w:rsid w:val="008E4112"/>
    <w:rsid w:val="008F1A61"/>
    <w:rsid w:val="008F579C"/>
    <w:rsid w:val="008F6440"/>
    <w:rsid w:val="009005A8"/>
    <w:rsid w:val="009022EC"/>
    <w:rsid w:val="00903077"/>
    <w:rsid w:val="009075C9"/>
    <w:rsid w:val="00907692"/>
    <w:rsid w:val="00907FD5"/>
    <w:rsid w:val="00910FF0"/>
    <w:rsid w:val="009124CB"/>
    <w:rsid w:val="00912BE4"/>
    <w:rsid w:val="00915B80"/>
    <w:rsid w:val="00916568"/>
    <w:rsid w:val="0091694C"/>
    <w:rsid w:val="0092390A"/>
    <w:rsid w:val="009250B3"/>
    <w:rsid w:val="009274C1"/>
    <w:rsid w:val="00937093"/>
    <w:rsid w:val="009414E8"/>
    <w:rsid w:val="0094406E"/>
    <w:rsid w:val="00947632"/>
    <w:rsid w:val="00950808"/>
    <w:rsid w:val="00950EBF"/>
    <w:rsid w:val="0095399F"/>
    <w:rsid w:val="00962A28"/>
    <w:rsid w:val="00962EDC"/>
    <w:rsid w:val="00964B2E"/>
    <w:rsid w:val="009674D8"/>
    <w:rsid w:val="0097302A"/>
    <w:rsid w:val="00975142"/>
    <w:rsid w:val="009766CC"/>
    <w:rsid w:val="00980D18"/>
    <w:rsid w:val="009835C3"/>
    <w:rsid w:val="009861AA"/>
    <w:rsid w:val="00986F53"/>
    <w:rsid w:val="009900DF"/>
    <w:rsid w:val="00990DA9"/>
    <w:rsid w:val="009910E1"/>
    <w:rsid w:val="00994794"/>
    <w:rsid w:val="0099524B"/>
    <w:rsid w:val="009959AE"/>
    <w:rsid w:val="0099789A"/>
    <w:rsid w:val="009A1239"/>
    <w:rsid w:val="009A1361"/>
    <w:rsid w:val="009A17E1"/>
    <w:rsid w:val="009A2B01"/>
    <w:rsid w:val="009A5CD2"/>
    <w:rsid w:val="009A6EF9"/>
    <w:rsid w:val="009B0C4A"/>
    <w:rsid w:val="009B264C"/>
    <w:rsid w:val="009B6877"/>
    <w:rsid w:val="009B6878"/>
    <w:rsid w:val="009C043A"/>
    <w:rsid w:val="009C5CED"/>
    <w:rsid w:val="009D39D0"/>
    <w:rsid w:val="009D41A0"/>
    <w:rsid w:val="009D50FB"/>
    <w:rsid w:val="009D6AB9"/>
    <w:rsid w:val="009D769E"/>
    <w:rsid w:val="009E2830"/>
    <w:rsid w:val="009E2EF8"/>
    <w:rsid w:val="009E4A1C"/>
    <w:rsid w:val="009E73FB"/>
    <w:rsid w:val="009F1D1A"/>
    <w:rsid w:val="009F2802"/>
    <w:rsid w:val="009F490F"/>
    <w:rsid w:val="009F6320"/>
    <w:rsid w:val="009F798B"/>
    <w:rsid w:val="009F7F20"/>
    <w:rsid w:val="00A00DD7"/>
    <w:rsid w:val="00A01472"/>
    <w:rsid w:val="00A03FBC"/>
    <w:rsid w:val="00A04B7E"/>
    <w:rsid w:val="00A06F72"/>
    <w:rsid w:val="00A078B5"/>
    <w:rsid w:val="00A117D7"/>
    <w:rsid w:val="00A12845"/>
    <w:rsid w:val="00A12DC9"/>
    <w:rsid w:val="00A14197"/>
    <w:rsid w:val="00A14689"/>
    <w:rsid w:val="00A15537"/>
    <w:rsid w:val="00A1560D"/>
    <w:rsid w:val="00A2249D"/>
    <w:rsid w:val="00A24E0E"/>
    <w:rsid w:val="00A25797"/>
    <w:rsid w:val="00A270B5"/>
    <w:rsid w:val="00A27E4B"/>
    <w:rsid w:val="00A34B1E"/>
    <w:rsid w:val="00A355B1"/>
    <w:rsid w:val="00A366A4"/>
    <w:rsid w:val="00A37C09"/>
    <w:rsid w:val="00A42B4C"/>
    <w:rsid w:val="00A43F2F"/>
    <w:rsid w:val="00A44F2D"/>
    <w:rsid w:val="00A472F2"/>
    <w:rsid w:val="00A575B9"/>
    <w:rsid w:val="00A57EFE"/>
    <w:rsid w:val="00A60921"/>
    <w:rsid w:val="00A620C9"/>
    <w:rsid w:val="00A64498"/>
    <w:rsid w:val="00A7012A"/>
    <w:rsid w:val="00A72806"/>
    <w:rsid w:val="00A73FF1"/>
    <w:rsid w:val="00A75215"/>
    <w:rsid w:val="00A77B47"/>
    <w:rsid w:val="00A816C9"/>
    <w:rsid w:val="00A820E7"/>
    <w:rsid w:val="00A82ADA"/>
    <w:rsid w:val="00A85195"/>
    <w:rsid w:val="00A867A3"/>
    <w:rsid w:val="00A87A5D"/>
    <w:rsid w:val="00A90623"/>
    <w:rsid w:val="00A91320"/>
    <w:rsid w:val="00AA007B"/>
    <w:rsid w:val="00AA1E0E"/>
    <w:rsid w:val="00AA2BA1"/>
    <w:rsid w:val="00AB02BA"/>
    <w:rsid w:val="00AB2D8F"/>
    <w:rsid w:val="00AB4102"/>
    <w:rsid w:val="00AC5168"/>
    <w:rsid w:val="00AC66E3"/>
    <w:rsid w:val="00AD01F2"/>
    <w:rsid w:val="00AD0787"/>
    <w:rsid w:val="00AD2283"/>
    <w:rsid w:val="00AD2CA2"/>
    <w:rsid w:val="00AD4404"/>
    <w:rsid w:val="00AD4734"/>
    <w:rsid w:val="00AD5BE4"/>
    <w:rsid w:val="00AD630B"/>
    <w:rsid w:val="00AD6BA4"/>
    <w:rsid w:val="00AE1608"/>
    <w:rsid w:val="00AE2093"/>
    <w:rsid w:val="00AE3666"/>
    <w:rsid w:val="00AE6F9A"/>
    <w:rsid w:val="00AF05AF"/>
    <w:rsid w:val="00AF060C"/>
    <w:rsid w:val="00AF0713"/>
    <w:rsid w:val="00AF1A9A"/>
    <w:rsid w:val="00AF2E1B"/>
    <w:rsid w:val="00AF6E19"/>
    <w:rsid w:val="00AF7587"/>
    <w:rsid w:val="00B0063A"/>
    <w:rsid w:val="00B1141F"/>
    <w:rsid w:val="00B13F1A"/>
    <w:rsid w:val="00B141C6"/>
    <w:rsid w:val="00B1472A"/>
    <w:rsid w:val="00B15B2F"/>
    <w:rsid w:val="00B21060"/>
    <w:rsid w:val="00B214FA"/>
    <w:rsid w:val="00B225EC"/>
    <w:rsid w:val="00B227FC"/>
    <w:rsid w:val="00B2708E"/>
    <w:rsid w:val="00B30656"/>
    <w:rsid w:val="00B3232B"/>
    <w:rsid w:val="00B32828"/>
    <w:rsid w:val="00B36D96"/>
    <w:rsid w:val="00B410EF"/>
    <w:rsid w:val="00B41B06"/>
    <w:rsid w:val="00B445CD"/>
    <w:rsid w:val="00B4523E"/>
    <w:rsid w:val="00B46307"/>
    <w:rsid w:val="00B53840"/>
    <w:rsid w:val="00B56783"/>
    <w:rsid w:val="00B56CB3"/>
    <w:rsid w:val="00B60AD9"/>
    <w:rsid w:val="00B6126A"/>
    <w:rsid w:val="00B63536"/>
    <w:rsid w:val="00B63A74"/>
    <w:rsid w:val="00B674A6"/>
    <w:rsid w:val="00B70423"/>
    <w:rsid w:val="00B7176F"/>
    <w:rsid w:val="00B736F3"/>
    <w:rsid w:val="00B73BA6"/>
    <w:rsid w:val="00B73DD7"/>
    <w:rsid w:val="00B8235F"/>
    <w:rsid w:val="00B82C88"/>
    <w:rsid w:val="00B82F1B"/>
    <w:rsid w:val="00B832A7"/>
    <w:rsid w:val="00B834EE"/>
    <w:rsid w:val="00B8462A"/>
    <w:rsid w:val="00B85812"/>
    <w:rsid w:val="00B92CFF"/>
    <w:rsid w:val="00B933E6"/>
    <w:rsid w:val="00B935CE"/>
    <w:rsid w:val="00B95472"/>
    <w:rsid w:val="00B96093"/>
    <w:rsid w:val="00B96CB9"/>
    <w:rsid w:val="00BA0F96"/>
    <w:rsid w:val="00BA1614"/>
    <w:rsid w:val="00BA18F0"/>
    <w:rsid w:val="00BA1F7E"/>
    <w:rsid w:val="00BA34F3"/>
    <w:rsid w:val="00BA4CD1"/>
    <w:rsid w:val="00BB2AE4"/>
    <w:rsid w:val="00BB4763"/>
    <w:rsid w:val="00BC48A9"/>
    <w:rsid w:val="00BC6ADC"/>
    <w:rsid w:val="00BC6C3A"/>
    <w:rsid w:val="00BD198E"/>
    <w:rsid w:val="00BD3F46"/>
    <w:rsid w:val="00BD745E"/>
    <w:rsid w:val="00BE0DCD"/>
    <w:rsid w:val="00BE3A9F"/>
    <w:rsid w:val="00BF14F8"/>
    <w:rsid w:val="00BF3FA5"/>
    <w:rsid w:val="00BF4F78"/>
    <w:rsid w:val="00BF7E3A"/>
    <w:rsid w:val="00C03717"/>
    <w:rsid w:val="00C03B2C"/>
    <w:rsid w:val="00C11D85"/>
    <w:rsid w:val="00C126DD"/>
    <w:rsid w:val="00C15B3D"/>
    <w:rsid w:val="00C21D75"/>
    <w:rsid w:val="00C314EE"/>
    <w:rsid w:val="00C31D74"/>
    <w:rsid w:val="00C3233A"/>
    <w:rsid w:val="00C325AE"/>
    <w:rsid w:val="00C329D5"/>
    <w:rsid w:val="00C40604"/>
    <w:rsid w:val="00C40765"/>
    <w:rsid w:val="00C41B90"/>
    <w:rsid w:val="00C43C17"/>
    <w:rsid w:val="00C440B7"/>
    <w:rsid w:val="00C44C39"/>
    <w:rsid w:val="00C46205"/>
    <w:rsid w:val="00C4697B"/>
    <w:rsid w:val="00C507C1"/>
    <w:rsid w:val="00C53B68"/>
    <w:rsid w:val="00C54F48"/>
    <w:rsid w:val="00C61516"/>
    <w:rsid w:val="00C62DEB"/>
    <w:rsid w:val="00C65E4A"/>
    <w:rsid w:val="00C67895"/>
    <w:rsid w:val="00C700DA"/>
    <w:rsid w:val="00C75107"/>
    <w:rsid w:val="00C76611"/>
    <w:rsid w:val="00C7675B"/>
    <w:rsid w:val="00C80D25"/>
    <w:rsid w:val="00C81AD7"/>
    <w:rsid w:val="00C82CAE"/>
    <w:rsid w:val="00C83143"/>
    <w:rsid w:val="00C84DA0"/>
    <w:rsid w:val="00C878DC"/>
    <w:rsid w:val="00C91827"/>
    <w:rsid w:val="00C92B9E"/>
    <w:rsid w:val="00C96C6B"/>
    <w:rsid w:val="00CA1884"/>
    <w:rsid w:val="00CA20F1"/>
    <w:rsid w:val="00CA3CCA"/>
    <w:rsid w:val="00CA483E"/>
    <w:rsid w:val="00CA4E78"/>
    <w:rsid w:val="00CA6650"/>
    <w:rsid w:val="00CB1FEA"/>
    <w:rsid w:val="00CB39BD"/>
    <w:rsid w:val="00CB447A"/>
    <w:rsid w:val="00CB74A3"/>
    <w:rsid w:val="00CC1282"/>
    <w:rsid w:val="00CC2CDF"/>
    <w:rsid w:val="00CC3EE3"/>
    <w:rsid w:val="00CC63B8"/>
    <w:rsid w:val="00CC6E74"/>
    <w:rsid w:val="00CD4592"/>
    <w:rsid w:val="00CD5179"/>
    <w:rsid w:val="00CE1CAC"/>
    <w:rsid w:val="00CE430E"/>
    <w:rsid w:val="00CF0337"/>
    <w:rsid w:val="00CF0A6B"/>
    <w:rsid w:val="00CF0ADF"/>
    <w:rsid w:val="00CF220C"/>
    <w:rsid w:val="00D0077A"/>
    <w:rsid w:val="00D00C8D"/>
    <w:rsid w:val="00D023F9"/>
    <w:rsid w:val="00D02B2B"/>
    <w:rsid w:val="00D03649"/>
    <w:rsid w:val="00D05FD6"/>
    <w:rsid w:val="00D1085A"/>
    <w:rsid w:val="00D1089F"/>
    <w:rsid w:val="00D10F31"/>
    <w:rsid w:val="00D11225"/>
    <w:rsid w:val="00D115A5"/>
    <w:rsid w:val="00D12C3A"/>
    <w:rsid w:val="00D12E43"/>
    <w:rsid w:val="00D12F4A"/>
    <w:rsid w:val="00D16ACC"/>
    <w:rsid w:val="00D21366"/>
    <w:rsid w:val="00D21829"/>
    <w:rsid w:val="00D240B5"/>
    <w:rsid w:val="00D26776"/>
    <w:rsid w:val="00D341C2"/>
    <w:rsid w:val="00D406F8"/>
    <w:rsid w:val="00D412F5"/>
    <w:rsid w:val="00D414DE"/>
    <w:rsid w:val="00D41598"/>
    <w:rsid w:val="00D41D1B"/>
    <w:rsid w:val="00D431F5"/>
    <w:rsid w:val="00D602B3"/>
    <w:rsid w:val="00D65D58"/>
    <w:rsid w:val="00D6693C"/>
    <w:rsid w:val="00D67E42"/>
    <w:rsid w:val="00D722A8"/>
    <w:rsid w:val="00D74C2F"/>
    <w:rsid w:val="00D75C51"/>
    <w:rsid w:val="00D770E9"/>
    <w:rsid w:val="00D817FA"/>
    <w:rsid w:val="00D9067E"/>
    <w:rsid w:val="00D90736"/>
    <w:rsid w:val="00D90828"/>
    <w:rsid w:val="00D90987"/>
    <w:rsid w:val="00D90CC7"/>
    <w:rsid w:val="00D922C2"/>
    <w:rsid w:val="00D92352"/>
    <w:rsid w:val="00D95209"/>
    <w:rsid w:val="00D96C46"/>
    <w:rsid w:val="00DA07BA"/>
    <w:rsid w:val="00DA24F9"/>
    <w:rsid w:val="00DA2663"/>
    <w:rsid w:val="00DA37CB"/>
    <w:rsid w:val="00DA3CDE"/>
    <w:rsid w:val="00DA43A5"/>
    <w:rsid w:val="00DA523E"/>
    <w:rsid w:val="00DA71DD"/>
    <w:rsid w:val="00DB0B96"/>
    <w:rsid w:val="00DB21D8"/>
    <w:rsid w:val="00DB2983"/>
    <w:rsid w:val="00DB441F"/>
    <w:rsid w:val="00DB79AE"/>
    <w:rsid w:val="00DC0D45"/>
    <w:rsid w:val="00DC4118"/>
    <w:rsid w:val="00DC6E10"/>
    <w:rsid w:val="00DC7E9E"/>
    <w:rsid w:val="00DD2E8B"/>
    <w:rsid w:val="00DD2EBE"/>
    <w:rsid w:val="00DD350B"/>
    <w:rsid w:val="00DD65DD"/>
    <w:rsid w:val="00DD775E"/>
    <w:rsid w:val="00DE03DC"/>
    <w:rsid w:val="00DE2383"/>
    <w:rsid w:val="00DE339B"/>
    <w:rsid w:val="00DE46A3"/>
    <w:rsid w:val="00DE57C7"/>
    <w:rsid w:val="00DF1687"/>
    <w:rsid w:val="00DF246B"/>
    <w:rsid w:val="00DF3706"/>
    <w:rsid w:val="00DF5772"/>
    <w:rsid w:val="00DF6167"/>
    <w:rsid w:val="00E01394"/>
    <w:rsid w:val="00E02397"/>
    <w:rsid w:val="00E03B20"/>
    <w:rsid w:val="00E1097D"/>
    <w:rsid w:val="00E123E7"/>
    <w:rsid w:val="00E134EA"/>
    <w:rsid w:val="00E15E4A"/>
    <w:rsid w:val="00E160BD"/>
    <w:rsid w:val="00E173B1"/>
    <w:rsid w:val="00E22BB5"/>
    <w:rsid w:val="00E2325E"/>
    <w:rsid w:val="00E240AD"/>
    <w:rsid w:val="00E273B2"/>
    <w:rsid w:val="00E31382"/>
    <w:rsid w:val="00E321DD"/>
    <w:rsid w:val="00E353DD"/>
    <w:rsid w:val="00E37508"/>
    <w:rsid w:val="00E412CA"/>
    <w:rsid w:val="00E4283D"/>
    <w:rsid w:val="00E429C2"/>
    <w:rsid w:val="00E44B26"/>
    <w:rsid w:val="00E45FE8"/>
    <w:rsid w:val="00E51FB2"/>
    <w:rsid w:val="00E56E87"/>
    <w:rsid w:val="00E601AD"/>
    <w:rsid w:val="00E6312E"/>
    <w:rsid w:val="00E65363"/>
    <w:rsid w:val="00E70797"/>
    <w:rsid w:val="00E77115"/>
    <w:rsid w:val="00E80C82"/>
    <w:rsid w:val="00E81BC5"/>
    <w:rsid w:val="00E824FC"/>
    <w:rsid w:val="00E833E4"/>
    <w:rsid w:val="00E8563B"/>
    <w:rsid w:val="00E85A54"/>
    <w:rsid w:val="00E926F9"/>
    <w:rsid w:val="00E9290A"/>
    <w:rsid w:val="00E9610E"/>
    <w:rsid w:val="00E9664C"/>
    <w:rsid w:val="00E9785B"/>
    <w:rsid w:val="00E9798A"/>
    <w:rsid w:val="00E97C56"/>
    <w:rsid w:val="00EA079D"/>
    <w:rsid w:val="00EA08E6"/>
    <w:rsid w:val="00EA3683"/>
    <w:rsid w:val="00EA3D52"/>
    <w:rsid w:val="00EA5966"/>
    <w:rsid w:val="00EB0428"/>
    <w:rsid w:val="00EB14F3"/>
    <w:rsid w:val="00EB21F1"/>
    <w:rsid w:val="00EB55C0"/>
    <w:rsid w:val="00EC1086"/>
    <w:rsid w:val="00EC2BC1"/>
    <w:rsid w:val="00EC3D40"/>
    <w:rsid w:val="00EC5DF0"/>
    <w:rsid w:val="00EC6589"/>
    <w:rsid w:val="00EC72E1"/>
    <w:rsid w:val="00ED2833"/>
    <w:rsid w:val="00ED3893"/>
    <w:rsid w:val="00ED5A86"/>
    <w:rsid w:val="00ED5FFF"/>
    <w:rsid w:val="00ED6670"/>
    <w:rsid w:val="00ED79B2"/>
    <w:rsid w:val="00ED7A9C"/>
    <w:rsid w:val="00EE1299"/>
    <w:rsid w:val="00EE2A72"/>
    <w:rsid w:val="00EE2CC4"/>
    <w:rsid w:val="00EE51A2"/>
    <w:rsid w:val="00EE5375"/>
    <w:rsid w:val="00EE677B"/>
    <w:rsid w:val="00EE72C5"/>
    <w:rsid w:val="00EE7329"/>
    <w:rsid w:val="00EF08BC"/>
    <w:rsid w:val="00EF36DC"/>
    <w:rsid w:val="00EF45BD"/>
    <w:rsid w:val="00EF5243"/>
    <w:rsid w:val="00EF5DE4"/>
    <w:rsid w:val="00F02C91"/>
    <w:rsid w:val="00F044DD"/>
    <w:rsid w:val="00F05311"/>
    <w:rsid w:val="00F104E2"/>
    <w:rsid w:val="00F10EF3"/>
    <w:rsid w:val="00F11C82"/>
    <w:rsid w:val="00F12641"/>
    <w:rsid w:val="00F12C20"/>
    <w:rsid w:val="00F14BBE"/>
    <w:rsid w:val="00F156C2"/>
    <w:rsid w:val="00F24A3B"/>
    <w:rsid w:val="00F25561"/>
    <w:rsid w:val="00F256E9"/>
    <w:rsid w:val="00F272C3"/>
    <w:rsid w:val="00F325BE"/>
    <w:rsid w:val="00F32D0A"/>
    <w:rsid w:val="00F32D2E"/>
    <w:rsid w:val="00F33D90"/>
    <w:rsid w:val="00F36386"/>
    <w:rsid w:val="00F40C00"/>
    <w:rsid w:val="00F44641"/>
    <w:rsid w:val="00F44926"/>
    <w:rsid w:val="00F45AF8"/>
    <w:rsid w:val="00F469FD"/>
    <w:rsid w:val="00F528B2"/>
    <w:rsid w:val="00F53738"/>
    <w:rsid w:val="00F54BE2"/>
    <w:rsid w:val="00F554E8"/>
    <w:rsid w:val="00F579AA"/>
    <w:rsid w:val="00F65AB8"/>
    <w:rsid w:val="00F6608E"/>
    <w:rsid w:val="00F66756"/>
    <w:rsid w:val="00F66885"/>
    <w:rsid w:val="00F66B4A"/>
    <w:rsid w:val="00F67F2A"/>
    <w:rsid w:val="00F7354A"/>
    <w:rsid w:val="00F76E39"/>
    <w:rsid w:val="00F82BD9"/>
    <w:rsid w:val="00F87CED"/>
    <w:rsid w:val="00F901BB"/>
    <w:rsid w:val="00F9260C"/>
    <w:rsid w:val="00F93D7B"/>
    <w:rsid w:val="00F979A1"/>
    <w:rsid w:val="00FA1A2F"/>
    <w:rsid w:val="00FA311C"/>
    <w:rsid w:val="00FA34F8"/>
    <w:rsid w:val="00FA4B36"/>
    <w:rsid w:val="00FA563D"/>
    <w:rsid w:val="00FA58F1"/>
    <w:rsid w:val="00FA7743"/>
    <w:rsid w:val="00FB0FD4"/>
    <w:rsid w:val="00FB3407"/>
    <w:rsid w:val="00FB4DDA"/>
    <w:rsid w:val="00FB5E08"/>
    <w:rsid w:val="00FB78FD"/>
    <w:rsid w:val="00FC0272"/>
    <w:rsid w:val="00FD45FE"/>
    <w:rsid w:val="00FD7131"/>
    <w:rsid w:val="00FD7826"/>
    <w:rsid w:val="00FE0BDC"/>
    <w:rsid w:val="00FE36C7"/>
    <w:rsid w:val="00FE72A1"/>
    <w:rsid w:val="00FF4463"/>
    <w:rsid w:val="00FF4493"/>
    <w:rsid w:val="00FF534E"/>
    <w:rsid w:val="00FF69BF"/>
    <w:rsid w:val="00FF7548"/>
    <w:rsid w:val="00FF7B28"/>
    <w:rsid w:val="00FF7BEC"/>
    <w:rsid w:val="00FF7D49"/>
    <w:rsid w:val="029D779A"/>
    <w:rsid w:val="02F817D7"/>
    <w:rsid w:val="036F5EE4"/>
    <w:rsid w:val="042932F3"/>
    <w:rsid w:val="04566DD5"/>
    <w:rsid w:val="05464FE9"/>
    <w:rsid w:val="058D5CDA"/>
    <w:rsid w:val="06084D79"/>
    <w:rsid w:val="06CE0308"/>
    <w:rsid w:val="0722297D"/>
    <w:rsid w:val="0723345D"/>
    <w:rsid w:val="077250BB"/>
    <w:rsid w:val="08BE15F1"/>
    <w:rsid w:val="08D26EA6"/>
    <w:rsid w:val="08F9587C"/>
    <w:rsid w:val="092A1775"/>
    <w:rsid w:val="092B2BA1"/>
    <w:rsid w:val="09C92D43"/>
    <w:rsid w:val="0A88016F"/>
    <w:rsid w:val="0AE242B8"/>
    <w:rsid w:val="0AE839BB"/>
    <w:rsid w:val="0AF978B0"/>
    <w:rsid w:val="0BAA6074"/>
    <w:rsid w:val="0BB43D0E"/>
    <w:rsid w:val="0BEA4FDE"/>
    <w:rsid w:val="0C8406F6"/>
    <w:rsid w:val="0D417E6E"/>
    <w:rsid w:val="0E0C7151"/>
    <w:rsid w:val="0E8E6BCD"/>
    <w:rsid w:val="10702F63"/>
    <w:rsid w:val="10995D6B"/>
    <w:rsid w:val="109A15E5"/>
    <w:rsid w:val="10E16E63"/>
    <w:rsid w:val="10F07FB0"/>
    <w:rsid w:val="12085A06"/>
    <w:rsid w:val="130A2B64"/>
    <w:rsid w:val="137A5699"/>
    <w:rsid w:val="13E76C4B"/>
    <w:rsid w:val="148172B4"/>
    <w:rsid w:val="14A66582"/>
    <w:rsid w:val="14DE041F"/>
    <w:rsid w:val="14E30565"/>
    <w:rsid w:val="15814A55"/>
    <w:rsid w:val="15F25982"/>
    <w:rsid w:val="162A6887"/>
    <w:rsid w:val="168B420C"/>
    <w:rsid w:val="16B312D9"/>
    <w:rsid w:val="16E342A0"/>
    <w:rsid w:val="1717781B"/>
    <w:rsid w:val="175D785B"/>
    <w:rsid w:val="17CB3FC4"/>
    <w:rsid w:val="17D83E35"/>
    <w:rsid w:val="18432FFA"/>
    <w:rsid w:val="187A7CCF"/>
    <w:rsid w:val="18AE66DE"/>
    <w:rsid w:val="190B46BA"/>
    <w:rsid w:val="19864A51"/>
    <w:rsid w:val="19DF4FD3"/>
    <w:rsid w:val="19F031CC"/>
    <w:rsid w:val="1A0967D8"/>
    <w:rsid w:val="1A9E5BDB"/>
    <w:rsid w:val="1AC26680"/>
    <w:rsid w:val="1AEB6339"/>
    <w:rsid w:val="1B1143D8"/>
    <w:rsid w:val="1C122FB3"/>
    <w:rsid w:val="1D22179C"/>
    <w:rsid w:val="1D484219"/>
    <w:rsid w:val="1D7624E4"/>
    <w:rsid w:val="1D803662"/>
    <w:rsid w:val="1E345956"/>
    <w:rsid w:val="1EE442B2"/>
    <w:rsid w:val="1EEA6559"/>
    <w:rsid w:val="1EEC5C8E"/>
    <w:rsid w:val="200B5CB0"/>
    <w:rsid w:val="203572B1"/>
    <w:rsid w:val="20E71336"/>
    <w:rsid w:val="21F87852"/>
    <w:rsid w:val="22237548"/>
    <w:rsid w:val="227D0756"/>
    <w:rsid w:val="22B66343"/>
    <w:rsid w:val="22BE25AB"/>
    <w:rsid w:val="23031496"/>
    <w:rsid w:val="233D72D5"/>
    <w:rsid w:val="23462388"/>
    <w:rsid w:val="241A3C59"/>
    <w:rsid w:val="246F062E"/>
    <w:rsid w:val="248E75EC"/>
    <w:rsid w:val="24D94D26"/>
    <w:rsid w:val="25477116"/>
    <w:rsid w:val="257A492C"/>
    <w:rsid w:val="263D5CD3"/>
    <w:rsid w:val="264D2BC0"/>
    <w:rsid w:val="26CD20AF"/>
    <w:rsid w:val="26EB26D5"/>
    <w:rsid w:val="279A20FE"/>
    <w:rsid w:val="294E43EB"/>
    <w:rsid w:val="2A2B3994"/>
    <w:rsid w:val="2AC564AD"/>
    <w:rsid w:val="2BE861FD"/>
    <w:rsid w:val="2C5F4670"/>
    <w:rsid w:val="2C6700D4"/>
    <w:rsid w:val="2D1D7D6C"/>
    <w:rsid w:val="2D2B4F6F"/>
    <w:rsid w:val="2D5534E3"/>
    <w:rsid w:val="2D601386"/>
    <w:rsid w:val="2D841F32"/>
    <w:rsid w:val="2E2435DA"/>
    <w:rsid w:val="2E9200FD"/>
    <w:rsid w:val="2E9934CC"/>
    <w:rsid w:val="2F7A460F"/>
    <w:rsid w:val="2FAF5C31"/>
    <w:rsid w:val="2FB92D54"/>
    <w:rsid w:val="2FCC6A6F"/>
    <w:rsid w:val="30192947"/>
    <w:rsid w:val="30981214"/>
    <w:rsid w:val="30E56394"/>
    <w:rsid w:val="30F405ED"/>
    <w:rsid w:val="31563DBB"/>
    <w:rsid w:val="3166212E"/>
    <w:rsid w:val="32961CB9"/>
    <w:rsid w:val="33404B00"/>
    <w:rsid w:val="33785DD3"/>
    <w:rsid w:val="340F5749"/>
    <w:rsid w:val="35E906D8"/>
    <w:rsid w:val="36030F42"/>
    <w:rsid w:val="36343E9A"/>
    <w:rsid w:val="369B04E2"/>
    <w:rsid w:val="36E34BF1"/>
    <w:rsid w:val="36FE2052"/>
    <w:rsid w:val="375F6E0A"/>
    <w:rsid w:val="37825AE2"/>
    <w:rsid w:val="37CE3D8F"/>
    <w:rsid w:val="37DB2F54"/>
    <w:rsid w:val="37E40B17"/>
    <w:rsid w:val="382600D9"/>
    <w:rsid w:val="38585021"/>
    <w:rsid w:val="39041E4C"/>
    <w:rsid w:val="39170AB1"/>
    <w:rsid w:val="3A5343E0"/>
    <w:rsid w:val="3A717A42"/>
    <w:rsid w:val="3ACD44FD"/>
    <w:rsid w:val="3B5777F1"/>
    <w:rsid w:val="3B895B49"/>
    <w:rsid w:val="3C465C65"/>
    <w:rsid w:val="3C75630E"/>
    <w:rsid w:val="3D0C7C73"/>
    <w:rsid w:val="3D150962"/>
    <w:rsid w:val="3D357873"/>
    <w:rsid w:val="3D470DCC"/>
    <w:rsid w:val="3DA73DA5"/>
    <w:rsid w:val="3F025C20"/>
    <w:rsid w:val="403B7E73"/>
    <w:rsid w:val="408C4D1F"/>
    <w:rsid w:val="40C6615B"/>
    <w:rsid w:val="40D23034"/>
    <w:rsid w:val="419F5DF1"/>
    <w:rsid w:val="42B90929"/>
    <w:rsid w:val="43171E14"/>
    <w:rsid w:val="435E351B"/>
    <w:rsid w:val="438F5436"/>
    <w:rsid w:val="43A1155C"/>
    <w:rsid w:val="43D417B1"/>
    <w:rsid w:val="44110019"/>
    <w:rsid w:val="44553E7C"/>
    <w:rsid w:val="447B2B0B"/>
    <w:rsid w:val="44E9320C"/>
    <w:rsid w:val="450665E4"/>
    <w:rsid w:val="45EC4922"/>
    <w:rsid w:val="467E5F31"/>
    <w:rsid w:val="46DE5BFD"/>
    <w:rsid w:val="47525CE8"/>
    <w:rsid w:val="47FE5A06"/>
    <w:rsid w:val="495062E3"/>
    <w:rsid w:val="49E80E7F"/>
    <w:rsid w:val="4A2776EF"/>
    <w:rsid w:val="4A47048D"/>
    <w:rsid w:val="4A815687"/>
    <w:rsid w:val="4A874917"/>
    <w:rsid w:val="4B6C5A23"/>
    <w:rsid w:val="4B7E399D"/>
    <w:rsid w:val="4BA13A65"/>
    <w:rsid w:val="4C5A590E"/>
    <w:rsid w:val="4D475948"/>
    <w:rsid w:val="4D78155B"/>
    <w:rsid w:val="4DB125F1"/>
    <w:rsid w:val="4DD304F4"/>
    <w:rsid w:val="4E360236"/>
    <w:rsid w:val="4ED75E49"/>
    <w:rsid w:val="4EDE135F"/>
    <w:rsid w:val="4EFF498E"/>
    <w:rsid w:val="4F2B09B4"/>
    <w:rsid w:val="4F755601"/>
    <w:rsid w:val="504536CD"/>
    <w:rsid w:val="50557530"/>
    <w:rsid w:val="512D6D6E"/>
    <w:rsid w:val="51413721"/>
    <w:rsid w:val="51B14706"/>
    <w:rsid w:val="52004E6F"/>
    <w:rsid w:val="523C1925"/>
    <w:rsid w:val="52ED4E4E"/>
    <w:rsid w:val="53B3205F"/>
    <w:rsid w:val="53F964CC"/>
    <w:rsid w:val="547A3604"/>
    <w:rsid w:val="549D0672"/>
    <w:rsid w:val="55E26FE1"/>
    <w:rsid w:val="55E35384"/>
    <w:rsid w:val="574C5B9F"/>
    <w:rsid w:val="578B72BD"/>
    <w:rsid w:val="57BA0EF0"/>
    <w:rsid w:val="57E91DD9"/>
    <w:rsid w:val="58382B35"/>
    <w:rsid w:val="586133E2"/>
    <w:rsid w:val="58A1060B"/>
    <w:rsid w:val="58FD4190"/>
    <w:rsid w:val="5960563D"/>
    <w:rsid w:val="599D6816"/>
    <w:rsid w:val="59B54459"/>
    <w:rsid w:val="5A045FD3"/>
    <w:rsid w:val="5A5F759B"/>
    <w:rsid w:val="5AD373B1"/>
    <w:rsid w:val="5BD224A2"/>
    <w:rsid w:val="5D1337ED"/>
    <w:rsid w:val="5D466B8D"/>
    <w:rsid w:val="5DD45039"/>
    <w:rsid w:val="5E2778A6"/>
    <w:rsid w:val="5E475C9C"/>
    <w:rsid w:val="5E4C5793"/>
    <w:rsid w:val="5E513CD6"/>
    <w:rsid w:val="5EA7756F"/>
    <w:rsid w:val="5EFB6421"/>
    <w:rsid w:val="5F467A84"/>
    <w:rsid w:val="5F7D2C9B"/>
    <w:rsid w:val="6056053C"/>
    <w:rsid w:val="60744D9D"/>
    <w:rsid w:val="60796D97"/>
    <w:rsid w:val="61526284"/>
    <w:rsid w:val="616E02E8"/>
    <w:rsid w:val="619918A0"/>
    <w:rsid w:val="623821BA"/>
    <w:rsid w:val="624721C8"/>
    <w:rsid w:val="628653E5"/>
    <w:rsid w:val="62F45FC4"/>
    <w:rsid w:val="635A13FA"/>
    <w:rsid w:val="643260B1"/>
    <w:rsid w:val="643C59C4"/>
    <w:rsid w:val="64453138"/>
    <w:rsid w:val="64464992"/>
    <w:rsid w:val="65EB6B11"/>
    <w:rsid w:val="66CA3A4C"/>
    <w:rsid w:val="67114A80"/>
    <w:rsid w:val="673C7284"/>
    <w:rsid w:val="67C64E70"/>
    <w:rsid w:val="686B6C94"/>
    <w:rsid w:val="68C60FF8"/>
    <w:rsid w:val="68E404E1"/>
    <w:rsid w:val="694E09CF"/>
    <w:rsid w:val="6B0E5CF1"/>
    <w:rsid w:val="6B70712A"/>
    <w:rsid w:val="6B9C1493"/>
    <w:rsid w:val="6BD06480"/>
    <w:rsid w:val="6CD43FBA"/>
    <w:rsid w:val="6D324291"/>
    <w:rsid w:val="6DC83ACD"/>
    <w:rsid w:val="6DFD7464"/>
    <w:rsid w:val="6E244D15"/>
    <w:rsid w:val="6E4F5BD9"/>
    <w:rsid w:val="6F4231E0"/>
    <w:rsid w:val="6FB1124F"/>
    <w:rsid w:val="6FCD2121"/>
    <w:rsid w:val="700D001C"/>
    <w:rsid w:val="70315391"/>
    <w:rsid w:val="704A358F"/>
    <w:rsid w:val="70FF176E"/>
    <w:rsid w:val="71303A3D"/>
    <w:rsid w:val="718571CB"/>
    <w:rsid w:val="71AF65BB"/>
    <w:rsid w:val="72002938"/>
    <w:rsid w:val="7270316B"/>
    <w:rsid w:val="72EA5185"/>
    <w:rsid w:val="749B57E9"/>
    <w:rsid w:val="75185298"/>
    <w:rsid w:val="75555CBF"/>
    <w:rsid w:val="75FC78AA"/>
    <w:rsid w:val="76013C62"/>
    <w:rsid w:val="761D1C53"/>
    <w:rsid w:val="766D14EC"/>
    <w:rsid w:val="767D35E0"/>
    <w:rsid w:val="76B96C70"/>
    <w:rsid w:val="76DD7BB6"/>
    <w:rsid w:val="772714C3"/>
    <w:rsid w:val="77494E98"/>
    <w:rsid w:val="778F2595"/>
    <w:rsid w:val="779A34CF"/>
    <w:rsid w:val="78192EB4"/>
    <w:rsid w:val="78B21577"/>
    <w:rsid w:val="78CD3134"/>
    <w:rsid w:val="78D45212"/>
    <w:rsid w:val="79184271"/>
    <w:rsid w:val="79801B29"/>
    <w:rsid w:val="79992041"/>
    <w:rsid w:val="79F17DE9"/>
    <w:rsid w:val="7A7B207F"/>
    <w:rsid w:val="7A900ED4"/>
    <w:rsid w:val="7AC230C1"/>
    <w:rsid w:val="7AC90E16"/>
    <w:rsid w:val="7AF379C5"/>
    <w:rsid w:val="7D130D68"/>
    <w:rsid w:val="7D6B1B91"/>
    <w:rsid w:val="7DF6486D"/>
    <w:rsid w:val="7E431353"/>
    <w:rsid w:val="7E9B7E65"/>
    <w:rsid w:val="7EA17D72"/>
    <w:rsid w:val="7F8A01C4"/>
    <w:rsid w:val="B7FF8ACD"/>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uiPriority="0" w:name="Table Columns 4"/>
    <w:lsdException w:qFormat="1" w:unhideWhenUsed="0" w:uiPriority="0" w:semiHidden="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qFormat="1" w:unhideWhenUsed="0" w:uiPriority="0" w:semiHidden="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qFormat="1" w:unhideWhenUsed="0" w:uiPriority="0" w:semiHidden="0" w:name="Table 3D effects 2"/>
    <w:lsdException w:qFormat="1" w:unhideWhenUsed="0" w:uiPriority="0" w:semiHidden="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99"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Theme="minorEastAsia" w:cstheme="minorBidi"/>
      <w:kern w:val="2"/>
      <w:sz w:val="21"/>
      <w:szCs w:val="22"/>
      <w:lang w:val="en-US" w:eastAsia="zh-CN" w:bidi="ar-SA"/>
    </w:rPr>
  </w:style>
  <w:style w:type="paragraph" w:styleId="3">
    <w:name w:val="heading 1"/>
    <w:basedOn w:val="1"/>
    <w:next w:val="1"/>
    <w:qFormat/>
    <w:uiPriority w:val="0"/>
    <w:pPr>
      <w:keepNext/>
      <w:keepLines/>
      <w:spacing w:before="100" w:beforeLines="100" w:after="100" w:afterLines="100" w:line="600" w:lineRule="exact"/>
      <w:jc w:val="center"/>
      <w:outlineLvl w:val="0"/>
    </w:pPr>
    <w:rPr>
      <w:rFonts w:eastAsia="宋体"/>
      <w:b/>
      <w:bCs/>
      <w:kern w:val="44"/>
      <w:sz w:val="32"/>
      <w:szCs w:val="44"/>
    </w:rPr>
  </w:style>
  <w:style w:type="paragraph" w:styleId="4">
    <w:name w:val="heading 2"/>
    <w:basedOn w:val="1"/>
    <w:next w:val="1"/>
    <w:unhideWhenUsed/>
    <w:qFormat/>
    <w:uiPriority w:val="0"/>
    <w:pPr>
      <w:keepNext/>
      <w:keepLines/>
      <w:spacing w:line="600" w:lineRule="exact"/>
      <w:ind w:firstLine="723" w:firstLineChars="200"/>
      <w:jc w:val="left"/>
      <w:outlineLvl w:val="1"/>
    </w:pPr>
    <w:rPr>
      <w:rFonts w:ascii="Cambria" w:hAnsi="Cambria" w:eastAsia="宋体"/>
      <w:b/>
      <w:bCs/>
      <w:sz w:val="28"/>
      <w:szCs w:val="32"/>
    </w:rPr>
  </w:style>
  <w:style w:type="paragraph" w:styleId="5">
    <w:name w:val="heading 3"/>
    <w:basedOn w:val="1"/>
    <w:next w:val="1"/>
    <w:unhideWhenUsed/>
    <w:qFormat/>
    <w:uiPriority w:val="0"/>
    <w:pPr>
      <w:keepNext/>
      <w:keepLines/>
      <w:spacing w:beforeLines="50" w:afterLines="50" w:line="413" w:lineRule="auto"/>
      <w:outlineLvl w:val="2"/>
    </w:pPr>
    <w:rPr>
      <w:rFonts w:ascii="Times New Roman" w:hAnsi="Times New Roman"/>
      <w:b/>
      <w:bCs/>
      <w:kern w:val="0"/>
      <w:sz w:val="28"/>
      <w:szCs w:val="32"/>
    </w:rPr>
  </w:style>
  <w:style w:type="character" w:default="1" w:styleId="25">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qFormat/>
    <w:uiPriority w:val="0"/>
    <w:pPr>
      <w:spacing w:before="100" w:after="50" w:line="288" w:lineRule="auto"/>
      <w:ind w:firstLine="560" w:firstLineChars="200"/>
    </w:pPr>
    <w:rPr>
      <w:rFonts w:ascii="宋体" w:hAnsi="宋体"/>
      <w:szCs w:val="24"/>
    </w:rPr>
  </w:style>
  <w:style w:type="paragraph" w:styleId="6">
    <w:name w:val="annotation text"/>
    <w:basedOn w:val="1"/>
    <w:link w:val="33"/>
    <w:qFormat/>
    <w:uiPriority w:val="0"/>
    <w:pPr>
      <w:jc w:val="left"/>
    </w:pPr>
  </w:style>
  <w:style w:type="paragraph" w:styleId="7">
    <w:name w:val="toc 3"/>
    <w:basedOn w:val="1"/>
    <w:next w:val="1"/>
    <w:qFormat/>
    <w:uiPriority w:val="39"/>
    <w:pPr>
      <w:ind w:left="840" w:leftChars="400"/>
    </w:pPr>
  </w:style>
  <w:style w:type="paragraph" w:styleId="8">
    <w:name w:val="Balloon Text"/>
    <w:basedOn w:val="1"/>
    <w:link w:val="29"/>
    <w:qFormat/>
    <w:uiPriority w:val="0"/>
    <w:rPr>
      <w:sz w:val="18"/>
      <w:szCs w:val="18"/>
    </w:rPr>
  </w:style>
  <w:style w:type="paragraph" w:styleId="9">
    <w:name w:val="footer"/>
    <w:basedOn w:val="1"/>
    <w:qFormat/>
    <w:uiPriority w:val="0"/>
    <w:pPr>
      <w:tabs>
        <w:tab w:val="center" w:pos="4153"/>
        <w:tab w:val="right" w:pos="8306"/>
      </w:tabs>
      <w:snapToGrid w:val="0"/>
      <w:jc w:val="left"/>
    </w:pPr>
    <w:rPr>
      <w:rFonts w:ascii="Times New Roman" w:hAnsi="Times New Roman" w:eastAsia="Times New Roman"/>
      <w:kern w:val="0"/>
      <w:sz w:val="18"/>
      <w:szCs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toc 1"/>
    <w:basedOn w:val="1"/>
    <w:next w:val="1"/>
    <w:qFormat/>
    <w:uiPriority w:val="39"/>
    <w:pPr>
      <w:widowControl/>
      <w:spacing w:after="100" w:line="276" w:lineRule="auto"/>
      <w:jc w:val="left"/>
    </w:pPr>
    <w:rPr>
      <w:kern w:val="0"/>
      <w:sz w:val="22"/>
    </w:rPr>
  </w:style>
  <w:style w:type="paragraph" w:styleId="12">
    <w:name w:val="toc 2"/>
    <w:basedOn w:val="1"/>
    <w:next w:val="1"/>
    <w:qFormat/>
    <w:uiPriority w:val="39"/>
    <w:pPr>
      <w:widowControl/>
      <w:spacing w:after="100" w:line="276" w:lineRule="auto"/>
      <w:ind w:left="220"/>
      <w:jc w:val="left"/>
    </w:pPr>
    <w:rPr>
      <w:kern w:val="0"/>
      <w:sz w:val="22"/>
    </w:rPr>
  </w:style>
  <w:style w:type="paragraph" w:styleId="13">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14">
    <w:name w:val="annotation subject"/>
    <w:basedOn w:val="6"/>
    <w:next w:val="6"/>
    <w:link w:val="34"/>
    <w:qFormat/>
    <w:uiPriority w:val="0"/>
    <w:rPr>
      <w:b/>
      <w:bCs/>
    </w:rPr>
  </w:style>
  <w:style w:type="table" w:styleId="16">
    <w:name w:val="Table Grid"/>
    <w:basedOn w:val="1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7">
    <w:name w:val="Table Theme"/>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8">
    <w:name w:val="Table 3D effects 2"/>
    <w:basedOn w:val="15"/>
    <w:qFormat/>
    <w:uiPriority w:val="0"/>
    <w:pPr>
      <w:widowControl w:val="0"/>
      <w:jc w:val="both"/>
    </w:pPr>
    <w:tblPr>
      <w:tblStyleRowBandSize w:val="1"/>
    </w:tblPr>
    <w:tcPr>
      <w:shd w:val="solid" w:color="C0C0C0" w:fill="FFFFFF"/>
    </w:tcPr>
    <w:tblStylePr w:type="firstRow">
      <w:rPr>
        <w:b/>
        <w:bCs/>
      </w:rPr>
      <w:tblPr/>
    </w:tblStylePr>
    <w:tblStylePr w:type="firstCol">
      <w:tblPr/>
      <w:tcPr>
        <w:tcBorders>
          <w:top w:val="nil"/>
          <w:bottom w:val="nil"/>
          <w:right w:val="single" w:color="808080" w:sz="6" w:space="0"/>
        </w:tcBorders>
      </w:tcPr>
    </w:tblStylePr>
    <w:tblStylePr w:type="lastCol">
      <w:tblPr/>
      <w:tcPr>
        <w:tcBorders>
          <w:right w:val="single" w:color="FFFFFF" w:sz="6" w:space="0"/>
        </w:tcBorders>
      </w:tcPr>
    </w:tblStylePr>
    <w:tblStylePr w:type="band1Horz">
      <w:tblPr/>
      <w:tcPr>
        <w:tcBorders>
          <w:top w:val="single" w:color="808080" w:sz="6" w:space="0"/>
          <w:bottom w:val="single" w:color="FFFFFF" w:sz="6" w:space="0"/>
        </w:tcBorders>
      </w:tcPr>
    </w:tblStylePr>
    <w:tblStylePr w:type="swCell">
      <w:rPr>
        <w:b/>
        <w:bCs/>
      </w:rPr>
      <w:tblPr/>
    </w:tblStylePr>
  </w:style>
  <w:style w:type="table" w:styleId="19">
    <w:name w:val="Table 3D effects 3"/>
    <w:basedOn w:val="15"/>
    <w:qFormat/>
    <w:uiPriority w:val="0"/>
    <w:pPr>
      <w:widowControl w:val="0"/>
      <w:jc w:val="both"/>
    </w:pPr>
    <w:tblPr>
      <w:tblStyleRowBandSize w:val="1"/>
      <w:tblStyleColBandSize w:val="1"/>
    </w:tblPr>
    <w:tcPr>
      <w:shd w:val="solid" w:color="C0C0C0" w:fill="FFFFFF"/>
    </w:tcPr>
    <w:tblStylePr w:type="firstRow">
      <w:rPr>
        <w:b/>
        <w:bCs/>
      </w:rPr>
      <w:tblPr/>
    </w:tblStylePr>
    <w:tblStylePr w:type="firstCol">
      <w:tblPr/>
      <w:tcPr>
        <w:tcBorders>
          <w:top w:val="nil"/>
          <w:bottom w:val="nil"/>
          <w:right w:val="single" w:color="808080" w:sz="6" w:space="0"/>
        </w:tcBorders>
      </w:tcPr>
    </w:tblStylePr>
    <w:tblStylePr w:type="lastCol">
      <w:tblPr/>
      <w:tcPr>
        <w:tcBorders>
          <w:right w:val="single" w:color="FFFFFF" w:sz="6" w:space="0"/>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cBorders>
      </w:tcPr>
    </w:tblStylePr>
    <w:tblStylePr w:type="swCell">
      <w:rPr>
        <w:b/>
        <w:bCs/>
      </w:rPr>
      <w:tblPr/>
    </w:tblStylePr>
  </w:style>
  <w:style w:type="table" w:styleId="20">
    <w:name w:val="Table List 1"/>
    <w:basedOn w:val="15"/>
    <w:qFormat/>
    <w:uiPriority w:val="0"/>
    <w:pPr>
      <w:widowControl w:val="0"/>
      <w:jc w:val="both"/>
    </w:p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cBorders>
        <w:shd w:val="solid" w:color="C0C0C0" w:fill="FFFFFF"/>
      </w:tcPr>
    </w:tblStylePr>
    <w:tblStylePr w:type="lastRow">
      <w:tblPr/>
      <w:tcPr>
        <w:tcBorders>
          <w:top w:val="single" w:color="000000" w:sz="6" w:space="0"/>
        </w:tcBorders>
      </w:tcPr>
    </w:tblStylePr>
    <w:tblStylePr w:type="band1Horz">
      <w:rPr>
        <w:color w:val="auto"/>
      </w:rPr>
      <w:tblPr/>
      <w:tcPr>
        <w:shd w:val="solid" w:color="C0C0C0" w:fill="FFFFFF"/>
      </w:tcPr>
    </w:tblStylePr>
    <w:tblStylePr w:type="band2Horz">
      <w:rPr>
        <w:color w:val="auto"/>
      </w:rPr>
      <w:tblPr/>
    </w:tblStylePr>
    <w:tblStylePr w:type="swCell">
      <w:rPr>
        <w:b/>
        <w:bCs/>
      </w:rPr>
      <w:tblPr/>
    </w:tblStylePr>
  </w:style>
  <w:style w:type="table" w:styleId="21">
    <w:name w:val="Table Columns 1"/>
    <w:basedOn w:val="15"/>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Pr>
    <w:tcPr>
      <w:shd w:val="pct25" w:color="000000" w:fill="FFFFFF"/>
    </w:tcPr>
    <w:tblStylePr w:type="firstRow">
      <w:rPr>
        <w:b w:val="0"/>
        <w:bCs w:val="0"/>
      </w:rPr>
      <w:tblPr/>
      <w:tcPr>
        <w:tcBorders>
          <w:bottom w:val="double" w:color="000000" w:sz="6" w:space="0"/>
        </w:tcBorders>
      </w:tcPr>
    </w:tblStylePr>
    <w:tblStylePr w:type="lastRow">
      <w:rPr>
        <w:b w:val="0"/>
        <w:bCs w:val="0"/>
      </w:rPr>
      <w:tblPr/>
    </w:tblStylePr>
    <w:tblStylePr w:type="firstCol">
      <w:rPr>
        <w:b w:val="0"/>
        <w:bCs w:val="0"/>
      </w:rPr>
      <w:tblPr/>
    </w:tblStylePr>
    <w:tblStylePr w:type="lastCol">
      <w:rPr>
        <w:b w:val="0"/>
        <w:bCs w:val="0"/>
      </w:rPr>
      <w:tbl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blStylePr>
    <w:tblStylePr w:type="swCell">
      <w:rPr>
        <w:b/>
        <w:bCs/>
      </w:rPr>
      <w:tblPr/>
    </w:tblStylePr>
  </w:style>
  <w:style w:type="table" w:styleId="22">
    <w:name w:val="Table Columns 2"/>
    <w:basedOn w:val="15"/>
    <w:qFormat/>
    <w:uiPriority w:val="0"/>
    <w:pPr>
      <w:widowControl w:val="0"/>
      <w:jc w:val="both"/>
    </w:pPr>
    <w:rPr>
      <w:b/>
      <w:bCs/>
    </w:rPr>
    <w:tblPr>
      <w:tblStyleColBandSize w:val="1"/>
    </w:tblPr>
    <w:tcPr>
      <w:shd w:val="pct30" w:color="000000" w:fill="FFFFFF"/>
    </w:tcPr>
    <w:tblStylePr w:type="firstRow">
      <w:rPr>
        <w:color w:val="FFFFFF"/>
      </w:rPr>
      <w:tblPr/>
      <w:tcPr>
        <w:shd w:val="solid" w:color="000080" w:fill="FFFFFF"/>
      </w:tcPr>
    </w:tblStylePr>
    <w:tblStylePr w:type="lastRow">
      <w:rPr>
        <w:b w:val="0"/>
        <w:bCs w:val="0"/>
      </w:rPr>
      <w:tblPr/>
    </w:tblStylePr>
    <w:tblStylePr w:type="firstCol">
      <w:rPr>
        <w:b w:val="0"/>
        <w:bCs w:val="0"/>
        <w:color w:val="000000"/>
      </w:rPr>
      <w:tblPr/>
    </w:tblStylePr>
    <w:tblStylePr w:type="lastCol">
      <w:rPr>
        <w:b w:val="0"/>
        <w:bCs w:val="0"/>
      </w:rPr>
      <w:tbl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blStylePr>
    <w:tblStylePr w:type="swCell">
      <w:rPr>
        <w:b/>
        <w:bCs/>
      </w:rPr>
      <w:tblPr/>
    </w:tblStylePr>
  </w:style>
  <w:style w:type="table" w:styleId="23">
    <w:name w:val="Table Columns 3"/>
    <w:basedOn w:val="15"/>
    <w:qFormat/>
    <w:uiPriority w:val="0"/>
    <w:pPr>
      <w:widowControl w:val="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Pr>
    <w:tcPr>
      <w:shd w:val="solid" w:color="C0C0C0" w:fill="FFFFFF"/>
    </w:tcPr>
    <w:tblStylePr w:type="firstRow">
      <w:rPr>
        <w:color w:val="FFFFFF"/>
      </w:rPr>
      <w:tblPr/>
      <w:tcPr>
        <w:shd w:val="solid" w:color="000080" w:fill="FFFFFF"/>
      </w:tcPr>
    </w:tblStylePr>
    <w:tblStylePr w:type="lastRow">
      <w:rPr>
        <w:b w:val="0"/>
        <w:bCs w:val="0"/>
      </w:rPr>
      <w:tblPr/>
      <w:tcPr>
        <w:tcBorders>
          <w:top w:val="single" w:color="000080" w:sz="6" w:space="0"/>
        </w:tcBorders>
      </w:tcPr>
    </w:tblStylePr>
    <w:tblStylePr w:type="firstCol">
      <w:rPr>
        <w:b w:val="0"/>
        <w:bCs w:val="0"/>
      </w:rPr>
      <w:tblPr/>
    </w:tblStylePr>
    <w:tblStylePr w:type="lastCol">
      <w:rPr>
        <w:b w:val="0"/>
        <w:bCs w:val="0"/>
      </w:rPr>
      <w:tbl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blStylePr>
  </w:style>
  <w:style w:type="table" w:styleId="24">
    <w:name w:val="Table Columns 5"/>
    <w:basedOn w:val="15"/>
    <w:qFormat/>
    <w:uiPriority w:val="0"/>
    <w:pPr>
      <w:widowControl w:val="0"/>
      <w:jc w:val="both"/>
    </w:pPr>
    <w:tblPr>
      <w:tblBorders>
        <w:top w:val="single" w:color="808080" w:sz="12" w:space="0"/>
        <w:left w:val="single" w:color="808080" w:sz="12" w:space="0"/>
        <w:bottom w:val="single" w:color="808080" w:sz="12" w:space="0"/>
        <w:right w:val="single" w:color="808080" w:sz="12" w:space="0"/>
        <w:insideV w:val="single" w:color="C0C0C0" w:sz="6" w:space="0"/>
      </w:tblBorders>
    </w:tblPr>
    <w:tcPr>
      <w:shd w:val="solid" w:color="C0C0C0" w:fill="FFFFFF"/>
    </w:tcPr>
    <w:tblStylePr w:type="firstRow">
      <w:rPr>
        <w:b/>
        <w:bCs/>
        <w:i/>
        <w:iCs/>
      </w:rPr>
      <w:tblPr/>
      <w:tcPr>
        <w:tcBorders>
          <w:bottom w:val="single" w:color="808080" w:sz="6" w:space="0"/>
        </w:tcBorders>
      </w:tcPr>
    </w:tblStylePr>
    <w:tblStylePr w:type="lastRow">
      <w:rPr>
        <w:b/>
        <w:bCs/>
      </w:rPr>
      <w:tblPr/>
      <w:tcPr>
        <w:tcBorders>
          <w:top w:val="single" w:color="808080" w:sz="6" w:space="0"/>
        </w:tcBorders>
      </w:tcPr>
    </w:tblStylePr>
    <w:tblStylePr w:type="firstCol">
      <w:rPr>
        <w:b/>
        <w:bCs/>
      </w:rPr>
      <w:tblPr/>
    </w:tblStylePr>
    <w:tblStylePr w:type="lastCol">
      <w:rPr>
        <w:b/>
        <w:bCs/>
      </w:rPr>
      <w:tblPr/>
    </w:tblStylePr>
    <w:tblStylePr w:type="band1Vert">
      <w:rPr>
        <w:color w:val="auto"/>
      </w:rPr>
      <w:tblPr/>
      <w:tcPr>
        <w:shd w:val="solid" w:color="C0C0C0" w:fill="FFFFFF"/>
      </w:tcPr>
    </w:tblStylePr>
    <w:tblStylePr w:type="band2Vert">
      <w:rPr>
        <w:color w:val="auto"/>
      </w:rPr>
    </w:tblStylePr>
  </w:style>
  <w:style w:type="character" w:styleId="26">
    <w:name w:val="page number"/>
    <w:basedOn w:val="25"/>
    <w:qFormat/>
    <w:uiPriority w:val="0"/>
  </w:style>
  <w:style w:type="character" w:styleId="27">
    <w:name w:val="Hyperlink"/>
    <w:basedOn w:val="25"/>
    <w:qFormat/>
    <w:uiPriority w:val="99"/>
    <w:rPr>
      <w:color w:val="0000FF"/>
      <w:u w:val="single"/>
    </w:rPr>
  </w:style>
  <w:style w:type="character" w:styleId="28">
    <w:name w:val="annotation reference"/>
    <w:basedOn w:val="25"/>
    <w:qFormat/>
    <w:uiPriority w:val="0"/>
    <w:rPr>
      <w:sz w:val="21"/>
      <w:szCs w:val="21"/>
    </w:rPr>
  </w:style>
  <w:style w:type="character" w:customStyle="1" w:styleId="29">
    <w:name w:val="批注框文本 字符"/>
    <w:basedOn w:val="25"/>
    <w:link w:val="8"/>
    <w:qFormat/>
    <w:uiPriority w:val="0"/>
    <w:rPr>
      <w:rFonts w:ascii="Calibri" w:hAnsi="Calibri"/>
      <w:kern w:val="2"/>
      <w:sz w:val="18"/>
      <w:szCs w:val="18"/>
    </w:rPr>
  </w:style>
  <w:style w:type="paragraph" w:customStyle="1" w:styleId="30">
    <w:name w:val="正文 New New New New New New New New New New New New New New New New"/>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customStyle="1" w:styleId="31">
    <w:name w:val="apple-converted-space"/>
    <w:basedOn w:val="25"/>
    <w:qFormat/>
    <w:uiPriority w:val="0"/>
  </w:style>
  <w:style w:type="paragraph" w:customStyle="1" w:styleId="32">
    <w:name w:val="修订1"/>
    <w:hidden/>
    <w:unhideWhenUsed/>
    <w:qFormat/>
    <w:uiPriority w:val="99"/>
    <w:rPr>
      <w:rFonts w:ascii="Calibri" w:hAnsi="Calibri" w:eastAsiaTheme="minorEastAsia" w:cstheme="minorBidi"/>
      <w:kern w:val="2"/>
      <w:sz w:val="21"/>
      <w:szCs w:val="22"/>
      <w:lang w:val="en-US" w:eastAsia="zh-CN" w:bidi="ar-SA"/>
    </w:rPr>
  </w:style>
  <w:style w:type="character" w:customStyle="1" w:styleId="33">
    <w:name w:val="批注文字 字符"/>
    <w:basedOn w:val="25"/>
    <w:link w:val="6"/>
    <w:qFormat/>
    <w:uiPriority w:val="0"/>
    <w:rPr>
      <w:rFonts w:ascii="Calibri" w:hAnsi="Calibri"/>
      <w:kern w:val="2"/>
      <w:sz w:val="21"/>
      <w:szCs w:val="22"/>
    </w:rPr>
  </w:style>
  <w:style w:type="character" w:customStyle="1" w:styleId="34">
    <w:name w:val="批注主题 字符"/>
    <w:basedOn w:val="33"/>
    <w:link w:val="14"/>
    <w:qFormat/>
    <w:uiPriority w:val="0"/>
    <w:rPr>
      <w:rFonts w:ascii="Calibri" w:hAnsi="Calibri"/>
      <w:b/>
      <w:bCs/>
      <w:kern w:val="2"/>
      <w:sz w:val="21"/>
      <w:szCs w:val="22"/>
    </w:rPr>
  </w:style>
  <w:style w:type="paragraph" w:styleId="35">
    <w:name w:val="List Paragraph"/>
    <w:basedOn w:val="1"/>
    <w:unhideWhenUsed/>
    <w:qFormat/>
    <w:uiPriority w:val="99"/>
    <w:pPr>
      <w:ind w:firstLine="420" w:firstLineChars="200"/>
    </w:pPr>
  </w:style>
  <w:style w:type="paragraph" w:customStyle="1" w:styleId="36">
    <w:name w:val="Revision"/>
    <w:hidden/>
    <w:unhideWhenUsed/>
    <w:qFormat/>
    <w:uiPriority w:val="99"/>
    <w:rPr>
      <w:rFonts w:ascii="Calibri" w:hAnsi="Calibr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footer4.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18</Pages>
  <Words>5087</Words>
  <Characters>5884</Characters>
  <Lines>50</Lines>
  <Paragraphs>14</Paragraphs>
  <TotalTime>0</TotalTime>
  <ScaleCrop>false</ScaleCrop>
  <LinksUpToDate>false</LinksUpToDate>
  <CharactersWithSpaces>5957</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2018-10-23T18:35:00Z</dcterms:created>
  <dc:creator>Administrator</dc:creator>
  <cp:lastModifiedBy>王丽红</cp:lastModifiedBy>
  <cp:lastPrinted>2022-05-26T21:33:00Z</cp:lastPrinted>
  <dcterms:modified xsi:type="dcterms:W3CDTF">2023-11-14T09:48:16Z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1286EF0D590F3CED4718F86449AA3ED9_43</vt:lpwstr>
  </property>
</Properties>
</file>