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ASK  全称 " "  \* MERGEFORMAT </w:instrText>
      </w:r>
      <w:r>
        <w:rPr>
          <w:rFonts w:hint="eastAsia" w:ascii="宋体" w:hAnsi="宋体" w:eastAsia="宋体" w:cs="宋体"/>
        </w:rPr>
        <w:fldChar w:fldCharType="separate"/>
      </w:r>
      <w:bookmarkStart w:id="0" w:name="全称"/>
      <w:r>
        <w:rPr>
          <w:rFonts w:hint="eastAsia" w:ascii="宋体" w:hAnsi="宋体" w:eastAsia="宋体" w:cs="宋体"/>
        </w:rPr>
        <w:t>XXX股份有限公司</w:t>
      </w:r>
      <w:bookmarkEnd w:id="0"/>
      <w:r>
        <w:rPr>
          <w:rFonts w:hint="eastAsia" w:ascii="宋体" w:hAnsi="宋体" w:eastAsia="宋体" w:cs="宋体"/>
        </w:rPr>
        <w:fldChar w:fldCharType="end"/>
      </w:r>
    </w:p>
    <w:p>
      <w:pPr>
        <w:spacing w:line="360" w:lineRule="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ASK  简称 " "  \* MERGEFORMAT </w:instrText>
      </w:r>
      <w:r>
        <w:rPr>
          <w:rFonts w:hint="eastAsia" w:ascii="宋体" w:hAnsi="宋体" w:eastAsia="宋体" w:cs="宋体"/>
        </w:rPr>
        <w:fldChar w:fldCharType="separate"/>
      </w:r>
      <w:bookmarkStart w:id="1" w:name="简称"/>
      <w:r>
        <w:rPr>
          <w:rFonts w:hint="eastAsia" w:ascii="宋体" w:hAnsi="宋体" w:eastAsia="宋体" w:cs="宋体"/>
        </w:rPr>
        <w:t>ABC公司</w:t>
      </w:r>
      <w:bookmarkEnd w:id="1"/>
      <w:r>
        <w:rPr>
          <w:rFonts w:hint="eastAsia" w:ascii="宋体" w:hAnsi="宋体" w:eastAsia="宋体" w:cs="宋体"/>
        </w:rPr>
        <w:fldChar w:fldCharType="end"/>
      </w:r>
    </w:p>
    <w:p>
      <w:pPr>
        <w:spacing w:line="360" w:lineRule="auto"/>
        <w:rPr>
          <w:rFonts w:hint="eastAsia" w:ascii="宋体" w:hAnsi="宋体" w:eastAsia="宋体" w:cs="宋体"/>
          <w:sz w:val="18"/>
          <w:szCs w:val="18"/>
          <w:u w:val="single"/>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b/>
          <w:bCs/>
          <w:kern w:val="0"/>
          <w:sz w:val="32"/>
          <w:szCs w:val="32"/>
        </w:rPr>
      </w:pPr>
    </w:p>
    <w:p>
      <w:pPr>
        <w:spacing w:line="360" w:lineRule="auto"/>
        <w:rPr>
          <w:rFonts w:hint="eastAsia" w:ascii="宋体" w:hAnsi="宋体" w:eastAsia="宋体" w:cs="宋体"/>
          <w:b/>
          <w:bCs/>
          <w:kern w:val="0"/>
          <w:sz w:val="32"/>
          <w:szCs w:val="32"/>
        </w:rPr>
      </w:pPr>
    </w:p>
    <w:tbl>
      <w:tblPr>
        <w:tblStyle w:val="23"/>
        <w:tblpPr w:leftFromText="180" w:rightFromText="180" w:vertAnchor="page" w:horzAnchor="margin" w:tblpXSpec="center" w:tblpY="4321"/>
        <w:tblW w:w="6895" w:type="dxa"/>
        <w:tblInd w:w="0" w:type="dxa"/>
        <w:tblLayout w:type="fixed"/>
        <w:tblCellMar>
          <w:top w:w="0" w:type="dxa"/>
          <w:left w:w="108" w:type="dxa"/>
          <w:bottom w:w="0" w:type="dxa"/>
          <w:right w:w="108" w:type="dxa"/>
        </w:tblCellMar>
      </w:tblPr>
      <w:tblGrid>
        <w:gridCol w:w="6895"/>
      </w:tblGrid>
      <w:tr>
        <w:trPr>
          <w:trHeight w:val="400" w:hRule="atLeast"/>
        </w:trPr>
        <w:tc>
          <w:tcPr>
            <w:tcW w:w="6895" w:type="dxa"/>
            <w:noWrap w:val="0"/>
            <w:vAlign w:val="center"/>
          </w:tcPr>
          <w:p>
            <w:pPr>
              <w:spacing w:line="360" w:lineRule="auto"/>
              <w:jc w:val="center"/>
              <w:rPr>
                <w:rFonts w:hint="eastAsia" w:ascii="宋体" w:hAnsi="宋体" w:eastAsia="宋体" w:cs="宋体"/>
                <w:sz w:val="32"/>
                <w:szCs w:val="32"/>
              </w:rPr>
            </w:pPr>
            <w:r>
              <w:rPr>
                <w:rFonts w:hint="eastAsia" w:ascii="宋体" w:hAnsi="宋体" w:cs="Arial"/>
                <w:b/>
                <w:bCs/>
                <w:kern w:val="0"/>
                <w:sz w:val="32"/>
                <w:szCs w:val="32"/>
                <w:lang w:eastAsia="zh-CN"/>
              </w:rPr>
              <w:t>2023年至2024年太原市杏花岭区康乐幼儿园（五一北路校区）新建项目</w:t>
            </w:r>
            <w:r>
              <w:rPr>
                <w:rFonts w:hint="eastAsia" w:ascii="宋体" w:hAnsi="宋体" w:eastAsia="宋体" w:cs="Arial"/>
                <w:b/>
                <w:bCs/>
                <w:kern w:val="0"/>
                <w:sz w:val="32"/>
                <w:szCs w:val="32"/>
                <w:lang w:eastAsia="zh-CN"/>
              </w:rPr>
              <w:t>专项债券</w:t>
            </w:r>
            <w:r>
              <w:rPr>
                <w:rFonts w:hint="eastAsia" w:ascii="宋体" w:hAnsi="宋体" w:eastAsia="宋体" w:cs="Arial"/>
                <w:b/>
                <w:bCs/>
                <w:kern w:val="0"/>
                <w:sz w:val="32"/>
                <w:szCs w:val="32"/>
                <w:lang w:val="en-US" w:eastAsia="zh-CN"/>
              </w:rPr>
              <w:t>项目收益与融资平衡方案财务咨询评估报告</w:t>
            </w:r>
          </w:p>
        </w:tc>
      </w:tr>
      <w:tr>
        <w:trPr>
          <w:trHeight w:val="547" w:hRule="atLeast"/>
        </w:trPr>
        <w:tc>
          <w:tcPr>
            <w:tcW w:w="6895" w:type="dxa"/>
            <w:noWrap w:val="0"/>
            <w:vAlign w:val="center"/>
          </w:tcPr>
          <w:p>
            <w:pPr>
              <w:widowControl/>
              <w:spacing w:line="360" w:lineRule="auto"/>
              <w:jc w:val="center"/>
              <w:rPr>
                <w:rFonts w:hint="eastAsia" w:ascii="宋体" w:hAnsi="宋体" w:eastAsia="宋体" w:cs="宋体"/>
                <w:b/>
                <w:bCs/>
                <w:kern w:val="0"/>
              </w:rPr>
            </w:pPr>
            <w:r>
              <w:rPr>
                <w:rFonts w:hint="eastAsia" w:ascii="宋体" w:hAnsi="宋体" w:eastAsia="宋体" w:cs="宋体"/>
                <w:b/>
                <w:bCs/>
                <w:kern w:val="0"/>
              </w:rPr>
              <w:t>大华咨字[202</w:t>
            </w:r>
            <w:r>
              <w:rPr>
                <w:rFonts w:hint="eastAsia" w:ascii="宋体" w:hAnsi="宋体" w:eastAsia="宋体" w:cs="宋体"/>
                <w:b/>
                <w:bCs/>
                <w:kern w:val="0"/>
                <w:lang w:val="en-US" w:eastAsia="zh-CN"/>
              </w:rPr>
              <w:t>3</w:t>
            </w:r>
            <w:r>
              <w:rPr>
                <w:rFonts w:hint="eastAsia" w:ascii="宋体" w:hAnsi="宋体" w:eastAsia="宋体" w:cs="宋体"/>
                <w:b/>
                <w:bCs/>
                <w:kern w:val="0"/>
              </w:rPr>
              <w:t>]</w:t>
            </w:r>
            <w:r>
              <w:rPr>
                <w:rFonts w:hint="eastAsia" w:ascii="宋体" w:hAnsi="宋体" w:cs="宋体"/>
                <w:b/>
                <w:bCs/>
                <w:kern w:val="0"/>
                <w:lang w:eastAsia="zh-CN"/>
              </w:rPr>
              <w:t>180</w:t>
            </w:r>
            <w:r>
              <w:rPr>
                <w:rFonts w:hint="eastAsia" w:ascii="宋体" w:hAnsi="宋体" w:cs="宋体"/>
                <w:b/>
                <w:bCs/>
                <w:kern w:val="0"/>
                <w:lang w:val="en-US" w:eastAsia="zh-CN"/>
              </w:rPr>
              <w:t>599</w:t>
            </w:r>
            <w:r>
              <w:rPr>
                <w:rFonts w:hint="eastAsia" w:ascii="宋体" w:hAnsi="宋体" w:eastAsia="宋体" w:cs="宋体"/>
                <w:b/>
                <w:bCs/>
                <w:kern w:val="0"/>
              </w:rPr>
              <w:t>号</w:t>
            </w:r>
          </w:p>
        </w:tc>
      </w:tr>
      <w:tr>
        <w:trPr>
          <w:trHeight w:val="547" w:hRule="atLeast"/>
        </w:trPr>
        <w:tc>
          <w:tcPr>
            <w:tcW w:w="6895" w:type="dxa"/>
            <w:noWrap w:val="0"/>
            <w:vAlign w:val="center"/>
          </w:tcPr>
          <w:p>
            <w:pPr>
              <w:widowControl/>
              <w:spacing w:line="360" w:lineRule="auto"/>
              <w:jc w:val="center"/>
              <w:rPr>
                <w:rFonts w:hint="eastAsia" w:ascii="宋体" w:hAnsi="宋体" w:eastAsia="宋体" w:cs="宋体"/>
                <w:b/>
                <w:bCs/>
                <w:kern w:val="0"/>
              </w:rPr>
            </w:pPr>
          </w:p>
        </w:tc>
      </w:tr>
    </w:tbl>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spacing w:line="360" w:lineRule="auto"/>
        <w:rPr>
          <w:rFonts w:hint="eastAsia" w:ascii="宋体" w:hAnsi="宋体" w:eastAsia="宋体" w:cs="宋体"/>
        </w:rPr>
      </w:pPr>
    </w:p>
    <w:p>
      <w:pPr>
        <w:pStyle w:val="21"/>
        <w:rPr>
          <w:rFonts w:hint="eastAsia"/>
        </w:rPr>
      </w:pPr>
    </w:p>
    <w:p>
      <w:pPr>
        <w:spacing w:line="360" w:lineRule="auto"/>
        <w:rPr>
          <w:rFonts w:hint="eastAsia" w:ascii="宋体" w:hAnsi="宋体" w:eastAsia="宋体" w:cs="宋体"/>
        </w:rPr>
      </w:pPr>
    </w:p>
    <w:p>
      <w:pPr>
        <w:snapToGrid w:val="0"/>
        <w:jc w:val="center"/>
        <w:rPr>
          <w:rFonts w:hint="eastAsia" w:ascii="宋体" w:hAnsi="宋体" w:eastAsia="宋体" w:cs="宋体"/>
          <w:b/>
          <w:spacing w:val="40"/>
          <w:sz w:val="30"/>
          <w:szCs w:val="30"/>
        </w:rPr>
      </w:pPr>
      <w:r>
        <w:rPr>
          <w:rFonts w:hint="eastAsia" w:ascii="宋体" w:hAnsi="宋体" w:eastAsia="宋体" w:cs="宋体"/>
          <w:b/>
          <w:spacing w:val="40"/>
          <w:sz w:val="30"/>
          <w:szCs w:val="30"/>
        </w:rPr>
        <w:t>大华会计师事务所(特殊普通合伙)山西分所</w:t>
      </w:r>
    </w:p>
    <w:p>
      <w:pPr>
        <w:snapToGrid w:val="0"/>
        <w:jc w:val="center"/>
        <w:rPr>
          <w:rFonts w:hint="eastAsia" w:ascii="宋体" w:hAnsi="宋体" w:eastAsia="宋体" w:cs="宋体"/>
          <w:spacing w:val="-8"/>
          <w:sz w:val="24"/>
        </w:rPr>
      </w:pPr>
    </w:p>
    <w:p>
      <w:pPr>
        <w:snapToGrid w:val="0"/>
        <w:jc w:val="center"/>
        <w:rPr>
          <w:rFonts w:hint="eastAsia" w:ascii="Times New Roman" w:hAnsi="Times New Roman" w:eastAsia="宋体" w:cs="Times New Roman"/>
          <w:spacing w:val="-8"/>
          <w:sz w:val="24"/>
        </w:rPr>
      </w:pPr>
      <w:r>
        <w:rPr>
          <w:rFonts w:hint="eastAsia" w:ascii="Times New Roman" w:hAnsi="Times New Roman" w:eastAsia="宋体" w:cs="Times New Roman"/>
          <w:spacing w:val="-8"/>
          <w:sz w:val="24"/>
        </w:rPr>
        <w:t>Da Hua Certified Public Accountants（Special General Partnership）Shanxi Branch</w:t>
      </w:r>
    </w:p>
    <w:p>
      <w:pPr>
        <w:snapToGrid w:val="0"/>
        <w:spacing w:line="360" w:lineRule="auto"/>
        <w:jc w:val="center"/>
        <w:rPr>
          <w:rFonts w:hint="eastAsia" w:ascii="宋体" w:hAnsi="宋体" w:eastAsia="宋体" w:cs="宋体"/>
          <w:b/>
          <w:bCs/>
          <w:kern w:val="0"/>
          <w:sz w:val="32"/>
          <w:szCs w:val="32"/>
        </w:rPr>
        <w:sectPr>
          <w:headerReference r:id="rId4" w:type="first"/>
          <w:footerReference r:id="rId6" w:type="first"/>
          <w:headerReference r:id="rId3" w:type="default"/>
          <w:footerReference r:id="rId5" w:type="default"/>
          <w:pgSz w:w="11906" w:h="16838"/>
          <w:pgMar w:top="1724" w:right="1797" w:bottom="1440" w:left="1797" w:header="851" w:footer="992" w:gutter="0"/>
          <w:pgBorders>
            <w:top w:val="none" w:sz="0" w:space="0"/>
            <w:left w:val="none" w:sz="0" w:space="0"/>
            <w:bottom w:val="none" w:sz="0" w:space="0"/>
            <w:right w:val="none" w:sz="0" w:space="0"/>
          </w:pgBorders>
          <w:pgNumType w:start="1"/>
          <w:cols w:space="720" w:num="1"/>
          <w:titlePg/>
          <w:docGrid w:linePitch="312" w:charSpace="0"/>
        </w:sectPr>
      </w:pPr>
    </w:p>
    <w:p>
      <w:pPr>
        <w:snapToGrid w:val="0"/>
        <w:spacing w:line="360" w:lineRule="auto"/>
        <w:jc w:val="center"/>
        <w:rPr>
          <w:rFonts w:hint="eastAsia" w:ascii="宋体" w:hAnsi="宋体" w:eastAsia="宋体" w:cs="宋体"/>
          <w:sz w:val="32"/>
          <w:szCs w:val="32"/>
          <w:lang w:val="en-US" w:eastAsia="zh-CN"/>
        </w:rPr>
      </w:pPr>
    </w:p>
    <w:p>
      <w:pPr>
        <w:pStyle w:val="21"/>
        <w:rPr>
          <w:rFonts w:hint="eastAsia" w:ascii="宋体" w:hAnsi="宋体" w:eastAsia="宋体" w:cs="宋体"/>
          <w:lang w:val="en-US" w:eastAsia="zh-CN"/>
        </w:rPr>
      </w:pPr>
    </w:p>
    <w:p>
      <w:pPr>
        <w:snapToGrid w:val="0"/>
        <w:spacing w:line="360" w:lineRule="auto"/>
        <w:jc w:val="center"/>
        <w:rPr>
          <w:rFonts w:hint="eastAsia" w:ascii="宋体" w:hAnsi="宋体" w:eastAsia="宋体" w:cs="宋体"/>
          <w:b/>
          <w:bCs/>
          <w:sz w:val="32"/>
          <w:szCs w:val="32"/>
        </w:rPr>
      </w:pPr>
      <w:r>
        <w:rPr>
          <w:rFonts w:hint="eastAsia" w:ascii="宋体" w:hAnsi="宋体" w:cs="宋体"/>
          <w:b/>
          <w:bCs/>
          <w:sz w:val="32"/>
          <w:szCs w:val="32"/>
          <w:lang w:eastAsia="zh-CN"/>
        </w:rPr>
        <w:t>2023年至2024年太原市杏花岭区康乐幼儿园（五一北路校区）新建项目</w:t>
      </w:r>
      <w:r>
        <w:rPr>
          <w:rFonts w:hint="eastAsia" w:ascii="宋体" w:hAnsi="宋体" w:eastAsia="宋体" w:cs="宋体"/>
          <w:b/>
          <w:bCs/>
          <w:sz w:val="32"/>
          <w:szCs w:val="32"/>
          <w:lang w:eastAsia="zh-CN"/>
        </w:rPr>
        <w:t>专项债券</w:t>
      </w:r>
      <w:r>
        <w:rPr>
          <w:rFonts w:hint="eastAsia" w:ascii="宋体" w:hAnsi="宋体" w:eastAsia="宋体" w:cs="宋体"/>
          <w:b/>
          <w:bCs/>
          <w:sz w:val="32"/>
          <w:szCs w:val="32"/>
        </w:rPr>
        <w:t>项目收益与融资平衡方案</w:t>
      </w:r>
    </w:p>
    <w:p>
      <w:pPr>
        <w:snapToGrid w:val="0"/>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lang w:val="en-US" w:eastAsia="zh-CN"/>
        </w:rPr>
        <w:t>财务咨询</w:t>
      </w:r>
      <w:r>
        <w:rPr>
          <w:rFonts w:hint="eastAsia" w:ascii="宋体" w:hAnsi="宋体" w:eastAsia="宋体" w:cs="宋体"/>
          <w:b/>
          <w:bCs/>
          <w:sz w:val="32"/>
          <w:szCs w:val="32"/>
        </w:rPr>
        <w:t>评</w:t>
      </w:r>
      <w:r>
        <w:rPr>
          <w:rFonts w:hint="eastAsia" w:ascii="宋体" w:hAnsi="宋体" w:eastAsia="宋体" w:cs="宋体"/>
          <w:b/>
          <w:bCs/>
          <w:sz w:val="32"/>
          <w:szCs w:val="32"/>
          <w:lang w:eastAsia="zh-CN"/>
        </w:rPr>
        <w:t>估</w:t>
      </w:r>
      <w:r>
        <w:rPr>
          <w:rFonts w:hint="eastAsia" w:ascii="宋体" w:hAnsi="宋体" w:eastAsia="宋体" w:cs="宋体"/>
          <w:b/>
          <w:bCs/>
          <w:sz w:val="32"/>
          <w:szCs w:val="32"/>
        </w:rPr>
        <w:t>报告</w:t>
      </w:r>
    </w:p>
    <w:p>
      <w:pPr>
        <w:autoSpaceDE w:val="0"/>
        <w:autoSpaceDN w:val="0"/>
        <w:adjustRightInd w:val="0"/>
        <w:snapToGrid w:val="0"/>
        <w:spacing w:line="360" w:lineRule="auto"/>
        <w:jc w:val="right"/>
        <w:rPr>
          <w:rFonts w:hint="eastAsia" w:ascii="宋体" w:hAnsi="宋体" w:eastAsia="宋体" w:cs="宋体"/>
          <w:b/>
          <w:sz w:val="24"/>
        </w:rPr>
      </w:pPr>
    </w:p>
    <w:p>
      <w:pPr>
        <w:adjustRightInd w:val="0"/>
        <w:snapToGrid w:val="0"/>
        <w:jc w:val="right"/>
        <w:rPr>
          <w:rFonts w:hint="eastAsia" w:ascii="宋体" w:hAnsi="宋体" w:eastAsia="宋体" w:cs="Arial"/>
          <w:b/>
          <w:szCs w:val="21"/>
        </w:rPr>
      </w:pPr>
      <w:r>
        <w:rPr>
          <w:rFonts w:hint="eastAsia" w:ascii="宋体" w:hAnsi="宋体" w:eastAsia="宋体" w:cs="Arial"/>
          <w:b/>
          <w:szCs w:val="21"/>
        </w:rPr>
        <w:t>大华</w:t>
      </w:r>
      <w:r>
        <w:rPr>
          <w:rFonts w:hint="eastAsia" w:ascii="宋体" w:hAnsi="宋体" w:eastAsia="宋体" w:cs="Arial"/>
          <w:b/>
          <w:szCs w:val="21"/>
          <w:lang w:val="en-US" w:eastAsia="zh-CN"/>
        </w:rPr>
        <w:t>咨</w:t>
      </w:r>
      <w:r>
        <w:rPr>
          <w:rFonts w:hint="eastAsia" w:ascii="宋体" w:hAnsi="宋体" w:eastAsia="宋体" w:cs="Arial"/>
          <w:b/>
          <w:szCs w:val="21"/>
        </w:rPr>
        <w:t>字[2023]</w:t>
      </w:r>
      <w:r>
        <w:rPr>
          <w:rFonts w:hint="eastAsia" w:ascii="宋体" w:hAnsi="宋体" w:cs="Arial"/>
          <w:b/>
          <w:color w:val="auto"/>
          <w:szCs w:val="21"/>
          <w:lang w:val="en-US" w:eastAsia="zh-CN"/>
        </w:rPr>
        <w:t>180599</w:t>
      </w:r>
      <w:r>
        <w:rPr>
          <w:rFonts w:hint="eastAsia" w:ascii="宋体" w:hAnsi="宋体" w:eastAsia="宋体" w:cs="Arial"/>
          <w:b/>
          <w:szCs w:val="21"/>
        </w:rPr>
        <w:t>号</w:t>
      </w:r>
    </w:p>
    <w:p>
      <w:pPr>
        <w:pStyle w:val="21"/>
        <w:rPr>
          <w:rFonts w:hint="eastAsia"/>
        </w:rPr>
      </w:pPr>
    </w:p>
    <w:p>
      <w:pPr>
        <w:snapToGrid w:val="0"/>
        <w:spacing w:line="360" w:lineRule="auto"/>
        <w:ind w:right="420" w:rightChars="200"/>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太原市杏花岭区教育局：</w:t>
      </w:r>
    </w:p>
    <w:p>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我们接受委托</w:t>
      </w:r>
      <w:r>
        <w:rPr>
          <w:rFonts w:hint="eastAsia" w:ascii="宋体" w:hAnsi="宋体" w:eastAsia="宋体" w:cs="宋体"/>
          <w:sz w:val="28"/>
          <w:szCs w:val="28"/>
          <w:lang w:eastAsia="zh-CN"/>
        </w:rPr>
        <w:t>，</w:t>
      </w:r>
      <w:r>
        <w:rPr>
          <w:rFonts w:hint="eastAsia" w:ascii="宋体" w:hAnsi="宋体" w:eastAsia="宋体" w:cs="宋体"/>
          <w:sz w:val="28"/>
          <w:szCs w:val="28"/>
        </w:rPr>
        <w:t>对</w:t>
      </w:r>
      <w:r>
        <w:rPr>
          <w:rFonts w:hint="eastAsia" w:ascii="宋体" w:hAnsi="宋体" w:cs="宋体"/>
          <w:sz w:val="28"/>
          <w:szCs w:val="28"/>
          <w:lang w:eastAsia="zh-CN"/>
        </w:rPr>
        <w:t>2023年至2024年太原市杏花岭区康乐幼儿园（五一北路校区）新建项目</w:t>
      </w:r>
      <w:r>
        <w:rPr>
          <w:rFonts w:hint="eastAsia" w:ascii="宋体" w:hAnsi="宋体" w:eastAsia="宋体" w:cs="宋体"/>
          <w:sz w:val="28"/>
          <w:szCs w:val="28"/>
        </w:rPr>
        <w:t>专项债券的收益与融资自求平衡情况进行评</w:t>
      </w:r>
      <w:r>
        <w:rPr>
          <w:rFonts w:hint="eastAsia" w:ascii="宋体" w:hAnsi="宋体" w:eastAsia="宋体" w:cs="宋体"/>
          <w:sz w:val="28"/>
          <w:szCs w:val="28"/>
          <w:lang w:eastAsia="zh-CN"/>
        </w:rPr>
        <w:t>估</w:t>
      </w:r>
      <w:r>
        <w:rPr>
          <w:rFonts w:hint="eastAsia" w:ascii="宋体" w:hAnsi="宋体" w:eastAsia="宋体" w:cs="宋体"/>
          <w:sz w:val="28"/>
          <w:szCs w:val="28"/>
        </w:rPr>
        <w:t>并出具专项评</w:t>
      </w:r>
      <w:r>
        <w:rPr>
          <w:rFonts w:hint="eastAsia" w:ascii="宋体" w:hAnsi="宋体" w:eastAsia="宋体" w:cs="宋体"/>
          <w:sz w:val="28"/>
          <w:szCs w:val="28"/>
          <w:lang w:eastAsia="zh-CN"/>
        </w:rPr>
        <w:t>估</w:t>
      </w:r>
      <w:r>
        <w:rPr>
          <w:rFonts w:hint="eastAsia" w:ascii="宋体" w:hAnsi="宋体" w:eastAsia="宋体" w:cs="宋体"/>
          <w:sz w:val="28"/>
          <w:szCs w:val="28"/>
        </w:rPr>
        <w:t>报告。相关单位对项目收益预测及其所依据的各项假设负责</w:t>
      </w:r>
      <w:r>
        <w:rPr>
          <w:rFonts w:hint="eastAsia" w:ascii="宋体" w:hAnsi="宋体" w:eastAsia="宋体" w:cs="宋体"/>
          <w:sz w:val="28"/>
          <w:szCs w:val="28"/>
          <w:lang w:eastAsia="zh-CN"/>
        </w:rPr>
        <w:t>，</w:t>
      </w:r>
      <w:r>
        <w:rPr>
          <w:rFonts w:hint="eastAsia" w:ascii="宋体" w:hAnsi="宋体" w:eastAsia="宋体" w:cs="宋体"/>
          <w:sz w:val="28"/>
          <w:szCs w:val="28"/>
        </w:rPr>
        <w:t>这些假设已在</w:t>
      </w:r>
      <w:r>
        <w:rPr>
          <w:rFonts w:hint="eastAsia" w:ascii="宋体" w:hAnsi="宋体" w:eastAsia="宋体" w:cs="宋体"/>
          <w:sz w:val="28"/>
          <w:szCs w:val="28"/>
          <w:lang w:val="en-US" w:eastAsia="zh-CN"/>
        </w:rPr>
        <w:t>后附的</w:t>
      </w:r>
      <w:r>
        <w:rPr>
          <w:rFonts w:hint="eastAsia" w:ascii="宋体" w:hAnsi="宋体" w:eastAsia="宋体" w:cs="宋体"/>
          <w:sz w:val="28"/>
          <w:szCs w:val="28"/>
        </w:rPr>
        <w:t>具体预测说明中披露。</w:t>
      </w:r>
      <w:r>
        <w:rPr>
          <w:rFonts w:hint="eastAsia" w:ascii="宋体" w:hAnsi="宋体" w:eastAsia="宋体" w:cs="宋体"/>
          <w:sz w:val="28"/>
          <w:szCs w:val="28"/>
          <w:highlight w:val="none"/>
        </w:rPr>
        <w:t>根据对支持这些</w:t>
      </w:r>
      <w:r>
        <w:rPr>
          <w:rFonts w:hint="eastAsia" w:ascii="宋体" w:hAnsi="宋体" w:eastAsia="宋体" w:cs="宋体"/>
          <w:sz w:val="28"/>
          <w:szCs w:val="28"/>
        </w:rPr>
        <w:t>假设证据的</w:t>
      </w:r>
      <w:r>
        <w:rPr>
          <w:rFonts w:hint="eastAsia" w:ascii="宋体" w:hAnsi="宋体" w:eastAsia="宋体" w:cs="宋体"/>
          <w:color w:val="auto"/>
          <w:sz w:val="28"/>
          <w:szCs w:val="28"/>
          <w:lang w:val="en-US" w:eastAsia="zh-CN"/>
        </w:rPr>
        <w:t>评估</w:t>
      </w:r>
      <w:r>
        <w:rPr>
          <w:rFonts w:hint="eastAsia" w:ascii="宋体" w:hAnsi="宋体" w:eastAsia="宋体" w:cs="宋体"/>
          <w:sz w:val="28"/>
          <w:szCs w:val="28"/>
        </w:rPr>
        <w:t>，我们没有注意到任何事项使我们认为这些假设没有为预测提供合理基础。我们认为，该项目收益预测是在这些假设的基础上恰当编制的，并按照项目收益及现金流入预测编制基础的规定进行了列报。</w:t>
      </w:r>
    </w:p>
    <w:p>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由于在编制融资与自求平衡测算方案中运用了一系列的假设，包括有关未来事项和推测性假设，而预期事项通常并非如预期那样发生，并且变动可能重大，实际结果可能与预测性财务信息存在差异。</w:t>
      </w:r>
    </w:p>
    <w:p>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经专项</w:t>
      </w:r>
      <w:r>
        <w:rPr>
          <w:rFonts w:hint="eastAsia" w:ascii="宋体" w:hAnsi="宋体" w:eastAsia="宋体" w:cs="宋体"/>
          <w:color w:val="auto"/>
          <w:sz w:val="28"/>
          <w:szCs w:val="28"/>
          <w:lang w:eastAsia="zh-CN"/>
        </w:rPr>
        <w:t>评估</w:t>
      </w:r>
      <w:r>
        <w:rPr>
          <w:rFonts w:hint="eastAsia" w:ascii="宋体" w:hAnsi="宋体" w:eastAsia="宋体" w:cs="宋体"/>
          <w:sz w:val="28"/>
          <w:szCs w:val="28"/>
        </w:rPr>
        <w:t>，我们认为：在相关单位对</w:t>
      </w:r>
      <w:r>
        <w:rPr>
          <w:rFonts w:hint="eastAsia" w:ascii="宋体" w:hAnsi="宋体" w:cs="宋体"/>
          <w:sz w:val="28"/>
          <w:szCs w:val="28"/>
          <w:lang w:eastAsia="zh-CN"/>
        </w:rPr>
        <w:t>2023年至2024年太原市杏花岭区康乐幼儿园（五一北路校区）新建项目</w:t>
      </w:r>
      <w:r>
        <w:rPr>
          <w:rFonts w:hint="eastAsia" w:ascii="宋体" w:hAnsi="宋体" w:eastAsia="宋体" w:cs="宋体"/>
          <w:sz w:val="28"/>
          <w:szCs w:val="28"/>
        </w:rPr>
        <w:t>专项债券收益预测及其所依据的各项假设前提下，本次评价的预期经营收入能够合理保障偿还融资本金和利息，实现项目收益和融资自求平衡。</w:t>
      </w:r>
    </w:p>
    <w:p>
      <w:pPr>
        <w:snapToGrid w:val="0"/>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我们的工作是基于基准日现行的经济、市场等情况而进行的。对于此报告中全部或部分分析结论所依据的各方提供的信息资料，我们假定其可信而未进行验证。我们对这些信息资料的准确性不做任何保证。</w:t>
      </w:r>
      <w:r>
        <w:rPr>
          <w:rFonts w:hint="eastAsia" w:ascii="宋体" w:hAnsi="宋体" w:eastAsia="宋体" w:cs="宋体"/>
          <w:color w:val="auto"/>
          <w:sz w:val="28"/>
          <w:szCs w:val="28"/>
          <w:lang w:eastAsia="zh-CN"/>
        </w:rPr>
        <w:t>本报告出具于2023年</w:t>
      </w:r>
      <w:r>
        <w:rPr>
          <w:rFonts w:hint="eastAsia" w:ascii="宋体" w:hAnsi="宋体" w:cs="宋体"/>
          <w:color w:val="auto"/>
          <w:sz w:val="28"/>
          <w:szCs w:val="28"/>
          <w:lang w:val="en-US" w:eastAsia="zh-CN"/>
        </w:rPr>
        <w:t>11</w:t>
      </w:r>
      <w:r>
        <w:rPr>
          <w:rFonts w:hint="eastAsia" w:ascii="宋体" w:hAnsi="宋体" w:eastAsia="宋体" w:cs="宋体"/>
          <w:color w:val="auto"/>
          <w:sz w:val="28"/>
          <w:szCs w:val="28"/>
          <w:lang w:eastAsia="zh-CN"/>
        </w:rPr>
        <w:t>月</w:t>
      </w:r>
      <w:r>
        <w:rPr>
          <w:rFonts w:hint="eastAsia" w:ascii="宋体" w:hAnsi="宋体" w:eastAsia="宋体" w:cs="宋体"/>
          <w:sz w:val="28"/>
          <w:szCs w:val="28"/>
        </w:rPr>
        <w:t>，本报告未考虑发生在报告日以后的事项或情况，我们没有义务就这些事项或情况对本报告进行更新</w:t>
      </w:r>
      <w:r>
        <w:rPr>
          <w:rFonts w:hint="eastAsia" w:ascii="宋体" w:hAnsi="宋体" w:eastAsia="宋体" w:cs="宋体"/>
          <w:sz w:val="28"/>
          <w:szCs w:val="28"/>
          <w:lang w:eastAsia="zh-CN"/>
        </w:rPr>
        <w:t>。</w:t>
      </w:r>
    </w:p>
    <w:p>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本总体评价仅供发行人本次申请发行</w:t>
      </w:r>
      <w:r>
        <w:rPr>
          <w:rFonts w:hint="eastAsia" w:ascii="宋体" w:hAnsi="宋体" w:cs="宋体"/>
          <w:sz w:val="28"/>
          <w:szCs w:val="28"/>
          <w:lang w:eastAsia="zh-CN"/>
        </w:rPr>
        <w:t>2023年至2024年太原市杏花岭区康乐幼儿园（五一北路校区）新建项目</w:t>
      </w:r>
      <w:r>
        <w:rPr>
          <w:rFonts w:hint="eastAsia" w:ascii="宋体" w:hAnsi="宋体" w:eastAsia="宋体" w:cs="宋体"/>
          <w:sz w:val="28"/>
          <w:szCs w:val="28"/>
          <w:lang w:val="en-US" w:eastAsia="zh-CN"/>
        </w:rPr>
        <w:t>专项债券</w:t>
      </w:r>
      <w:r>
        <w:rPr>
          <w:rFonts w:hint="eastAsia" w:ascii="宋体" w:hAnsi="宋体" w:eastAsia="宋体" w:cs="宋体"/>
          <w:sz w:val="28"/>
          <w:szCs w:val="28"/>
        </w:rPr>
        <w:t>之目的使用，不得用作其他任何目的。我们同意将本总体评价作为发行人申请发行专项债券所必备的文件，随其他申报材料一起上报。</w:t>
      </w:r>
    </w:p>
    <w:p>
      <w:pPr>
        <w:snapToGrid w:val="0"/>
        <w:spacing w:line="360" w:lineRule="auto"/>
        <w:ind w:firstLine="560" w:firstLineChars="200"/>
        <w:rPr>
          <w:rFonts w:hint="eastAsia" w:ascii="宋体" w:hAnsi="宋体" w:eastAsia="宋体" w:cs="宋体"/>
          <w:sz w:val="28"/>
          <w:szCs w:val="28"/>
        </w:rPr>
      </w:pPr>
    </w:p>
    <w:p>
      <w:pPr>
        <w:snapToGrid w:val="0"/>
        <w:spacing w:line="360" w:lineRule="auto"/>
        <w:ind w:firstLine="560" w:firstLineChars="200"/>
        <w:rPr>
          <w:rFonts w:hint="eastAsia" w:ascii="宋体" w:hAnsi="宋体" w:eastAsia="宋体" w:cs="宋体"/>
          <w:sz w:val="28"/>
          <w:szCs w:val="28"/>
        </w:rPr>
      </w:pPr>
    </w:p>
    <w:p>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附件：项目收益与融资自求平衡预测说明</w:t>
      </w:r>
    </w:p>
    <w:p>
      <w:pPr>
        <w:rPr>
          <w:rFonts w:hint="eastAsia" w:ascii="宋体" w:hAnsi="宋体" w:eastAsia="宋体" w:cs="宋体"/>
          <w:b/>
          <w:bCs/>
          <w:sz w:val="28"/>
          <w:szCs w:val="28"/>
        </w:rPr>
      </w:pPr>
    </w:p>
    <w:p>
      <w:pPr>
        <w:rPr>
          <w:rFonts w:hint="eastAsia" w:ascii="宋体" w:hAnsi="宋体" w:eastAsia="宋体" w:cs="宋体"/>
          <w:b/>
          <w:bCs/>
          <w:sz w:val="28"/>
          <w:szCs w:val="28"/>
        </w:rPr>
      </w:pPr>
    </w:p>
    <w:p>
      <w:pPr>
        <w:rPr>
          <w:rFonts w:hint="eastAsia" w:ascii="宋体" w:hAnsi="宋体" w:eastAsia="宋体" w:cs="宋体"/>
          <w:b/>
          <w:bCs/>
          <w:sz w:val="28"/>
          <w:szCs w:val="28"/>
        </w:rPr>
      </w:pPr>
    </w:p>
    <w:p>
      <w:pPr>
        <w:rPr>
          <w:rFonts w:hint="eastAsia" w:ascii="宋体" w:hAnsi="宋体" w:eastAsia="宋体" w:cs="宋体"/>
          <w:b/>
          <w:bCs/>
          <w:sz w:val="28"/>
          <w:szCs w:val="28"/>
        </w:rPr>
      </w:pPr>
    </w:p>
    <w:p>
      <w:pPr>
        <w:rPr>
          <w:rFonts w:hint="eastAsia" w:ascii="宋体" w:hAnsi="宋体" w:eastAsia="宋体" w:cs="宋体"/>
          <w:kern w:val="0"/>
          <w:sz w:val="28"/>
          <w:szCs w:val="28"/>
        </w:rPr>
      </w:pPr>
    </w:p>
    <w:tbl>
      <w:tblPr>
        <w:tblStyle w:val="23"/>
        <w:tblW w:w="9719" w:type="dxa"/>
        <w:jc w:val="center"/>
        <w:tblLayout w:type="fixed"/>
        <w:tblCellMar>
          <w:top w:w="0" w:type="dxa"/>
          <w:left w:w="108" w:type="dxa"/>
          <w:bottom w:w="0" w:type="dxa"/>
          <w:right w:w="108" w:type="dxa"/>
        </w:tblCellMar>
      </w:tblPr>
      <w:tblGrid>
        <w:gridCol w:w="4203"/>
        <w:gridCol w:w="5516"/>
      </w:tblGrid>
      <w:tr>
        <w:trPr>
          <w:trHeight w:val="872" w:hRule="exact"/>
          <w:jc w:val="center"/>
        </w:trPr>
        <w:tc>
          <w:tcPr>
            <w:tcW w:w="4203" w:type="dxa"/>
            <w:noWrap w:val="0"/>
            <w:vAlign w:val="center"/>
          </w:tcPr>
          <w:p>
            <w:pPr>
              <w:rPr>
                <w:rFonts w:hint="eastAsia" w:ascii="宋体" w:hAnsi="宋体" w:eastAsia="宋体" w:cs="宋体"/>
                <w:kern w:val="0"/>
                <w:sz w:val="28"/>
                <w:szCs w:val="28"/>
              </w:rPr>
            </w:pPr>
          </w:p>
        </w:tc>
        <w:tc>
          <w:tcPr>
            <w:tcW w:w="5516" w:type="dxa"/>
            <w:noWrap w:val="0"/>
            <w:vAlign w:val="center"/>
          </w:tcPr>
          <w:p>
            <w:pPr>
              <w:pStyle w:val="2"/>
              <w:ind w:right="560" w:firstLine="280" w:firstLineChars="100"/>
              <w:rPr>
                <w:rFonts w:hint="eastAsia" w:ascii="宋体" w:hAnsi="宋体" w:eastAsia="宋体" w:cs="宋体"/>
              </w:rPr>
            </w:pPr>
            <w:r>
              <w:rPr>
                <w:rFonts w:hint="eastAsia" w:ascii="宋体" w:hAnsi="宋体" w:eastAsia="宋体" w:cs="宋体"/>
                <w:kern w:val="0"/>
                <w:sz w:val="28"/>
                <w:szCs w:val="28"/>
              </w:rPr>
              <w:t>大华会计师事务所(特殊普通合伙)</w:t>
            </w:r>
          </w:p>
        </w:tc>
      </w:tr>
      <w:tr>
        <w:trPr>
          <w:trHeight w:val="773" w:hRule="exact"/>
          <w:jc w:val="center"/>
        </w:trPr>
        <w:tc>
          <w:tcPr>
            <w:tcW w:w="4203" w:type="dxa"/>
            <w:noWrap w:val="0"/>
            <w:vAlign w:val="center"/>
          </w:tcPr>
          <w:p>
            <w:pPr>
              <w:widowControl/>
              <w:jc w:val="center"/>
              <w:rPr>
                <w:rFonts w:hint="eastAsia" w:ascii="宋体" w:hAnsi="宋体" w:eastAsia="宋体" w:cs="宋体"/>
                <w:kern w:val="0"/>
                <w:sz w:val="28"/>
                <w:szCs w:val="28"/>
              </w:rPr>
            </w:pPr>
          </w:p>
        </w:tc>
        <w:tc>
          <w:tcPr>
            <w:tcW w:w="5516" w:type="dxa"/>
            <w:noWrap w:val="0"/>
            <w:vAlign w:val="center"/>
          </w:tcPr>
          <w:p>
            <w:pPr>
              <w:widowControl/>
              <w:ind w:right="420" w:firstLine="1820" w:firstLineChars="650"/>
              <w:rPr>
                <w:rFonts w:hint="eastAsia" w:ascii="宋体" w:hAnsi="宋体" w:eastAsia="宋体" w:cs="宋体"/>
                <w:kern w:val="0"/>
                <w:sz w:val="28"/>
                <w:szCs w:val="28"/>
                <w:u w:val="single"/>
              </w:rPr>
            </w:pPr>
            <w:r>
              <w:rPr>
                <w:rFonts w:hint="eastAsia" w:ascii="宋体" w:hAnsi="宋体" w:eastAsia="宋体" w:cs="宋体"/>
                <w:kern w:val="0"/>
                <w:sz w:val="28"/>
                <w:szCs w:val="28"/>
              </w:rPr>
              <w:t>山西分所</w:t>
            </w:r>
          </w:p>
        </w:tc>
      </w:tr>
      <w:tr>
        <w:trPr>
          <w:trHeight w:val="379" w:hRule="exact"/>
          <w:jc w:val="center"/>
        </w:trPr>
        <w:tc>
          <w:tcPr>
            <w:tcW w:w="4203" w:type="dxa"/>
            <w:vMerge w:val="restart"/>
            <w:noWrap w:val="0"/>
            <w:vAlign w:val="center"/>
          </w:tcPr>
          <w:p>
            <w:pPr>
              <w:widowControl/>
              <w:rPr>
                <w:rFonts w:hint="eastAsia" w:ascii="宋体" w:hAnsi="宋体" w:eastAsia="宋体" w:cs="宋体"/>
                <w:kern w:val="0"/>
                <w:sz w:val="28"/>
                <w:szCs w:val="28"/>
              </w:rPr>
            </w:pPr>
          </w:p>
          <w:p>
            <w:pPr>
              <w:widowControl/>
              <w:jc w:val="center"/>
              <w:rPr>
                <w:rFonts w:hint="eastAsia" w:ascii="宋体" w:hAnsi="宋体" w:eastAsia="宋体" w:cs="宋体"/>
                <w:kern w:val="0"/>
                <w:sz w:val="28"/>
                <w:szCs w:val="28"/>
              </w:rPr>
            </w:pPr>
          </w:p>
        </w:tc>
        <w:tc>
          <w:tcPr>
            <w:tcW w:w="5516" w:type="dxa"/>
            <w:noWrap w:val="0"/>
            <w:vAlign w:val="center"/>
          </w:tcPr>
          <w:p>
            <w:pPr>
              <w:widowControl/>
              <w:jc w:val="left"/>
              <w:rPr>
                <w:rFonts w:hint="eastAsia" w:ascii="宋体" w:hAnsi="宋体" w:eastAsia="宋体" w:cs="宋体"/>
                <w:kern w:val="0"/>
                <w:sz w:val="28"/>
                <w:szCs w:val="28"/>
              </w:rPr>
            </w:pPr>
          </w:p>
        </w:tc>
      </w:tr>
      <w:tr>
        <w:trPr>
          <w:trHeight w:val="794" w:hRule="exact"/>
          <w:jc w:val="center"/>
        </w:trPr>
        <w:tc>
          <w:tcPr>
            <w:tcW w:w="4203" w:type="dxa"/>
            <w:vMerge w:val="continue"/>
            <w:noWrap w:val="0"/>
            <w:vAlign w:val="center"/>
          </w:tcPr>
          <w:p>
            <w:pPr>
              <w:widowControl/>
              <w:jc w:val="center"/>
              <w:rPr>
                <w:rFonts w:hint="eastAsia" w:ascii="宋体" w:hAnsi="宋体" w:eastAsia="宋体" w:cs="宋体"/>
                <w:kern w:val="0"/>
                <w:sz w:val="28"/>
                <w:szCs w:val="28"/>
              </w:rPr>
            </w:pPr>
          </w:p>
        </w:tc>
        <w:tc>
          <w:tcPr>
            <w:tcW w:w="5516" w:type="dxa"/>
            <w:noWrap w:val="0"/>
            <w:vAlign w:val="center"/>
          </w:tcPr>
          <w:p>
            <w:pPr>
              <w:widowControl/>
              <w:ind w:firstLine="1680" w:firstLineChars="600"/>
              <w:rPr>
                <w:rFonts w:hint="eastAsia" w:ascii="宋体" w:hAnsi="宋体" w:eastAsia="宋体" w:cs="宋体"/>
                <w:kern w:val="0"/>
                <w:sz w:val="28"/>
                <w:szCs w:val="28"/>
              </w:rPr>
            </w:pPr>
            <w:r>
              <w:rPr>
                <w:rFonts w:hint="eastAsia" w:ascii="宋体" w:hAnsi="宋体" w:eastAsia="宋体" w:cs="宋体"/>
                <w:sz w:val="28"/>
                <w:szCs w:val="28"/>
              </w:rPr>
              <w:t>中国</w:t>
            </w:r>
            <w:r>
              <w:rPr>
                <w:rFonts w:hint="eastAsia" w:ascii="宋体" w:hAnsi="宋体" w:eastAsia="宋体" w:cs="宋体"/>
                <w:b/>
                <w:sz w:val="28"/>
                <w:szCs w:val="28"/>
              </w:rPr>
              <w:t>·</w:t>
            </w:r>
            <w:r>
              <w:rPr>
                <w:rFonts w:hint="eastAsia" w:ascii="宋体" w:hAnsi="宋体" w:eastAsia="宋体" w:cs="宋体"/>
                <w:bCs/>
                <w:sz w:val="28"/>
                <w:szCs w:val="28"/>
              </w:rPr>
              <w:t xml:space="preserve">太原 </w:t>
            </w:r>
          </w:p>
          <w:p>
            <w:pPr>
              <w:widowControl/>
              <w:spacing w:before="100" w:beforeAutospacing="1"/>
              <w:ind w:firstLine="140" w:firstLineChars="50"/>
              <w:jc w:val="left"/>
              <w:rPr>
                <w:rFonts w:hint="eastAsia" w:ascii="宋体" w:hAnsi="宋体" w:eastAsia="宋体" w:cs="宋体"/>
                <w:kern w:val="0"/>
                <w:sz w:val="28"/>
                <w:szCs w:val="28"/>
              </w:rPr>
            </w:pPr>
          </w:p>
        </w:tc>
      </w:tr>
      <w:tr>
        <w:trPr>
          <w:trHeight w:val="563" w:hRule="exact"/>
          <w:jc w:val="center"/>
        </w:trPr>
        <w:tc>
          <w:tcPr>
            <w:tcW w:w="4203" w:type="dxa"/>
            <w:vMerge w:val="continue"/>
            <w:noWrap w:val="0"/>
            <w:vAlign w:val="center"/>
          </w:tcPr>
          <w:p>
            <w:pPr>
              <w:widowControl/>
              <w:jc w:val="center"/>
              <w:rPr>
                <w:rFonts w:hint="eastAsia" w:ascii="宋体" w:hAnsi="宋体" w:eastAsia="宋体" w:cs="宋体"/>
                <w:kern w:val="0"/>
                <w:sz w:val="28"/>
                <w:szCs w:val="28"/>
              </w:rPr>
            </w:pPr>
          </w:p>
        </w:tc>
        <w:tc>
          <w:tcPr>
            <w:tcW w:w="5516" w:type="dxa"/>
            <w:noWrap w:val="0"/>
            <w:vAlign w:val="center"/>
          </w:tcPr>
          <w:p>
            <w:pPr>
              <w:widowControl/>
              <w:ind w:firstLine="1120" w:firstLineChars="400"/>
              <w:rPr>
                <w:rFonts w:hint="eastAsia" w:ascii="宋体" w:hAnsi="宋体" w:eastAsia="宋体" w:cs="宋体"/>
                <w:kern w:val="0"/>
                <w:sz w:val="28"/>
                <w:szCs w:val="28"/>
              </w:rPr>
            </w:pPr>
            <w:r>
              <w:rPr>
                <w:rFonts w:hint="eastAsia" w:ascii="宋体" w:hAnsi="宋体" w:eastAsia="宋体" w:cs="宋体"/>
                <w:bCs/>
                <w:sz w:val="28"/>
                <w:szCs w:val="28"/>
              </w:rPr>
              <w:t>二〇二</w:t>
            </w:r>
            <w:r>
              <w:rPr>
                <w:rFonts w:hint="eastAsia" w:ascii="宋体" w:hAnsi="宋体" w:eastAsia="宋体" w:cs="宋体"/>
                <w:bCs/>
                <w:sz w:val="28"/>
                <w:szCs w:val="28"/>
                <w:lang w:val="en-US" w:eastAsia="zh-CN"/>
              </w:rPr>
              <w:t>三</w:t>
            </w:r>
            <w:r>
              <w:rPr>
                <w:rFonts w:hint="eastAsia" w:ascii="宋体" w:hAnsi="宋体" w:eastAsia="宋体" w:cs="宋体"/>
                <w:bCs/>
                <w:sz w:val="28"/>
                <w:szCs w:val="28"/>
              </w:rPr>
              <w:t>年</w:t>
            </w:r>
            <w:r>
              <w:rPr>
                <w:rFonts w:hint="eastAsia" w:ascii="宋体" w:hAnsi="宋体" w:cs="宋体"/>
                <w:bCs/>
                <w:sz w:val="28"/>
                <w:szCs w:val="28"/>
                <w:lang w:val="en-US" w:eastAsia="zh-CN"/>
              </w:rPr>
              <w:t>十一</w:t>
            </w:r>
            <w:r>
              <w:rPr>
                <w:rFonts w:hint="eastAsia" w:ascii="宋体" w:hAnsi="宋体" w:eastAsia="宋体" w:cs="宋体"/>
                <w:bCs/>
                <w:sz w:val="28"/>
                <w:szCs w:val="28"/>
                <w:highlight w:val="none"/>
              </w:rPr>
              <w:t>月</w:t>
            </w:r>
            <w:r>
              <w:rPr>
                <w:rFonts w:hint="eastAsia" w:ascii="宋体" w:hAnsi="宋体" w:cs="宋体"/>
                <w:bCs/>
                <w:sz w:val="28"/>
                <w:szCs w:val="28"/>
                <w:highlight w:val="none"/>
                <w:lang w:val="en-US" w:eastAsia="zh-CN"/>
              </w:rPr>
              <w:t>十四</w:t>
            </w:r>
            <w:r>
              <w:rPr>
                <w:rFonts w:hint="eastAsia" w:ascii="宋体" w:hAnsi="宋体" w:eastAsia="宋体" w:cs="宋体"/>
                <w:bCs/>
                <w:sz w:val="28"/>
                <w:szCs w:val="28"/>
                <w:highlight w:val="none"/>
              </w:rPr>
              <w:t>日</w:t>
            </w:r>
          </w:p>
        </w:tc>
      </w:tr>
    </w:tbl>
    <w:p>
      <w:pPr>
        <w:pStyle w:val="18"/>
        <w:jc w:val="both"/>
        <w:rPr>
          <w:rFonts w:hint="eastAsia" w:ascii="宋体" w:hAnsi="宋体" w:eastAsia="宋体" w:cs="宋体"/>
        </w:rPr>
        <w:sectPr>
          <w:headerReference r:id="rId8" w:type="first"/>
          <w:footerReference r:id="rId10" w:type="first"/>
          <w:headerReference r:id="rId7" w:type="default"/>
          <w:footerReference r:id="rId9" w:type="default"/>
          <w:pgSz w:w="11906" w:h="16838"/>
          <w:pgMar w:top="1724" w:right="1797" w:bottom="1440" w:left="1797" w:header="851" w:footer="992" w:gutter="0"/>
          <w:pgBorders>
            <w:top w:val="none" w:sz="0" w:space="0"/>
            <w:left w:val="none" w:sz="0" w:space="0"/>
            <w:bottom w:val="none" w:sz="0" w:space="0"/>
            <w:right w:val="none" w:sz="0" w:space="0"/>
          </w:pgBorders>
          <w:pgNumType w:start="1"/>
          <w:cols w:space="720" w:num="1"/>
          <w:titlePg/>
          <w:docGrid w:linePitch="312" w:charSpace="0"/>
        </w:sectPr>
      </w:pPr>
    </w:p>
    <w:p>
      <w:pPr>
        <w:pStyle w:val="18"/>
        <w:rPr>
          <w:rFonts w:hint="eastAsia" w:ascii="宋体" w:hAnsi="宋体" w:eastAsia="宋体" w:cs="宋体"/>
        </w:rPr>
      </w:pPr>
      <w:r>
        <w:rPr>
          <w:rFonts w:hint="eastAsia" w:ascii="宋体" w:hAnsi="宋体" w:eastAsia="宋体" w:cs="宋体"/>
        </w:rPr>
        <w:t>项目收益与融资自求平衡预测说明</w:t>
      </w:r>
    </w:p>
    <w:p>
      <w:pPr>
        <w:rPr>
          <w:rFonts w:hint="eastAsia" w:ascii="宋体" w:hAnsi="宋体" w:eastAsia="宋体" w:cs="宋体"/>
        </w:rPr>
      </w:pPr>
    </w:p>
    <w:p>
      <w:pPr>
        <w:pStyle w:val="12"/>
        <w:snapToGrid w:val="0"/>
        <w:spacing w:line="360" w:lineRule="auto"/>
        <w:ind w:firstLine="561" w:firstLineChars="200"/>
        <w:outlineLvl w:val="0"/>
        <w:rPr>
          <w:rFonts w:hint="eastAsia" w:ascii="宋体" w:hAnsi="宋体" w:eastAsia="宋体" w:cs="宋体"/>
          <w:b/>
          <w:bCs/>
          <w:sz w:val="28"/>
          <w:szCs w:val="28"/>
        </w:rPr>
      </w:pPr>
      <w:r>
        <w:rPr>
          <w:rFonts w:hint="eastAsia" w:ascii="宋体" w:hAnsi="宋体" w:eastAsia="宋体" w:cs="宋体"/>
          <w:b/>
          <w:bCs/>
          <w:sz w:val="28"/>
          <w:szCs w:val="28"/>
        </w:rPr>
        <w:t>一、项目概述</w:t>
      </w:r>
    </w:p>
    <w:p>
      <w:pPr>
        <w:snapToGrid w:val="0"/>
        <w:spacing w:line="360" w:lineRule="auto"/>
        <w:ind w:firstLine="560" w:firstLineChars="200"/>
        <w:rPr>
          <w:rFonts w:hint="default" w:ascii="宋体" w:hAnsi="宋体" w:eastAsia="宋体" w:cs="宋体"/>
          <w:sz w:val="28"/>
          <w:szCs w:val="28"/>
          <w:lang w:val="en-US" w:eastAsia="zh-CN"/>
        </w:rPr>
      </w:pPr>
      <w:r>
        <w:rPr>
          <w:rFonts w:hint="eastAsia" w:ascii="宋体" w:hAnsi="宋体" w:cs="宋体"/>
          <w:sz w:val="28"/>
          <w:szCs w:val="28"/>
          <w:lang w:val="en-US" w:eastAsia="zh-CN"/>
        </w:rPr>
        <w:t>项目实施单位：太原市杏花岭区教育局。</w:t>
      </w:r>
    </w:p>
    <w:p>
      <w:pPr>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建设地点：该项目位于杏花岭区，涧河路以南、五一北路以东、享堂街以北。</w:t>
      </w:r>
    </w:p>
    <w:p>
      <w:pPr>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项目总用地面积：15084.69平方米，总建筑面积21173.8平方米，其中：地上建筑面积15036.53平方米，地下建筑面积6137.27平方米。项目建设1幢地上3层地下1层的幼儿园综合楼，主要建设内容包括建筑物的土建装饰工程、结构工程、给排水消防工程、暖通工程、电气工程、智能化工程及室外各类管网、道路、广场硬化、绿化工程等基础设施配套工程。</w:t>
      </w:r>
    </w:p>
    <w:p>
      <w:pPr>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项目已完成立项、用地审批等前期手续，目前项目已开工，全部工程预计2024年9月完工。</w:t>
      </w:r>
    </w:p>
    <w:p>
      <w:pPr>
        <w:pStyle w:val="12"/>
        <w:snapToGrid w:val="0"/>
        <w:spacing w:line="360" w:lineRule="auto"/>
        <w:ind w:firstLine="561" w:firstLineChars="200"/>
        <w:outlineLvl w:val="0"/>
        <w:rPr>
          <w:rFonts w:hint="eastAsia" w:ascii="宋体" w:hAnsi="宋体" w:eastAsia="宋体" w:cs="宋体"/>
          <w:b/>
          <w:bCs/>
          <w:sz w:val="28"/>
          <w:szCs w:val="28"/>
        </w:rPr>
      </w:pPr>
      <w:r>
        <w:rPr>
          <w:rFonts w:hint="eastAsia" w:ascii="宋体" w:hAnsi="宋体" w:eastAsia="宋体" w:cs="宋体"/>
          <w:b/>
          <w:bCs/>
          <w:sz w:val="28"/>
          <w:szCs w:val="28"/>
        </w:rPr>
        <w:t>二、预测假设</w:t>
      </w:r>
    </w:p>
    <w:p>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（一）国家及地方现行的法律法规、监管、财政、经济状况或国家宏观调控政策无重大变化；</w:t>
      </w:r>
    </w:p>
    <w:p>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（二）国家现行的利率、汇率及通货膨胀水平等无重大变化；</w:t>
      </w:r>
    </w:p>
    <w:p>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（三）对发行人有影响的法律法规无重大变化；</w:t>
      </w:r>
    </w:p>
    <w:p>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（四）发行人制定的项目建设计划能够顺利执行；</w:t>
      </w:r>
    </w:p>
    <w:p>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（五）各运营项目价格在正常范围内变动；</w:t>
      </w:r>
    </w:p>
    <w:p>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（六）无其他人力不可抗拒及不可预见因素对发行人造成的重大不利影响。</w:t>
      </w:r>
    </w:p>
    <w:p>
      <w:pPr>
        <w:pStyle w:val="12"/>
        <w:snapToGrid w:val="0"/>
        <w:spacing w:line="360" w:lineRule="auto"/>
        <w:ind w:firstLine="561" w:firstLineChars="200"/>
        <w:outlineLvl w:val="0"/>
        <w:rPr>
          <w:rFonts w:hint="eastAsia" w:ascii="宋体" w:hAnsi="宋体" w:eastAsia="宋体" w:cs="宋体"/>
          <w:b/>
          <w:bCs/>
          <w:sz w:val="28"/>
          <w:szCs w:val="28"/>
        </w:rPr>
      </w:pPr>
      <w:r>
        <w:rPr>
          <w:rFonts w:hint="eastAsia" w:ascii="宋体" w:hAnsi="宋体" w:eastAsia="宋体" w:cs="宋体"/>
          <w:b/>
          <w:bCs/>
          <w:sz w:val="28"/>
          <w:szCs w:val="28"/>
        </w:rPr>
        <w:t>三、编制依据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（一）《中华人民共和国预算法》；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（二）国务院《关于加强地方政府性债务管理的意见》（国发[2014]43号）；</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sz w:val="28"/>
          <w:szCs w:val="28"/>
        </w:rPr>
        <w:t>（三）《政府性基金管理暂行办法》（财综[2010]80号）；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（四）财政部《关于对地方政府债务实行限额管理的实施意见》（财预[2015]225号）；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（五）《政府非税收入管理办法》（财税[2016]33号）；</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sz w:val="28"/>
          <w:szCs w:val="28"/>
        </w:rPr>
        <w:t>（六）财政部《关于试点发展项目收益与融资自求平衡的地方政府专项债券品种的通知》（财预[2017]89号）；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（七）财政部《关于印发&lt;地方政府债务信息公开办法（试行）&gt;的通知》（财预[2018]209号）；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（八）财政部《关于支持做好地方政府专项债券发行使用管理工作的通知》（财预[2018]161号）；</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8"/>
          <w:szCs w:val="28"/>
          <w:lang w:eastAsia="zh-Hans"/>
        </w:rPr>
      </w:pPr>
      <w:r>
        <w:rPr>
          <w:rFonts w:hint="eastAsia" w:ascii="宋体" w:hAnsi="宋体" w:eastAsia="宋体" w:cs="宋体"/>
          <w:kern w:val="0"/>
          <w:sz w:val="28"/>
          <w:szCs w:val="28"/>
        </w:rPr>
        <w:t>（九）《</w:t>
      </w:r>
      <w:r>
        <w:rPr>
          <w:rFonts w:hint="eastAsia" w:ascii="宋体" w:hAnsi="宋体" w:eastAsia="宋体" w:cs="宋体"/>
          <w:kern w:val="0"/>
          <w:sz w:val="28"/>
          <w:szCs w:val="28"/>
          <w:lang w:eastAsia="zh-Hans"/>
        </w:rPr>
        <w:t>地方政府债券发行管理办法》（财库[2020]43号）；</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eastAsia="zh-Hans"/>
        </w:rPr>
      </w:pPr>
      <w:r>
        <w:rPr>
          <w:rFonts w:hint="eastAsia" w:ascii="宋体" w:hAnsi="宋体" w:eastAsia="宋体" w:cs="宋体"/>
          <w:kern w:val="0"/>
          <w:sz w:val="28"/>
          <w:szCs w:val="28"/>
        </w:rPr>
        <w:t>（十）</w:t>
      </w:r>
      <w:r>
        <w:rPr>
          <w:rFonts w:hint="eastAsia" w:ascii="宋体" w:hAnsi="宋体" w:eastAsia="宋体" w:cs="宋体"/>
          <w:sz w:val="28"/>
          <w:szCs w:val="28"/>
          <w:lang w:eastAsia="zh-Hans"/>
        </w:rPr>
        <w:t>《关于进一步做好地方政府债券发行工作的意见》（财库[2020]36号</w:t>
      </w:r>
      <w:r>
        <w:rPr>
          <w:rFonts w:hint="eastAsia" w:ascii="宋体" w:hAnsi="宋体" w:eastAsia="宋体" w:cs="宋体"/>
          <w:kern w:val="0"/>
          <w:sz w:val="28"/>
          <w:szCs w:val="28"/>
          <w:lang w:eastAsia="zh-Hans"/>
        </w:rPr>
        <w:t>）</w:t>
      </w:r>
      <w:r>
        <w:rPr>
          <w:rFonts w:hint="eastAsia" w:ascii="宋体" w:hAnsi="宋体" w:eastAsia="宋体" w:cs="宋体"/>
          <w:sz w:val="28"/>
          <w:szCs w:val="28"/>
          <w:lang w:eastAsia="zh-Hans"/>
        </w:rPr>
        <w: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8"/>
          <w:szCs w:val="28"/>
          <w:lang w:eastAsia="zh-Hans"/>
        </w:rPr>
      </w:pPr>
      <w:r>
        <w:rPr>
          <w:rFonts w:hint="eastAsia" w:ascii="宋体" w:hAnsi="宋体" w:eastAsia="宋体" w:cs="宋体"/>
          <w:kern w:val="0"/>
          <w:sz w:val="28"/>
          <w:szCs w:val="28"/>
        </w:rPr>
        <w:t>（十</w:t>
      </w:r>
      <w:r>
        <w:rPr>
          <w:rFonts w:hint="eastAsia" w:ascii="宋体" w:hAnsi="宋体" w:eastAsia="宋体" w:cs="宋体"/>
          <w:kern w:val="0"/>
          <w:sz w:val="28"/>
          <w:szCs w:val="28"/>
          <w:lang w:val="en-US" w:eastAsia="zh-CN"/>
        </w:rPr>
        <w:t>一</w:t>
      </w:r>
      <w:r>
        <w:rPr>
          <w:rFonts w:hint="eastAsia" w:ascii="宋体" w:hAnsi="宋体" w:eastAsia="宋体" w:cs="宋体"/>
          <w:kern w:val="0"/>
          <w:sz w:val="28"/>
          <w:szCs w:val="28"/>
        </w:rPr>
        <w:t>）</w:t>
      </w:r>
      <w:r>
        <w:rPr>
          <w:rFonts w:hint="eastAsia" w:ascii="宋体" w:hAnsi="宋体" w:eastAsia="宋体" w:cs="宋体"/>
          <w:kern w:val="0"/>
          <w:sz w:val="28"/>
          <w:szCs w:val="28"/>
          <w:lang w:eastAsia="zh-Hans"/>
        </w:rPr>
        <w:t>《关于进一步规范政府专项债券发行前期工作的通知》（晋财债[2020]74号）；</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8"/>
          <w:szCs w:val="28"/>
          <w:lang w:eastAsia="zh-Hans"/>
        </w:rPr>
      </w:pPr>
      <w:r>
        <w:rPr>
          <w:rFonts w:hint="eastAsia" w:ascii="宋体" w:hAnsi="宋体" w:eastAsia="宋体" w:cs="宋体"/>
          <w:kern w:val="0"/>
          <w:sz w:val="28"/>
          <w:szCs w:val="28"/>
        </w:rPr>
        <w:t>（十</w:t>
      </w:r>
      <w:r>
        <w:rPr>
          <w:rFonts w:hint="eastAsia" w:ascii="宋体" w:hAnsi="宋体" w:eastAsia="宋体" w:cs="宋体"/>
          <w:kern w:val="0"/>
          <w:sz w:val="28"/>
          <w:szCs w:val="28"/>
          <w:lang w:val="en-US" w:eastAsia="zh-CN"/>
        </w:rPr>
        <w:t>二</w:t>
      </w:r>
      <w:r>
        <w:rPr>
          <w:rFonts w:hint="eastAsia" w:ascii="宋体" w:hAnsi="宋体" w:eastAsia="宋体" w:cs="宋体"/>
          <w:kern w:val="0"/>
          <w:sz w:val="28"/>
          <w:szCs w:val="28"/>
        </w:rPr>
        <w:t>）</w:t>
      </w:r>
      <w:r>
        <w:rPr>
          <w:rFonts w:hint="eastAsia" w:ascii="宋体" w:hAnsi="宋体" w:eastAsia="宋体" w:cs="宋体"/>
          <w:kern w:val="0"/>
          <w:sz w:val="28"/>
          <w:szCs w:val="28"/>
          <w:lang w:eastAsia="zh-Hans"/>
        </w:rPr>
        <w:t>山西省财政厅关于印发《政府专项债券项目资金绩效管理办法》的通知（晋财债[2021]38号）；</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8"/>
          <w:szCs w:val="28"/>
          <w:lang w:eastAsia="zh-CN"/>
        </w:rPr>
      </w:pPr>
      <w:r>
        <w:rPr>
          <w:rFonts w:hint="eastAsia" w:ascii="宋体" w:hAnsi="宋体" w:eastAsia="宋体" w:cs="宋体"/>
          <w:kern w:val="0"/>
          <w:sz w:val="28"/>
          <w:szCs w:val="28"/>
        </w:rPr>
        <w:t>（十</w:t>
      </w:r>
      <w:r>
        <w:rPr>
          <w:rFonts w:hint="eastAsia" w:ascii="宋体" w:hAnsi="宋体" w:eastAsia="宋体" w:cs="宋体"/>
          <w:kern w:val="0"/>
          <w:sz w:val="28"/>
          <w:szCs w:val="28"/>
          <w:lang w:val="en-US" w:eastAsia="zh-CN"/>
        </w:rPr>
        <w:t>三</w:t>
      </w:r>
      <w:r>
        <w:rPr>
          <w:rFonts w:hint="eastAsia" w:ascii="宋体" w:hAnsi="宋体" w:eastAsia="宋体" w:cs="宋体"/>
          <w:kern w:val="0"/>
          <w:sz w:val="28"/>
          <w:szCs w:val="28"/>
        </w:rPr>
        <w:t>）</w:t>
      </w:r>
      <w:r>
        <w:rPr>
          <w:rFonts w:hint="eastAsia" w:ascii="宋体" w:hAnsi="宋体" w:eastAsia="宋体" w:cs="宋体"/>
          <w:kern w:val="0"/>
          <w:sz w:val="28"/>
          <w:szCs w:val="28"/>
          <w:lang w:eastAsia="zh-Hans"/>
        </w:rPr>
        <w:t>山西省财政厅《关于加强政府专项债券项目支持工作的若干意见》（晋财债[2021]52号）</w:t>
      </w:r>
      <w:r>
        <w:rPr>
          <w:rFonts w:hint="eastAsia" w:ascii="宋体" w:hAnsi="宋体" w:eastAsia="宋体" w:cs="宋体"/>
          <w:kern w:val="0"/>
          <w:sz w:val="28"/>
          <w:szCs w:val="28"/>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8"/>
          <w:szCs w:val="28"/>
          <w:lang w:eastAsia="zh-CN"/>
        </w:rPr>
      </w:pPr>
      <w:r>
        <w:rPr>
          <w:rFonts w:hint="eastAsia" w:ascii="宋体" w:hAnsi="宋体" w:eastAsia="宋体" w:cs="宋体"/>
          <w:kern w:val="0"/>
          <w:sz w:val="28"/>
          <w:szCs w:val="28"/>
        </w:rPr>
        <w:t>（十</w:t>
      </w:r>
      <w:r>
        <w:rPr>
          <w:rFonts w:hint="eastAsia" w:ascii="宋体" w:hAnsi="宋体" w:eastAsia="宋体" w:cs="宋体"/>
          <w:kern w:val="0"/>
          <w:sz w:val="28"/>
          <w:szCs w:val="28"/>
          <w:lang w:val="en-US" w:eastAsia="zh-CN"/>
        </w:rPr>
        <w:t>四</w:t>
      </w:r>
      <w:r>
        <w:rPr>
          <w:rFonts w:hint="eastAsia" w:ascii="宋体" w:hAnsi="宋体" w:eastAsia="宋体" w:cs="宋体"/>
          <w:kern w:val="0"/>
          <w:sz w:val="28"/>
          <w:szCs w:val="28"/>
        </w:rPr>
        <w:t>）</w:t>
      </w:r>
      <w:r>
        <w:rPr>
          <w:rFonts w:hint="eastAsia" w:ascii="宋体" w:hAnsi="宋体" w:eastAsia="宋体" w:cs="宋体"/>
          <w:kern w:val="0"/>
          <w:sz w:val="28"/>
          <w:szCs w:val="28"/>
          <w:lang w:val="en-US" w:eastAsia="zh-CN"/>
        </w:rPr>
        <w:t>国家发展和改革委员会</w:t>
      </w:r>
      <w:r>
        <w:rPr>
          <w:rFonts w:hint="eastAsia" w:ascii="宋体" w:hAnsi="宋体" w:eastAsia="宋体" w:cs="宋体"/>
          <w:kern w:val="0"/>
          <w:sz w:val="28"/>
          <w:szCs w:val="28"/>
          <w:lang w:eastAsia="zh-Hans"/>
        </w:rPr>
        <w:t>《关于</w:t>
      </w:r>
      <w:r>
        <w:rPr>
          <w:rFonts w:hint="eastAsia" w:ascii="宋体" w:hAnsi="宋体" w:eastAsia="宋体" w:cs="宋体"/>
          <w:kern w:val="0"/>
          <w:sz w:val="28"/>
          <w:szCs w:val="28"/>
          <w:lang w:val="en-US" w:eastAsia="zh-CN"/>
        </w:rPr>
        <w:t>组织申报2023年地方政府专项债券项目的通知</w:t>
      </w:r>
      <w:r>
        <w:rPr>
          <w:rFonts w:hint="eastAsia" w:ascii="宋体" w:hAnsi="宋体" w:eastAsia="宋体" w:cs="宋体"/>
          <w:kern w:val="0"/>
          <w:sz w:val="28"/>
          <w:szCs w:val="28"/>
          <w:lang w:eastAsia="zh-Hans"/>
        </w:rPr>
        <w:t>》（</w:t>
      </w:r>
      <w:r>
        <w:rPr>
          <w:rFonts w:hint="eastAsia" w:ascii="宋体" w:hAnsi="宋体" w:eastAsia="宋体" w:cs="宋体"/>
          <w:kern w:val="0"/>
          <w:sz w:val="28"/>
          <w:szCs w:val="28"/>
          <w:lang w:val="en-US" w:eastAsia="zh-CN"/>
        </w:rPr>
        <w:t>发改办投资</w:t>
      </w:r>
      <w:r>
        <w:rPr>
          <w:rFonts w:hint="eastAsia" w:ascii="宋体" w:hAnsi="宋体" w:eastAsia="宋体" w:cs="宋体"/>
          <w:kern w:val="0"/>
          <w:sz w:val="28"/>
          <w:szCs w:val="28"/>
          <w:lang w:eastAsia="zh-Hans"/>
        </w:rPr>
        <w:t>[202</w:t>
      </w:r>
      <w:r>
        <w:rPr>
          <w:rFonts w:hint="eastAsia" w:ascii="宋体" w:hAnsi="宋体" w:eastAsia="宋体" w:cs="宋体"/>
          <w:kern w:val="0"/>
          <w:sz w:val="28"/>
          <w:szCs w:val="28"/>
          <w:lang w:val="en-US" w:eastAsia="zh-CN"/>
        </w:rPr>
        <w:t>2</w:t>
      </w:r>
      <w:r>
        <w:rPr>
          <w:rFonts w:hint="eastAsia" w:ascii="宋体" w:hAnsi="宋体" w:eastAsia="宋体" w:cs="宋体"/>
          <w:kern w:val="0"/>
          <w:sz w:val="28"/>
          <w:szCs w:val="28"/>
          <w:lang w:eastAsia="zh-Hans"/>
        </w:rPr>
        <w:t>]</w:t>
      </w:r>
      <w:r>
        <w:rPr>
          <w:rFonts w:hint="eastAsia" w:ascii="宋体" w:hAnsi="宋体" w:eastAsia="宋体" w:cs="宋体"/>
          <w:kern w:val="0"/>
          <w:sz w:val="28"/>
          <w:szCs w:val="28"/>
          <w:lang w:val="en-US" w:eastAsia="zh-CN"/>
        </w:rPr>
        <w:t>873</w:t>
      </w:r>
      <w:r>
        <w:rPr>
          <w:rFonts w:hint="eastAsia" w:ascii="宋体" w:hAnsi="宋体" w:eastAsia="宋体" w:cs="宋体"/>
          <w:kern w:val="0"/>
          <w:sz w:val="28"/>
          <w:szCs w:val="28"/>
          <w:lang w:eastAsia="zh-Hans"/>
        </w:rPr>
        <w:t>号）</w:t>
      </w:r>
      <w:r>
        <w:rPr>
          <w:rFonts w:hint="eastAsia" w:ascii="宋体" w:hAnsi="宋体" w:eastAsia="宋体" w:cs="宋体"/>
          <w:kern w:val="0"/>
          <w:sz w:val="28"/>
          <w:szCs w:val="28"/>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8"/>
          <w:szCs w:val="28"/>
          <w:lang w:eastAsia="zh-CN"/>
        </w:rPr>
      </w:pPr>
      <w:r>
        <w:rPr>
          <w:rFonts w:hint="eastAsia" w:ascii="宋体" w:hAnsi="宋体" w:eastAsia="宋体" w:cs="宋体"/>
          <w:kern w:val="0"/>
          <w:sz w:val="28"/>
          <w:szCs w:val="28"/>
          <w:lang w:eastAsia="zh-CN"/>
        </w:rPr>
        <w:t>（</w:t>
      </w:r>
      <w:r>
        <w:rPr>
          <w:rFonts w:hint="eastAsia" w:ascii="宋体" w:hAnsi="宋体" w:eastAsia="宋体" w:cs="宋体"/>
          <w:kern w:val="0"/>
          <w:sz w:val="28"/>
          <w:szCs w:val="28"/>
          <w:lang w:val="en-US" w:eastAsia="zh-CN"/>
        </w:rPr>
        <w:t>十五</w:t>
      </w:r>
      <w:r>
        <w:rPr>
          <w:rFonts w:hint="eastAsia" w:ascii="宋体" w:hAnsi="宋体" w:eastAsia="宋体" w:cs="宋体"/>
          <w:kern w:val="0"/>
          <w:sz w:val="28"/>
          <w:szCs w:val="28"/>
          <w:lang w:eastAsia="zh-CN"/>
        </w:rPr>
        <w:t>）《山西省发展和改革委员会关于做好2023年地方政府专项债券项目申报工作的通知》（晋发改投资发〔2022〕419号）；</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kern w:val="0"/>
          <w:sz w:val="28"/>
          <w:szCs w:val="28"/>
        </w:rPr>
        <w:t>（十</w:t>
      </w:r>
      <w:r>
        <w:rPr>
          <w:rFonts w:hint="eastAsia" w:ascii="宋体" w:hAnsi="宋体" w:eastAsia="宋体" w:cs="宋体"/>
          <w:kern w:val="0"/>
          <w:sz w:val="28"/>
          <w:szCs w:val="28"/>
          <w:lang w:val="en-US" w:eastAsia="zh-CN"/>
        </w:rPr>
        <w:t>六</w:t>
      </w:r>
      <w:r>
        <w:rPr>
          <w:rFonts w:hint="eastAsia" w:ascii="宋体" w:hAnsi="宋体" w:eastAsia="宋体" w:cs="宋体"/>
          <w:kern w:val="0"/>
          <w:sz w:val="28"/>
          <w:szCs w:val="28"/>
        </w:rPr>
        <w:t>）财政部、山西省财政厅关于地方政府债券的政策法规等相关文件。</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eastAsia="zh-CN"/>
        </w:rPr>
        <w:t>（</w:t>
      </w:r>
      <w:r>
        <w:rPr>
          <w:rFonts w:hint="eastAsia" w:ascii="宋体" w:hAnsi="宋体" w:eastAsia="宋体" w:cs="宋体"/>
          <w:kern w:val="0"/>
          <w:sz w:val="28"/>
          <w:szCs w:val="28"/>
          <w:lang w:val="en-US" w:eastAsia="zh-CN"/>
        </w:rPr>
        <w:t>十七）</w:t>
      </w:r>
      <w:r>
        <w:rPr>
          <w:rFonts w:hint="eastAsia" w:ascii="宋体" w:hAnsi="宋体" w:eastAsia="宋体" w:cs="宋体"/>
          <w:sz w:val="28"/>
          <w:szCs w:val="28"/>
        </w:rPr>
        <w:t>《</w:t>
      </w:r>
      <w:r>
        <w:rPr>
          <w:rFonts w:hint="eastAsia" w:cs="宋体"/>
          <w:sz w:val="28"/>
          <w:szCs w:val="28"/>
          <w:lang w:eastAsia="zh-CN"/>
        </w:rPr>
        <w:t>2023年至2024年太原市杏花岭区康乐幼儿园（五一北路校区）新建项目</w:t>
      </w:r>
      <w:r>
        <w:rPr>
          <w:rFonts w:hint="eastAsia" w:ascii="宋体" w:hAnsi="宋体" w:eastAsia="宋体" w:cs="宋体"/>
          <w:sz w:val="28"/>
          <w:szCs w:val="28"/>
        </w:rPr>
        <w:t>专项债券项目情况及资金平衡方案》</w:t>
      </w:r>
      <w:r>
        <w:rPr>
          <w:rFonts w:hint="eastAsia" w:cs="宋体"/>
          <w:sz w:val="28"/>
          <w:szCs w:val="28"/>
          <w:lang w:eastAsia="zh-CN"/>
        </w:rPr>
        <w:t>。</w:t>
      </w:r>
    </w:p>
    <w:p>
      <w:pPr>
        <w:pStyle w:val="12"/>
        <w:snapToGrid w:val="0"/>
        <w:spacing w:line="360" w:lineRule="auto"/>
        <w:ind w:firstLine="561" w:firstLineChars="200"/>
        <w:outlineLvl w:val="0"/>
        <w:rPr>
          <w:rFonts w:hint="eastAsia" w:ascii="宋体" w:hAnsi="宋体" w:eastAsia="宋体" w:cs="宋体"/>
          <w:b/>
          <w:sz w:val="28"/>
          <w:szCs w:val="28"/>
        </w:rPr>
      </w:pPr>
      <w:r>
        <w:rPr>
          <w:rFonts w:hint="eastAsia" w:ascii="宋体" w:hAnsi="宋体" w:eastAsia="宋体" w:cs="宋体"/>
          <w:b/>
          <w:bCs/>
          <w:sz w:val="28"/>
          <w:szCs w:val="28"/>
        </w:rPr>
        <w:t>四、</w:t>
      </w:r>
      <w:r>
        <w:rPr>
          <w:rFonts w:hint="eastAsia" w:ascii="宋体" w:hAnsi="宋体" w:eastAsia="宋体" w:cs="宋体"/>
          <w:b/>
          <w:sz w:val="28"/>
          <w:szCs w:val="28"/>
        </w:rPr>
        <w:t>投资估算及资金筹措方式</w:t>
      </w:r>
    </w:p>
    <w:p>
      <w:pPr>
        <w:tabs>
          <w:tab w:val="left" w:pos="196"/>
          <w:tab w:val="left" w:pos="426"/>
        </w:tabs>
        <w:adjustRightInd w:val="0"/>
        <w:snapToGrid w:val="0"/>
        <w:spacing w:line="360" w:lineRule="auto"/>
        <w:ind w:firstLine="560" w:firstLineChars="200"/>
        <w:jc w:val="left"/>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（一）项目投资估算</w:t>
      </w:r>
    </w:p>
    <w:p>
      <w:pPr>
        <w:tabs>
          <w:tab w:val="left" w:pos="196"/>
          <w:tab w:val="left" w:pos="426"/>
        </w:tabs>
        <w:adjustRightInd w:val="0"/>
        <w:snapToGrid w:val="0"/>
        <w:spacing w:line="360" w:lineRule="auto"/>
        <w:ind w:firstLine="560" w:firstLineChars="200"/>
        <w:jc w:val="both"/>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项目概算总投资29,901.09万元，经测算建设期利息调整总投资为30,065.55 万元，其中包含工程直接费用、其他费用、预备费及建设期债券利息等。</w:t>
      </w:r>
    </w:p>
    <w:p>
      <w:pPr>
        <w:tabs>
          <w:tab w:val="left" w:pos="196"/>
          <w:tab w:val="left" w:pos="426"/>
        </w:tabs>
        <w:adjustRightInd w:val="0"/>
        <w:snapToGrid w:val="0"/>
        <w:spacing w:line="360" w:lineRule="auto"/>
        <w:ind w:firstLine="560" w:firstLineChars="200"/>
        <w:jc w:val="left"/>
        <w:rPr>
          <w:rFonts w:hint="eastAsia" w:ascii="宋体" w:hAnsi="宋体" w:eastAsia="宋体" w:cs="宋体"/>
          <w:kern w:val="0"/>
          <w:sz w:val="28"/>
          <w:szCs w:val="28"/>
          <w:lang w:val="en-US" w:eastAsia="zh-CN" w:bidi="ar-SA"/>
        </w:rPr>
      </w:pPr>
      <w:r>
        <w:rPr>
          <w:rFonts w:hint="eastAsia" w:ascii="宋体" w:hAnsi="宋体" w:eastAsia="宋体" w:cs="宋体"/>
          <w:kern w:val="0"/>
          <w:sz w:val="28"/>
          <w:szCs w:val="28"/>
          <w:lang w:val="en-US" w:eastAsia="zh-CN" w:bidi="ar-SA"/>
        </w:rPr>
        <w:t>（二）融资来源及本次发行债券情况</w:t>
      </w:r>
    </w:p>
    <w:p>
      <w:pPr>
        <w:pStyle w:val="12"/>
        <w:snapToGrid w:val="0"/>
        <w:spacing w:before="120" w:beforeLines="50" w:line="360" w:lineRule="auto"/>
        <w:ind w:firstLine="560" w:firstLineChars="200"/>
        <w:outlineLvl w:val="0"/>
        <w:rPr>
          <w:rFonts w:hint="default" w:ascii="宋体" w:hAnsi="宋体" w:cs="宋体"/>
          <w:kern w:val="0"/>
          <w:sz w:val="28"/>
          <w:szCs w:val="28"/>
          <w:lang w:eastAsia="zh-CN" w:bidi="ar-SA"/>
        </w:rPr>
      </w:pPr>
      <w:r>
        <w:rPr>
          <w:rFonts w:hint="default" w:ascii="宋体" w:hAnsi="宋体" w:cs="宋体"/>
          <w:kern w:val="0"/>
          <w:sz w:val="28"/>
          <w:szCs w:val="28"/>
          <w:lang w:eastAsia="zh-CN" w:bidi="ar-SA"/>
        </w:rPr>
        <w:t>1、自有资金6,065.55 万元，由项目单位申请财政资金解决，资金按项目建设进度所需到位；</w:t>
      </w:r>
    </w:p>
    <w:p>
      <w:pPr>
        <w:pStyle w:val="12"/>
        <w:snapToGrid w:val="0"/>
        <w:spacing w:before="120" w:beforeLines="50" w:line="360" w:lineRule="auto"/>
        <w:ind w:firstLine="560" w:firstLineChars="200"/>
        <w:outlineLvl w:val="0"/>
        <w:rPr>
          <w:rFonts w:hint="default" w:ascii="宋体" w:hAnsi="宋体" w:cs="宋体"/>
          <w:kern w:val="0"/>
          <w:sz w:val="28"/>
          <w:szCs w:val="28"/>
          <w:lang w:eastAsia="zh-CN" w:bidi="ar-SA"/>
        </w:rPr>
      </w:pPr>
      <w:r>
        <w:rPr>
          <w:rFonts w:hint="eastAsia" w:hAnsi="宋体" w:cs="宋体"/>
          <w:kern w:val="0"/>
          <w:sz w:val="28"/>
          <w:szCs w:val="28"/>
          <w:lang w:val="en-US" w:eastAsia="zh-CN" w:bidi="ar-SA"/>
        </w:rPr>
        <w:t>2、</w:t>
      </w:r>
      <w:r>
        <w:rPr>
          <w:rFonts w:hint="default" w:ascii="宋体" w:hAnsi="宋体" w:cs="宋体"/>
          <w:kern w:val="0"/>
          <w:sz w:val="28"/>
          <w:szCs w:val="28"/>
          <w:lang w:eastAsia="zh-CN" w:bidi="ar-SA"/>
        </w:rPr>
        <w:t>资金缺口为24,000.00万元，拟通过地方政府专项债券解决，2023年已募投专项债券11,500.00万元，本批次拟募投1,680.00万元，以后批次拟募投 10,820.00 万元。</w:t>
      </w:r>
    </w:p>
    <w:p>
      <w:pPr>
        <w:pStyle w:val="12"/>
        <w:snapToGrid w:val="0"/>
        <w:spacing w:before="120" w:beforeLines="50" w:line="360" w:lineRule="auto"/>
        <w:ind w:firstLine="560" w:firstLineChars="200"/>
        <w:outlineLvl w:val="0"/>
        <w:rPr>
          <w:rFonts w:hint="default" w:ascii="宋体" w:hAnsi="宋体" w:cs="宋体"/>
          <w:kern w:val="0"/>
          <w:sz w:val="28"/>
          <w:szCs w:val="28"/>
          <w:lang w:eastAsia="zh-CN" w:bidi="ar-SA"/>
        </w:rPr>
      </w:pPr>
      <w:r>
        <w:rPr>
          <w:rFonts w:hint="default" w:ascii="宋体" w:hAnsi="宋体" w:cs="宋体"/>
          <w:kern w:val="0"/>
          <w:sz w:val="28"/>
          <w:szCs w:val="28"/>
          <w:lang w:eastAsia="zh-CN" w:bidi="ar-SA"/>
        </w:rPr>
        <w:t>3、资金使用计划</w:t>
      </w:r>
    </w:p>
    <w:p>
      <w:pPr>
        <w:pStyle w:val="12"/>
        <w:snapToGrid w:val="0"/>
        <w:spacing w:before="120" w:beforeLines="50" w:line="360" w:lineRule="auto"/>
        <w:ind w:firstLine="560" w:firstLineChars="200"/>
        <w:outlineLvl w:val="0"/>
        <w:rPr>
          <w:rFonts w:hint="eastAsia" w:hAnsi="宋体" w:cs="宋体"/>
          <w:kern w:val="0"/>
          <w:sz w:val="28"/>
          <w:szCs w:val="28"/>
          <w:lang w:eastAsia="zh-CN" w:bidi="ar-SA"/>
        </w:rPr>
      </w:pPr>
      <w:r>
        <w:rPr>
          <w:rFonts w:hint="default" w:ascii="宋体" w:hAnsi="宋体" w:cs="宋体"/>
          <w:kern w:val="0"/>
          <w:sz w:val="28"/>
          <w:szCs w:val="28"/>
          <w:lang w:eastAsia="zh-CN" w:bidi="ar-SA"/>
        </w:rPr>
        <w:t>项目总投资金额</w:t>
      </w:r>
      <w:r>
        <w:rPr>
          <w:rFonts w:hint="eastAsia" w:ascii="宋体" w:hAnsi="宋体" w:eastAsia="宋体" w:cs="宋体"/>
          <w:kern w:val="0"/>
          <w:sz w:val="28"/>
          <w:szCs w:val="28"/>
          <w:lang w:val="en-US" w:eastAsia="zh-CN" w:bidi="ar-SA"/>
        </w:rPr>
        <w:t>30,065.55</w:t>
      </w:r>
      <w:r>
        <w:rPr>
          <w:rFonts w:hint="default" w:ascii="宋体" w:hAnsi="宋体" w:cs="宋体"/>
          <w:kern w:val="0"/>
          <w:sz w:val="28"/>
          <w:szCs w:val="28"/>
          <w:lang w:eastAsia="zh-CN" w:bidi="ar-SA"/>
        </w:rPr>
        <w:t>万元，根据建设进度分年投入用于项目工程支出，计划如下</w:t>
      </w:r>
      <w:r>
        <w:rPr>
          <w:rFonts w:hint="eastAsia" w:hAnsi="宋体" w:cs="宋体"/>
          <w:kern w:val="0"/>
          <w:sz w:val="28"/>
          <w:szCs w:val="28"/>
          <w:lang w:eastAsia="zh-CN" w:bidi="ar-SA"/>
        </w:rPr>
        <w:t>：</w:t>
      </w:r>
    </w:p>
    <w:p>
      <w:pPr>
        <w:pStyle w:val="49"/>
        <w:widowControl w:val="0"/>
        <w:tabs>
          <w:tab w:val="left" w:pos="196"/>
          <w:tab w:val="left" w:pos="426"/>
        </w:tabs>
        <w:spacing w:line="360" w:lineRule="auto"/>
        <w:ind w:left="0" w:leftChars="0" w:firstLine="562" w:firstLineChars="200"/>
        <w:jc w:val="center"/>
        <w:rPr>
          <w:rFonts w:ascii="仿宋" w:hAnsi="仿宋" w:eastAsia="仿宋" w:cs="仿宋"/>
          <w:b/>
          <w:bCs/>
          <w:kern w:val="44"/>
          <w:sz w:val="28"/>
          <w:szCs w:val="28"/>
        </w:rPr>
      </w:pPr>
      <w:r>
        <w:rPr>
          <w:rFonts w:hint="eastAsia" w:ascii="仿宋" w:hAnsi="仿宋" w:eastAsia="仿宋" w:cs="仿宋"/>
          <w:b/>
          <w:bCs/>
          <w:kern w:val="44"/>
          <w:sz w:val="28"/>
          <w:szCs w:val="28"/>
        </w:rPr>
        <w:t>年</w:t>
      </w:r>
      <w:r>
        <w:rPr>
          <w:rFonts w:ascii="仿宋" w:hAnsi="仿宋" w:eastAsia="仿宋" w:cs="仿宋"/>
          <w:b/>
          <w:bCs/>
          <w:kern w:val="44"/>
          <w:sz w:val="28"/>
          <w:szCs w:val="28"/>
        </w:rPr>
        <w:t>度资金使用计划</w:t>
      </w:r>
    </w:p>
    <w:tbl>
      <w:tblPr>
        <w:tblStyle w:val="23"/>
        <w:tblW w:w="4998" w:type="pct"/>
        <w:jc w:val="center"/>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Layout w:type="autofit"/>
        <w:tblCellMar>
          <w:top w:w="15" w:type="dxa"/>
          <w:left w:w="15" w:type="dxa"/>
          <w:bottom w:w="15" w:type="dxa"/>
          <w:right w:w="15" w:type="dxa"/>
        </w:tblCellMar>
      </w:tblPr>
      <w:tblGrid>
        <w:gridCol w:w="4208"/>
        <w:gridCol w:w="1208"/>
        <w:gridCol w:w="1460"/>
        <w:gridCol w:w="1463"/>
      </w:tblGrid>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PrEx>
        <w:trPr>
          <w:trHeight w:val="90" w:hRule="atLeast"/>
          <w:tblHeader/>
          <w:jc w:val="center"/>
        </w:trPr>
        <w:tc>
          <w:tcPr>
            <w:tcW w:w="2523" w:type="pct"/>
            <w:tcBorders>
              <w:tl2br w:val="nil"/>
              <w:tr2bl w:val="nil"/>
            </w:tcBorders>
            <w:noWrap/>
            <w:vAlign w:val="center"/>
          </w:tcPr>
          <w:p>
            <w:pPr>
              <w:widowControl/>
              <w:jc w:val="center"/>
              <w:textAlignment w:val="center"/>
              <w:rPr>
                <w:rFonts w:cs="Arial Narrow" w:asciiTheme="minorEastAsia" w:hAnsiTheme="minorEastAsia" w:eastAsiaTheme="minorEastAsia"/>
                <w:b/>
                <w:bCs/>
                <w:color w:val="000000"/>
                <w:kern w:val="0"/>
                <w:sz w:val="20"/>
                <w:szCs w:val="20"/>
                <w:highlight w:val="none"/>
              </w:rPr>
            </w:pPr>
            <w:r>
              <w:rPr>
                <w:rFonts w:cs="Arial Narrow" w:asciiTheme="minorEastAsia" w:hAnsiTheme="minorEastAsia" w:eastAsiaTheme="minorEastAsia"/>
                <w:b/>
                <w:bCs/>
                <w:color w:val="000000"/>
                <w:kern w:val="0"/>
                <w:sz w:val="20"/>
                <w:szCs w:val="20"/>
                <w:highlight w:val="none"/>
              </w:rPr>
              <w:t>年份</w:t>
            </w:r>
          </w:p>
        </w:tc>
        <w:tc>
          <w:tcPr>
            <w:tcW w:w="724" w:type="pct"/>
            <w:tcBorders>
              <w:tl2br w:val="nil"/>
              <w:tr2bl w:val="nil"/>
            </w:tcBorders>
            <w:vAlign w:val="center"/>
          </w:tcPr>
          <w:p>
            <w:pPr>
              <w:keepNext w:val="0"/>
              <w:keepLines w:val="0"/>
              <w:widowControl/>
              <w:suppressLineNumbers w:val="0"/>
              <w:jc w:val="center"/>
              <w:textAlignment w:val="center"/>
              <w:rPr>
                <w:rFonts w:cs="Arial Narrow" w:asciiTheme="minorEastAsia" w:hAnsiTheme="minorEastAsia" w:eastAsiaTheme="minorEastAsia"/>
                <w:b/>
                <w:bCs/>
                <w:color w:val="000000"/>
                <w:kern w:val="0"/>
                <w:sz w:val="20"/>
                <w:szCs w:val="20"/>
                <w:highlight w:val="none"/>
              </w:rPr>
            </w:pPr>
            <w:r>
              <w:rPr>
                <w:rFonts w:hint="default" w:ascii="Arial Narrow" w:hAnsi="Arial Narrow" w:eastAsia="Arial Narrow" w:cs="Arial Narrow"/>
                <w:b/>
                <w:bCs/>
                <w:i w:val="0"/>
                <w:iCs w:val="0"/>
                <w:color w:val="000000"/>
                <w:kern w:val="0"/>
                <w:sz w:val="18"/>
                <w:szCs w:val="18"/>
                <w:highlight w:val="none"/>
                <w:u w:val="none"/>
                <w:lang w:val="en-US" w:eastAsia="zh-CN" w:bidi="ar"/>
              </w:rPr>
              <w:t>202</w:t>
            </w:r>
            <w:r>
              <w:rPr>
                <w:rFonts w:hint="eastAsia" w:ascii="Arial Narrow" w:hAnsi="Arial Narrow" w:eastAsia="Arial Narrow" w:cs="Arial Narrow"/>
                <w:b/>
                <w:bCs/>
                <w:i w:val="0"/>
                <w:iCs w:val="0"/>
                <w:color w:val="000000"/>
                <w:kern w:val="0"/>
                <w:sz w:val="18"/>
                <w:szCs w:val="18"/>
                <w:highlight w:val="none"/>
                <w:u w:val="none"/>
                <w:lang w:val="en-US" w:eastAsia="zh-CN" w:bidi="ar"/>
              </w:rPr>
              <w:t>3</w:t>
            </w:r>
            <w:r>
              <w:rPr>
                <w:rFonts w:hint="eastAsia" w:ascii="宋体" w:hAnsi="宋体" w:eastAsia="宋体" w:cs="宋体"/>
                <w:b/>
                <w:bCs/>
                <w:i w:val="0"/>
                <w:iCs w:val="0"/>
                <w:color w:val="000000"/>
                <w:kern w:val="0"/>
                <w:sz w:val="18"/>
                <w:szCs w:val="18"/>
                <w:highlight w:val="none"/>
                <w:u w:val="none"/>
                <w:lang w:val="en-US" w:eastAsia="zh-CN" w:bidi="ar"/>
              </w:rPr>
              <w:t>年</w:t>
            </w:r>
          </w:p>
        </w:tc>
        <w:tc>
          <w:tcPr>
            <w:tcW w:w="875" w:type="pct"/>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highlight w:val="none"/>
                <w:u w:val="none"/>
                <w:lang w:val="en-US" w:eastAsia="zh-CN" w:bidi="ar"/>
              </w:rPr>
            </w:pPr>
            <w:r>
              <w:rPr>
                <w:rFonts w:hint="default" w:ascii="Arial Narrow" w:hAnsi="Arial Narrow" w:eastAsia="Arial Narrow" w:cs="Arial Narrow"/>
                <w:b/>
                <w:bCs/>
                <w:i w:val="0"/>
                <w:iCs w:val="0"/>
                <w:color w:val="000000"/>
                <w:kern w:val="0"/>
                <w:sz w:val="18"/>
                <w:szCs w:val="18"/>
                <w:highlight w:val="none"/>
                <w:u w:val="none"/>
                <w:lang w:val="en-US" w:eastAsia="zh-CN" w:bidi="ar"/>
              </w:rPr>
              <w:t>202</w:t>
            </w:r>
            <w:r>
              <w:rPr>
                <w:rFonts w:hint="eastAsia" w:ascii="Arial Narrow" w:hAnsi="Arial Narrow" w:eastAsia="Arial Narrow" w:cs="Arial Narrow"/>
                <w:b/>
                <w:bCs/>
                <w:i w:val="0"/>
                <w:iCs w:val="0"/>
                <w:color w:val="000000"/>
                <w:kern w:val="0"/>
                <w:sz w:val="18"/>
                <w:szCs w:val="18"/>
                <w:highlight w:val="none"/>
                <w:u w:val="none"/>
                <w:lang w:val="en-US" w:eastAsia="zh-CN" w:bidi="ar"/>
              </w:rPr>
              <w:t>4</w:t>
            </w:r>
            <w:r>
              <w:rPr>
                <w:rFonts w:hint="eastAsia" w:ascii="宋体" w:hAnsi="宋体" w:eastAsia="宋体" w:cs="宋体"/>
                <w:b/>
                <w:bCs/>
                <w:i w:val="0"/>
                <w:iCs w:val="0"/>
                <w:color w:val="000000"/>
                <w:kern w:val="0"/>
                <w:sz w:val="18"/>
                <w:szCs w:val="18"/>
                <w:highlight w:val="none"/>
                <w:u w:val="none"/>
                <w:lang w:val="en-US" w:eastAsia="zh-CN" w:bidi="ar"/>
              </w:rPr>
              <w:t>年</w:t>
            </w:r>
          </w:p>
        </w:tc>
        <w:tc>
          <w:tcPr>
            <w:tcW w:w="877" w:type="pct"/>
            <w:tcBorders>
              <w:tl2br w:val="nil"/>
              <w:tr2bl w:val="nil"/>
            </w:tcBorders>
            <w:noWrap/>
            <w:vAlign w:val="center"/>
          </w:tcPr>
          <w:p>
            <w:pPr>
              <w:keepNext w:val="0"/>
              <w:keepLines w:val="0"/>
              <w:widowControl/>
              <w:suppressLineNumbers w:val="0"/>
              <w:jc w:val="center"/>
              <w:textAlignment w:val="center"/>
              <w:rPr>
                <w:rFonts w:cs="Arial Narrow" w:asciiTheme="minorEastAsia" w:hAnsiTheme="minorEastAsia" w:eastAsiaTheme="minorEastAsia"/>
                <w:b/>
                <w:bCs/>
                <w:color w:val="000000"/>
                <w:kern w:val="0"/>
                <w:sz w:val="20"/>
                <w:szCs w:val="20"/>
                <w:highlight w:val="none"/>
              </w:rPr>
            </w:pPr>
            <w:r>
              <w:rPr>
                <w:rFonts w:hint="eastAsia" w:ascii="宋体" w:hAnsi="宋体" w:eastAsia="宋体" w:cs="宋体"/>
                <w:b/>
                <w:i w:val="0"/>
                <w:color w:val="000000"/>
                <w:kern w:val="0"/>
                <w:sz w:val="20"/>
                <w:szCs w:val="20"/>
                <w:highlight w:val="none"/>
                <w:u w:val="none"/>
                <w:lang w:val="en-US" w:eastAsia="zh-CN" w:bidi="ar"/>
              </w:rPr>
              <w:t>合计</w:t>
            </w:r>
          </w:p>
        </w:tc>
      </w:tr>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PrEx>
        <w:trPr>
          <w:trHeight w:val="340" w:hRule="atLeast"/>
          <w:jc w:val="center"/>
        </w:trPr>
        <w:tc>
          <w:tcPr>
            <w:tcW w:w="2523" w:type="pct"/>
            <w:tcBorders>
              <w:tl2br w:val="nil"/>
              <w:tr2bl w:val="nil"/>
            </w:tcBorders>
            <w:noWrap/>
            <w:vAlign w:val="center"/>
          </w:tcPr>
          <w:p>
            <w:pPr>
              <w:widowControl/>
              <w:jc w:val="left"/>
              <w:textAlignment w:val="center"/>
              <w:rPr>
                <w:rFonts w:cs="Arial Narrow" w:asciiTheme="minorEastAsia" w:hAnsiTheme="minorEastAsia" w:eastAsiaTheme="minorEastAsia"/>
                <w:b/>
                <w:bCs/>
                <w:color w:val="000000"/>
                <w:kern w:val="0"/>
                <w:sz w:val="20"/>
                <w:szCs w:val="20"/>
                <w:highlight w:val="none"/>
              </w:rPr>
            </w:pPr>
            <w:r>
              <w:rPr>
                <w:rFonts w:cs="Arial Narrow" w:asciiTheme="minorEastAsia" w:hAnsiTheme="minorEastAsia" w:eastAsiaTheme="minorEastAsia"/>
                <w:b/>
                <w:bCs/>
                <w:color w:val="000000"/>
                <w:kern w:val="0"/>
                <w:sz w:val="20"/>
                <w:szCs w:val="20"/>
                <w:highlight w:val="none"/>
              </w:rPr>
              <w:t>投资金额（万元）</w:t>
            </w:r>
          </w:p>
        </w:tc>
        <w:tc>
          <w:tcPr>
            <w:tcW w:w="1207" w:type="dxa"/>
            <w:tcBorders>
              <w:tl2br w:val="nil"/>
              <w:tr2bl w:val="nil"/>
            </w:tcBorders>
            <w:vAlign w:val="center"/>
          </w:tcPr>
          <w:p>
            <w:pPr>
              <w:keepNext w:val="0"/>
              <w:keepLines w:val="0"/>
              <w:widowControl/>
              <w:suppressLineNumbers w:val="0"/>
              <w:jc w:val="right"/>
              <w:textAlignment w:val="center"/>
              <w:rPr>
                <w:rFonts w:hint="default" w:ascii="Arial Narrow" w:hAnsi="Arial Narrow" w:eastAsia="Arial Narrow" w:cs="Arial Narrow"/>
                <w:i w:val="0"/>
                <w:color w:val="000000"/>
                <w:kern w:val="0"/>
                <w:sz w:val="20"/>
                <w:szCs w:val="20"/>
                <w:highlight w:val="none"/>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13,274.80 </w:t>
            </w:r>
          </w:p>
        </w:tc>
        <w:tc>
          <w:tcPr>
            <w:tcW w:w="1459" w:type="dxa"/>
            <w:tcBorders>
              <w:tl2br w:val="nil"/>
              <w:tr2bl w:val="nil"/>
            </w:tcBorders>
            <w:noWrap/>
            <w:vAlign w:val="center"/>
          </w:tcPr>
          <w:p>
            <w:pPr>
              <w:keepNext w:val="0"/>
              <w:keepLines w:val="0"/>
              <w:widowControl/>
              <w:suppressLineNumbers w:val="0"/>
              <w:jc w:val="right"/>
              <w:textAlignment w:val="center"/>
              <w:rPr>
                <w:rFonts w:hint="default" w:ascii="Arial Narrow" w:hAnsi="Arial Narrow" w:eastAsia="Arial Narrow" w:cs="Arial Narrow"/>
                <w:i w:val="0"/>
                <w:color w:val="000000"/>
                <w:kern w:val="0"/>
                <w:sz w:val="20"/>
                <w:szCs w:val="20"/>
                <w:highlight w:val="none"/>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16,790.75 </w:t>
            </w:r>
          </w:p>
        </w:tc>
        <w:tc>
          <w:tcPr>
            <w:tcW w:w="1463" w:type="dxa"/>
            <w:tcBorders>
              <w:tl2br w:val="nil"/>
              <w:tr2bl w:val="nil"/>
            </w:tcBorders>
            <w:noWrap/>
            <w:vAlign w:val="center"/>
          </w:tcPr>
          <w:p>
            <w:pPr>
              <w:keepNext w:val="0"/>
              <w:keepLines w:val="0"/>
              <w:widowControl/>
              <w:suppressLineNumbers w:val="0"/>
              <w:jc w:val="right"/>
              <w:textAlignment w:val="center"/>
              <w:rPr>
                <w:rFonts w:hint="default" w:ascii="Arial Narrow" w:hAnsi="Arial Narrow" w:cs="宋体"/>
                <w:color w:val="000000"/>
                <w:sz w:val="20"/>
                <w:szCs w:val="20"/>
                <w:highlight w:val="none"/>
              </w:rPr>
            </w:pPr>
            <w:r>
              <w:rPr>
                <w:rFonts w:hint="default" w:ascii="Arial Narrow" w:hAnsi="Arial Narrow" w:eastAsia="Arial Narrow" w:cs="Arial Narrow"/>
                <w:i w:val="0"/>
                <w:iCs w:val="0"/>
                <w:color w:val="000000"/>
                <w:kern w:val="0"/>
                <w:sz w:val="20"/>
                <w:szCs w:val="20"/>
                <w:u w:val="none"/>
                <w:lang w:val="en-US" w:eastAsia="zh-CN" w:bidi="ar"/>
              </w:rPr>
              <w:t xml:space="preserve">30,065.55 </w:t>
            </w:r>
          </w:p>
        </w:tc>
      </w:tr>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PrEx>
        <w:trPr>
          <w:trHeight w:val="340" w:hRule="atLeast"/>
          <w:jc w:val="center"/>
        </w:trPr>
        <w:tc>
          <w:tcPr>
            <w:tcW w:w="2523" w:type="pct"/>
            <w:tcBorders>
              <w:tl2br w:val="nil"/>
              <w:tr2bl w:val="nil"/>
            </w:tcBorders>
            <w:noWrap/>
            <w:vAlign w:val="center"/>
          </w:tcPr>
          <w:p>
            <w:pPr>
              <w:widowControl/>
              <w:jc w:val="left"/>
              <w:textAlignment w:val="center"/>
              <w:rPr>
                <w:rFonts w:hint="eastAsia" w:cs="Arial Narrow" w:asciiTheme="minorEastAsia" w:hAnsiTheme="minorEastAsia" w:eastAsiaTheme="minorEastAsia"/>
                <w:b/>
                <w:bCs/>
                <w:color w:val="000000"/>
                <w:kern w:val="0"/>
                <w:sz w:val="20"/>
                <w:szCs w:val="20"/>
                <w:highlight w:val="none"/>
                <w:lang w:val="en-US" w:eastAsia="zh-CN"/>
              </w:rPr>
            </w:pPr>
            <w:r>
              <w:rPr>
                <w:rFonts w:hint="eastAsia" w:cs="Arial Narrow" w:asciiTheme="minorEastAsia" w:hAnsiTheme="minorEastAsia" w:eastAsiaTheme="minorEastAsia"/>
                <w:b/>
                <w:bCs/>
                <w:color w:val="000000"/>
                <w:kern w:val="0"/>
                <w:sz w:val="20"/>
                <w:szCs w:val="20"/>
                <w:highlight w:val="none"/>
              </w:rPr>
              <w:t>占总</w:t>
            </w:r>
            <w:r>
              <w:rPr>
                <w:rFonts w:cs="Arial Narrow" w:asciiTheme="minorEastAsia" w:hAnsiTheme="minorEastAsia" w:eastAsiaTheme="minorEastAsia"/>
                <w:b/>
                <w:bCs/>
                <w:color w:val="000000"/>
                <w:kern w:val="0"/>
                <w:sz w:val="20"/>
                <w:szCs w:val="20"/>
                <w:highlight w:val="none"/>
              </w:rPr>
              <w:t>投资比例</w:t>
            </w:r>
          </w:p>
        </w:tc>
        <w:tc>
          <w:tcPr>
            <w:tcW w:w="1207" w:type="dxa"/>
            <w:tcBorders>
              <w:tl2br w:val="nil"/>
              <w:tr2bl w:val="nil"/>
            </w:tcBorders>
            <w:vAlign w:val="center"/>
          </w:tcPr>
          <w:p>
            <w:pPr>
              <w:keepNext w:val="0"/>
              <w:keepLines w:val="0"/>
              <w:widowControl/>
              <w:suppressLineNumbers w:val="0"/>
              <w:jc w:val="right"/>
              <w:textAlignment w:val="center"/>
              <w:rPr>
                <w:rFonts w:hint="default" w:ascii="Arial Narrow" w:hAnsi="Arial Narrow" w:eastAsia="Arial Narrow" w:cs="Arial Narrow"/>
                <w:i w:val="0"/>
                <w:color w:val="000000"/>
                <w:kern w:val="0"/>
                <w:sz w:val="20"/>
                <w:szCs w:val="20"/>
                <w:highlight w:val="none"/>
                <w:u w:val="none"/>
                <w:lang w:val="en-US" w:eastAsia="zh-CN" w:bidi="ar"/>
              </w:rPr>
            </w:pPr>
            <w:r>
              <w:rPr>
                <w:rFonts w:hint="default" w:ascii="Arial Narrow" w:hAnsi="Arial Narrow" w:eastAsia="Arial Narrow" w:cs="Arial Narrow"/>
                <w:i w:val="0"/>
                <w:iCs w:val="0"/>
                <w:color w:val="000000"/>
                <w:kern w:val="0"/>
                <w:sz w:val="20"/>
                <w:szCs w:val="20"/>
                <w:u w:val="none"/>
                <w:lang w:val="en-US" w:eastAsia="zh-CN" w:bidi="ar"/>
              </w:rPr>
              <w:t>44.15%</w:t>
            </w:r>
          </w:p>
        </w:tc>
        <w:tc>
          <w:tcPr>
            <w:tcW w:w="1459" w:type="dxa"/>
            <w:tcBorders>
              <w:tl2br w:val="nil"/>
              <w:tr2bl w:val="nil"/>
            </w:tcBorders>
            <w:noWrap/>
            <w:vAlign w:val="center"/>
          </w:tcPr>
          <w:p>
            <w:pPr>
              <w:keepNext w:val="0"/>
              <w:keepLines w:val="0"/>
              <w:widowControl/>
              <w:suppressLineNumbers w:val="0"/>
              <w:jc w:val="right"/>
              <w:textAlignment w:val="center"/>
              <w:rPr>
                <w:rFonts w:hint="eastAsia" w:ascii="Arial Narrow" w:hAnsi="Arial Narrow" w:eastAsia="Arial Narrow" w:cs="Arial Narrow"/>
                <w:i w:val="0"/>
                <w:color w:val="000000"/>
                <w:kern w:val="0"/>
                <w:sz w:val="20"/>
                <w:szCs w:val="20"/>
                <w:highlight w:val="none"/>
                <w:u w:val="none"/>
                <w:lang w:val="en-US" w:eastAsia="zh-CN" w:bidi="ar"/>
              </w:rPr>
            </w:pPr>
            <w:r>
              <w:rPr>
                <w:rFonts w:hint="default" w:ascii="Arial Narrow" w:hAnsi="Arial Narrow" w:eastAsia="Arial Narrow" w:cs="Arial Narrow"/>
                <w:i w:val="0"/>
                <w:iCs w:val="0"/>
                <w:color w:val="000000"/>
                <w:kern w:val="0"/>
                <w:sz w:val="20"/>
                <w:szCs w:val="20"/>
                <w:u w:val="none"/>
                <w:lang w:val="en-US" w:eastAsia="zh-CN" w:bidi="ar"/>
              </w:rPr>
              <w:t>55.85%</w:t>
            </w:r>
          </w:p>
        </w:tc>
        <w:tc>
          <w:tcPr>
            <w:tcW w:w="1463" w:type="dxa"/>
            <w:tcBorders>
              <w:tl2br w:val="nil"/>
              <w:tr2bl w:val="nil"/>
            </w:tcBorders>
            <w:noWrap/>
            <w:vAlign w:val="center"/>
          </w:tcPr>
          <w:p>
            <w:pPr>
              <w:keepNext w:val="0"/>
              <w:keepLines w:val="0"/>
              <w:widowControl/>
              <w:suppressLineNumbers w:val="0"/>
              <w:jc w:val="right"/>
              <w:textAlignment w:val="center"/>
              <w:rPr>
                <w:rFonts w:ascii="Arial Narrow" w:hAnsi="Arial Narrow" w:cs="宋体"/>
                <w:color w:val="000000"/>
                <w:sz w:val="20"/>
                <w:szCs w:val="20"/>
                <w:highlight w:val="none"/>
              </w:rPr>
            </w:pPr>
            <w:r>
              <w:rPr>
                <w:rFonts w:hint="default" w:ascii="Arial Narrow" w:hAnsi="Arial Narrow" w:eastAsia="Arial Narrow" w:cs="Arial Narrow"/>
                <w:i w:val="0"/>
                <w:iCs w:val="0"/>
                <w:color w:val="000000"/>
                <w:kern w:val="0"/>
                <w:sz w:val="20"/>
                <w:szCs w:val="20"/>
                <w:u w:val="none"/>
                <w:lang w:val="en-US" w:eastAsia="zh-CN" w:bidi="ar"/>
              </w:rPr>
              <w:t>100.00%</w:t>
            </w:r>
          </w:p>
        </w:tc>
      </w:tr>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PrEx>
        <w:trPr>
          <w:trHeight w:val="340" w:hRule="atLeast"/>
          <w:jc w:val="center"/>
        </w:trPr>
        <w:tc>
          <w:tcPr>
            <w:tcW w:w="2523" w:type="pct"/>
            <w:tcBorders>
              <w:tl2br w:val="nil"/>
              <w:tr2bl w:val="nil"/>
            </w:tcBorders>
            <w:noWrap/>
            <w:vAlign w:val="center"/>
          </w:tcPr>
          <w:p>
            <w:pPr>
              <w:widowControl/>
              <w:jc w:val="left"/>
              <w:textAlignment w:val="center"/>
              <w:rPr>
                <w:rFonts w:cs="Arial Narrow" w:asciiTheme="minorEastAsia" w:hAnsiTheme="minorEastAsia" w:eastAsiaTheme="minorEastAsia"/>
                <w:b/>
                <w:bCs/>
                <w:color w:val="000000"/>
                <w:kern w:val="0"/>
                <w:sz w:val="20"/>
                <w:szCs w:val="20"/>
                <w:highlight w:val="none"/>
              </w:rPr>
            </w:pPr>
            <w:r>
              <w:rPr>
                <w:rFonts w:hint="eastAsia" w:cs="Arial Narrow" w:asciiTheme="minorEastAsia" w:hAnsiTheme="minorEastAsia" w:eastAsiaTheme="minorEastAsia"/>
                <w:b/>
                <w:bCs/>
                <w:color w:val="000000"/>
                <w:kern w:val="0"/>
                <w:sz w:val="20"/>
                <w:szCs w:val="20"/>
                <w:highlight w:val="none"/>
              </w:rPr>
              <w:t>项目对应债券资金</w:t>
            </w:r>
            <w:r>
              <w:rPr>
                <w:rFonts w:cs="Arial Narrow" w:asciiTheme="minorEastAsia" w:hAnsiTheme="minorEastAsia" w:eastAsiaTheme="minorEastAsia"/>
                <w:b/>
                <w:bCs/>
                <w:color w:val="000000"/>
                <w:kern w:val="0"/>
                <w:sz w:val="20"/>
                <w:szCs w:val="20"/>
                <w:highlight w:val="none"/>
              </w:rPr>
              <w:t>（万元）</w:t>
            </w:r>
          </w:p>
        </w:tc>
        <w:tc>
          <w:tcPr>
            <w:tcW w:w="1208" w:type="dxa"/>
            <w:tcBorders>
              <w:tl2br w:val="nil"/>
              <w:tr2bl w:val="nil"/>
            </w:tcBorders>
            <w:vAlign w:val="center"/>
          </w:tcPr>
          <w:p>
            <w:pPr>
              <w:keepNext w:val="0"/>
              <w:keepLines w:val="0"/>
              <w:widowControl/>
              <w:suppressLineNumbers w:val="0"/>
              <w:jc w:val="right"/>
              <w:textAlignment w:val="center"/>
              <w:rPr>
                <w:rFonts w:hint="default" w:ascii="Arial Narrow" w:hAnsi="Arial Narrow" w:eastAsia="Arial Narrow" w:cs="Arial Narrow"/>
                <w:i w:val="0"/>
                <w:color w:val="000000"/>
                <w:kern w:val="0"/>
                <w:sz w:val="20"/>
                <w:szCs w:val="20"/>
                <w:highlight w:val="none"/>
                <w:u w:val="none"/>
                <w:lang w:val="en-US"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13,180.00 </w:t>
            </w:r>
          </w:p>
        </w:tc>
        <w:tc>
          <w:tcPr>
            <w:tcW w:w="1460" w:type="dxa"/>
            <w:tcBorders>
              <w:tl2br w:val="nil"/>
              <w:tr2bl w:val="nil"/>
            </w:tcBorders>
            <w:noWrap/>
            <w:vAlign w:val="center"/>
          </w:tcPr>
          <w:p>
            <w:pPr>
              <w:keepNext w:val="0"/>
              <w:keepLines w:val="0"/>
              <w:widowControl/>
              <w:suppressLineNumbers w:val="0"/>
              <w:jc w:val="right"/>
              <w:textAlignment w:val="center"/>
              <w:rPr>
                <w:rFonts w:hint="default" w:ascii="Arial Narrow" w:hAnsi="Arial Narrow" w:eastAsia="Arial Narrow" w:cs="Arial Narrow"/>
                <w:i w:val="0"/>
                <w:color w:val="000000"/>
                <w:kern w:val="0"/>
                <w:sz w:val="20"/>
                <w:szCs w:val="20"/>
                <w:highlight w:val="none"/>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10,820.00 </w:t>
            </w:r>
          </w:p>
        </w:tc>
        <w:tc>
          <w:tcPr>
            <w:tcW w:w="1462" w:type="dxa"/>
            <w:tcBorders>
              <w:tl2br w:val="nil"/>
              <w:tr2bl w:val="nil"/>
            </w:tcBorders>
            <w:noWrap/>
            <w:vAlign w:val="center"/>
          </w:tcPr>
          <w:p>
            <w:pPr>
              <w:keepNext w:val="0"/>
              <w:keepLines w:val="0"/>
              <w:widowControl/>
              <w:suppressLineNumbers w:val="0"/>
              <w:jc w:val="right"/>
              <w:textAlignment w:val="center"/>
              <w:rPr>
                <w:rFonts w:ascii="Arial Narrow" w:hAnsi="Arial Narrow" w:cs="宋体"/>
                <w:color w:val="000000"/>
                <w:sz w:val="20"/>
                <w:szCs w:val="20"/>
                <w:highlight w:val="none"/>
              </w:rPr>
            </w:pPr>
            <w:r>
              <w:rPr>
                <w:rFonts w:hint="default" w:ascii="Arial Narrow" w:hAnsi="Arial Narrow" w:eastAsia="Arial Narrow" w:cs="Arial Narrow"/>
                <w:i w:val="0"/>
                <w:color w:val="000000"/>
                <w:kern w:val="0"/>
                <w:sz w:val="20"/>
                <w:szCs w:val="20"/>
                <w:highlight w:val="none"/>
                <w:u w:val="none"/>
                <w:lang w:val="en-US" w:eastAsia="zh-CN" w:bidi="ar"/>
              </w:rPr>
              <w:t>2</w:t>
            </w:r>
            <w:r>
              <w:rPr>
                <w:rFonts w:hint="eastAsia" w:ascii="Arial Narrow" w:hAnsi="Arial Narrow" w:eastAsia="Arial Narrow" w:cs="Arial Narrow"/>
                <w:i w:val="0"/>
                <w:color w:val="000000"/>
                <w:kern w:val="0"/>
                <w:sz w:val="20"/>
                <w:szCs w:val="20"/>
                <w:highlight w:val="none"/>
                <w:u w:val="none"/>
                <w:lang w:val="en-US" w:eastAsia="zh-CN" w:bidi="ar"/>
              </w:rPr>
              <w:t>4</w:t>
            </w:r>
            <w:r>
              <w:rPr>
                <w:rFonts w:hint="default" w:ascii="Arial Narrow" w:hAnsi="Arial Narrow" w:eastAsia="Arial Narrow" w:cs="Arial Narrow"/>
                <w:i w:val="0"/>
                <w:color w:val="000000"/>
                <w:kern w:val="0"/>
                <w:sz w:val="20"/>
                <w:szCs w:val="20"/>
                <w:highlight w:val="none"/>
                <w:u w:val="none"/>
                <w:lang w:val="en-US" w:eastAsia="zh-CN" w:bidi="ar"/>
              </w:rPr>
              <w:t>,</w:t>
            </w:r>
            <w:r>
              <w:rPr>
                <w:rFonts w:hint="eastAsia" w:ascii="Arial Narrow" w:hAnsi="Arial Narrow" w:eastAsia="Arial Narrow" w:cs="Arial Narrow"/>
                <w:i w:val="0"/>
                <w:color w:val="000000"/>
                <w:kern w:val="0"/>
                <w:sz w:val="20"/>
                <w:szCs w:val="20"/>
                <w:highlight w:val="none"/>
                <w:u w:val="none"/>
                <w:lang w:val="en-US" w:eastAsia="zh-CN" w:bidi="ar"/>
              </w:rPr>
              <w:t>0</w:t>
            </w:r>
            <w:r>
              <w:rPr>
                <w:rFonts w:hint="default" w:ascii="Arial Narrow" w:hAnsi="Arial Narrow" w:eastAsia="Arial Narrow" w:cs="Arial Narrow"/>
                <w:i w:val="0"/>
                <w:color w:val="000000"/>
                <w:kern w:val="0"/>
                <w:sz w:val="20"/>
                <w:szCs w:val="20"/>
                <w:highlight w:val="none"/>
                <w:u w:val="none"/>
                <w:lang w:val="en-US" w:eastAsia="zh-CN" w:bidi="ar"/>
              </w:rPr>
              <w:t>00.00</w:t>
            </w:r>
          </w:p>
        </w:tc>
      </w:tr>
      <w:tr>
        <w:tblPrEx>
          <w:tblBorders>
            <w:top w:val="single" w:color="000000" w:sz="12" w:space="0"/>
            <w:left w:val="none" w:color="auto" w:sz="0" w:space="0"/>
            <w:bottom w:val="single" w:color="000000" w:sz="12" w:space="0"/>
            <w:right w:val="none" w:color="auto" w:sz="0" w:space="0"/>
            <w:insideH w:val="dotted" w:color="000000" w:sz="4" w:space="0"/>
            <w:insideV w:val="dotted" w:color="000000" w:sz="4" w:space="0"/>
          </w:tblBorders>
        </w:tblPrEx>
        <w:trPr>
          <w:trHeight w:val="340" w:hRule="atLeast"/>
          <w:jc w:val="center"/>
        </w:trPr>
        <w:tc>
          <w:tcPr>
            <w:tcW w:w="2523" w:type="pct"/>
            <w:tcBorders>
              <w:tl2br w:val="nil"/>
              <w:tr2bl w:val="nil"/>
            </w:tcBorders>
            <w:noWrap/>
            <w:vAlign w:val="center"/>
          </w:tcPr>
          <w:p>
            <w:pPr>
              <w:widowControl/>
              <w:jc w:val="left"/>
              <w:textAlignment w:val="center"/>
              <w:rPr>
                <w:rFonts w:hint="default" w:cs="Arial Narrow" w:asciiTheme="minorEastAsia" w:hAnsiTheme="minorEastAsia" w:eastAsiaTheme="minorEastAsia"/>
                <w:b/>
                <w:bCs/>
                <w:color w:val="000000"/>
                <w:kern w:val="0"/>
                <w:sz w:val="20"/>
                <w:szCs w:val="20"/>
                <w:highlight w:val="none"/>
                <w:lang w:val="en-US" w:eastAsia="zh-CN"/>
              </w:rPr>
            </w:pPr>
            <w:r>
              <w:rPr>
                <w:rFonts w:hint="eastAsia" w:cs="Arial Narrow" w:asciiTheme="minorEastAsia" w:hAnsiTheme="minorEastAsia" w:eastAsiaTheme="minorEastAsia"/>
                <w:b/>
                <w:bCs/>
                <w:color w:val="000000"/>
                <w:kern w:val="0"/>
                <w:sz w:val="20"/>
                <w:szCs w:val="20"/>
                <w:highlight w:val="none"/>
              </w:rPr>
              <w:t>其中：</w:t>
            </w:r>
            <w:r>
              <w:rPr>
                <w:rFonts w:hint="eastAsia" w:cs="Arial Narrow" w:asciiTheme="minorEastAsia" w:hAnsiTheme="minorEastAsia" w:eastAsiaTheme="minorEastAsia"/>
                <w:b/>
                <w:bCs/>
                <w:color w:val="000000"/>
                <w:kern w:val="0"/>
                <w:sz w:val="20"/>
                <w:szCs w:val="20"/>
                <w:highlight w:val="none"/>
                <w:lang w:val="en-US" w:eastAsia="zh-CN"/>
              </w:rPr>
              <w:t>本批专项债券</w:t>
            </w:r>
          </w:p>
        </w:tc>
        <w:tc>
          <w:tcPr>
            <w:tcW w:w="1208" w:type="dxa"/>
            <w:tcBorders>
              <w:tl2br w:val="nil"/>
              <w:tr2bl w:val="nil"/>
            </w:tcBorders>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2"/>
                <w:sz w:val="20"/>
                <w:szCs w:val="20"/>
                <w:highlight w:val="none"/>
                <w:u w:val="none"/>
                <w:lang w:eastAsia="zh-CN" w:bidi="ar-SA"/>
              </w:rPr>
            </w:pPr>
            <w:r>
              <w:rPr>
                <w:rFonts w:hint="default" w:ascii="Arial Narrow" w:hAnsi="Arial Narrow" w:eastAsia="Arial Narrow" w:cs="Arial Narrow"/>
                <w:i w:val="0"/>
                <w:iCs w:val="0"/>
                <w:color w:val="000000"/>
                <w:kern w:val="0"/>
                <w:sz w:val="20"/>
                <w:szCs w:val="20"/>
                <w:u w:val="none"/>
                <w:lang w:val="en-US" w:eastAsia="zh-CN" w:bidi="ar"/>
              </w:rPr>
              <w:t xml:space="preserve"> 1,680.00 </w:t>
            </w:r>
          </w:p>
        </w:tc>
        <w:tc>
          <w:tcPr>
            <w:tcW w:w="1460" w:type="dxa"/>
            <w:tcBorders>
              <w:tl2br w:val="nil"/>
              <w:tr2bl w:val="nil"/>
            </w:tcBorders>
            <w:noWrap/>
            <w:vAlign w:val="center"/>
          </w:tcPr>
          <w:p>
            <w:pPr>
              <w:rPr>
                <w:rFonts w:hint="default" w:ascii="Arial Narrow" w:hAnsi="Arial Narrow" w:eastAsia="Arial Narrow" w:cs="Arial Narrow"/>
                <w:i w:val="0"/>
                <w:color w:val="000000"/>
                <w:kern w:val="0"/>
                <w:sz w:val="20"/>
                <w:szCs w:val="20"/>
                <w:highlight w:val="none"/>
                <w:u w:val="none"/>
                <w:lang w:val="en-US" w:eastAsia="zh-CN" w:bidi="ar"/>
              </w:rPr>
            </w:pPr>
          </w:p>
        </w:tc>
        <w:tc>
          <w:tcPr>
            <w:tcW w:w="1462" w:type="dxa"/>
            <w:tcBorders>
              <w:tl2br w:val="nil"/>
              <w:tr2bl w:val="nil"/>
            </w:tcBorders>
            <w:noWrap/>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2"/>
                <w:sz w:val="20"/>
                <w:szCs w:val="20"/>
                <w:highlight w:val="none"/>
                <w:u w:val="none"/>
                <w:lang w:eastAsia="zh-CN" w:bidi="ar-SA"/>
              </w:rPr>
            </w:pPr>
            <w:r>
              <w:rPr>
                <w:rFonts w:hint="default" w:ascii="Arial Narrow" w:hAnsi="Arial Narrow" w:eastAsia="Arial Narrow" w:cs="Arial Narrow"/>
                <w:i w:val="0"/>
                <w:iCs w:val="0"/>
                <w:color w:val="000000"/>
                <w:kern w:val="0"/>
                <w:sz w:val="20"/>
                <w:szCs w:val="20"/>
                <w:u w:val="none"/>
                <w:lang w:val="en-US" w:eastAsia="zh-CN" w:bidi="ar"/>
              </w:rPr>
              <w:t xml:space="preserve"> 1,680.00 </w:t>
            </w:r>
          </w:p>
        </w:tc>
      </w:tr>
    </w:tbl>
    <w:p>
      <w:pPr>
        <w:pStyle w:val="12"/>
        <w:snapToGrid w:val="0"/>
        <w:spacing w:before="120" w:beforeLines="50" w:line="360" w:lineRule="auto"/>
        <w:ind w:firstLine="561" w:firstLineChars="200"/>
        <w:outlineLvl w:val="0"/>
        <w:rPr>
          <w:rFonts w:hint="eastAsia" w:ascii="宋体" w:hAnsi="宋体" w:eastAsia="宋体" w:cs="宋体"/>
          <w:b/>
          <w:bCs/>
          <w:sz w:val="28"/>
          <w:szCs w:val="28"/>
        </w:rPr>
      </w:pPr>
      <w:r>
        <w:rPr>
          <w:rFonts w:hint="eastAsia" w:ascii="宋体" w:hAnsi="宋体" w:eastAsia="宋体" w:cs="宋体"/>
          <w:b/>
          <w:bCs/>
          <w:sz w:val="28"/>
          <w:szCs w:val="28"/>
        </w:rPr>
        <w:t>五、项目预期收益及融资平衡情况</w:t>
      </w:r>
    </w:p>
    <w:p>
      <w:pPr>
        <w:pStyle w:val="4"/>
        <w:pageBreakBefore w:val="0"/>
        <w:widowControl w:val="0"/>
        <w:kinsoku/>
        <w:wordWrap/>
        <w:overflowPunct/>
        <w:topLinePunct w:val="0"/>
        <w:autoSpaceDE/>
        <w:autoSpaceDN/>
        <w:bidi w:val="0"/>
        <w:spacing w:before="0" w:after="0" w:line="360" w:lineRule="auto"/>
        <w:ind w:firstLine="561" w:firstLineChars="200"/>
        <w:jc w:val="both"/>
        <w:textAlignment w:val="auto"/>
        <w:rPr>
          <w:rFonts w:hint="eastAsia" w:ascii="宋体" w:hAnsi="宋体" w:eastAsia="宋体" w:cs="宋体"/>
          <w:b/>
          <w:sz w:val="28"/>
          <w:szCs w:val="28"/>
        </w:rPr>
      </w:pPr>
      <w:bookmarkStart w:id="2" w:name="_Toc527053866"/>
      <w:r>
        <w:rPr>
          <w:rFonts w:hint="eastAsia" w:ascii="宋体" w:hAnsi="宋体" w:eastAsia="宋体" w:cs="宋体"/>
          <w:b/>
          <w:sz w:val="28"/>
          <w:szCs w:val="28"/>
        </w:rPr>
        <w:t>（一）项目收入</w:t>
      </w:r>
      <w:bookmarkEnd w:id="2"/>
    </w:p>
    <w:p>
      <w:pPr>
        <w:pStyle w:val="2"/>
        <w:keepNext w:val="0"/>
        <w:keepLines w:val="0"/>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kern w:val="2"/>
          <w:sz w:val="28"/>
          <w:szCs w:val="28"/>
          <w:lang w:val="en-US" w:eastAsia="zh-CN" w:bidi="ar-SA"/>
        </w:rPr>
      </w:pPr>
      <w:bookmarkStart w:id="3" w:name="_Toc527053868"/>
      <w:r>
        <w:rPr>
          <w:rFonts w:hint="eastAsia" w:ascii="宋体" w:hAnsi="宋体" w:eastAsia="宋体" w:cs="宋体"/>
          <w:kern w:val="2"/>
          <w:sz w:val="28"/>
          <w:szCs w:val="28"/>
          <w:lang w:val="en-US" w:eastAsia="zh-CN" w:bidi="ar-SA"/>
        </w:rPr>
        <w:t>项目主要收入为保教费收入、食宿午托收入、教育培训收入和申请财政补助收入，债券存续内预计可实现收入 47,925.01 万元。</w:t>
      </w:r>
    </w:p>
    <w:p>
      <w:pPr>
        <w:pStyle w:val="2"/>
        <w:keepNext w:val="0"/>
        <w:keepLines w:val="0"/>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太原市杏花岭区是一个人口较为稠密的区域，并且人口发展趋势正在缓慢增长，现有的幼儿园难以满足适龄儿童入园的需求，项目建成后将会带来很好的收益效果。根据太原市价格部门核定标准，康乐幼儿园建成后预计保教费每生每月500元，伙食费每生每天20元，幼儿园建成后最多可同时容纳810人，结合按照每年在校时间10个月测算，伙食费按每月在校20天测算，并且收入每年按照物价上涨合理递增；预计项目建成后，产生的教育培训收入按照保教收入的1.5倍估算；基于项目属于教育类民生项目，项目单位申请运营期间根据亏损情况进行专项补助。</w:t>
      </w:r>
    </w:p>
    <w:p>
      <w:pPr>
        <w:pStyle w:val="2"/>
        <w:keepNext w:val="0"/>
        <w:keepLines w:val="0"/>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债券存续期收入预测如下：</w:t>
      </w:r>
    </w:p>
    <w:p>
      <w:pPr>
        <w:widowControl/>
        <w:ind w:firstLine="560" w:firstLineChars="200"/>
        <w:jc w:val="center"/>
        <w:rPr>
          <w:rFonts w:hint="eastAsia" w:ascii="宋体" w:hAnsi="宋体" w:eastAsia="宋体" w:cs="宋体"/>
          <w:sz w:val="28"/>
          <w:szCs w:val="32"/>
          <w:highlight w:val="none"/>
        </w:rPr>
      </w:pPr>
      <w:r>
        <w:rPr>
          <w:rFonts w:hint="eastAsia" w:ascii="宋体" w:hAnsi="宋体" w:eastAsia="宋体" w:cs="宋体"/>
          <w:sz w:val="28"/>
          <w:szCs w:val="32"/>
          <w:highlight w:val="none"/>
        </w:rPr>
        <w:t>运营收入预测表</w:t>
      </w:r>
    </w:p>
    <w:p>
      <w:pPr>
        <w:ind w:firstLine="440" w:firstLineChars="200"/>
        <w:jc w:val="right"/>
        <w:rPr>
          <w:rFonts w:ascii="仿宋" w:hAnsi="仿宋" w:eastAsia="仿宋" w:cs="仿宋"/>
          <w:color w:val="000000"/>
          <w:kern w:val="0"/>
          <w:sz w:val="24"/>
        </w:rPr>
      </w:pPr>
      <w:r>
        <w:rPr>
          <w:rFonts w:hint="eastAsia" w:ascii="宋体" w:hAnsi="宋体" w:eastAsia="宋体" w:cs="宋体"/>
          <w:color w:val="000000"/>
          <w:kern w:val="0"/>
          <w:sz w:val="22"/>
          <w:szCs w:val="22"/>
          <w:lang w:val="en-US" w:eastAsia="zh-CN" w:bidi="ar-SA"/>
        </w:rPr>
        <w:t>单位：万元</w:t>
      </w:r>
    </w:p>
    <w:tbl>
      <w:tblPr>
        <w:tblStyle w:val="23"/>
        <w:tblW w:w="4998"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905"/>
        <w:gridCol w:w="1344"/>
        <w:gridCol w:w="1345"/>
        <w:gridCol w:w="1345"/>
        <w:gridCol w:w="1321"/>
        <w:gridCol w:w="1265"/>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tblHeader/>
          <w:jc w:val="center"/>
        </w:trPr>
        <w:tc>
          <w:tcPr>
            <w:tcW w:w="1117" w:type="pct"/>
            <w:tcBorders>
              <w:tl2br w:val="nil"/>
              <w:tr2bl w:val="nil"/>
            </w:tcBorders>
            <w:noWrap/>
            <w:vAlign w:val="center"/>
          </w:tcPr>
          <w:p>
            <w:pPr>
              <w:jc w:val="center"/>
              <w:rPr>
                <w:rFonts w:cs="宋体" w:asciiTheme="minorEastAsia" w:hAnsiTheme="minorEastAsia" w:eastAsiaTheme="minorEastAsia"/>
                <w:b/>
                <w:bCs/>
                <w:color w:val="000000"/>
                <w:sz w:val="20"/>
                <w:szCs w:val="20"/>
              </w:rPr>
            </w:pPr>
            <w:bookmarkStart w:id="4" w:name="RANGE!A2"/>
            <w:bookmarkStart w:id="5" w:name="_Hlk535497552"/>
            <w:r>
              <w:rPr>
                <w:rFonts w:hint="eastAsia" w:asciiTheme="minorEastAsia" w:hAnsiTheme="minorEastAsia" w:eastAsiaTheme="minorEastAsia"/>
                <w:b/>
                <w:bCs/>
                <w:color w:val="000000"/>
                <w:sz w:val="20"/>
                <w:szCs w:val="20"/>
              </w:rPr>
              <w:t>收入</w:t>
            </w:r>
            <w:bookmarkEnd w:id="4"/>
          </w:p>
        </w:tc>
        <w:tc>
          <w:tcPr>
            <w:tcW w:w="1343"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2024年</w:t>
            </w:r>
          </w:p>
        </w:tc>
        <w:tc>
          <w:tcPr>
            <w:tcW w:w="1344"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2025年</w:t>
            </w:r>
          </w:p>
        </w:tc>
        <w:tc>
          <w:tcPr>
            <w:tcW w:w="1344" w:type="dxa"/>
            <w:tcBorders>
              <w:tl2br w:val="nil"/>
              <w:tr2bl w:val="nil"/>
            </w:tcBorders>
            <w:noWrap/>
            <w:vAlign w:val="center"/>
          </w:tcPr>
          <w:p>
            <w:pPr>
              <w:keepNext w:val="0"/>
              <w:keepLines w:val="0"/>
              <w:widowControl/>
              <w:suppressLineNumbers w:val="0"/>
              <w:jc w:val="center"/>
              <w:textAlignment w:val="center"/>
              <w:rPr>
                <w:rFonts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2026年</w:t>
            </w:r>
          </w:p>
        </w:tc>
        <w:tc>
          <w:tcPr>
            <w:tcW w:w="1320" w:type="dxa"/>
            <w:tcBorders>
              <w:tl2br w:val="nil"/>
              <w:tr2bl w:val="nil"/>
            </w:tcBorders>
            <w:noWrap/>
            <w:vAlign w:val="center"/>
          </w:tcPr>
          <w:p>
            <w:pPr>
              <w:keepNext w:val="0"/>
              <w:keepLines w:val="0"/>
              <w:widowControl/>
              <w:suppressLineNumbers w:val="0"/>
              <w:jc w:val="center"/>
              <w:textAlignment w:val="center"/>
              <w:rPr>
                <w:rFonts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2027年</w:t>
            </w:r>
          </w:p>
        </w:tc>
        <w:tc>
          <w:tcPr>
            <w:tcW w:w="1264" w:type="dxa"/>
            <w:tcBorders>
              <w:tl2br w:val="nil"/>
              <w:tr2bl w:val="nil"/>
            </w:tcBorders>
            <w:noWrap/>
            <w:vAlign w:val="center"/>
          </w:tcPr>
          <w:p>
            <w:pPr>
              <w:keepNext w:val="0"/>
              <w:keepLines w:val="0"/>
              <w:widowControl/>
              <w:suppressLineNumbers w:val="0"/>
              <w:jc w:val="center"/>
              <w:textAlignment w:val="center"/>
              <w:rPr>
                <w:rFonts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2028年</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904" w:type="dxa"/>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保教费收入</w:t>
            </w:r>
          </w:p>
        </w:tc>
        <w:tc>
          <w:tcPr>
            <w:tcW w:w="134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78.75 </w:t>
            </w:r>
          </w:p>
        </w:tc>
        <w:tc>
          <w:tcPr>
            <w:tcW w:w="134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315.00 </w:t>
            </w:r>
          </w:p>
        </w:tc>
        <w:tc>
          <w:tcPr>
            <w:tcW w:w="134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346.50 </w:t>
            </w:r>
          </w:p>
        </w:tc>
        <w:tc>
          <w:tcPr>
            <w:tcW w:w="1320"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381.15 </w:t>
            </w:r>
          </w:p>
        </w:tc>
        <w:tc>
          <w:tcPr>
            <w:tcW w:w="126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419.27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904" w:type="dxa"/>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教育培训收入</w:t>
            </w:r>
          </w:p>
        </w:tc>
        <w:tc>
          <w:tcPr>
            <w:tcW w:w="134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118.13 </w:t>
            </w:r>
          </w:p>
        </w:tc>
        <w:tc>
          <w:tcPr>
            <w:tcW w:w="134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472.50 </w:t>
            </w:r>
          </w:p>
        </w:tc>
        <w:tc>
          <w:tcPr>
            <w:tcW w:w="134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519.75 </w:t>
            </w:r>
          </w:p>
        </w:tc>
        <w:tc>
          <w:tcPr>
            <w:tcW w:w="1320"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571.73 </w:t>
            </w:r>
          </w:p>
        </w:tc>
        <w:tc>
          <w:tcPr>
            <w:tcW w:w="126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628.91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904" w:type="dxa"/>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食宿午托收入</w:t>
            </w:r>
          </w:p>
        </w:tc>
        <w:tc>
          <w:tcPr>
            <w:tcW w:w="134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63.00 </w:t>
            </w:r>
          </w:p>
        </w:tc>
        <w:tc>
          <w:tcPr>
            <w:tcW w:w="134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252.00 </w:t>
            </w:r>
          </w:p>
        </w:tc>
        <w:tc>
          <w:tcPr>
            <w:tcW w:w="134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277.20 </w:t>
            </w:r>
          </w:p>
        </w:tc>
        <w:tc>
          <w:tcPr>
            <w:tcW w:w="1320"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304.92 </w:t>
            </w:r>
          </w:p>
        </w:tc>
        <w:tc>
          <w:tcPr>
            <w:tcW w:w="126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335.41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904" w:type="dxa"/>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Hans" w:bidi="ar"/>
              </w:rPr>
              <w:t>申请</w:t>
            </w:r>
            <w:r>
              <w:rPr>
                <w:rFonts w:hint="eastAsia" w:ascii="宋体" w:hAnsi="宋体" w:eastAsia="宋体" w:cs="宋体"/>
                <w:b/>
                <w:bCs/>
                <w:i w:val="0"/>
                <w:iCs w:val="0"/>
                <w:color w:val="000000"/>
                <w:kern w:val="0"/>
                <w:sz w:val="20"/>
                <w:szCs w:val="20"/>
                <w:u w:val="none"/>
                <w:lang w:val="en-US" w:eastAsia="zh-CN" w:bidi="ar"/>
              </w:rPr>
              <w:t>财政补助</w:t>
            </w:r>
          </w:p>
        </w:tc>
        <w:tc>
          <w:tcPr>
            <w:tcW w:w="134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312.50 </w:t>
            </w:r>
          </w:p>
        </w:tc>
        <w:tc>
          <w:tcPr>
            <w:tcW w:w="134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34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320"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26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904" w:type="dxa"/>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color w:val="000000"/>
                <w:sz w:val="20"/>
                <w:szCs w:val="20"/>
              </w:rPr>
            </w:pPr>
            <w:r>
              <w:rPr>
                <w:rFonts w:hint="eastAsia" w:ascii="宋体" w:hAnsi="宋体" w:eastAsia="宋体" w:cs="宋体"/>
                <w:b/>
                <w:bCs/>
                <w:i w:val="0"/>
                <w:iCs w:val="0"/>
                <w:color w:val="000000"/>
                <w:kern w:val="0"/>
                <w:sz w:val="20"/>
                <w:szCs w:val="20"/>
                <w:u w:val="none"/>
                <w:lang w:val="en-US" w:eastAsia="zh-CN" w:bidi="ar"/>
              </w:rPr>
              <w:t>合计</w:t>
            </w:r>
          </w:p>
        </w:tc>
        <w:tc>
          <w:tcPr>
            <w:tcW w:w="134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572.38 </w:t>
            </w:r>
          </w:p>
        </w:tc>
        <w:tc>
          <w:tcPr>
            <w:tcW w:w="134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2,289.50 </w:t>
            </w:r>
          </w:p>
        </w:tc>
        <w:tc>
          <w:tcPr>
            <w:tcW w:w="134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2,393.45 </w:t>
            </w:r>
          </w:p>
        </w:tc>
        <w:tc>
          <w:tcPr>
            <w:tcW w:w="1320"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2,507.80 </w:t>
            </w:r>
          </w:p>
        </w:tc>
        <w:tc>
          <w:tcPr>
            <w:tcW w:w="1264"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2,633.59 </w:t>
            </w:r>
          </w:p>
        </w:tc>
      </w:tr>
      <w:bookmarkEnd w:id="5"/>
    </w:tbl>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续：</w:t>
      </w:r>
    </w:p>
    <w:tbl>
      <w:tblPr>
        <w:tblStyle w:val="23"/>
        <w:tblW w:w="4997"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658"/>
        <w:gridCol w:w="1170"/>
        <w:gridCol w:w="1170"/>
        <w:gridCol w:w="1170"/>
        <w:gridCol w:w="1150"/>
        <w:gridCol w:w="1102"/>
        <w:gridCol w:w="1103"/>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tblHeader/>
          <w:jc w:val="center"/>
        </w:trPr>
        <w:tc>
          <w:tcPr>
            <w:tcW w:w="973" w:type="pct"/>
            <w:tcBorders>
              <w:tl2br w:val="nil"/>
              <w:tr2bl w:val="nil"/>
            </w:tcBorders>
            <w:noWrap/>
            <w:vAlign w:val="center"/>
          </w:tcPr>
          <w:p>
            <w:pPr>
              <w:jc w:val="center"/>
              <w:rPr>
                <w:rFonts w:cs="宋体" w:asciiTheme="minorEastAsia" w:hAnsiTheme="minorEastAsia" w:eastAsiaTheme="minorEastAsia"/>
                <w:b/>
                <w:bCs/>
                <w:color w:val="000000"/>
                <w:sz w:val="20"/>
                <w:szCs w:val="20"/>
              </w:rPr>
            </w:pPr>
            <w:r>
              <w:rPr>
                <w:rFonts w:hint="eastAsia" w:asciiTheme="minorEastAsia" w:hAnsiTheme="minorEastAsia" w:eastAsiaTheme="minorEastAsia"/>
                <w:b/>
                <w:bCs/>
                <w:color w:val="000000"/>
                <w:sz w:val="20"/>
                <w:szCs w:val="20"/>
              </w:rPr>
              <w:t>收入</w:t>
            </w:r>
          </w:p>
        </w:tc>
        <w:tc>
          <w:tcPr>
            <w:tcW w:w="1169"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2029年</w:t>
            </w:r>
          </w:p>
        </w:tc>
        <w:tc>
          <w:tcPr>
            <w:tcW w:w="1169"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2030年</w:t>
            </w:r>
          </w:p>
        </w:tc>
        <w:tc>
          <w:tcPr>
            <w:tcW w:w="1169" w:type="dxa"/>
            <w:tcBorders>
              <w:tl2br w:val="nil"/>
              <w:tr2bl w:val="nil"/>
            </w:tcBorders>
            <w:noWrap/>
            <w:vAlign w:val="center"/>
          </w:tcPr>
          <w:p>
            <w:pPr>
              <w:keepNext w:val="0"/>
              <w:keepLines w:val="0"/>
              <w:widowControl/>
              <w:suppressLineNumbers w:val="0"/>
              <w:jc w:val="center"/>
              <w:textAlignment w:val="center"/>
              <w:rPr>
                <w:rFonts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2031年</w:t>
            </w:r>
          </w:p>
        </w:tc>
        <w:tc>
          <w:tcPr>
            <w:tcW w:w="1149" w:type="dxa"/>
            <w:tcBorders>
              <w:tl2br w:val="nil"/>
              <w:tr2bl w:val="nil"/>
            </w:tcBorders>
            <w:noWrap/>
            <w:vAlign w:val="center"/>
          </w:tcPr>
          <w:p>
            <w:pPr>
              <w:keepNext w:val="0"/>
              <w:keepLines w:val="0"/>
              <w:widowControl/>
              <w:suppressLineNumbers w:val="0"/>
              <w:jc w:val="center"/>
              <w:textAlignment w:val="center"/>
              <w:rPr>
                <w:rFonts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2032年</w:t>
            </w:r>
          </w:p>
        </w:tc>
        <w:tc>
          <w:tcPr>
            <w:tcW w:w="1101" w:type="dxa"/>
            <w:tcBorders>
              <w:tl2br w:val="nil"/>
              <w:tr2bl w:val="nil"/>
            </w:tcBorders>
            <w:noWrap/>
            <w:vAlign w:val="center"/>
          </w:tcPr>
          <w:p>
            <w:pPr>
              <w:keepNext w:val="0"/>
              <w:keepLines w:val="0"/>
              <w:widowControl/>
              <w:suppressLineNumbers w:val="0"/>
              <w:jc w:val="center"/>
              <w:textAlignment w:val="center"/>
              <w:rPr>
                <w:rFonts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2033年</w:t>
            </w:r>
          </w:p>
        </w:tc>
        <w:tc>
          <w:tcPr>
            <w:tcW w:w="1102"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2034年</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973" w:type="pct"/>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保教费收入</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461.20 </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507.32 </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558.05 </w:t>
            </w:r>
          </w:p>
        </w:tc>
        <w:tc>
          <w:tcPr>
            <w:tcW w:w="114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613.86 </w:t>
            </w:r>
          </w:p>
        </w:tc>
        <w:tc>
          <w:tcPr>
            <w:tcW w:w="110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675.25 </w:t>
            </w:r>
          </w:p>
        </w:tc>
        <w:tc>
          <w:tcPr>
            <w:tcW w:w="1102"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742.78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973" w:type="pct"/>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教育培训收入</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691.80 </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760.98 </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837.08 </w:t>
            </w:r>
          </w:p>
        </w:tc>
        <w:tc>
          <w:tcPr>
            <w:tcW w:w="114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920.79 </w:t>
            </w:r>
          </w:p>
        </w:tc>
        <w:tc>
          <w:tcPr>
            <w:tcW w:w="110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1,012.88 </w:t>
            </w:r>
          </w:p>
        </w:tc>
        <w:tc>
          <w:tcPr>
            <w:tcW w:w="1102"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1,114.17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973" w:type="pct"/>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食宿午托收入</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368.95 </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405.85 </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446.44 </w:t>
            </w:r>
          </w:p>
        </w:tc>
        <w:tc>
          <w:tcPr>
            <w:tcW w:w="114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491.08 </w:t>
            </w:r>
          </w:p>
        </w:tc>
        <w:tc>
          <w:tcPr>
            <w:tcW w:w="110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540.19 </w:t>
            </w:r>
          </w:p>
        </w:tc>
        <w:tc>
          <w:tcPr>
            <w:tcW w:w="1102"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594.21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973" w:type="pct"/>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Hans" w:bidi="ar"/>
              </w:rPr>
              <w:t>申请</w:t>
            </w:r>
            <w:r>
              <w:rPr>
                <w:rFonts w:hint="eastAsia" w:ascii="宋体" w:hAnsi="宋体" w:eastAsia="宋体" w:cs="宋体"/>
                <w:b/>
                <w:bCs/>
                <w:i w:val="0"/>
                <w:iCs w:val="0"/>
                <w:color w:val="000000"/>
                <w:kern w:val="0"/>
                <w:sz w:val="20"/>
                <w:szCs w:val="20"/>
                <w:u w:val="none"/>
                <w:lang w:val="en-US" w:eastAsia="zh-CN" w:bidi="ar"/>
              </w:rPr>
              <w:t>财政补助</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14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10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102"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973" w:type="pct"/>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color w:val="000000"/>
                <w:sz w:val="20"/>
                <w:szCs w:val="20"/>
              </w:rPr>
            </w:pPr>
            <w:r>
              <w:rPr>
                <w:rFonts w:hint="eastAsia" w:ascii="宋体" w:hAnsi="宋体" w:eastAsia="宋体" w:cs="宋体"/>
                <w:b/>
                <w:bCs/>
                <w:i w:val="0"/>
                <w:iCs w:val="0"/>
                <w:color w:val="000000"/>
                <w:kern w:val="0"/>
                <w:sz w:val="20"/>
                <w:szCs w:val="20"/>
                <w:u w:val="none"/>
                <w:lang w:val="en-US" w:eastAsia="zh-CN" w:bidi="ar"/>
              </w:rPr>
              <w:t>合计</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2,771.95 </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2,924.15 </w:t>
            </w:r>
          </w:p>
        </w:tc>
        <w:tc>
          <w:tcPr>
            <w:tcW w:w="11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3,091.57 </w:t>
            </w:r>
          </w:p>
        </w:tc>
        <w:tc>
          <w:tcPr>
            <w:tcW w:w="114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3,275.73 </w:t>
            </w:r>
          </w:p>
        </w:tc>
        <w:tc>
          <w:tcPr>
            <w:tcW w:w="110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3,478.32 </w:t>
            </w:r>
          </w:p>
        </w:tc>
        <w:tc>
          <w:tcPr>
            <w:tcW w:w="1102"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3,701.16 </w:t>
            </w:r>
          </w:p>
        </w:tc>
      </w:tr>
    </w:tbl>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续：</w:t>
      </w:r>
    </w:p>
    <w:tbl>
      <w:tblPr>
        <w:tblStyle w:val="23"/>
        <w:tblW w:w="4997"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657"/>
        <w:gridCol w:w="1169"/>
        <w:gridCol w:w="1169"/>
        <w:gridCol w:w="1169"/>
        <w:gridCol w:w="1149"/>
        <w:gridCol w:w="1102"/>
        <w:gridCol w:w="1108"/>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tblHeader/>
          <w:jc w:val="center"/>
        </w:trPr>
        <w:tc>
          <w:tcPr>
            <w:tcW w:w="973" w:type="pct"/>
            <w:tcBorders>
              <w:tl2br w:val="nil"/>
              <w:tr2bl w:val="nil"/>
            </w:tcBorders>
            <w:noWrap/>
            <w:vAlign w:val="center"/>
          </w:tcPr>
          <w:p>
            <w:pPr>
              <w:jc w:val="center"/>
              <w:rPr>
                <w:rFonts w:cs="宋体" w:asciiTheme="minorEastAsia" w:hAnsiTheme="minorEastAsia" w:eastAsiaTheme="minorEastAsia"/>
                <w:b/>
                <w:bCs/>
                <w:color w:val="000000"/>
                <w:sz w:val="20"/>
                <w:szCs w:val="20"/>
              </w:rPr>
            </w:pPr>
            <w:r>
              <w:rPr>
                <w:rFonts w:hint="eastAsia" w:asciiTheme="minorEastAsia" w:hAnsiTheme="minorEastAsia" w:eastAsiaTheme="minorEastAsia"/>
                <w:b/>
                <w:bCs/>
                <w:color w:val="000000"/>
                <w:sz w:val="20"/>
                <w:szCs w:val="20"/>
              </w:rPr>
              <w:t>收入</w:t>
            </w:r>
          </w:p>
        </w:tc>
        <w:tc>
          <w:tcPr>
            <w:tcW w:w="1168"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2035年</w:t>
            </w:r>
          </w:p>
        </w:tc>
        <w:tc>
          <w:tcPr>
            <w:tcW w:w="1168"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2036年</w:t>
            </w:r>
          </w:p>
        </w:tc>
        <w:tc>
          <w:tcPr>
            <w:tcW w:w="1168" w:type="dxa"/>
            <w:tcBorders>
              <w:tl2br w:val="nil"/>
              <w:tr2bl w:val="nil"/>
            </w:tcBorders>
            <w:noWrap/>
            <w:vAlign w:val="center"/>
          </w:tcPr>
          <w:p>
            <w:pPr>
              <w:keepNext w:val="0"/>
              <w:keepLines w:val="0"/>
              <w:widowControl/>
              <w:suppressLineNumbers w:val="0"/>
              <w:jc w:val="center"/>
              <w:textAlignment w:val="center"/>
              <w:rPr>
                <w:rFonts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2037年</w:t>
            </w:r>
          </w:p>
        </w:tc>
        <w:tc>
          <w:tcPr>
            <w:tcW w:w="1148" w:type="dxa"/>
            <w:tcBorders>
              <w:tl2br w:val="nil"/>
              <w:tr2bl w:val="nil"/>
            </w:tcBorders>
            <w:noWrap/>
            <w:vAlign w:val="center"/>
          </w:tcPr>
          <w:p>
            <w:pPr>
              <w:keepNext w:val="0"/>
              <w:keepLines w:val="0"/>
              <w:widowControl/>
              <w:suppressLineNumbers w:val="0"/>
              <w:jc w:val="center"/>
              <w:textAlignment w:val="center"/>
              <w:rPr>
                <w:rFonts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2038年</w:t>
            </w:r>
          </w:p>
        </w:tc>
        <w:tc>
          <w:tcPr>
            <w:tcW w:w="1101" w:type="dxa"/>
            <w:tcBorders>
              <w:tl2br w:val="nil"/>
              <w:tr2bl w:val="nil"/>
            </w:tcBorders>
            <w:noWrap/>
            <w:vAlign w:val="center"/>
          </w:tcPr>
          <w:p>
            <w:pPr>
              <w:keepNext w:val="0"/>
              <w:keepLines w:val="0"/>
              <w:widowControl/>
              <w:suppressLineNumbers w:val="0"/>
              <w:jc w:val="center"/>
              <w:textAlignment w:val="center"/>
              <w:rPr>
                <w:rFonts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2039年</w:t>
            </w:r>
          </w:p>
        </w:tc>
        <w:tc>
          <w:tcPr>
            <w:tcW w:w="1107"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合计</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973" w:type="pct"/>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保教费收入</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817.06 </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817.06 </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817.06 </w:t>
            </w:r>
          </w:p>
        </w:tc>
        <w:tc>
          <w:tcPr>
            <w:tcW w:w="114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817.06 </w:t>
            </w:r>
          </w:p>
        </w:tc>
        <w:tc>
          <w:tcPr>
            <w:tcW w:w="110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408.53 </w:t>
            </w:r>
          </w:p>
        </w:tc>
        <w:tc>
          <w:tcPr>
            <w:tcW w:w="1102"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8,775.90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973" w:type="pct"/>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教育培训收入</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1,225.59 </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1,225.59 </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1,225.59 </w:t>
            </w:r>
          </w:p>
        </w:tc>
        <w:tc>
          <w:tcPr>
            <w:tcW w:w="114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1,225.59 </w:t>
            </w:r>
          </w:p>
        </w:tc>
        <w:tc>
          <w:tcPr>
            <w:tcW w:w="110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612.80 </w:t>
            </w:r>
          </w:p>
        </w:tc>
        <w:tc>
          <w:tcPr>
            <w:tcW w:w="1102"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13,163.88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973" w:type="pct"/>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食宿午托收入</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653.63 </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718.99 </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790.89 </w:t>
            </w:r>
          </w:p>
        </w:tc>
        <w:tc>
          <w:tcPr>
            <w:tcW w:w="114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869.98 </w:t>
            </w:r>
          </w:p>
        </w:tc>
        <w:tc>
          <w:tcPr>
            <w:tcW w:w="110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434.99 </w:t>
            </w:r>
          </w:p>
        </w:tc>
        <w:tc>
          <w:tcPr>
            <w:tcW w:w="1102"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7,547.73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973" w:type="pct"/>
            <w:tcBorders>
              <w:tl2br w:val="nil"/>
              <w:tr2bl w:val="nil"/>
            </w:tcBorders>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Hans" w:bidi="ar"/>
              </w:rPr>
              <w:t>申请</w:t>
            </w:r>
            <w:r>
              <w:rPr>
                <w:rFonts w:hint="eastAsia" w:ascii="宋体" w:hAnsi="宋体" w:eastAsia="宋体" w:cs="宋体"/>
                <w:b/>
                <w:bCs/>
                <w:i w:val="0"/>
                <w:iCs w:val="0"/>
                <w:color w:val="000000"/>
                <w:kern w:val="0"/>
                <w:sz w:val="20"/>
                <w:szCs w:val="20"/>
                <w:u w:val="none"/>
                <w:lang w:val="en-US" w:eastAsia="zh-CN" w:bidi="ar"/>
              </w:rPr>
              <w:t>财政补助</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14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1,250.00 </w:t>
            </w:r>
          </w:p>
        </w:tc>
        <w:tc>
          <w:tcPr>
            <w:tcW w:w="110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625.00 </w:t>
            </w:r>
          </w:p>
        </w:tc>
        <w:tc>
          <w:tcPr>
            <w:tcW w:w="1102"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18,437.50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973" w:type="pct"/>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color w:val="000000"/>
                <w:sz w:val="20"/>
                <w:szCs w:val="20"/>
              </w:rPr>
            </w:pPr>
            <w:r>
              <w:rPr>
                <w:rFonts w:hint="eastAsia" w:ascii="宋体" w:hAnsi="宋体" w:eastAsia="宋体" w:cs="宋体"/>
                <w:b/>
                <w:bCs/>
                <w:i w:val="0"/>
                <w:iCs w:val="0"/>
                <w:color w:val="000000"/>
                <w:kern w:val="0"/>
                <w:sz w:val="20"/>
                <w:szCs w:val="20"/>
                <w:u w:val="none"/>
                <w:lang w:val="en-US" w:eastAsia="zh-CN" w:bidi="ar"/>
              </w:rPr>
              <w:t>合计</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3,946.28 </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4,011.64 </w:t>
            </w:r>
          </w:p>
        </w:tc>
        <w:tc>
          <w:tcPr>
            <w:tcW w:w="116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4,083.54 </w:t>
            </w:r>
          </w:p>
        </w:tc>
        <w:tc>
          <w:tcPr>
            <w:tcW w:w="114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4,162.63 </w:t>
            </w:r>
          </w:p>
        </w:tc>
        <w:tc>
          <w:tcPr>
            <w:tcW w:w="110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2,081.32 </w:t>
            </w:r>
          </w:p>
        </w:tc>
        <w:tc>
          <w:tcPr>
            <w:tcW w:w="1102"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47,925.01 </w:t>
            </w:r>
          </w:p>
        </w:tc>
      </w:tr>
    </w:tbl>
    <w:p>
      <w:pPr>
        <w:pStyle w:val="4"/>
        <w:keepNext w:val="0"/>
        <w:keepLines w:val="0"/>
        <w:pageBreakBefore w:val="0"/>
        <w:widowControl w:val="0"/>
        <w:kinsoku/>
        <w:wordWrap/>
        <w:overflowPunct/>
        <w:topLinePunct w:val="0"/>
        <w:autoSpaceDE/>
        <w:autoSpaceDN/>
        <w:bidi w:val="0"/>
        <w:adjustRightInd/>
        <w:snapToGrid/>
        <w:spacing w:before="157" w:beforeLines="50" w:after="0" w:line="360" w:lineRule="auto"/>
        <w:ind w:firstLine="561"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（二）项目成本</w:t>
      </w:r>
    </w:p>
    <w:bookmarkEnd w:id="3"/>
    <w:p>
      <w:pPr>
        <w:pStyle w:val="51"/>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60" w:lineRule="auto"/>
        <w:ind w:firstLine="560" w:firstLineChars="200"/>
        <w:jc w:val="both"/>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项目运营成本主要包括人工薪酬、食材费用和管理费用，债券存续期内共发生成本约6,013.48 万元。</w:t>
      </w:r>
    </w:p>
    <w:p>
      <w:pPr>
        <w:pStyle w:val="51"/>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60" w:lineRule="auto"/>
        <w:ind w:firstLine="560" w:firstLineChars="200"/>
        <w:jc w:val="both"/>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根据幼儿园班级设置情况及规模，预计项目员工约为40人，工资及福利费按3200元/月/人；食材费用按伙食费收入10%进行预测；管理费用按保教费及教育培训收入3%进行预测。</w:t>
      </w:r>
    </w:p>
    <w:p>
      <w:pPr>
        <w:pStyle w:val="51"/>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60" w:lineRule="auto"/>
        <w:ind w:firstLine="560" w:firstLineChars="200"/>
        <w:jc w:val="both"/>
        <w:textAlignment w:val="auto"/>
        <w:rPr>
          <w:rFonts w:hint="eastAsia" w:ascii="宋体" w:hAnsi="宋体" w:eastAsia="宋体" w:cs="宋体"/>
          <w:b w:val="0"/>
          <w:kern w:val="2"/>
          <w:sz w:val="28"/>
          <w:szCs w:val="28"/>
          <w:lang w:val="en-US" w:eastAsia="zh-CN" w:bidi="ar-SA"/>
        </w:rPr>
      </w:pPr>
      <w:r>
        <w:rPr>
          <w:rFonts w:hint="eastAsia" w:ascii="宋体" w:hAnsi="宋体" w:eastAsia="宋体" w:cs="宋体"/>
          <w:b w:val="0"/>
          <w:kern w:val="2"/>
          <w:sz w:val="28"/>
          <w:szCs w:val="28"/>
          <w:lang w:val="en-US" w:eastAsia="zh-CN" w:bidi="ar-SA"/>
        </w:rPr>
        <w:t>债券存续期成本预测如下：</w:t>
      </w:r>
    </w:p>
    <w:p>
      <w:pPr>
        <w:pageBreakBefore w:val="0"/>
        <w:widowControl w:val="0"/>
        <w:kinsoku/>
        <w:wordWrap/>
        <w:overflowPunct/>
        <w:topLinePunct w:val="0"/>
        <w:autoSpaceDE/>
        <w:autoSpaceDN/>
        <w:bidi w:val="0"/>
        <w:adjustRightInd/>
        <w:snapToGrid w:val="0"/>
        <w:spacing w:before="157" w:beforeLines="50" w:line="360" w:lineRule="auto"/>
        <w:ind w:firstLine="560" w:firstLineChars="200"/>
        <w:jc w:val="center"/>
        <w:textAlignment w:val="auto"/>
        <w:rPr>
          <w:rFonts w:hint="eastAsia" w:ascii="宋体" w:hAnsi="宋体" w:eastAsia="宋体" w:cs="宋体"/>
          <w:bCs/>
          <w:kern w:val="2"/>
          <w:sz w:val="28"/>
          <w:szCs w:val="28"/>
          <w:lang w:val="en-US" w:eastAsia="zh-CN" w:bidi="ar-SA"/>
        </w:rPr>
      </w:pPr>
      <w:r>
        <w:rPr>
          <w:rFonts w:hint="eastAsia" w:ascii="宋体" w:hAnsi="宋体" w:eastAsia="宋体" w:cs="宋体"/>
          <w:bCs/>
          <w:kern w:val="2"/>
          <w:sz w:val="28"/>
          <w:szCs w:val="28"/>
          <w:lang w:val="en-US" w:eastAsia="zh-CN" w:bidi="ar-SA"/>
        </w:rPr>
        <w:t>项目成本预测表</w:t>
      </w:r>
    </w:p>
    <w:p>
      <w:pPr>
        <w:pStyle w:val="2"/>
        <w:ind w:firstLine="6380" w:firstLineChars="2900"/>
      </w:pPr>
      <w:r>
        <w:rPr>
          <w:rFonts w:hint="eastAsia" w:ascii="宋体" w:hAnsi="宋体" w:eastAsia="宋体" w:cs="宋体"/>
          <w:bCs/>
          <w:kern w:val="2"/>
          <w:sz w:val="22"/>
          <w:szCs w:val="22"/>
          <w:lang w:val="en-US" w:eastAsia="zh-CN" w:bidi="ar-SA"/>
        </w:rPr>
        <w:t>单位：万元</w:t>
      </w:r>
    </w:p>
    <w:tbl>
      <w:tblPr>
        <w:tblStyle w:val="23"/>
        <w:tblW w:w="4997"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2075"/>
        <w:gridCol w:w="1284"/>
        <w:gridCol w:w="1284"/>
        <w:gridCol w:w="1259"/>
        <w:gridCol w:w="1327"/>
        <w:gridCol w:w="1294"/>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tblHeader/>
          <w:jc w:val="center"/>
        </w:trPr>
        <w:tc>
          <w:tcPr>
            <w:tcW w:w="1217" w:type="pct"/>
            <w:tcBorders>
              <w:tl2br w:val="nil"/>
              <w:tr2bl w:val="nil"/>
            </w:tcBorders>
            <w:noWrap/>
            <w:vAlign w:val="center"/>
          </w:tcPr>
          <w:p>
            <w:pPr>
              <w:jc w:val="center"/>
              <w:rPr>
                <w:rFonts w:cs="宋体" w:asciiTheme="minorEastAsia" w:hAnsiTheme="minorEastAsia" w:eastAsiaTheme="minorEastAsia"/>
                <w:b/>
                <w:bCs/>
                <w:color w:val="000000"/>
                <w:sz w:val="20"/>
                <w:szCs w:val="20"/>
              </w:rPr>
            </w:pPr>
            <w:r>
              <w:rPr>
                <w:rFonts w:hint="eastAsia" w:asciiTheme="minorEastAsia" w:hAnsiTheme="minorEastAsia" w:eastAsiaTheme="minorEastAsia"/>
                <w:b/>
                <w:bCs/>
                <w:color w:val="000000"/>
                <w:sz w:val="20"/>
                <w:szCs w:val="20"/>
              </w:rPr>
              <w:t>成本</w:t>
            </w:r>
          </w:p>
        </w:tc>
        <w:tc>
          <w:tcPr>
            <w:tcW w:w="1283"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2024年</w:t>
            </w:r>
          </w:p>
        </w:tc>
        <w:tc>
          <w:tcPr>
            <w:tcW w:w="1283" w:type="dxa"/>
            <w:tcBorders>
              <w:tl2br w:val="nil"/>
              <w:tr2bl w:val="nil"/>
            </w:tcBorders>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2025年</w:t>
            </w:r>
          </w:p>
        </w:tc>
        <w:tc>
          <w:tcPr>
            <w:tcW w:w="1258" w:type="dxa"/>
            <w:tcBorders>
              <w:tl2br w:val="nil"/>
              <w:tr2bl w:val="nil"/>
            </w:tcBorders>
            <w:noWrap/>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2026年</w:t>
            </w:r>
          </w:p>
        </w:tc>
        <w:tc>
          <w:tcPr>
            <w:tcW w:w="1326" w:type="dxa"/>
            <w:tcBorders>
              <w:tl2br w:val="nil"/>
              <w:tr2bl w:val="nil"/>
            </w:tcBorders>
            <w:noWrap/>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2027年</w:t>
            </w:r>
          </w:p>
        </w:tc>
        <w:tc>
          <w:tcPr>
            <w:tcW w:w="1293" w:type="dxa"/>
            <w:tcBorders>
              <w:tl2br w:val="nil"/>
              <w:tr2bl w:val="nil"/>
            </w:tcBorders>
            <w:noWrap/>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2028年</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2074" w:type="dxa"/>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color w:val="000000"/>
                <w:sz w:val="20"/>
                <w:szCs w:val="20"/>
              </w:rPr>
            </w:pPr>
            <w:r>
              <w:rPr>
                <w:rFonts w:hint="eastAsia" w:ascii="宋体" w:hAnsi="宋体" w:eastAsia="宋体" w:cs="宋体"/>
                <w:b/>
                <w:bCs/>
                <w:i w:val="0"/>
                <w:iCs w:val="0"/>
                <w:color w:val="000000"/>
                <w:kern w:val="0"/>
                <w:sz w:val="20"/>
                <w:szCs w:val="20"/>
                <w:u w:val="none"/>
                <w:lang w:val="en-US" w:eastAsia="zh-CN" w:bidi="ar"/>
              </w:rPr>
              <w:t>人工薪酬</w:t>
            </w:r>
          </w:p>
        </w:tc>
        <w:tc>
          <w:tcPr>
            <w:tcW w:w="1283" w:type="dxa"/>
            <w:tcBorders>
              <w:tl2br w:val="nil"/>
              <w:tr2bl w:val="nil"/>
            </w:tcBorders>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38.40 </w:t>
            </w:r>
          </w:p>
        </w:tc>
        <w:tc>
          <w:tcPr>
            <w:tcW w:w="1283" w:type="dxa"/>
            <w:tcBorders>
              <w:tl2br w:val="nil"/>
              <w:tr2bl w:val="nil"/>
            </w:tcBorders>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153.60 </w:t>
            </w:r>
          </w:p>
        </w:tc>
        <w:tc>
          <w:tcPr>
            <w:tcW w:w="125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168.96 </w:t>
            </w:r>
          </w:p>
        </w:tc>
        <w:tc>
          <w:tcPr>
            <w:tcW w:w="13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185.86 </w:t>
            </w:r>
          </w:p>
        </w:tc>
        <w:tc>
          <w:tcPr>
            <w:tcW w:w="129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204.44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2074" w:type="dxa"/>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color w:val="000000"/>
                <w:sz w:val="20"/>
                <w:szCs w:val="20"/>
              </w:rPr>
            </w:pPr>
            <w:r>
              <w:rPr>
                <w:rFonts w:hint="eastAsia" w:ascii="宋体" w:hAnsi="宋体" w:eastAsia="宋体" w:cs="宋体"/>
                <w:b/>
                <w:bCs/>
                <w:i w:val="0"/>
                <w:iCs w:val="0"/>
                <w:color w:val="000000"/>
                <w:kern w:val="0"/>
                <w:sz w:val="20"/>
                <w:szCs w:val="20"/>
                <w:u w:val="none"/>
                <w:lang w:val="en-US" w:eastAsia="zh-CN" w:bidi="ar"/>
              </w:rPr>
              <w:t>食材费用</w:t>
            </w:r>
          </w:p>
        </w:tc>
        <w:tc>
          <w:tcPr>
            <w:tcW w:w="1283" w:type="dxa"/>
            <w:tcBorders>
              <w:tl2br w:val="nil"/>
              <w:tr2bl w:val="nil"/>
            </w:tcBorders>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6.30 </w:t>
            </w:r>
          </w:p>
        </w:tc>
        <w:tc>
          <w:tcPr>
            <w:tcW w:w="1283" w:type="dxa"/>
            <w:tcBorders>
              <w:tl2br w:val="nil"/>
              <w:tr2bl w:val="nil"/>
            </w:tcBorders>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25.20 </w:t>
            </w:r>
          </w:p>
        </w:tc>
        <w:tc>
          <w:tcPr>
            <w:tcW w:w="125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27.72 </w:t>
            </w:r>
          </w:p>
        </w:tc>
        <w:tc>
          <w:tcPr>
            <w:tcW w:w="13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30.49 </w:t>
            </w:r>
          </w:p>
        </w:tc>
        <w:tc>
          <w:tcPr>
            <w:tcW w:w="129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33.54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2074" w:type="dxa"/>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color w:val="000000"/>
                <w:sz w:val="20"/>
                <w:szCs w:val="20"/>
              </w:rPr>
            </w:pPr>
            <w:r>
              <w:rPr>
                <w:rFonts w:hint="eastAsia" w:ascii="宋体" w:hAnsi="宋体" w:eastAsia="宋体" w:cs="宋体"/>
                <w:b/>
                <w:bCs/>
                <w:i w:val="0"/>
                <w:iCs w:val="0"/>
                <w:color w:val="000000"/>
                <w:kern w:val="0"/>
                <w:sz w:val="20"/>
                <w:szCs w:val="20"/>
                <w:u w:val="none"/>
                <w:lang w:val="en-US" w:eastAsia="zh-CN" w:bidi="ar"/>
              </w:rPr>
              <w:t>管理费用</w:t>
            </w:r>
          </w:p>
        </w:tc>
        <w:tc>
          <w:tcPr>
            <w:tcW w:w="1283" w:type="dxa"/>
            <w:tcBorders>
              <w:tl2br w:val="nil"/>
              <w:tr2bl w:val="nil"/>
            </w:tcBorders>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5.91 </w:t>
            </w:r>
          </w:p>
        </w:tc>
        <w:tc>
          <w:tcPr>
            <w:tcW w:w="1283" w:type="dxa"/>
            <w:tcBorders>
              <w:tl2br w:val="nil"/>
              <w:tr2bl w:val="nil"/>
            </w:tcBorders>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23.63 </w:t>
            </w:r>
          </w:p>
        </w:tc>
        <w:tc>
          <w:tcPr>
            <w:tcW w:w="125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25.99 </w:t>
            </w:r>
          </w:p>
        </w:tc>
        <w:tc>
          <w:tcPr>
            <w:tcW w:w="13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28.59 </w:t>
            </w:r>
          </w:p>
        </w:tc>
        <w:tc>
          <w:tcPr>
            <w:tcW w:w="129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31.45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217" w:type="pct"/>
            <w:tcBorders>
              <w:tl2br w:val="nil"/>
              <w:tr2bl w:val="nil"/>
            </w:tcBorders>
            <w:noWrap/>
            <w:vAlign w:val="center"/>
          </w:tcPr>
          <w:p>
            <w:pPr>
              <w:jc w:val="center"/>
              <w:rPr>
                <w:rFonts w:hint="eastAsia" w:asciiTheme="minorEastAsia" w:hAnsiTheme="minorEastAsia" w:eastAsiaTheme="minorEastAsia"/>
                <w:b/>
                <w:bCs/>
                <w:color w:val="000000"/>
                <w:sz w:val="20"/>
                <w:szCs w:val="20"/>
              </w:rPr>
            </w:pPr>
            <w:r>
              <w:rPr>
                <w:rFonts w:hint="eastAsia" w:asciiTheme="minorEastAsia" w:hAnsiTheme="minorEastAsia" w:eastAsiaTheme="minorEastAsia"/>
                <w:b/>
                <w:bCs/>
                <w:color w:val="000000"/>
                <w:sz w:val="20"/>
                <w:szCs w:val="20"/>
              </w:rPr>
              <w:t>小计</w:t>
            </w:r>
          </w:p>
        </w:tc>
        <w:tc>
          <w:tcPr>
            <w:tcW w:w="1283" w:type="dxa"/>
            <w:tcBorders>
              <w:tl2br w:val="nil"/>
              <w:tr2bl w:val="nil"/>
            </w:tcBorders>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50.61 </w:t>
            </w:r>
          </w:p>
        </w:tc>
        <w:tc>
          <w:tcPr>
            <w:tcW w:w="1283" w:type="dxa"/>
            <w:tcBorders>
              <w:tl2br w:val="nil"/>
              <w:tr2bl w:val="nil"/>
            </w:tcBorders>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202.43 </w:t>
            </w:r>
          </w:p>
        </w:tc>
        <w:tc>
          <w:tcPr>
            <w:tcW w:w="1258"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222.67 </w:t>
            </w:r>
          </w:p>
        </w:tc>
        <w:tc>
          <w:tcPr>
            <w:tcW w:w="13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244.94 </w:t>
            </w:r>
          </w:p>
        </w:tc>
        <w:tc>
          <w:tcPr>
            <w:tcW w:w="129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269.43 </w:t>
            </w:r>
          </w:p>
        </w:tc>
      </w:tr>
    </w:tbl>
    <w:p>
      <w:pPr>
        <w:ind w:firstLine="560" w:firstLineChars="200"/>
        <w:rPr>
          <w:rFonts w:ascii="仿宋" w:hAnsi="仿宋" w:eastAsia="仿宋" w:cs="仿宋"/>
          <w:color w:val="000000"/>
          <w:kern w:val="0"/>
          <w:sz w:val="28"/>
          <w:szCs w:val="28"/>
        </w:rPr>
      </w:pPr>
      <w:r>
        <w:rPr>
          <w:rFonts w:hint="eastAsia" w:ascii="仿宋" w:hAnsi="仿宋" w:eastAsia="仿宋" w:cs="仿宋"/>
          <w:color w:val="000000"/>
          <w:kern w:val="0"/>
          <w:sz w:val="28"/>
          <w:szCs w:val="28"/>
        </w:rPr>
        <w:t>续：</w:t>
      </w:r>
    </w:p>
    <w:tbl>
      <w:tblPr>
        <w:tblStyle w:val="23"/>
        <w:tblW w:w="4997"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743"/>
        <w:gridCol w:w="1116"/>
        <w:gridCol w:w="1034"/>
        <w:gridCol w:w="1046"/>
        <w:gridCol w:w="1130"/>
        <w:gridCol w:w="1227"/>
        <w:gridCol w:w="1227"/>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tblHeader/>
          <w:jc w:val="center"/>
        </w:trPr>
        <w:tc>
          <w:tcPr>
            <w:tcW w:w="1023" w:type="pct"/>
            <w:tcBorders>
              <w:tl2br w:val="nil"/>
              <w:tr2bl w:val="nil"/>
            </w:tcBorders>
            <w:noWrap/>
            <w:vAlign w:val="center"/>
          </w:tcPr>
          <w:p>
            <w:pPr>
              <w:overflowPunct w:val="0"/>
              <w:autoSpaceDE w:val="0"/>
              <w:autoSpaceDN w:val="0"/>
              <w:adjustRightInd w:val="0"/>
              <w:jc w:val="center"/>
              <w:textAlignment w:val="baseline"/>
              <w:rPr>
                <w:rFonts w:cs="宋体" w:asciiTheme="minorEastAsia" w:hAnsiTheme="minorEastAsia" w:eastAsiaTheme="minorEastAsia"/>
                <w:b/>
                <w:sz w:val="20"/>
                <w:szCs w:val="20"/>
              </w:rPr>
            </w:pPr>
            <w:r>
              <w:rPr>
                <w:rFonts w:hint="eastAsia" w:cs="宋体" w:asciiTheme="minorEastAsia" w:hAnsiTheme="minorEastAsia" w:eastAsiaTheme="minorEastAsia"/>
                <w:b/>
                <w:sz w:val="20"/>
                <w:szCs w:val="20"/>
              </w:rPr>
              <w:t>成本</w:t>
            </w:r>
          </w:p>
        </w:tc>
        <w:tc>
          <w:tcPr>
            <w:tcW w:w="1115" w:type="dxa"/>
            <w:tcBorders>
              <w:tl2br w:val="nil"/>
              <w:tr2bl w:val="nil"/>
            </w:tcBorders>
            <w:noWrap/>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2029年</w:t>
            </w:r>
          </w:p>
        </w:tc>
        <w:tc>
          <w:tcPr>
            <w:tcW w:w="1033" w:type="dxa"/>
            <w:tcBorders>
              <w:tl2br w:val="nil"/>
              <w:tr2bl w:val="nil"/>
            </w:tcBorders>
            <w:noWrap/>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2030年</w:t>
            </w:r>
          </w:p>
        </w:tc>
        <w:tc>
          <w:tcPr>
            <w:tcW w:w="1045" w:type="dxa"/>
            <w:tcBorders>
              <w:tl2br w:val="nil"/>
              <w:tr2bl w:val="nil"/>
            </w:tcBorders>
            <w:noWrap/>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2031年</w:t>
            </w:r>
          </w:p>
        </w:tc>
        <w:tc>
          <w:tcPr>
            <w:tcW w:w="1129" w:type="dxa"/>
            <w:tcBorders>
              <w:tl2br w:val="nil"/>
              <w:tr2bl w:val="nil"/>
            </w:tcBorders>
            <w:noWrap/>
            <w:vAlign w:val="center"/>
          </w:tcPr>
          <w:p>
            <w:pPr>
              <w:keepNext w:val="0"/>
              <w:keepLines w:val="0"/>
              <w:widowControl/>
              <w:suppressLineNumbers w:val="0"/>
              <w:jc w:val="center"/>
              <w:textAlignment w:val="center"/>
              <w:rPr>
                <w:rFonts w:hint="eastAsia"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2032年</w:t>
            </w:r>
          </w:p>
        </w:tc>
        <w:tc>
          <w:tcPr>
            <w:tcW w:w="1226" w:type="dxa"/>
            <w:tcBorders>
              <w:tl2br w:val="nil"/>
              <w:tr2bl w:val="nil"/>
            </w:tcBorders>
            <w:noWrap/>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2033年</w:t>
            </w:r>
          </w:p>
        </w:tc>
        <w:tc>
          <w:tcPr>
            <w:tcW w:w="1226" w:type="dxa"/>
            <w:tcBorders>
              <w:tl2br w:val="nil"/>
              <w:tr2bl w:val="nil"/>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2034年</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023" w:type="pct"/>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color w:val="000000"/>
                <w:sz w:val="20"/>
                <w:szCs w:val="20"/>
              </w:rPr>
            </w:pPr>
            <w:r>
              <w:rPr>
                <w:rFonts w:hint="eastAsia" w:ascii="宋体" w:hAnsi="宋体" w:eastAsia="宋体" w:cs="宋体"/>
                <w:b/>
                <w:bCs/>
                <w:i w:val="0"/>
                <w:iCs w:val="0"/>
                <w:color w:val="000000"/>
                <w:kern w:val="0"/>
                <w:sz w:val="20"/>
                <w:szCs w:val="20"/>
                <w:u w:val="none"/>
                <w:lang w:val="en-US" w:eastAsia="zh-CN" w:bidi="ar"/>
              </w:rPr>
              <w:t>人工薪酬</w:t>
            </w:r>
          </w:p>
        </w:tc>
        <w:tc>
          <w:tcPr>
            <w:tcW w:w="1115"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224.89 </w:t>
            </w:r>
          </w:p>
        </w:tc>
        <w:tc>
          <w:tcPr>
            <w:tcW w:w="103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247.37 </w:t>
            </w:r>
          </w:p>
        </w:tc>
        <w:tc>
          <w:tcPr>
            <w:tcW w:w="1045"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272.11 </w:t>
            </w:r>
          </w:p>
        </w:tc>
        <w:tc>
          <w:tcPr>
            <w:tcW w:w="112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299.32 </w:t>
            </w:r>
          </w:p>
        </w:tc>
        <w:tc>
          <w:tcPr>
            <w:tcW w:w="12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329.26 </w:t>
            </w:r>
          </w:p>
        </w:tc>
        <w:tc>
          <w:tcPr>
            <w:tcW w:w="12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362.18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023" w:type="pct"/>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color w:val="000000"/>
                <w:sz w:val="20"/>
                <w:szCs w:val="20"/>
              </w:rPr>
            </w:pPr>
            <w:r>
              <w:rPr>
                <w:rFonts w:hint="eastAsia" w:ascii="宋体" w:hAnsi="宋体" w:eastAsia="宋体" w:cs="宋体"/>
                <w:b/>
                <w:bCs/>
                <w:i w:val="0"/>
                <w:iCs w:val="0"/>
                <w:color w:val="000000"/>
                <w:kern w:val="0"/>
                <w:sz w:val="20"/>
                <w:szCs w:val="20"/>
                <w:u w:val="none"/>
                <w:lang w:val="en-US" w:eastAsia="zh-CN" w:bidi="ar"/>
              </w:rPr>
              <w:t>食材费用</w:t>
            </w:r>
          </w:p>
        </w:tc>
        <w:tc>
          <w:tcPr>
            <w:tcW w:w="1115"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36.90 </w:t>
            </w:r>
          </w:p>
        </w:tc>
        <w:tc>
          <w:tcPr>
            <w:tcW w:w="103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40.59 </w:t>
            </w:r>
          </w:p>
        </w:tc>
        <w:tc>
          <w:tcPr>
            <w:tcW w:w="1045"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44.64 </w:t>
            </w:r>
          </w:p>
        </w:tc>
        <w:tc>
          <w:tcPr>
            <w:tcW w:w="112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49.11 </w:t>
            </w:r>
          </w:p>
        </w:tc>
        <w:tc>
          <w:tcPr>
            <w:tcW w:w="12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54.02 </w:t>
            </w:r>
          </w:p>
        </w:tc>
        <w:tc>
          <w:tcPr>
            <w:tcW w:w="12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59.42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023" w:type="pct"/>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color w:val="000000"/>
                <w:sz w:val="20"/>
                <w:szCs w:val="20"/>
              </w:rPr>
            </w:pPr>
            <w:r>
              <w:rPr>
                <w:rFonts w:hint="eastAsia" w:ascii="宋体" w:hAnsi="宋体" w:eastAsia="宋体" w:cs="宋体"/>
                <w:b/>
                <w:bCs/>
                <w:i w:val="0"/>
                <w:iCs w:val="0"/>
                <w:color w:val="000000"/>
                <w:kern w:val="0"/>
                <w:sz w:val="20"/>
                <w:szCs w:val="20"/>
                <w:u w:val="none"/>
                <w:lang w:val="en-US" w:eastAsia="zh-CN" w:bidi="ar"/>
              </w:rPr>
              <w:t>管理费用</w:t>
            </w:r>
          </w:p>
        </w:tc>
        <w:tc>
          <w:tcPr>
            <w:tcW w:w="1115"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34.59 </w:t>
            </w:r>
          </w:p>
        </w:tc>
        <w:tc>
          <w:tcPr>
            <w:tcW w:w="103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38.05 </w:t>
            </w:r>
          </w:p>
        </w:tc>
        <w:tc>
          <w:tcPr>
            <w:tcW w:w="1045"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41.85 </w:t>
            </w:r>
          </w:p>
        </w:tc>
        <w:tc>
          <w:tcPr>
            <w:tcW w:w="112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46.04 </w:t>
            </w:r>
          </w:p>
        </w:tc>
        <w:tc>
          <w:tcPr>
            <w:tcW w:w="12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50.64 </w:t>
            </w:r>
          </w:p>
        </w:tc>
        <w:tc>
          <w:tcPr>
            <w:tcW w:w="12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55.71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023" w:type="pct"/>
            <w:tcBorders>
              <w:tl2br w:val="nil"/>
              <w:tr2bl w:val="nil"/>
            </w:tcBorders>
            <w:noWrap/>
            <w:vAlign w:val="center"/>
          </w:tcPr>
          <w:p>
            <w:pPr>
              <w:jc w:val="center"/>
              <w:rPr>
                <w:rFonts w:cs="宋体" w:asciiTheme="minorEastAsia" w:hAnsiTheme="minorEastAsia" w:eastAsiaTheme="minorEastAsia"/>
                <w:b/>
                <w:bCs/>
                <w:color w:val="000000"/>
                <w:sz w:val="20"/>
                <w:szCs w:val="20"/>
              </w:rPr>
            </w:pPr>
            <w:r>
              <w:rPr>
                <w:rFonts w:hint="eastAsia" w:asciiTheme="minorEastAsia" w:hAnsiTheme="minorEastAsia" w:eastAsiaTheme="minorEastAsia"/>
                <w:b/>
                <w:bCs/>
                <w:color w:val="000000"/>
                <w:sz w:val="20"/>
                <w:szCs w:val="20"/>
              </w:rPr>
              <w:t>小计</w:t>
            </w:r>
          </w:p>
        </w:tc>
        <w:tc>
          <w:tcPr>
            <w:tcW w:w="1115"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296.38 </w:t>
            </w:r>
          </w:p>
        </w:tc>
        <w:tc>
          <w:tcPr>
            <w:tcW w:w="1033"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326.01 </w:t>
            </w:r>
          </w:p>
        </w:tc>
        <w:tc>
          <w:tcPr>
            <w:tcW w:w="1045"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358.60 </w:t>
            </w:r>
          </w:p>
        </w:tc>
        <w:tc>
          <w:tcPr>
            <w:tcW w:w="112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394.47 </w:t>
            </w:r>
          </w:p>
        </w:tc>
        <w:tc>
          <w:tcPr>
            <w:tcW w:w="12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433.92 </w:t>
            </w:r>
          </w:p>
        </w:tc>
        <w:tc>
          <w:tcPr>
            <w:tcW w:w="122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477.31 </w:t>
            </w:r>
          </w:p>
        </w:tc>
      </w:tr>
    </w:tbl>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outlineLvl w:val="9"/>
        <w:rPr>
          <w:rFonts w:hint="eastAsia" w:ascii="仿宋" w:hAnsi="仿宋" w:eastAsia="仿宋" w:cs="宋体"/>
          <w:b/>
          <w:sz w:val="28"/>
          <w:szCs w:val="28"/>
          <w:lang w:val="en-US" w:eastAsia="zh-CN"/>
        </w:rPr>
      </w:pPr>
      <w:r>
        <w:rPr>
          <w:rFonts w:hint="eastAsia" w:ascii="仿宋" w:hAnsi="仿宋" w:eastAsia="仿宋" w:cs="宋体"/>
          <w:b/>
          <w:sz w:val="28"/>
          <w:szCs w:val="28"/>
          <w:lang w:val="en-US" w:eastAsia="zh-CN"/>
        </w:rPr>
        <w:t>续：</w:t>
      </w:r>
    </w:p>
    <w:tbl>
      <w:tblPr>
        <w:tblStyle w:val="23"/>
        <w:tblW w:w="4998"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775"/>
        <w:gridCol w:w="1138"/>
        <w:gridCol w:w="1057"/>
        <w:gridCol w:w="1070"/>
        <w:gridCol w:w="1161"/>
        <w:gridCol w:w="1162"/>
        <w:gridCol w:w="1162"/>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tblHeader/>
          <w:jc w:val="center"/>
        </w:trPr>
        <w:tc>
          <w:tcPr>
            <w:tcW w:w="1041" w:type="pct"/>
            <w:tcBorders>
              <w:tl2br w:val="nil"/>
              <w:tr2bl w:val="nil"/>
            </w:tcBorders>
            <w:noWrap/>
            <w:vAlign w:val="center"/>
          </w:tcPr>
          <w:p>
            <w:pPr>
              <w:overflowPunct w:val="0"/>
              <w:autoSpaceDE w:val="0"/>
              <w:autoSpaceDN w:val="0"/>
              <w:adjustRightInd w:val="0"/>
              <w:jc w:val="center"/>
              <w:textAlignment w:val="baseline"/>
              <w:rPr>
                <w:rFonts w:cs="宋体" w:asciiTheme="minorEastAsia" w:hAnsiTheme="minorEastAsia" w:eastAsiaTheme="minorEastAsia"/>
                <w:b/>
                <w:sz w:val="20"/>
                <w:szCs w:val="20"/>
              </w:rPr>
            </w:pPr>
            <w:r>
              <w:rPr>
                <w:rFonts w:hint="eastAsia" w:cs="宋体" w:asciiTheme="minorEastAsia" w:hAnsiTheme="minorEastAsia" w:eastAsiaTheme="minorEastAsia"/>
                <w:b/>
                <w:sz w:val="20"/>
                <w:szCs w:val="20"/>
              </w:rPr>
              <w:t>成本</w:t>
            </w:r>
          </w:p>
        </w:tc>
        <w:tc>
          <w:tcPr>
            <w:tcW w:w="1137" w:type="dxa"/>
            <w:tcBorders>
              <w:tl2br w:val="nil"/>
              <w:tr2bl w:val="nil"/>
            </w:tcBorders>
            <w:noWrap/>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2035年</w:t>
            </w:r>
          </w:p>
        </w:tc>
        <w:tc>
          <w:tcPr>
            <w:tcW w:w="1056" w:type="dxa"/>
            <w:tcBorders>
              <w:tl2br w:val="nil"/>
              <w:tr2bl w:val="nil"/>
            </w:tcBorders>
            <w:noWrap/>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2036年</w:t>
            </w:r>
          </w:p>
        </w:tc>
        <w:tc>
          <w:tcPr>
            <w:tcW w:w="1069" w:type="dxa"/>
            <w:tcBorders>
              <w:tl2br w:val="nil"/>
              <w:tr2bl w:val="nil"/>
            </w:tcBorders>
            <w:noWrap/>
            <w:vAlign w:val="center"/>
          </w:tcPr>
          <w:p>
            <w:pPr>
              <w:keepNext w:val="0"/>
              <w:keepLines w:val="0"/>
              <w:widowControl/>
              <w:suppressLineNumbers w:val="0"/>
              <w:jc w:val="center"/>
              <w:textAlignment w:val="center"/>
              <w:rPr>
                <w:rFonts w:cs="宋体"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2037年</w:t>
            </w:r>
          </w:p>
        </w:tc>
        <w:tc>
          <w:tcPr>
            <w:tcW w:w="1160"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b/>
                <w:i w:val="0"/>
                <w:color w:val="000000"/>
                <w:kern w:val="0"/>
                <w:sz w:val="22"/>
                <w:szCs w:val="22"/>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2038年</w:t>
            </w:r>
          </w:p>
        </w:tc>
        <w:tc>
          <w:tcPr>
            <w:tcW w:w="1161" w:type="dxa"/>
            <w:tcBorders>
              <w:tl2br w:val="nil"/>
              <w:tr2bl w:val="nil"/>
            </w:tcBorders>
            <w:noWrap/>
            <w:vAlign w:val="center"/>
          </w:tcPr>
          <w:p>
            <w:pPr>
              <w:keepNext w:val="0"/>
              <w:keepLines w:val="0"/>
              <w:widowControl/>
              <w:suppressLineNumbers w:val="0"/>
              <w:jc w:val="center"/>
              <w:textAlignment w:val="center"/>
              <w:rPr>
                <w:rFonts w:hint="eastAsia" w:asciiTheme="minorEastAsia" w:hAnsiTheme="minorEastAsia" w:eastAsiaTheme="minorEastAsia"/>
                <w:b/>
                <w:bCs/>
                <w:color w:val="000000"/>
                <w:sz w:val="20"/>
                <w:szCs w:val="20"/>
              </w:rPr>
            </w:pPr>
            <w:r>
              <w:rPr>
                <w:rFonts w:hint="eastAsia" w:ascii="宋体" w:hAnsi="宋体" w:eastAsia="宋体" w:cs="宋体"/>
                <w:b/>
                <w:bCs/>
                <w:i w:val="0"/>
                <w:iCs w:val="0"/>
                <w:color w:val="000000"/>
                <w:kern w:val="0"/>
                <w:sz w:val="20"/>
                <w:szCs w:val="20"/>
                <w:u w:val="none"/>
                <w:lang w:val="en-US" w:eastAsia="zh-CN" w:bidi="ar"/>
              </w:rPr>
              <w:t>2039年</w:t>
            </w:r>
          </w:p>
        </w:tc>
        <w:tc>
          <w:tcPr>
            <w:tcW w:w="1161" w:type="dxa"/>
            <w:tcBorders>
              <w:tl2br w:val="nil"/>
              <w:tr2bl w:val="nil"/>
            </w:tcBorders>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合计</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041" w:type="pct"/>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b w:val="0"/>
                <w:bCs w:val="0"/>
                <w:color w:val="000000"/>
                <w:sz w:val="20"/>
                <w:szCs w:val="20"/>
              </w:rPr>
            </w:pPr>
            <w:r>
              <w:rPr>
                <w:rFonts w:hint="eastAsia" w:ascii="宋体" w:hAnsi="宋体" w:eastAsia="宋体" w:cs="宋体"/>
                <w:b/>
                <w:bCs/>
                <w:i w:val="0"/>
                <w:iCs w:val="0"/>
                <w:color w:val="000000"/>
                <w:kern w:val="0"/>
                <w:sz w:val="20"/>
                <w:szCs w:val="20"/>
                <w:u w:val="none"/>
                <w:lang w:val="en-US" w:eastAsia="zh-CN" w:bidi="ar"/>
              </w:rPr>
              <w:t>人工薪酬</w:t>
            </w:r>
          </w:p>
        </w:tc>
        <w:tc>
          <w:tcPr>
            <w:tcW w:w="1137"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398.40 </w:t>
            </w:r>
          </w:p>
        </w:tc>
        <w:tc>
          <w:tcPr>
            <w:tcW w:w="105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438.24 </w:t>
            </w:r>
          </w:p>
        </w:tc>
        <w:tc>
          <w:tcPr>
            <w:tcW w:w="10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482.06 </w:t>
            </w:r>
          </w:p>
        </w:tc>
        <w:tc>
          <w:tcPr>
            <w:tcW w:w="1160"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530.27 </w:t>
            </w:r>
          </w:p>
        </w:tc>
        <w:tc>
          <w:tcPr>
            <w:tcW w:w="116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265.13 </w:t>
            </w:r>
          </w:p>
        </w:tc>
        <w:tc>
          <w:tcPr>
            <w:tcW w:w="116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4,600.49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041" w:type="pct"/>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b w:val="0"/>
                <w:bCs w:val="0"/>
                <w:color w:val="000000"/>
                <w:sz w:val="20"/>
                <w:szCs w:val="20"/>
              </w:rPr>
            </w:pPr>
            <w:r>
              <w:rPr>
                <w:rFonts w:hint="eastAsia" w:ascii="宋体" w:hAnsi="宋体" w:eastAsia="宋体" w:cs="宋体"/>
                <w:b/>
                <w:bCs/>
                <w:i w:val="0"/>
                <w:iCs w:val="0"/>
                <w:color w:val="000000"/>
                <w:kern w:val="0"/>
                <w:sz w:val="20"/>
                <w:szCs w:val="20"/>
                <w:u w:val="none"/>
                <w:lang w:val="en-US" w:eastAsia="zh-CN" w:bidi="ar"/>
              </w:rPr>
              <w:t>食材费用</w:t>
            </w:r>
          </w:p>
        </w:tc>
        <w:tc>
          <w:tcPr>
            <w:tcW w:w="1137"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65.36 </w:t>
            </w:r>
          </w:p>
        </w:tc>
        <w:tc>
          <w:tcPr>
            <w:tcW w:w="105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71.90 </w:t>
            </w:r>
          </w:p>
        </w:tc>
        <w:tc>
          <w:tcPr>
            <w:tcW w:w="10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79.09 </w:t>
            </w:r>
          </w:p>
        </w:tc>
        <w:tc>
          <w:tcPr>
            <w:tcW w:w="1160"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87.00 </w:t>
            </w:r>
          </w:p>
        </w:tc>
        <w:tc>
          <w:tcPr>
            <w:tcW w:w="116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43.50 </w:t>
            </w:r>
          </w:p>
        </w:tc>
        <w:tc>
          <w:tcPr>
            <w:tcW w:w="116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754.78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041" w:type="pct"/>
            <w:tcBorders>
              <w:tl2br w:val="nil"/>
              <w:tr2bl w:val="nil"/>
            </w:tcBorders>
            <w:noWrap/>
            <w:vAlign w:val="center"/>
          </w:tcPr>
          <w:p>
            <w:pPr>
              <w:keepNext w:val="0"/>
              <w:keepLines w:val="0"/>
              <w:widowControl/>
              <w:suppressLineNumbers w:val="0"/>
              <w:jc w:val="left"/>
              <w:textAlignment w:val="center"/>
              <w:rPr>
                <w:rFonts w:cs="宋体" w:asciiTheme="minorEastAsia" w:hAnsiTheme="minorEastAsia" w:eastAsiaTheme="minorEastAsia"/>
                <w:b w:val="0"/>
                <w:bCs w:val="0"/>
                <w:color w:val="000000"/>
                <w:sz w:val="20"/>
                <w:szCs w:val="20"/>
              </w:rPr>
            </w:pPr>
            <w:r>
              <w:rPr>
                <w:rFonts w:hint="eastAsia" w:ascii="宋体" w:hAnsi="宋体" w:eastAsia="宋体" w:cs="宋体"/>
                <w:b/>
                <w:bCs/>
                <w:i w:val="0"/>
                <w:iCs w:val="0"/>
                <w:color w:val="000000"/>
                <w:kern w:val="0"/>
                <w:sz w:val="20"/>
                <w:szCs w:val="20"/>
                <w:u w:val="none"/>
                <w:lang w:val="en-US" w:eastAsia="zh-CN" w:bidi="ar"/>
              </w:rPr>
              <w:t>管理费用</w:t>
            </w:r>
          </w:p>
        </w:tc>
        <w:tc>
          <w:tcPr>
            <w:tcW w:w="1137"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61.28 </w:t>
            </w:r>
          </w:p>
        </w:tc>
        <w:tc>
          <w:tcPr>
            <w:tcW w:w="105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61.28 </w:t>
            </w:r>
          </w:p>
        </w:tc>
        <w:tc>
          <w:tcPr>
            <w:tcW w:w="10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61.28 </w:t>
            </w:r>
          </w:p>
        </w:tc>
        <w:tc>
          <w:tcPr>
            <w:tcW w:w="1160"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61.28 </w:t>
            </w:r>
          </w:p>
        </w:tc>
        <w:tc>
          <w:tcPr>
            <w:tcW w:w="116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30.64 </w:t>
            </w:r>
          </w:p>
        </w:tc>
        <w:tc>
          <w:tcPr>
            <w:tcW w:w="116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658.21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454" w:hRule="atLeast"/>
          <w:jc w:val="center"/>
        </w:trPr>
        <w:tc>
          <w:tcPr>
            <w:tcW w:w="1041" w:type="pct"/>
            <w:tcBorders>
              <w:tl2br w:val="nil"/>
              <w:tr2bl w:val="nil"/>
            </w:tcBorders>
            <w:noWrap/>
            <w:vAlign w:val="center"/>
          </w:tcPr>
          <w:p>
            <w:pPr>
              <w:jc w:val="center"/>
              <w:rPr>
                <w:rFonts w:cs="宋体" w:asciiTheme="minorEastAsia" w:hAnsiTheme="minorEastAsia" w:eastAsiaTheme="minorEastAsia"/>
                <w:b/>
                <w:bCs/>
                <w:color w:val="000000"/>
                <w:sz w:val="20"/>
                <w:szCs w:val="20"/>
              </w:rPr>
            </w:pPr>
            <w:r>
              <w:rPr>
                <w:rFonts w:hint="eastAsia" w:asciiTheme="minorEastAsia" w:hAnsiTheme="minorEastAsia" w:eastAsiaTheme="minorEastAsia"/>
                <w:b/>
                <w:bCs/>
                <w:color w:val="000000"/>
                <w:sz w:val="20"/>
                <w:szCs w:val="20"/>
              </w:rPr>
              <w:t>小计</w:t>
            </w:r>
          </w:p>
        </w:tc>
        <w:tc>
          <w:tcPr>
            <w:tcW w:w="1137"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525.04 </w:t>
            </w:r>
          </w:p>
        </w:tc>
        <w:tc>
          <w:tcPr>
            <w:tcW w:w="1056"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571.42 </w:t>
            </w:r>
          </w:p>
        </w:tc>
        <w:tc>
          <w:tcPr>
            <w:tcW w:w="1069"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622.43 </w:t>
            </w:r>
          </w:p>
        </w:tc>
        <w:tc>
          <w:tcPr>
            <w:tcW w:w="1160"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678.55 </w:t>
            </w:r>
          </w:p>
        </w:tc>
        <w:tc>
          <w:tcPr>
            <w:tcW w:w="116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宋体" w:cs="Times New Roman"/>
                <w:color w:val="000000"/>
                <w:sz w:val="20"/>
                <w:szCs w:val="20"/>
                <w:lang w:eastAsia="zh-CN"/>
              </w:rPr>
            </w:pPr>
            <w:r>
              <w:rPr>
                <w:rFonts w:hint="default" w:ascii="Arial Narrow" w:hAnsi="Arial Narrow" w:eastAsia="Arial Narrow" w:cs="Arial Narrow"/>
                <w:i w:val="0"/>
                <w:iCs w:val="0"/>
                <w:color w:val="000000"/>
                <w:kern w:val="0"/>
                <w:sz w:val="20"/>
                <w:szCs w:val="20"/>
                <w:u w:val="none"/>
                <w:lang w:val="en-US" w:eastAsia="zh-CN" w:bidi="ar"/>
              </w:rPr>
              <w:t xml:space="preserve"> 339.27 </w:t>
            </w:r>
          </w:p>
        </w:tc>
        <w:tc>
          <w:tcPr>
            <w:tcW w:w="1161" w:type="dxa"/>
            <w:tcBorders>
              <w:tl2br w:val="nil"/>
              <w:tr2bl w:val="nil"/>
            </w:tcBorders>
            <w:noWrap/>
            <w:vAlign w:val="center"/>
          </w:tcPr>
          <w:p>
            <w:pPr>
              <w:keepNext w:val="0"/>
              <w:keepLines w:val="0"/>
              <w:widowControl/>
              <w:suppressLineNumbers w:val="0"/>
              <w:jc w:val="center"/>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6,013.48 </w:t>
            </w:r>
          </w:p>
        </w:tc>
      </w:tr>
    </w:tbl>
    <w:p>
      <w:pPr>
        <w:pStyle w:val="4"/>
        <w:pageBreakBefore w:val="0"/>
        <w:widowControl w:val="0"/>
        <w:kinsoku/>
        <w:wordWrap/>
        <w:overflowPunct/>
        <w:topLinePunct w:val="0"/>
        <w:autoSpaceDE/>
        <w:autoSpaceDN/>
        <w:bidi w:val="0"/>
        <w:adjustRightInd/>
        <w:spacing w:before="157" w:beforeLines="50" w:after="0" w:line="360" w:lineRule="auto"/>
        <w:ind w:firstLine="561"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shd w:val="clear" w:color="auto" w:fill="FFFFFF"/>
        </w:rPr>
        <w:t>（三）</w:t>
      </w:r>
      <w:r>
        <w:rPr>
          <w:rFonts w:hint="eastAsia" w:ascii="宋体" w:hAnsi="宋体" w:eastAsia="宋体" w:cs="宋体"/>
          <w:b/>
          <w:sz w:val="28"/>
          <w:szCs w:val="28"/>
        </w:rPr>
        <w:t>项目</w:t>
      </w:r>
      <w:r>
        <w:rPr>
          <w:rFonts w:hint="eastAsia" w:ascii="宋体" w:hAnsi="宋体" w:eastAsia="宋体" w:cs="宋体"/>
          <w:b/>
          <w:sz w:val="28"/>
          <w:szCs w:val="28"/>
          <w:lang w:val="en-US" w:eastAsia="zh-CN"/>
        </w:rPr>
        <w:t>净</w:t>
      </w:r>
      <w:r>
        <w:rPr>
          <w:rFonts w:hint="eastAsia" w:ascii="宋体" w:hAnsi="宋体" w:eastAsia="宋体" w:cs="宋体"/>
          <w:b/>
          <w:sz w:val="28"/>
          <w:szCs w:val="28"/>
        </w:rPr>
        <w:t>收益</w:t>
      </w:r>
    </w:p>
    <w:p>
      <w:pPr>
        <w:pStyle w:val="12"/>
        <w:snapToGrid w:val="0"/>
        <w:spacing w:line="360" w:lineRule="auto"/>
        <w:ind w:firstLine="560" w:firstLineChars="200"/>
        <w:rPr>
          <w:rFonts w:hint="eastAsia" w:hAnsi="宋体" w:cs="宋体"/>
          <w:b w:val="0"/>
          <w:kern w:val="2"/>
          <w:sz w:val="28"/>
          <w:szCs w:val="28"/>
          <w:lang w:val="en-US" w:eastAsia="zh-CN" w:bidi="ar-SA"/>
        </w:rPr>
      </w:pPr>
      <w:r>
        <w:rPr>
          <w:rFonts w:hint="eastAsia" w:hAnsi="宋体" w:cs="宋体"/>
          <w:b w:val="0"/>
          <w:kern w:val="2"/>
          <w:sz w:val="28"/>
          <w:szCs w:val="28"/>
          <w:lang w:val="en-US" w:eastAsia="zh-CN" w:bidi="ar-SA"/>
        </w:rPr>
        <w:t>综上，项目收益不考虑融资成本及非付现成本的情况下，2022年至2039年可用于还本付息净收益为 41,911.53 万元。</w:t>
      </w:r>
    </w:p>
    <w:p>
      <w:pPr>
        <w:pStyle w:val="4"/>
        <w:pageBreakBefore w:val="0"/>
        <w:widowControl w:val="0"/>
        <w:kinsoku/>
        <w:wordWrap/>
        <w:overflowPunct/>
        <w:topLinePunct w:val="0"/>
        <w:autoSpaceDE/>
        <w:autoSpaceDN/>
        <w:bidi w:val="0"/>
        <w:adjustRightInd/>
        <w:spacing w:before="157" w:beforeLines="50" w:after="0" w:line="360" w:lineRule="auto"/>
        <w:ind w:firstLine="561" w:firstLineChars="200"/>
        <w:jc w:val="both"/>
        <w:textAlignment w:val="auto"/>
        <w:rPr>
          <w:rFonts w:hint="eastAsia" w:ascii="宋体" w:hAnsi="宋体" w:eastAsia="宋体" w:cs="宋体"/>
          <w:b/>
          <w:sz w:val="28"/>
          <w:szCs w:val="28"/>
          <w:shd w:val="clear" w:color="auto" w:fill="FFFFFF"/>
        </w:rPr>
      </w:pPr>
      <w:r>
        <w:rPr>
          <w:rFonts w:hint="eastAsia" w:ascii="宋体" w:hAnsi="宋体" w:eastAsia="宋体" w:cs="宋体"/>
          <w:b/>
          <w:sz w:val="28"/>
          <w:szCs w:val="28"/>
          <w:shd w:val="clear" w:color="auto" w:fill="FFFFFF"/>
        </w:rPr>
        <w:t>（四）项目融资成本</w: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cs="宋体"/>
          <w:color w:val="auto"/>
          <w:sz w:val="28"/>
          <w:szCs w:val="28"/>
          <w:lang w:val="en-US" w:eastAsia="zh-CN"/>
        </w:rPr>
      </w:pPr>
      <w:bookmarkStart w:id="6" w:name="_Hlk13593901"/>
      <w:r>
        <w:rPr>
          <w:rFonts w:hint="eastAsia" w:ascii="宋体" w:hAnsi="宋体" w:cs="宋体"/>
          <w:color w:val="auto"/>
          <w:sz w:val="28"/>
          <w:szCs w:val="28"/>
          <w:lang w:val="en-US" w:eastAsia="zh-CN"/>
        </w:rPr>
        <w:t>项目计划募投地方政府专项债券资金解决24,000.00万元，本批次拟募投1,680.00万元，债券还本方式为到期还本，每半年支付一次利息，融资成本为募投的地方政府专项债券利息费用，具体情况如下：</w: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cs="宋体"/>
          <w:color w:val="auto"/>
          <w:sz w:val="28"/>
          <w:szCs w:val="28"/>
          <w:lang w:val="en-US" w:eastAsia="zh-CN"/>
        </w:rPr>
      </w:pPr>
      <w:r>
        <w:rPr>
          <w:rFonts w:hint="eastAsia" w:ascii="宋体" w:hAnsi="宋体" w:cs="宋体"/>
          <w:color w:val="auto"/>
          <w:sz w:val="28"/>
          <w:szCs w:val="28"/>
          <w:lang w:val="en-US" w:eastAsia="zh-CN"/>
        </w:rPr>
        <w:t>已募投到位的债券按照实际发行利率进行测算，2023年募投债券票面利率参考当前15年期国债收益率利率（基准日2023年11月10日）上浮50bp来测算，约为3.26%。2023年至2039年共计需要支付债券利息费用 11,519.10 万元。</w:t>
      </w:r>
    </w:p>
    <w:bookmarkEnd w:id="6"/>
    <w:p>
      <w:pPr>
        <w:pStyle w:val="4"/>
        <w:pageBreakBefore w:val="0"/>
        <w:widowControl w:val="0"/>
        <w:kinsoku/>
        <w:wordWrap/>
        <w:overflowPunct/>
        <w:topLinePunct w:val="0"/>
        <w:autoSpaceDE/>
        <w:autoSpaceDN/>
        <w:bidi w:val="0"/>
        <w:adjustRightInd/>
        <w:spacing w:before="157" w:beforeLines="50" w:after="0" w:line="360" w:lineRule="auto"/>
        <w:ind w:firstLine="561" w:firstLineChars="200"/>
        <w:textAlignment w:val="auto"/>
        <w:rPr>
          <w:rFonts w:hint="eastAsia" w:ascii="宋体" w:hAnsi="宋体" w:eastAsia="宋体" w:cs="宋体"/>
          <w:b/>
          <w:bCs/>
          <w:sz w:val="28"/>
          <w:szCs w:val="28"/>
          <w:shd w:val="clear" w:color="auto" w:fill="FFFFFF"/>
        </w:rPr>
      </w:pPr>
      <w:r>
        <w:rPr>
          <w:rFonts w:hint="eastAsia" w:ascii="宋体" w:hAnsi="宋体" w:eastAsia="宋体" w:cs="宋体"/>
          <w:b/>
          <w:bCs/>
          <w:sz w:val="28"/>
          <w:szCs w:val="28"/>
          <w:shd w:val="clear" w:color="auto" w:fill="FFFFFF"/>
        </w:rPr>
        <w:t>（五）资金平衡方案</w:t>
      </w:r>
    </w:p>
    <w:p>
      <w:pPr>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z w:val="28"/>
          <w:szCs w:val="28"/>
          <w:lang w:val="en-US" w:eastAsia="zh-CN"/>
        </w:rPr>
        <w:sectPr>
          <w:headerReference r:id="rId12" w:type="first"/>
          <w:headerReference r:id="rId11" w:type="default"/>
          <w:pgSz w:w="11906" w:h="16838"/>
          <w:pgMar w:top="1724" w:right="1797" w:bottom="1440" w:left="1797" w:header="851" w:footer="992" w:gutter="0"/>
          <w:pgBorders>
            <w:top w:val="none" w:sz="0" w:space="0"/>
            <w:left w:val="none" w:sz="0" w:space="0"/>
            <w:bottom w:val="none" w:sz="0" w:space="0"/>
            <w:right w:val="none" w:sz="0" w:space="0"/>
          </w:pgBorders>
          <w:pgNumType w:start="1"/>
          <w:cols w:space="720" w:num="1"/>
          <w:titlePg/>
          <w:docGrid w:linePitch="312" w:charSpace="0"/>
        </w:sectPr>
      </w:pPr>
      <w:r>
        <w:rPr>
          <w:rFonts w:hint="eastAsia" w:ascii="宋体" w:hAnsi="宋体" w:eastAsia="宋体" w:cs="宋体"/>
          <w:color w:val="auto"/>
          <w:sz w:val="28"/>
          <w:szCs w:val="28"/>
          <w:lang w:val="en-US" w:eastAsia="zh-CN"/>
        </w:rPr>
        <w:t>根据前述财务数据进行如下项目资金平衡测算，在本债券存续期内，项目对应的收益可有效覆盖债券对应地方政府专项债券项目的债券本息支出。项目本息覆盖率可达到1.18倍，期末项目现金净结余量为 6,556.89 万元。项目完成后能够实现充足、稳定的现金流收入，能够覆盖专项债券还本付息的规模，由此可知，</w:t>
      </w:r>
      <w:r>
        <w:rPr>
          <w:rFonts w:hint="eastAsia" w:ascii="宋体" w:hAnsi="宋体" w:cs="宋体"/>
          <w:color w:val="auto"/>
          <w:sz w:val="28"/>
          <w:szCs w:val="28"/>
          <w:lang w:val="en-US" w:eastAsia="zh-CN"/>
        </w:rPr>
        <w:t>该项目</w:t>
      </w:r>
      <w:r>
        <w:rPr>
          <w:rFonts w:hint="eastAsia" w:ascii="宋体" w:hAnsi="宋体" w:eastAsia="宋体" w:cs="宋体"/>
          <w:color w:val="auto"/>
          <w:sz w:val="28"/>
          <w:szCs w:val="28"/>
          <w:lang w:val="en-US" w:eastAsia="zh-CN"/>
        </w:rPr>
        <w:t>能够实现项目收益与融资自求平衡。详见下资金平衡表：</w:t>
      </w:r>
    </w:p>
    <w:p>
      <w:pPr>
        <w:ind w:firstLine="643" w:firstLineChars="200"/>
        <w:jc w:val="center"/>
        <w:rPr>
          <w:rFonts w:hint="eastAsia" w:ascii="仿宋" w:hAnsi="仿宋" w:eastAsia="仿宋" w:cs="宋体"/>
          <w:b/>
          <w:sz w:val="28"/>
          <w:szCs w:val="28"/>
        </w:rPr>
      </w:pPr>
      <w:r>
        <w:rPr>
          <w:rFonts w:hint="eastAsia" w:ascii="仿宋" w:hAnsi="仿宋" w:eastAsia="仿宋" w:cs="宋体"/>
          <w:b/>
          <w:sz w:val="32"/>
          <w:szCs w:val="32"/>
        </w:rPr>
        <w:t>资金平衡表</w:t>
      </w:r>
    </w:p>
    <w:p>
      <w:pPr>
        <w:ind w:firstLine="442" w:firstLineChars="200"/>
        <w:jc w:val="right"/>
        <w:rPr>
          <w:rFonts w:hint="eastAsia" w:ascii="仿宋" w:hAnsi="仿宋" w:eastAsia="仿宋" w:cs="宋体"/>
          <w:b/>
          <w:sz w:val="24"/>
          <w:szCs w:val="24"/>
          <w:lang w:val="en-US" w:eastAsia="zh-CN"/>
        </w:rPr>
      </w:pPr>
      <w:r>
        <w:rPr>
          <w:rFonts w:hint="eastAsia" w:ascii="仿宋" w:hAnsi="仿宋" w:eastAsia="仿宋" w:cs="宋体"/>
          <w:b/>
          <w:sz w:val="22"/>
          <w:szCs w:val="22"/>
        </w:rPr>
        <w:t>单位：万元</w:t>
      </w:r>
    </w:p>
    <w:tbl>
      <w:tblPr>
        <w:tblStyle w:val="23"/>
        <w:tblW w:w="4997" w:type="pct"/>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487"/>
        <w:gridCol w:w="2926"/>
        <w:gridCol w:w="1312"/>
        <w:gridCol w:w="1180"/>
        <w:gridCol w:w="1180"/>
        <w:gridCol w:w="1180"/>
        <w:gridCol w:w="1180"/>
        <w:gridCol w:w="1180"/>
        <w:gridCol w:w="1180"/>
        <w:gridCol w:w="1180"/>
        <w:gridCol w:w="1180"/>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blHeader/>
        </w:trPr>
        <w:tc>
          <w:tcPr>
            <w:tcW w:w="172" w:type="pct"/>
            <w:vAlign w:val="center"/>
          </w:tcPr>
          <w:p>
            <w:pPr>
              <w:jc w:val="center"/>
              <w:rPr>
                <w:rFonts w:ascii="宋体" w:hAnsi="宋体" w:cs="宋体"/>
                <w:b/>
                <w:kern w:val="0"/>
                <w:sz w:val="20"/>
                <w:szCs w:val="16"/>
              </w:rPr>
            </w:pPr>
            <w:r>
              <w:rPr>
                <w:rFonts w:hint="eastAsia" w:ascii="宋体" w:hAnsi="宋体" w:cs="宋体"/>
                <w:b/>
                <w:kern w:val="0"/>
                <w:sz w:val="20"/>
                <w:szCs w:val="16"/>
              </w:rPr>
              <w:t>序号</w:t>
            </w:r>
          </w:p>
        </w:tc>
        <w:tc>
          <w:tcPr>
            <w:tcW w:w="1032" w:type="pct"/>
            <w:vAlign w:val="center"/>
          </w:tcPr>
          <w:p>
            <w:pPr>
              <w:jc w:val="center"/>
              <w:rPr>
                <w:rFonts w:ascii="宋体" w:hAnsi="宋体" w:cs="宋体"/>
                <w:b/>
                <w:kern w:val="0"/>
                <w:sz w:val="20"/>
                <w:szCs w:val="16"/>
              </w:rPr>
            </w:pPr>
            <w:r>
              <w:rPr>
                <w:rFonts w:hint="eastAsia" w:ascii="宋体" w:hAnsi="宋体" w:cs="宋体"/>
                <w:b/>
                <w:kern w:val="0"/>
                <w:sz w:val="20"/>
                <w:szCs w:val="16"/>
              </w:rPr>
              <w:t>项目</w:t>
            </w:r>
          </w:p>
        </w:tc>
        <w:tc>
          <w:tcPr>
            <w:tcW w:w="1312"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1"/>
                <w:szCs w:val="21"/>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2023</w:t>
            </w:r>
            <w:r>
              <w:rPr>
                <w:rFonts w:hint="eastAsia" w:ascii="宋体" w:hAnsi="宋体" w:eastAsia="宋体" w:cs="宋体"/>
                <w:b/>
                <w:bCs/>
                <w:i w:val="0"/>
                <w:iCs w:val="0"/>
                <w:color w:val="000000"/>
                <w:kern w:val="0"/>
                <w:sz w:val="18"/>
                <w:szCs w:val="18"/>
                <w:u w:val="none"/>
                <w:lang w:val="en-US" w:eastAsia="zh-CN" w:bidi="ar"/>
              </w:rPr>
              <w:t>年</w:t>
            </w:r>
          </w:p>
        </w:tc>
        <w:tc>
          <w:tcPr>
            <w:tcW w:w="1180" w:type="dxa"/>
            <w:vAlign w:val="center"/>
          </w:tcPr>
          <w:p>
            <w:pPr>
              <w:keepNext w:val="0"/>
              <w:keepLines w:val="0"/>
              <w:widowControl/>
              <w:suppressLineNumbers w:val="0"/>
              <w:jc w:val="center"/>
              <w:textAlignment w:val="center"/>
              <w:rPr>
                <w:rFonts w:hint="eastAsia" w:ascii="Arial" w:hAnsi="Arial" w:eastAsia="宋体" w:cs="Arial"/>
                <w:i w:val="0"/>
                <w:iCs w:val="0"/>
                <w:color w:val="000000"/>
                <w:kern w:val="0"/>
                <w:sz w:val="21"/>
                <w:szCs w:val="21"/>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2024</w:t>
            </w:r>
            <w:r>
              <w:rPr>
                <w:rFonts w:hint="eastAsia" w:ascii="宋体" w:hAnsi="宋体" w:eastAsia="宋体" w:cs="宋体"/>
                <w:b/>
                <w:bCs/>
                <w:i w:val="0"/>
                <w:iCs w:val="0"/>
                <w:color w:val="000000"/>
                <w:kern w:val="0"/>
                <w:sz w:val="18"/>
                <w:szCs w:val="18"/>
                <w:u w:val="none"/>
                <w:lang w:val="en-US" w:eastAsia="zh-CN" w:bidi="ar"/>
              </w:rPr>
              <w:t>年</w:t>
            </w:r>
          </w:p>
        </w:tc>
        <w:tc>
          <w:tcPr>
            <w:tcW w:w="1180"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1"/>
                <w:szCs w:val="21"/>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2025</w:t>
            </w:r>
            <w:r>
              <w:rPr>
                <w:rFonts w:hint="eastAsia" w:ascii="宋体" w:hAnsi="宋体" w:eastAsia="宋体" w:cs="宋体"/>
                <w:b/>
                <w:bCs/>
                <w:i w:val="0"/>
                <w:iCs w:val="0"/>
                <w:color w:val="000000"/>
                <w:kern w:val="0"/>
                <w:sz w:val="18"/>
                <w:szCs w:val="18"/>
                <w:u w:val="none"/>
                <w:lang w:val="en-US" w:eastAsia="zh-CN" w:bidi="ar"/>
              </w:rPr>
              <w:t>年</w:t>
            </w:r>
          </w:p>
        </w:tc>
        <w:tc>
          <w:tcPr>
            <w:tcW w:w="1180"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1"/>
                <w:szCs w:val="21"/>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2026</w:t>
            </w:r>
            <w:r>
              <w:rPr>
                <w:rFonts w:hint="eastAsia" w:ascii="宋体" w:hAnsi="宋体" w:eastAsia="宋体" w:cs="宋体"/>
                <w:b/>
                <w:bCs/>
                <w:i w:val="0"/>
                <w:iCs w:val="0"/>
                <w:color w:val="000000"/>
                <w:kern w:val="0"/>
                <w:sz w:val="18"/>
                <w:szCs w:val="18"/>
                <w:u w:val="none"/>
                <w:lang w:val="en-US" w:eastAsia="zh-CN" w:bidi="ar"/>
              </w:rPr>
              <w:t>年</w:t>
            </w:r>
          </w:p>
        </w:tc>
        <w:tc>
          <w:tcPr>
            <w:tcW w:w="1180"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1"/>
                <w:szCs w:val="21"/>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2027</w:t>
            </w:r>
            <w:r>
              <w:rPr>
                <w:rFonts w:hint="eastAsia" w:ascii="宋体" w:hAnsi="宋体" w:eastAsia="宋体" w:cs="宋体"/>
                <w:b/>
                <w:bCs/>
                <w:i w:val="0"/>
                <w:iCs w:val="0"/>
                <w:color w:val="000000"/>
                <w:kern w:val="0"/>
                <w:sz w:val="18"/>
                <w:szCs w:val="18"/>
                <w:u w:val="none"/>
                <w:lang w:val="en-US" w:eastAsia="zh-CN" w:bidi="ar"/>
              </w:rPr>
              <w:t>年</w:t>
            </w:r>
          </w:p>
        </w:tc>
        <w:tc>
          <w:tcPr>
            <w:tcW w:w="1180"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1"/>
                <w:szCs w:val="21"/>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2028</w:t>
            </w:r>
            <w:r>
              <w:rPr>
                <w:rFonts w:hint="eastAsia" w:ascii="宋体" w:hAnsi="宋体" w:eastAsia="宋体" w:cs="宋体"/>
                <w:b/>
                <w:bCs/>
                <w:i w:val="0"/>
                <w:iCs w:val="0"/>
                <w:color w:val="000000"/>
                <w:kern w:val="0"/>
                <w:sz w:val="18"/>
                <w:szCs w:val="18"/>
                <w:u w:val="none"/>
                <w:lang w:val="en-US" w:eastAsia="zh-CN" w:bidi="ar"/>
              </w:rPr>
              <w:t>年</w:t>
            </w:r>
          </w:p>
        </w:tc>
        <w:tc>
          <w:tcPr>
            <w:tcW w:w="1180"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1"/>
                <w:szCs w:val="21"/>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2029</w:t>
            </w:r>
            <w:r>
              <w:rPr>
                <w:rFonts w:hint="eastAsia" w:ascii="宋体" w:hAnsi="宋体" w:eastAsia="宋体" w:cs="宋体"/>
                <w:b/>
                <w:bCs/>
                <w:i w:val="0"/>
                <w:iCs w:val="0"/>
                <w:color w:val="000000"/>
                <w:kern w:val="0"/>
                <w:sz w:val="18"/>
                <w:szCs w:val="18"/>
                <w:u w:val="none"/>
                <w:lang w:val="en-US" w:eastAsia="zh-CN" w:bidi="ar"/>
              </w:rPr>
              <w:t>年</w:t>
            </w:r>
          </w:p>
        </w:tc>
        <w:tc>
          <w:tcPr>
            <w:tcW w:w="1180"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1"/>
                <w:szCs w:val="21"/>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2030</w:t>
            </w:r>
            <w:r>
              <w:rPr>
                <w:rFonts w:hint="eastAsia" w:ascii="宋体" w:hAnsi="宋体" w:eastAsia="宋体" w:cs="宋体"/>
                <w:b/>
                <w:bCs/>
                <w:i w:val="0"/>
                <w:iCs w:val="0"/>
                <w:color w:val="000000"/>
                <w:kern w:val="0"/>
                <w:sz w:val="18"/>
                <w:szCs w:val="18"/>
                <w:u w:val="none"/>
                <w:lang w:val="en-US" w:eastAsia="zh-CN" w:bidi="ar"/>
              </w:rPr>
              <w:t>年</w:t>
            </w:r>
          </w:p>
        </w:tc>
        <w:tc>
          <w:tcPr>
            <w:tcW w:w="1180" w:type="dxa"/>
            <w:vAlign w:val="center"/>
          </w:tcPr>
          <w:p>
            <w:pPr>
              <w:keepNext w:val="0"/>
              <w:keepLines w:val="0"/>
              <w:widowControl/>
              <w:suppressLineNumbers w:val="0"/>
              <w:jc w:val="center"/>
              <w:textAlignment w:val="center"/>
              <w:rPr>
                <w:rFonts w:hint="default" w:ascii="Arial Narrow" w:hAnsi="Arial Narrow" w:eastAsia="Arial Narrow" w:cs="Arial Narrow"/>
                <w:b/>
                <w:bCs/>
                <w:i w:val="0"/>
                <w:iCs w:val="0"/>
                <w:color w:val="000000"/>
                <w:kern w:val="0"/>
                <w:sz w:val="21"/>
                <w:szCs w:val="21"/>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2031</w:t>
            </w:r>
            <w:r>
              <w:rPr>
                <w:rFonts w:hint="eastAsia" w:ascii="宋体" w:hAnsi="宋体" w:eastAsia="宋体" w:cs="宋体"/>
                <w:b/>
                <w:bCs/>
                <w:i w:val="0"/>
                <w:iCs w:val="0"/>
                <w:color w:val="000000"/>
                <w:kern w:val="0"/>
                <w:sz w:val="18"/>
                <w:szCs w:val="18"/>
                <w:u w:val="none"/>
                <w:lang w:val="en-US" w:eastAsia="zh-CN" w:bidi="ar"/>
              </w:rPr>
              <w:t>年</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w:t>
            </w:r>
          </w:p>
        </w:tc>
        <w:tc>
          <w:tcPr>
            <w:tcW w:w="1032" w:type="pct"/>
            <w:vAlign w:val="center"/>
          </w:tcPr>
          <w:p>
            <w:pPr>
              <w:widowControl/>
              <w:jc w:val="left"/>
              <w:textAlignment w:val="center"/>
              <w:rPr>
                <w:rFonts w:hint="default" w:ascii="宋体" w:hAnsi="宋体" w:cs="宋体"/>
                <w:b/>
                <w:kern w:val="0"/>
                <w:sz w:val="20"/>
                <w:szCs w:val="16"/>
              </w:rPr>
            </w:pPr>
            <w:r>
              <w:rPr>
                <w:rFonts w:hint="eastAsia" w:ascii="宋体" w:hAnsi="宋体" w:cs="宋体"/>
                <w:b/>
                <w:color w:val="000000"/>
                <w:kern w:val="0"/>
                <w:sz w:val="18"/>
                <w:szCs w:val="18"/>
              </w:rPr>
              <w:t>项目资金流入（1=2+3+4+5+6）</w:t>
            </w:r>
          </w:p>
        </w:tc>
        <w:tc>
          <w:tcPr>
            <w:tcW w:w="131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13,274.80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17,312.52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2,087.07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2,170.78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2,262.86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2,364.16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2,475.57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2,598.14 </w:t>
            </w:r>
          </w:p>
        </w:tc>
        <w:tc>
          <w:tcPr>
            <w:tcW w:w="1180" w:type="dxa"/>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2,732.97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restar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2</w:t>
            </w: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自有资金投入（不含专项债券）</w:t>
            </w:r>
          </w:p>
        </w:tc>
        <w:tc>
          <w:tcPr>
            <w:tcW w:w="131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94.80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5,970.75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continue"/>
            <w:vAlign w:val="center"/>
          </w:tcPr>
          <w:p>
            <w:pPr>
              <w:jc w:val="center"/>
              <w:rPr>
                <w:rFonts w:ascii="宋体" w:hAnsi="宋体" w:cs="宋体"/>
                <w:b/>
                <w:kern w:val="0"/>
                <w:sz w:val="20"/>
                <w:szCs w:val="16"/>
              </w:rPr>
            </w:pP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其中：财政资金</w:t>
            </w:r>
          </w:p>
        </w:tc>
        <w:tc>
          <w:tcPr>
            <w:tcW w:w="131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94.80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5,970.75 </w:t>
            </w: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3</w:t>
            </w: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银行贷款等市场化配套融资</w:t>
            </w:r>
          </w:p>
        </w:tc>
        <w:tc>
          <w:tcPr>
            <w:tcW w:w="1312"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restar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4</w:t>
            </w: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专项债券资金</w:t>
            </w:r>
          </w:p>
        </w:tc>
        <w:tc>
          <w:tcPr>
            <w:tcW w:w="131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13,180.00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10,820.00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continue"/>
            <w:vAlign w:val="center"/>
          </w:tcPr>
          <w:p>
            <w:pPr>
              <w:jc w:val="center"/>
              <w:rPr>
                <w:rFonts w:ascii="宋体" w:hAnsi="宋体" w:cs="宋体"/>
                <w:b/>
                <w:kern w:val="0"/>
                <w:sz w:val="20"/>
                <w:szCs w:val="16"/>
              </w:rPr>
            </w:pP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其中：本批债券</w:t>
            </w:r>
          </w:p>
        </w:tc>
        <w:tc>
          <w:tcPr>
            <w:tcW w:w="131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1,680.00 </w:t>
            </w: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5</w:t>
            </w: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其他资金</w:t>
            </w:r>
          </w:p>
        </w:tc>
        <w:tc>
          <w:tcPr>
            <w:tcW w:w="1312"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6</w:t>
            </w: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净收益</w:t>
            </w:r>
          </w:p>
        </w:tc>
        <w:tc>
          <w:tcPr>
            <w:tcW w:w="1312"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521.77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2,087.07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2,170.78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2,262.86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2,364.16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2,475.57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2,598.14 </w:t>
            </w:r>
          </w:p>
        </w:tc>
        <w:tc>
          <w:tcPr>
            <w:tcW w:w="1180" w:type="dxa"/>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2,732.97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7</w:t>
            </w:r>
          </w:p>
        </w:tc>
        <w:tc>
          <w:tcPr>
            <w:tcW w:w="1032" w:type="pct"/>
            <w:vAlign w:val="center"/>
          </w:tcPr>
          <w:p>
            <w:pPr>
              <w:widowControl/>
              <w:jc w:val="left"/>
              <w:textAlignment w:val="center"/>
              <w:rPr>
                <w:rFonts w:hint="default" w:ascii="宋体" w:hAnsi="宋体" w:cs="宋体"/>
                <w:kern w:val="0"/>
                <w:sz w:val="20"/>
                <w:szCs w:val="16"/>
              </w:rPr>
            </w:pPr>
            <w:r>
              <w:rPr>
                <w:rFonts w:hint="eastAsia" w:ascii="宋体" w:hAnsi="宋体" w:cs="宋体"/>
                <w:b/>
                <w:color w:val="000000"/>
                <w:kern w:val="0"/>
                <w:sz w:val="18"/>
                <w:szCs w:val="18"/>
              </w:rPr>
              <w:t>开发建设支出</w:t>
            </w:r>
          </w:p>
        </w:tc>
        <w:tc>
          <w:tcPr>
            <w:tcW w:w="131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13,180.00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16,721.09 </w:t>
            </w: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8</w:t>
            </w:r>
          </w:p>
        </w:tc>
        <w:tc>
          <w:tcPr>
            <w:tcW w:w="1032" w:type="pct"/>
            <w:vAlign w:val="center"/>
          </w:tcPr>
          <w:p>
            <w:pPr>
              <w:widowControl/>
              <w:jc w:val="left"/>
              <w:textAlignment w:val="center"/>
              <w:rPr>
                <w:rFonts w:hint="default" w:ascii="宋体" w:hAnsi="宋体" w:cs="宋体"/>
                <w:b/>
                <w:kern w:val="0"/>
                <w:sz w:val="20"/>
                <w:szCs w:val="16"/>
              </w:rPr>
            </w:pPr>
            <w:r>
              <w:rPr>
                <w:rFonts w:hint="eastAsia" w:ascii="宋体" w:hAnsi="宋体" w:cs="宋体"/>
                <w:b/>
                <w:color w:val="000000"/>
                <w:kern w:val="0"/>
                <w:sz w:val="18"/>
                <w:szCs w:val="18"/>
              </w:rPr>
              <w:t>融资支出（8=9+10+11）</w:t>
            </w:r>
          </w:p>
        </w:tc>
        <w:tc>
          <w:tcPr>
            <w:tcW w:w="131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94.80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591.43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restar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9</w:t>
            </w: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专项债券利息支出</w:t>
            </w:r>
          </w:p>
        </w:tc>
        <w:tc>
          <w:tcPr>
            <w:tcW w:w="131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94.80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591.43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80" w:type="dxa"/>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continue"/>
            <w:vAlign w:val="center"/>
          </w:tcPr>
          <w:p>
            <w:pPr>
              <w:jc w:val="center"/>
              <w:rPr>
                <w:rFonts w:ascii="宋体" w:hAnsi="宋体" w:cs="宋体"/>
                <w:b/>
                <w:kern w:val="0"/>
                <w:sz w:val="20"/>
                <w:szCs w:val="16"/>
              </w:rPr>
            </w:pP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其中：本批专项债券利息</w:t>
            </w:r>
          </w:p>
        </w:tc>
        <w:tc>
          <w:tcPr>
            <w:tcW w:w="1312"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80" w:type="dxa"/>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restar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10</w:t>
            </w: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专项债券本金支出</w:t>
            </w:r>
          </w:p>
        </w:tc>
        <w:tc>
          <w:tcPr>
            <w:tcW w:w="1312"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Merge w:val="continue"/>
            <w:vAlign w:val="center"/>
          </w:tcPr>
          <w:p>
            <w:pPr>
              <w:jc w:val="center"/>
              <w:rPr>
                <w:rFonts w:ascii="宋体" w:hAnsi="宋体" w:cs="宋体"/>
                <w:b/>
                <w:kern w:val="0"/>
                <w:sz w:val="20"/>
                <w:szCs w:val="16"/>
              </w:rPr>
            </w:pP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其中：本批债券本金</w:t>
            </w:r>
          </w:p>
        </w:tc>
        <w:tc>
          <w:tcPr>
            <w:tcW w:w="1312"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11</w:t>
            </w:r>
          </w:p>
        </w:tc>
        <w:tc>
          <w:tcPr>
            <w:tcW w:w="1032" w:type="pct"/>
            <w:vAlign w:val="center"/>
          </w:tcPr>
          <w:p>
            <w:pPr>
              <w:widowControl/>
              <w:jc w:val="left"/>
              <w:textAlignment w:val="center"/>
              <w:rPr>
                <w:rFonts w:hint="default" w:ascii="宋体" w:hAnsi="宋体" w:cs="宋体"/>
                <w:b w:val="0"/>
                <w:bCs/>
                <w:kern w:val="0"/>
                <w:sz w:val="20"/>
                <w:szCs w:val="16"/>
              </w:rPr>
            </w:pPr>
            <w:r>
              <w:rPr>
                <w:rFonts w:hint="eastAsia" w:ascii="宋体" w:hAnsi="宋体" w:eastAsia="宋体" w:cs="宋体"/>
                <w:b w:val="0"/>
                <w:bCs/>
                <w:color w:val="000000"/>
                <w:kern w:val="0"/>
                <w:sz w:val="18"/>
                <w:szCs w:val="18"/>
              </w:rPr>
              <w:t>银行贷款等市场化配套融资本息</w:t>
            </w:r>
          </w:p>
        </w:tc>
        <w:tc>
          <w:tcPr>
            <w:tcW w:w="1312"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c>
          <w:tcPr>
            <w:tcW w:w="1180" w:type="dxa"/>
            <w:vAlign w:val="center"/>
          </w:tcPr>
          <w:p>
            <w:pPr>
              <w:rPr>
                <w:rFonts w:hint="default" w:ascii="Arial" w:hAnsi="Arial" w:eastAsia="宋体" w:cs="Arial"/>
                <w:i w:val="0"/>
                <w:iCs w:val="0"/>
                <w:color w:val="000000"/>
                <w:kern w:val="0"/>
                <w:sz w:val="20"/>
                <w:szCs w:val="20"/>
                <w:u w:val="none"/>
                <w:lang w:val="en-US" w:eastAsia="zh-CN" w:bidi="ar"/>
              </w:rPr>
            </w:pP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12</w:t>
            </w:r>
          </w:p>
        </w:tc>
        <w:tc>
          <w:tcPr>
            <w:tcW w:w="1032" w:type="pct"/>
            <w:vAlign w:val="center"/>
          </w:tcPr>
          <w:p>
            <w:pPr>
              <w:widowControl/>
              <w:jc w:val="left"/>
              <w:textAlignment w:val="center"/>
              <w:rPr>
                <w:rFonts w:hint="default" w:ascii="宋体" w:hAnsi="宋体" w:cs="宋体"/>
                <w:b/>
                <w:kern w:val="0"/>
                <w:sz w:val="20"/>
                <w:szCs w:val="16"/>
              </w:rPr>
            </w:pPr>
            <w:r>
              <w:rPr>
                <w:rFonts w:hint="eastAsia" w:ascii="宋体" w:hAnsi="宋体" w:cs="宋体"/>
                <w:b/>
                <w:color w:val="000000"/>
                <w:kern w:val="0"/>
                <w:sz w:val="18"/>
                <w:szCs w:val="18"/>
              </w:rPr>
              <w:t>当年结余（12=1-7-8）</w:t>
            </w:r>
          </w:p>
        </w:tc>
        <w:tc>
          <w:tcPr>
            <w:tcW w:w="131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0.00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1,319.13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1,402.84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1,494.92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1,596.22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1,707.63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1,830.20 </w:t>
            </w:r>
          </w:p>
        </w:tc>
        <w:tc>
          <w:tcPr>
            <w:tcW w:w="1180" w:type="dxa"/>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1,965.03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13</w:t>
            </w:r>
          </w:p>
        </w:tc>
        <w:tc>
          <w:tcPr>
            <w:tcW w:w="1032" w:type="pct"/>
            <w:vAlign w:val="center"/>
          </w:tcPr>
          <w:p>
            <w:pPr>
              <w:widowControl/>
              <w:jc w:val="left"/>
              <w:textAlignment w:val="center"/>
              <w:rPr>
                <w:rFonts w:hint="default" w:ascii="宋体" w:hAnsi="宋体" w:cs="宋体"/>
                <w:b/>
                <w:kern w:val="0"/>
                <w:sz w:val="20"/>
                <w:szCs w:val="16"/>
              </w:rPr>
            </w:pPr>
            <w:r>
              <w:rPr>
                <w:rFonts w:hint="eastAsia" w:ascii="宋体" w:hAnsi="宋体" w:cs="宋体"/>
                <w:b/>
                <w:color w:val="000000"/>
                <w:kern w:val="0"/>
                <w:sz w:val="18"/>
                <w:szCs w:val="18"/>
              </w:rPr>
              <w:t>期末累计结余（13）</w:t>
            </w:r>
          </w:p>
        </w:tc>
        <w:tc>
          <w:tcPr>
            <w:tcW w:w="131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0.00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0.00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1,319.13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2,721.97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4,216.89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5,813.11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7,520.74 </w:t>
            </w:r>
          </w:p>
        </w:tc>
        <w:tc>
          <w:tcPr>
            <w:tcW w:w="118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9,350.94 </w:t>
            </w:r>
          </w:p>
        </w:tc>
        <w:tc>
          <w:tcPr>
            <w:tcW w:w="1180" w:type="dxa"/>
            <w:vAlign w:val="center"/>
          </w:tcPr>
          <w:p>
            <w:pPr>
              <w:keepNext w:val="0"/>
              <w:keepLines w:val="0"/>
              <w:widowControl/>
              <w:suppressLineNumbers w:val="0"/>
              <w:jc w:val="right"/>
              <w:textAlignment w:val="center"/>
              <w:rPr>
                <w:rFonts w:hint="default" w:ascii="Arial Narrow" w:hAnsi="Arial Narrow" w:eastAsia="Arial Narrow" w:cs="Arial Narrow"/>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11,315.97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9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14</w:t>
            </w:r>
          </w:p>
        </w:tc>
        <w:tc>
          <w:tcPr>
            <w:tcW w:w="1032" w:type="pct"/>
            <w:vAlign w:val="center"/>
          </w:tcPr>
          <w:p>
            <w:pPr>
              <w:widowControl/>
              <w:jc w:val="left"/>
              <w:textAlignment w:val="center"/>
              <w:rPr>
                <w:rFonts w:hint="default" w:ascii="宋体" w:hAnsi="宋体" w:cs="宋体"/>
                <w:b/>
                <w:kern w:val="0"/>
                <w:sz w:val="20"/>
                <w:szCs w:val="16"/>
              </w:rPr>
            </w:pPr>
            <w:r>
              <w:rPr>
                <w:rFonts w:hint="eastAsia" w:ascii="宋体" w:hAnsi="宋体" w:cs="宋体"/>
                <w:b/>
                <w:color w:val="000000"/>
                <w:kern w:val="0"/>
                <w:sz w:val="18"/>
                <w:szCs w:val="18"/>
              </w:rPr>
              <w:t>净收益覆盖融资成本倍数（14=6/8）</w:t>
            </w:r>
          </w:p>
        </w:tc>
        <w:tc>
          <w:tcPr>
            <w:tcW w:w="463" w:type="pct"/>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416" w:type="pct"/>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416" w:type="pct"/>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416" w:type="pct"/>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416" w:type="pct"/>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416" w:type="pct"/>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416" w:type="pct"/>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416" w:type="pct"/>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c>
          <w:tcPr>
            <w:tcW w:w="416" w:type="pct"/>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p>
        </w:tc>
      </w:tr>
    </w:tbl>
    <w:p>
      <w:pPr>
        <w:pStyle w:val="2"/>
        <w:rPr>
          <w:rFonts w:hint="default"/>
          <w:lang w:val="en-US" w:eastAsia="zh-CN"/>
        </w:rPr>
      </w:pPr>
    </w:p>
    <w:p>
      <w:pPr>
        <w:pStyle w:val="2"/>
        <w:ind w:left="0" w:leftChars="0" w:firstLine="0" w:firstLineChars="0"/>
        <w:rPr>
          <w:rFonts w:hint="default" w:ascii="仿宋" w:hAnsi="仿宋" w:eastAsia="仿宋" w:cs="宋体"/>
          <w:b/>
          <w:sz w:val="28"/>
          <w:szCs w:val="28"/>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pPr>
        <w:ind w:firstLine="562" w:firstLineChars="200"/>
        <w:jc w:val="center"/>
        <w:rPr>
          <w:rFonts w:hint="eastAsia" w:ascii="仿宋" w:hAnsi="仿宋" w:eastAsia="仿宋" w:cs="宋体"/>
          <w:b/>
          <w:sz w:val="28"/>
          <w:szCs w:val="28"/>
        </w:rPr>
      </w:pPr>
      <w:r>
        <w:rPr>
          <w:rFonts w:hint="eastAsia" w:ascii="仿宋" w:hAnsi="仿宋" w:eastAsia="仿宋" w:cs="宋体"/>
          <w:b/>
          <w:sz w:val="28"/>
          <w:szCs w:val="28"/>
          <w:lang w:val="en-US" w:eastAsia="zh-CN"/>
        </w:rPr>
        <w:t>资金</w:t>
      </w:r>
      <w:r>
        <w:rPr>
          <w:rFonts w:hint="eastAsia" w:ascii="仿宋" w:hAnsi="仿宋" w:eastAsia="仿宋" w:cs="宋体"/>
          <w:b/>
          <w:sz w:val="28"/>
          <w:szCs w:val="28"/>
        </w:rPr>
        <w:t>平衡表</w:t>
      </w:r>
    </w:p>
    <w:p>
      <w:pPr>
        <w:ind w:firstLine="482" w:firstLineChars="200"/>
        <w:jc w:val="right"/>
        <w:rPr>
          <w:rFonts w:hint="default" w:ascii="仿宋" w:hAnsi="仿宋" w:eastAsia="仿宋" w:cs="宋体"/>
          <w:b/>
          <w:sz w:val="24"/>
        </w:rPr>
      </w:pPr>
      <w:r>
        <w:rPr>
          <w:rFonts w:hint="eastAsia" w:ascii="仿宋" w:hAnsi="仿宋" w:eastAsia="仿宋" w:cs="宋体"/>
          <w:b/>
          <w:sz w:val="24"/>
        </w:rPr>
        <w:t>单位：万元</w:t>
      </w:r>
    </w:p>
    <w:tbl>
      <w:tblPr>
        <w:tblStyle w:val="23"/>
        <w:tblW w:w="4998" w:type="pct"/>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477"/>
        <w:gridCol w:w="2881"/>
        <w:gridCol w:w="1267"/>
        <w:gridCol w:w="1147"/>
        <w:gridCol w:w="1147"/>
        <w:gridCol w:w="1147"/>
        <w:gridCol w:w="1147"/>
        <w:gridCol w:w="1147"/>
        <w:gridCol w:w="1152"/>
        <w:gridCol w:w="1151"/>
        <w:gridCol w:w="1221"/>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0" w:hRule="atLeast"/>
          <w:tblHeader/>
        </w:trPr>
        <w:tc>
          <w:tcPr>
            <w:tcW w:w="172" w:type="pct"/>
            <w:vAlign w:val="center"/>
          </w:tcPr>
          <w:p>
            <w:pPr>
              <w:jc w:val="center"/>
              <w:rPr>
                <w:rFonts w:ascii="宋体" w:hAnsi="宋体" w:cs="宋体"/>
                <w:b/>
                <w:kern w:val="0"/>
                <w:sz w:val="20"/>
                <w:szCs w:val="16"/>
              </w:rPr>
            </w:pPr>
            <w:r>
              <w:rPr>
                <w:rFonts w:hint="eastAsia" w:ascii="宋体" w:hAnsi="宋体" w:cs="宋体"/>
                <w:b/>
                <w:kern w:val="0"/>
                <w:sz w:val="20"/>
                <w:szCs w:val="16"/>
              </w:rPr>
              <w:t>序号</w:t>
            </w:r>
          </w:p>
        </w:tc>
        <w:tc>
          <w:tcPr>
            <w:tcW w:w="1038" w:type="pct"/>
            <w:vAlign w:val="center"/>
          </w:tcPr>
          <w:p>
            <w:pPr>
              <w:jc w:val="center"/>
              <w:rPr>
                <w:rFonts w:ascii="宋体" w:hAnsi="宋体" w:cs="宋体"/>
                <w:b/>
                <w:kern w:val="0"/>
                <w:sz w:val="20"/>
                <w:szCs w:val="16"/>
              </w:rPr>
            </w:pPr>
            <w:r>
              <w:rPr>
                <w:rFonts w:hint="eastAsia" w:ascii="宋体" w:hAnsi="宋体" w:cs="宋体"/>
                <w:b/>
                <w:kern w:val="0"/>
                <w:sz w:val="20"/>
                <w:szCs w:val="16"/>
              </w:rPr>
              <w:t>项目</w:t>
            </w:r>
          </w:p>
        </w:tc>
        <w:tc>
          <w:tcPr>
            <w:tcW w:w="1301"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2032</w:t>
            </w:r>
            <w:r>
              <w:rPr>
                <w:rFonts w:hint="eastAsia" w:ascii="宋体" w:hAnsi="宋体" w:eastAsia="宋体" w:cs="宋体"/>
                <w:b/>
                <w:bCs/>
                <w:i w:val="0"/>
                <w:iCs w:val="0"/>
                <w:color w:val="000000"/>
                <w:kern w:val="0"/>
                <w:sz w:val="18"/>
                <w:szCs w:val="18"/>
                <w:u w:val="none"/>
                <w:lang w:val="en-US" w:eastAsia="zh-CN" w:bidi="ar"/>
              </w:rPr>
              <w:t>年</w:t>
            </w:r>
          </w:p>
        </w:tc>
        <w:tc>
          <w:tcPr>
            <w:tcW w:w="1169" w:type="dxa"/>
            <w:vAlign w:val="center"/>
          </w:tcPr>
          <w:p>
            <w:pPr>
              <w:keepNext w:val="0"/>
              <w:keepLines w:val="0"/>
              <w:widowControl/>
              <w:suppressLineNumbers w:val="0"/>
              <w:jc w:val="center"/>
              <w:textAlignment w:val="center"/>
              <w:rPr>
                <w:rFonts w:hint="eastAsia" w:ascii="Arial" w:hAnsi="Arial" w:eastAsia="宋体" w:cs="Arial"/>
                <w:i w:val="0"/>
                <w:iCs w:val="0"/>
                <w:color w:val="000000"/>
                <w:kern w:val="0"/>
                <w:sz w:val="20"/>
                <w:szCs w:val="20"/>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2033</w:t>
            </w:r>
            <w:r>
              <w:rPr>
                <w:rFonts w:hint="eastAsia" w:ascii="宋体" w:hAnsi="宋体" w:eastAsia="宋体" w:cs="宋体"/>
                <w:b/>
                <w:bCs/>
                <w:i w:val="0"/>
                <w:iCs w:val="0"/>
                <w:color w:val="000000"/>
                <w:kern w:val="0"/>
                <w:sz w:val="18"/>
                <w:szCs w:val="18"/>
                <w:u w:val="none"/>
                <w:lang w:val="en-US" w:eastAsia="zh-CN" w:bidi="ar"/>
              </w:rPr>
              <w:t>年</w:t>
            </w:r>
          </w:p>
        </w:tc>
        <w:tc>
          <w:tcPr>
            <w:tcW w:w="1169"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2034</w:t>
            </w:r>
            <w:r>
              <w:rPr>
                <w:rFonts w:hint="eastAsia" w:ascii="宋体" w:hAnsi="宋体" w:eastAsia="宋体" w:cs="宋体"/>
                <w:b/>
                <w:bCs/>
                <w:i w:val="0"/>
                <w:iCs w:val="0"/>
                <w:color w:val="000000"/>
                <w:kern w:val="0"/>
                <w:sz w:val="18"/>
                <w:szCs w:val="18"/>
                <w:u w:val="none"/>
                <w:lang w:val="en-US" w:eastAsia="zh-CN" w:bidi="ar"/>
              </w:rPr>
              <w:t>年</w:t>
            </w:r>
          </w:p>
        </w:tc>
        <w:tc>
          <w:tcPr>
            <w:tcW w:w="1169"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2035</w:t>
            </w:r>
            <w:r>
              <w:rPr>
                <w:rFonts w:hint="eastAsia" w:ascii="宋体" w:hAnsi="宋体" w:eastAsia="宋体" w:cs="宋体"/>
                <w:b/>
                <w:bCs/>
                <w:i w:val="0"/>
                <w:iCs w:val="0"/>
                <w:color w:val="000000"/>
                <w:kern w:val="0"/>
                <w:sz w:val="18"/>
                <w:szCs w:val="18"/>
                <w:u w:val="none"/>
                <w:lang w:val="en-US" w:eastAsia="zh-CN" w:bidi="ar"/>
              </w:rPr>
              <w:t>年</w:t>
            </w:r>
          </w:p>
        </w:tc>
        <w:tc>
          <w:tcPr>
            <w:tcW w:w="1169"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2036</w:t>
            </w:r>
            <w:r>
              <w:rPr>
                <w:rFonts w:hint="eastAsia" w:ascii="宋体" w:hAnsi="宋体" w:eastAsia="宋体" w:cs="宋体"/>
                <w:b/>
                <w:bCs/>
                <w:i w:val="0"/>
                <w:iCs w:val="0"/>
                <w:color w:val="000000"/>
                <w:kern w:val="0"/>
                <w:sz w:val="18"/>
                <w:szCs w:val="18"/>
                <w:u w:val="none"/>
                <w:lang w:val="en-US" w:eastAsia="zh-CN" w:bidi="ar"/>
              </w:rPr>
              <w:t>年</w:t>
            </w:r>
          </w:p>
        </w:tc>
        <w:tc>
          <w:tcPr>
            <w:tcW w:w="1169"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2037</w:t>
            </w:r>
            <w:r>
              <w:rPr>
                <w:rFonts w:hint="eastAsia" w:ascii="宋体" w:hAnsi="宋体" w:eastAsia="宋体" w:cs="宋体"/>
                <w:b/>
                <w:bCs/>
                <w:i w:val="0"/>
                <w:iCs w:val="0"/>
                <w:color w:val="000000"/>
                <w:kern w:val="0"/>
                <w:sz w:val="18"/>
                <w:szCs w:val="18"/>
                <w:u w:val="none"/>
                <w:lang w:val="en-US" w:eastAsia="zh-CN" w:bidi="ar"/>
              </w:rPr>
              <w:t>年</w:t>
            </w:r>
          </w:p>
        </w:tc>
        <w:tc>
          <w:tcPr>
            <w:tcW w:w="1169"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2038</w:t>
            </w:r>
            <w:r>
              <w:rPr>
                <w:rFonts w:hint="eastAsia" w:ascii="宋体" w:hAnsi="宋体" w:eastAsia="宋体" w:cs="宋体"/>
                <w:b/>
                <w:bCs/>
                <w:i w:val="0"/>
                <w:iCs w:val="0"/>
                <w:color w:val="000000"/>
                <w:kern w:val="0"/>
                <w:sz w:val="18"/>
                <w:szCs w:val="18"/>
                <w:u w:val="none"/>
                <w:lang w:val="en-US" w:eastAsia="zh-CN" w:bidi="ar"/>
              </w:rPr>
              <w:t>年</w:t>
            </w:r>
          </w:p>
        </w:tc>
        <w:tc>
          <w:tcPr>
            <w:tcW w:w="1173" w:type="dxa"/>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Narrow" w:hAnsi="Arial Narrow" w:eastAsia="Arial Narrow" w:cs="Arial Narrow"/>
                <w:b/>
                <w:bCs/>
                <w:i w:val="0"/>
                <w:iCs w:val="0"/>
                <w:color w:val="000000"/>
                <w:kern w:val="0"/>
                <w:sz w:val="18"/>
                <w:szCs w:val="18"/>
                <w:u w:val="none"/>
                <w:lang w:val="en-US" w:eastAsia="zh-CN" w:bidi="ar"/>
              </w:rPr>
              <w:t>2039</w:t>
            </w:r>
            <w:r>
              <w:rPr>
                <w:rFonts w:hint="eastAsia" w:ascii="宋体" w:hAnsi="宋体" w:eastAsia="宋体" w:cs="宋体"/>
                <w:b/>
                <w:bCs/>
                <w:i w:val="0"/>
                <w:iCs w:val="0"/>
                <w:color w:val="000000"/>
                <w:kern w:val="0"/>
                <w:sz w:val="18"/>
                <w:szCs w:val="18"/>
                <w:u w:val="none"/>
                <w:lang w:val="en-US" w:eastAsia="zh-CN" w:bidi="ar"/>
              </w:rPr>
              <w:t>年</w:t>
            </w:r>
          </w:p>
        </w:tc>
        <w:tc>
          <w:tcPr>
            <w:tcW w:w="124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合计</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w:t>
            </w:r>
          </w:p>
        </w:tc>
        <w:tc>
          <w:tcPr>
            <w:tcW w:w="1038" w:type="pct"/>
            <w:vAlign w:val="center"/>
          </w:tcPr>
          <w:p>
            <w:pPr>
              <w:widowControl/>
              <w:jc w:val="left"/>
              <w:textAlignment w:val="center"/>
              <w:rPr>
                <w:rFonts w:hint="default" w:ascii="宋体" w:hAnsi="宋体" w:cs="宋体"/>
                <w:b/>
                <w:kern w:val="0"/>
                <w:sz w:val="20"/>
                <w:szCs w:val="16"/>
              </w:rPr>
            </w:pPr>
            <w:r>
              <w:rPr>
                <w:rFonts w:hint="eastAsia" w:ascii="宋体" w:hAnsi="宋体" w:cs="宋体"/>
                <w:b/>
                <w:color w:val="000000"/>
                <w:kern w:val="0"/>
                <w:sz w:val="18"/>
                <w:szCs w:val="18"/>
              </w:rPr>
              <w:t>项目资金流入（1=2+3+4+5+6）</w:t>
            </w:r>
          </w:p>
        </w:tc>
        <w:tc>
          <w:tcPr>
            <w:tcW w:w="130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2,881.26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3,044.40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3,223.85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3,421.24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3,440.22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3,461.11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3,484.08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1,742.05 </w:t>
            </w: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71,977.08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0" w:hRule="atLeast"/>
        </w:trPr>
        <w:tc>
          <w:tcPr>
            <w:tcW w:w="172" w:type="pct"/>
            <w:vMerge w:val="restar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2</w:t>
            </w: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自有资金投入（不含专项债券）</w:t>
            </w:r>
          </w:p>
        </w:tc>
        <w:tc>
          <w:tcPr>
            <w:tcW w:w="130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6,065.55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0" w:hRule="atLeast"/>
        </w:trPr>
        <w:tc>
          <w:tcPr>
            <w:tcW w:w="172" w:type="pct"/>
            <w:vMerge w:val="continue"/>
            <w:vAlign w:val="center"/>
          </w:tcPr>
          <w:p>
            <w:pPr>
              <w:jc w:val="center"/>
              <w:rPr>
                <w:rFonts w:ascii="宋体" w:hAnsi="宋体" w:cs="宋体"/>
                <w:b/>
                <w:kern w:val="0"/>
                <w:sz w:val="20"/>
                <w:szCs w:val="16"/>
              </w:rPr>
            </w:pP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其中：财政资金</w:t>
            </w:r>
          </w:p>
        </w:tc>
        <w:tc>
          <w:tcPr>
            <w:tcW w:w="1302"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6,065.55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3</w:t>
            </w: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银行贷款等市场化配套融资</w:t>
            </w:r>
          </w:p>
        </w:tc>
        <w:tc>
          <w:tcPr>
            <w:tcW w:w="1302"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0" w:hRule="atLeast"/>
        </w:trPr>
        <w:tc>
          <w:tcPr>
            <w:tcW w:w="172" w:type="pct"/>
            <w:vMerge w:val="restar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4</w:t>
            </w: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专项债券资金</w:t>
            </w:r>
          </w:p>
        </w:tc>
        <w:tc>
          <w:tcPr>
            <w:tcW w:w="130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24,000.00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0" w:hRule="atLeast"/>
        </w:trPr>
        <w:tc>
          <w:tcPr>
            <w:tcW w:w="172" w:type="pct"/>
            <w:vMerge w:val="continue"/>
            <w:vAlign w:val="center"/>
          </w:tcPr>
          <w:p>
            <w:pPr>
              <w:jc w:val="center"/>
              <w:rPr>
                <w:rFonts w:ascii="宋体" w:hAnsi="宋体" w:cs="宋体"/>
                <w:b/>
                <w:kern w:val="0"/>
                <w:sz w:val="20"/>
                <w:szCs w:val="16"/>
              </w:rPr>
            </w:pP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其中：本批债券</w:t>
            </w:r>
          </w:p>
        </w:tc>
        <w:tc>
          <w:tcPr>
            <w:tcW w:w="1302"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1,680.00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5</w:t>
            </w: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其他资金</w:t>
            </w:r>
          </w:p>
        </w:tc>
        <w:tc>
          <w:tcPr>
            <w:tcW w:w="1302"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6</w:t>
            </w: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净收益</w:t>
            </w:r>
          </w:p>
        </w:tc>
        <w:tc>
          <w:tcPr>
            <w:tcW w:w="130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2,881.26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3,044.40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3,223.85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3,421.24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3,440.22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3,461.11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3,484.08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1,742.05 </w:t>
            </w: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41,911.53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7</w:t>
            </w:r>
          </w:p>
        </w:tc>
        <w:tc>
          <w:tcPr>
            <w:tcW w:w="1038" w:type="pct"/>
            <w:vAlign w:val="center"/>
          </w:tcPr>
          <w:p>
            <w:pPr>
              <w:widowControl/>
              <w:jc w:val="left"/>
              <w:textAlignment w:val="center"/>
              <w:rPr>
                <w:rFonts w:hint="default" w:ascii="宋体" w:hAnsi="宋体" w:cs="宋体"/>
                <w:kern w:val="0"/>
                <w:sz w:val="20"/>
                <w:szCs w:val="16"/>
              </w:rPr>
            </w:pPr>
            <w:r>
              <w:rPr>
                <w:rFonts w:hint="eastAsia" w:ascii="宋体" w:hAnsi="宋体" w:cs="宋体"/>
                <w:b/>
                <w:color w:val="000000"/>
                <w:kern w:val="0"/>
                <w:sz w:val="18"/>
                <w:szCs w:val="18"/>
              </w:rPr>
              <w:t>开发建设支出</w:t>
            </w:r>
          </w:p>
        </w:tc>
        <w:tc>
          <w:tcPr>
            <w:tcW w:w="1302"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29,901.09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8</w:t>
            </w:r>
          </w:p>
        </w:tc>
        <w:tc>
          <w:tcPr>
            <w:tcW w:w="1038" w:type="pct"/>
            <w:vAlign w:val="center"/>
          </w:tcPr>
          <w:p>
            <w:pPr>
              <w:widowControl/>
              <w:jc w:val="left"/>
              <w:textAlignment w:val="center"/>
              <w:rPr>
                <w:rFonts w:hint="default" w:ascii="宋体" w:hAnsi="宋体" w:cs="宋体"/>
                <w:b/>
                <w:kern w:val="0"/>
                <w:sz w:val="20"/>
                <w:szCs w:val="16"/>
              </w:rPr>
            </w:pPr>
            <w:r>
              <w:rPr>
                <w:rFonts w:hint="eastAsia" w:ascii="宋体" w:hAnsi="宋体" w:cs="宋体"/>
                <w:b/>
                <w:color w:val="000000"/>
                <w:kern w:val="0"/>
                <w:sz w:val="18"/>
                <w:szCs w:val="18"/>
              </w:rPr>
              <w:t>融资支出（8=9+10+11）</w:t>
            </w:r>
          </w:p>
        </w:tc>
        <w:tc>
          <w:tcPr>
            <w:tcW w:w="130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13,853.14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10,996.51 </w:t>
            </w: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35,519.10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0" w:hRule="atLeast"/>
        </w:trPr>
        <w:tc>
          <w:tcPr>
            <w:tcW w:w="172" w:type="pct"/>
            <w:vMerge w:val="restar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9</w:t>
            </w: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专项债券利息支出</w:t>
            </w:r>
          </w:p>
        </w:tc>
        <w:tc>
          <w:tcPr>
            <w:tcW w:w="130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767.94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673.14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176.51 </w:t>
            </w: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11,519.10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0" w:hRule="atLeast"/>
        </w:trPr>
        <w:tc>
          <w:tcPr>
            <w:tcW w:w="172" w:type="pct"/>
            <w:vMerge w:val="continue"/>
            <w:vAlign w:val="center"/>
          </w:tcPr>
          <w:p>
            <w:pPr>
              <w:jc w:val="center"/>
              <w:rPr>
                <w:rFonts w:ascii="宋体" w:hAnsi="宋体" w:cs="宋体"/>
                <w:b/>
                <w:kern w:val="0"/>
                <w:sz w:val="20"/>
                <w:szCs w:val="16"/>
              </w:rPr>
            </w:pP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其中：本批专项债券利息</w:t>
            </w:r>
          </w:p>
        </w:tc>
        <w:tc>
          <w:tcPr>
            <w:tcW w:w="130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54.81 </w:t>
            </w: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822.20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0" w:hRule="atLeast"/>
        </w:trPr>
        <w:tc>
          <w:tcPr>
            <w:tcW w:w="172" w:type="pct"/>
            <w:vMerge w:val="restar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10</w:t>
            </w: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专项债券本金支出</w:t>
            </w:r>
          </w:p>
        </w:tc>
        <w:tc>
          <w:tcPr>
            <w:tcW w:w="1302"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13,180.00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10,820.00 </w:t>
            </w: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24,000.00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0" w:hRule="atLeast"/>
        </w:trPr>
        <w:tc>
          <w:tcPr>
            <w:tcW w:w="172" w:type="pct"/>
            <w:vMerge w:val="continue"/>
            <w:vAlign w:val="center"/>
          </w:tcPr>
          <w:p>
            <w:pPr>
              <w:jc w:val="center"/>
              <w:rPr>
                <w:rFonts w:ascii="宋体" w:hAnsi="宋体" w:cs="宋体"/>
                <w:b/>
                <w:kern w:val="0"/>
                <w:sz w:val="20"/>
                <w:szCs w:val="16"/>
              </w:rPr>
            </w:pP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cs="宋体"/>
                <w:b w:val="0"/>
                <w:bCs/>
                <w:color w:val="000000"/>
                <w:kern w:val="0"/>
                <w:sz w:val="18"/>
                <w:szCs w:val="18"/>
              </w:rPr>
              <w:t>其中：本批债券本金</w:t>
            </w:r>
          </w:p>
        </w:tc>
        <w:tc>
          <w:tcPr>
            <w:tcW w:w="1302"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1,680.00 </w:t>
            </w: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1,680.00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11</w:t>
            </w:r>
          </w:p>
        </w:tc>
        <w:tc>
          <w:tcPr>
            <w:tcW w:w="1038" w:type="pct"/>
            <w:vAlign w:val="center"/>
          </w:tcPr>
          <w:p>
            <w:pPr>
              <w:widowControl/>
              <w:jc w:val="left"/>
              <w:textAlignment w:val="center"/>
              <w:rPr>
                <w:rFonts w:hint="default" w:ascii="宋体" w:hAnsi="宋体" w:cs="宋体"/>
                <w:b w:val="0"/>
                <w:bCs/>
                <w:kern w:val="0"/>
                <w:sz w:val="20"/>
                <w:szCs w:val="16"/>
              </w:rPr>
            </w:pPr>
            <w:r>
              <w:rPr>
                <w:rFonts w:hint="eastAsia" w:ascii="宋体" w:hAnsi="宋体" w:eastAsia="宋体" w:cs="宋体"/>
                <w:b w:val="0"/>
                <w:bCs/>
                <w:color w:val="000000"/>
                <w:kern w:val="0"/>
                <w:sz w:val="18"/>
                <w:szCs w:val="18"/>
              </w:rPr>
              <w:t>银行贷款等市场化配套融资本息</w:t>
            </w:r>
          </w:p>
        </w:tc>
        <w:tc>
          <w:tcPr>
            <w:tcW w:w="1302"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12</w:t>
            </w:r>
          </w:p>
        </w:tc>
        <w:tc>
          <w:tcPr>
            <w:tcW w:w="1038" w:type="pct"/>
            <w:vAlign w:val="center"/>
          </w:tcPr>
          <w:p>
            <w:pPr>
              <w:widowControl/>
              <w:jc w:val="left"/>
              <w:textAlignment w:val="center"/>
              <w:rPr>
                <w:rFonts w:hint="default" w:ascii="宋体" w:hAnsi="宋体" w:cs="宋体"/>
                <w:b/>
                <w:kern w:val="0"/>
                <w:sz w:val="20"/>
                <w:szCs w:val="16"/>
              </w:rPr>
            </w:pPr>
            <w:r>
              <w:rPr>
                <w:rFonts w:hint="eastAsia" w:ascii="宋体" w:hAnsi="宋体" w:cs="宋体"/>
                <w:b/>
                <w:color w:val="000000"/>
                <w:kern w:val="0"/>
                <w:sz w:val="18"/>
                <w:szCs w:val="18"/>
              </w:rPr>
              <w:t>当年结余（12=1-7-8）</w:t>
            </w:r>
          </w:p>
        </w:tc>
        <w:tc>
          <w:tcPr>
            <w:tcW w:w="130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2,113.32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2,276.46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2,455.91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2,653.30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2,672.28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2,693.17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-10,369.06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-9,254.46 </w:t>
            </w: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6,556.89 </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13</w:t>
            </w:r>
          </w:p>
        </w:tc>
        <w:tc>
          <w:tcPr>
            <w:tcW w:w="1038" w:type="pct"/>
            <w:vAlign w:val="center"/>
          </w:tcPr>
          <w:p>
            <w:pPr>
              <w:widowControl/>
              <w:jc w:val="left"/>
              <w:textAlignment w:val="center"/>
              <w:rPr>
                <w:rFonts w:hint="default" w:ascii="宋体" w:hAnsi="宋体" w:cs="宋体"/>
                <w:b/>
                <w:kern w:val="0"/>
                <w:sz w:val="20"/>
                <w:szCs w:val="16"/>
              </w:rPr>
            </w:pPr>
            <w:r>
              <w:rPr>
                <w:rFonts w:hint="eastAsia" w:ascii="宋体" w:hAnsi="宋体" w:cs="宋体"/>
                <w:b/>
                <w:color w:val="000000"/>
                <w:kern w:val="0"/>
                <w:sz w:val="18"/>
                <w:szCs w:val="18"/>
              </w:rPr>
              <w:t>期末累计结余（13）</w:t>
            </w:r>
          </w:p>
        </w:tc>
        <w:tc>
          <w:tcPr>
            <w:tcW w:w="1302"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13,429.29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15,705.75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18,161.66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20,814.96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23,487.24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26,180.41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15,811.35 </w:t>
            </w:r>
          </w:p>
        </w:tc>
        <w:tc>
          <w:tcPr>
            <w:tcW w:w="1169"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6,556.89 </w:t>
            </w:r>
          </w:p>
        </w:tc>
        <w:tc>
          <w:tcPr>
            <w:tcW w:w="1250" w:type="dxa"/>
            <w:vAlign w:val="center"/>
          </w:tcPr>
          <w:p>
            <w:pPr>
              <w:rPr>
                <w:rFonts w:hint="default" w:ascii="Arial" w:hAnsi="Arial" w:eastAsia="宋体" w:cs="Arial"/>
                <w:i w:val="0"/>
                <w:iCs w:val="0"/>
                <w:color w:val="000000"/>
                <w:kern w:val="0"/>
                <w:sz w:val="20"/>
                <w:szCs w:val="20"/>
                <w:u w:val="none"/>
                <w:lang w:val="en-US" w:eastAsia="zh-CN" w:bidi="ar"/>
              </w:rPr>
            </w:pP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PrEx>
        <w:trPr>
          <w:trHeight w:val="340" w:hRule="atLeast"/>
        </w:trPr>
        <w:tc>
          <w:tcPr>
            <w:tcW w:w="172" w:type="pct"/>
            <w:vAlign w:val="center"/>
          </w:tcPr>
          <w:p>
            <w:pPr>
              <w:widowControl/>
              <w:jc w:val="center"/>
              <w:textAlignment w:val="center"/>
              <w:rPr>
                <w:rFonts w:ascii="宋体" w:hAnsi="宋体" w:cs="宋体"/>
                <w:b/>
                <w:kern w:val="0"/>
                <w:sz w:val="20"/>
                <w:szCs w:val="16"/>
              </w:rPr>
            </w:pPr>
            <w:r>
              <w:rPr>
                <w:rFonts w:hint="eastAsia" w:ascii="宋体" w:hAnsi="宋体" w:cs="宋体"/>
                <w:b/>
                <w:color w:val="000000"/>
                <w:kern w:val="0"/>
                <w:sz w:val="18"/>
                <w:szCs w:val="18"/>
              </w:rPr>
              <w:t>14</w:t>
            </w:r>
          </w:p>
        </w:tc>
        <w:tc>
          <w:tcPr>
            <w:tcW w:w="1038" w:type="pct"/>
            <w:vAlign w:val="center"/>
          </w:tcPr>
          <w:p>
            <w:pPr>
              <w:widowControl/>
              <w:jc w:val="left"/>
              <w:textAlignment w:val="center"/>
              <w:rPr>
                <w:rFonts w:hint="default" w:ascii="宋体" w:hAnsi="宋体" w:cs="宋体"/>
                <w:b/>
                <w:kern w:val="0"/>
                <w:sz w:val="20"/>
                <w:szCs w:val="16"/>
              </w:rPr>
            </w:pPr>
            <w:r>
              <w:rPr>
                <w:rFonts w:hint="eastAsia" w:ascii="宋体" w:hAnsi="宋体" w:cs="宋体"/>
                <w:b/>
                <w:color w:val="000000"/>
                <w:kern w:val="0"/>
                <w:sz w:val="18"/>
                <w:szCs w:val="18"/>
              </w:rPr>
              <w:t>净收益覆盖融资成本倍数（14=6/8）</w:t>
            </w:r>
          </w:p>
        </w:tc>
        <w:tc>
          <w:tcPr>
            <w:tcW w:w="1302"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169" w:type="dxa"/>
            <w:vAlign w:val="center"/>
          </w:tcPr>
          <w:p>
            <w:pPr>
              <w:rPr>
                <w:rFonts w:hint="default" w:ascii="Arial" w:hAnsi="Arial" w:eastAsia="宋体" w:cs="Arial"/>
                <w:i w:val="0"/>
                <w:iCs w:val="0"/>
                <w:color w:val="000000"/>
                <w:kern w:val="0"/>
                <w:sz w:val="20"/>
                <w:szCs w:val="20"/>
                <w:u w:val="none"/>
                <w:lang w:val="en-US" w:eastAsia="zh-CN" w:bidi="ar"/>
              </w:rPr>
            </w:pPr>
          </w:p>
        </w:tc>
        <w:tc>
          <w:tcPr>
            <w:tcW w:w="1250" w:type="dxa"/>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eastAsia="zh-CN" w:bidi="ar"/>
              </w:rPr>
            </w:pPr>
            <w:r>
              <w:rPr>
                <w:rFonts w:hint="default" w:ascii="Arial Narrow" w:hAnsi="Arial Narrow" w:eastAsia="Arial Narrow" w:cs="Arial Narrow"/>
                <w:i w:val="0"/>
                <w:iCs w:val="0"/>
                <w:color w:val="000000"/>
                <w:kern w:val="0"/>
                <w:sz w:val="20"/>
                <w:szCs w:val="20"/>
                <w:u w:val="none"/>
                <w:lang w:val="en-US" w:eastAsia="zh-CN" w:bidi="ar"/>
              </w:rPr>
              <w:t xml:space="preserve"> 1.18 </w:t>
            </w:r>
          </w:p>
        </w:tc>
      </w:tr>
    </w:tbl>
    <w:p>
      <w:pPr>
        <w:pStyle w:val="2"/>
        <w:ind w:left="0" w:leftChars="0" w:firstLine="0" w:firstLineChars="0"/>
        <w:rPr>
          <w:rFonts w:hint="eastAsia" w:ascii="宋体" w:hAnsi="宋体" w:eastAsia="宋体" w:cs="宋体"/>
        </w:rPr>
        <w:sectPr>
          <w:headerReference r:id="rId13" w:type="first"/>
          <w:footerReference r:id="rId15" w:type="first"/>
          <w:footerReference r:id="rId14" w:type="default"/>
          <w:pgSz w:w="16838" w:h="11906" w:orient="landscape"/>
          <w:pgMar w:top="1797" w:right="1724" w:bottom="1797" w:left="1440" w:header="851" w:footer="992" w:gutter="0"/>
          <w:pgBorders>
            <w:top w:val="none" w:sz="0" w:space="0"/>
            <w:left w:val="none" w:sz="0" w:space="0"/>
            <w:bottom w:val="none" w:sz="0" w:space="0"/>
            <w:right w:val="none" w:sz="0" w:space="0"/>
          </w:pgBorders>
          <w:cols w:space="720" w:num="1"/>
          <w:titlePg/>
          <w:docGrid w:linePitch="312" w:charSpace="0"/>
        </w:sectPr>
      </w:pPr>
    </w:p>
    <w:p>
      <w:pPr>
        <w:pStyle w:val="12"/>
        <w:snapToGrid w:val="0"/>
        <w:spacing w:before="120" w:beforeLines="50" w:line="360" w:lineRule="auto"/>
        <w:ind w:firstLine="561" w:firstLineChars="200"/>
        <w:outlineLvl w:val="0"/>
        <w:rPr>
          <w:rFonts w:hint="eastAsia" w:ascii="宋体" w:hAnsi="宋体" w:eastAsia="宋体" w:cs="宋体"/>
          <w:b/>
          <w:bCs/>
          <w:sz w:val="28"/>
          <w:szCs w:val="28"/>
        </w:rPr>
      </w:pPr>
      <w:r>
        <w:rPr>
          <w:rFonts w:hint="eastAsia" w:ascii="宋体" w:hAnsi="宋体" w:eastAsia="宋体" w:cs="宋体"/>
          <w:b/>
          <w:bCs/>
          <w:sz w:val="28"/>
          <w:szCs w:val="28"/>
        </w:rPr>
        <w:t>六、评价要素</w:t>
      </w:r>
    </w:p>
    <w:p>
      <w:pPr>
        <w:snapToGrid w:val="0"/>
        <w:spacing w:before="120" w:beforeLines="50"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（一）项目收益净现金流入的稳定性</w:t>
      </w:r>
    </w:p>
    <w:p>
      <w:pPr>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在债券存续期内，项目收益可有效覆盖债券对应项目融资成本，且每年留存资金可</w:t>
      </w:r>
      <w:r>
        <w:rPr>
          <w:rFonts w:hint="eastAsia" w:ascii="宋体" w:hAnsi="宋体" w:eastAsia="宋体" w:cs="宋体"/>
          <w:sz w:val="28"/>
          <w:szCs w:val="28"/>
          <w:lang w:val="en-US" w:eastAsia="zh-CN"/>
        </w:rPr>
        <w:t>以支付后期债券存续期间的利息支出及到期的本金偿还支出。截至20</w:t>
      </w:r>
      <w:r>
        <w:rPr>
          <w:rFonts w:hint="eastAsia" w:ascii="宋体" w:hAnsi="宋体" w:cs="宋体"/>
          <w:sz w:val="28"/>
          <w:szCs w:val="28"/>
          <w:lang w:val="en-US" w:eastAsia="zh-CN"/>
        </w:rPr>
        <w:t>39</w:t>
      </w:r>
      <w:r>
        <w:rPr>
          <w:rFonts w:hint="eastAsia" w:ascii="宋体" w:hAnsi="宋体" w:eastAsia="宋体" w:cs="宋体"/>
          <w:sz w:val="28"/>
          <w:szCs w:val="28"/>
          <w:lang w:val="en-US" w:eastAsia="zh-CN"/>
        </w:rPr>
        <w:t>年还本息后项目累计净现金结余 6,556.89 万元，因此该项目</w:t>
      </w:r>
      <w:r>
        <w:rPr>
          <w:rFonts w:hint="eastAsia" w:ascii="宋体" w:hAnsi="宋体" w:cs="宋体"/>
          <w:sz w:val="28"/>
          <w:szCs w:val="28"/>
          <w:lang w:val="en-US" w:eastAsia="zh-CN"/>
        </w:rPr>
        <w:t>在</w:t>
      </w:r>
      <w:r>
        <w:rPr>
          <w:rFonts w:hint="eastAsia" w:ascii="宋体" w:hAnsi="宋体" w:cs="宋体"/>
          <w:color w:val="auto"/>
          <w:sz w:val="28"/>
          <w:szCs w:val="28"/>
          <w:lang w:val="en-US" w:eastAsia="zh-CN"/>
        </w:rPr>
        <w:t>上述预测假设前提下</w:t>
      </w:r>
      <w:r>
        <w:rPr>
          <w:rFonts w:hint="eastAsia" w:ascii="宋体" w:hAnsi="宋体" w:eastAsia="宋体" w:cs="宋体"/>
          <w:sz w:val="28"/>
          <w:szCs w:val="28"/>
          <w:lang w:val="en-US" w:eastAsia="zh-CN"/>
        </w:rPr>
        <w:t>资金稳定性总体上可以得到保证。</w:t>
      </w:r>
    </w:p>
    <w:p>
      <w:pPr>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（二）项目收益净现金流入的充足性</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该债券募投项目收益</w:t>
      </w:r>
      <w:r>
        <w:rPr>
          <w:rFonts w:hint="eastAsia" w:ascii="宋体" w:hAnsi="宋体" w:eastAsia="宋体" w:cs="宋体"/>
          <w:sz w:val="28"/>
          <w:szCs w:val="28"/>
          <w:lang w:val="en-US" w:eastAsia="zh-CN"/>
        </w:rPr>
        <w:t>主要为</w:t>
      </w:r>
      <w:r>
        <w:rPr>
          <w:rFonts w:hint="eastAsia" w:ascii="宋体" w:hAnsi="宋体" w:eastAsia="宋体" w:cs="宋体"/>
          <w:kern w:val="2"/>
          <w:sz w:val="28"/>
          <w:szCs w:val="28"/>
          <w:lang w:val="en-US" w:eastAsia="zh-CN" w:bidi="ar-SA"/>
        </w:rPr>
        <w:t>保教费收入、食宿午托收入、教育培训收入和申请财政补助收入</w:t>
      </w:r>
      <w:r>
        <w:rPr>
          <w:rFonts w:hint="eastAsia" w:ascii="宋体" w:hAnsi="宋体" w:eastAsia="宋体" w:cs="宋体"/>
          <w:sz w:val="28"/>
          <w:szCs w:val="28"/>
          <w:lang w:eastAsia="zh-CN"/>
        </w:rPr>
        <w:t>，</w:t>
      </w:r>
      <w:r>
        <w:rPr>
          <w:rFonts w:hint="eastAsia" w:ascii="宋体" w:hAnsi="宋体" w:eastAsia="宋体" w:cs="宋体"/>
          <w:sz w:val="28"/>
          <w:szCs w:val="28"/>
        </w:rPr>
        <w:t>项目收益和现金流覆盖债券还本付息倍数为</w:t>
      </w:r>
      <w:r>
        <w:rPr>
          <w:rFonts w:hint="eastAsia" w:ascii="宋体" w:hAnsi="宋体" w:cs="宋体"/>
          <w:sz w:val="28"/>
          <w:szCs w:val="28"/>
          <w:lang w:val="en-US" w:eastAsia="zh-CN"/>
        </w:rPr>
        <w:t>1.18</w:t>
      </w:r>
      <w:r>
        <w:rPr>
          <w:rFonts w:hint="eastAsia" w:ascii="宋体" w:hAnsi="宋体" w:eastAsia="宋体" w:cs="宋体"/>
          <w:sz w:val="28"/>
          <w:szCs w:val="28"/>
          <w:lang w:eastAsia="zh-CN"/>
        </w:rPr>
        <w:t>，</w:t>
      </w:r>
      <w:r>
        <w:rPr>
          <w:rFonts w:hint="eastAsia" w:ascii="宋体" w:hAnsi="宋体" w:eastAsia="宋体" w:cs="宋体"/>
          <w:sz w:val="28"/>
          <w:szCs w:val="28"/>
        </w:rPr>
        <w:t>上述测算用于还本付息资金的充足性得到保障，</w:t>
      </w:r>
      <w:r>
        <w:rPr>
          <w:rFonts w:hint="eastAsia" w:ascii="宋体" w:hAnsi="宋体" w:cs="宋体"/>
          <w:color w:val="auto"/>
          <w:sz w:val="28"/>
          <w:szCs w:val="28"/>
          <w:lang w:val="en-US" w:eastAsia="zh-CN"/>
        </w:rPr>
        <w:t>上述预测假设前提下</w:t>
      </w:r>
      <w:r>
        <w:rPr>
          <w:rFonts w:hint="eastAsia" w:ascii="宋体" w:hAnsi="宋体" w:eastAsia="宋体" w:cs="宋体"/>
          <w:color w:val="auto"/>
          <w:sz w:val="28"/>
          <w:szCs w:val="28"/>
        </w:rPr>
        <w:t>能</w:t>
      </w:r>
      <w:r>
        <w:rPr>
          <w:rFonts w:hint="eastAsia" w:ascii="宋体" w:hAnsi="宋体" w:eastAsia="宋体" w:cs="宋体"/>
          <w:sz w:val="28"/>
          <w:szCs w:val="28"/>
        </w:rPr>
        <w:t>够满足专项债券的还本付息要求，并实现本期债券募投项目收益与融资自求平衡。</w:t>
      </w:r>
    </w:p>
    <w:p>
      <w:pPr>
        <w:pStyle w:val="12"/>
        <w:snapToGrid w:val="0"/>
        <w:spacing w:before="240" w:beforeLines="100" w:line="360" w:lineRule="auto"/>
        <w:ind w:firstLine="561" w:firstLineChars="200"/>
        <w:outlineLvl w:val="0"/>
        <w:rPr>
          <w:rFonts w:hint="eastAsia" w:ascii="宋体" w:hAnsi="宋体" w:eastAsia="宋体" w:cs="宋体"/>
          <w:b/>
          <w:bCs/>
          <w:sz w:val="28"/>
          <w:szCs w:val="28"/>
        </w:rPr>
      </w:pPr>
      <w:r>
        <w:rPr>
          <w:rFonts w:hint="eastAsia" w:ascii="宋体" w:hAnsi="宋体" w:eastAsia="宋体" w:cs="宋体"/>
          <w:b/>
          <w:bCs/>
          <w:sz w:val="28"/>
          <w:szCs w:val="28"/>
        </w:rPr>
        <w:t>七、总体评价</w:t>
      </w:r>
    </w:p>
    <w:p>
      <w:pPr>
        <w:snapToGri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基于财政部对地方政府发行项目收益与融资自求平衡的专项债券的要求，并根据我们对项目资金平衡方案中的相关数据进行分析测算，认为</w:t>
      </w:r>
      <w:r>
        <w:rPr>
          <w:rFonts w:hint="eastAsia" w:ascii="宋体" w:hAnsi="宋体" w:cs="宋体"/>
          <w:sz w:val="28"/>
          <w:szCs w:val="28"/>
          <w:lang w:eastAsia="zh-CN"/>
        </w:rPr>
        <w:t>2023年至2024年太原市杏花岭区康乐幼儿园（五一北路校区）新建项目</w:t>
      </w:r>
      <w:r>
        <w:rPr>
          <w:rFonts w:hint="eastAsia" w:ascii="宋体" w:hAnsi="宋体" w:eastAsia="宋体" w:cs="宋体"/>
          <w:sz w:val="28"/>
          <w:szCs w:val="28"/>
          <w:lang w:val="en-US" w:eastAsia="zh-CN"/>
        </w:rPr>
        <w:t>专项债券能以相较银行贷款利率更优惠的融资成本完成资金筹措。同时，</w:t>
      </w:r>
      <w:r>
        <w:rPr>
          <w:rFonts w:hint="eastAsia" w:ascii="宋体" w:hAnsi="宋体" w:cs="宋体"/>
          <w:color w:val="auto"/>
          <w:sz w:val="28"/>
          <w:szCs w:val="28"/>
          <w:lang w:val="en-US" w:eastAsia="zh-CN"/>
        </w:rPr>
        <w:t>在上述预测假设前提下</w:t>
      </w:r>
      <w:r>
        <w:rPr>
          <w:rFonts w:hint="eastAsia" w:ascii="宋体" w:hAnsi="宋体" w:eastAsia="宋体" w:cs="宋体"/>
          <w:color w:val="auto"/>
          <w:sz w:val="28"/>
          <w:szCs w:val="28"/>
          <w:lang w:val="en-US" w:eastAsia="zh-CN"/>
        </w:rPr>
        <w:t>该</w:t>
      </w:r>
      <w:r>
        <w:rPr>
          <w:rFonts w:hint="eastAsia" w:ascii="宋体" w:hAnsi="宋体" w:eastAsia="宋体" w:cs="宋体"/>
          <w:sz w:val="28"/>
          <w:szCs w:val="28"/>
          <w:lang w:val="en-US" w:eastAsia="zh-CN"/>
        </w:rPr>
        <w:t>项目的项目收益</w:t>
      </w:r>
      <w:r>
        <w:rPr>
          <w:rFonts w:hint="eastAsia" w:ascii="宋体" w:hAnsi="宋体" w:eastAsia="宋体" w:cs="宋体"/>
          <w:sz w:val="28"/>
          <w:szCs w:val="28"/>
        </w:rPr>
        <w:t>能够提供充足、稳定的现金流收入，充分满足债券发行还本付息的要求。</w:t>
      </w:r>
    </w:p>
    <w:sectPr>
      <w:headerReference r:id="rId16" w:type="first"/>
      <w:pgSz w:w="11906" w:h="16838"/>
      <w:pgMar w:top="1724" w:right="1797" w:bottom="1440" w:left="1797" w:header="851" w:footer="992" w:gutter="0"/>
      <w:pgBorders>
        <w:top w:val="none" w:sz="0" w:space="0"/>
        <w:left w:val="none" w:sz="0" w:space="0"/>
        <w:bottom w:val="none" w:sz="0" w:space="0"/>
        <w:right w:val="none" w:sz="0" w:space="0"/>
      </w:pgBorders>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7A"/>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Light">
    <w:altName w:val="汉仪中等线KW"/>
    <w:panose1 w:val="02010600030101010101"/>
    <w:charset w:val="86"/>
    <w:family w:val="auto"/>
    <w:pitch w:val="default"/>
    <w:sig w:usb0="00000000" w:usb1="00000000" w:usb2="00000016" w:usb3="00000000" w:csb0="0004000F" w:csb1="00000000"/>
  </w:font>
  <w:font w:name="等线">
    <w:altName w:val="汉仪中等线KW"/>
    <w:panose1 w:val="02010600030101010101"/>
    <w:charset w:val="86"/>
    <w:family w:val="auto"/>
    <w:pitch w:val="default"/>
    <w:sig w:usb0="00000000" w:usb1="00000000" w:usb2="00000016" w:usb3="00000000" w:csb0="0004000F" w:csb1="00000000"/>
  </w:font>
  <w:font w:name="Cambria">
    <w:altName w:val="苹方-简"/>
    <w:panose1 w:val="02040503050406030204"/>
    <w:charset w:val="00"/>
    <w:family w:val="roman"/>
    <w:pitch w:val="default"/>
    <w:sig w:usb0="00000000" w:usb1="00000000" w:usb2="02000000" w:usb3="00000000" w:csb0="2000019F" w:csb1="00000000"/>
  </w:font>
  <w:font w:name="Arial Narrow">
    <w:panose1 w:val="020B0606020202030204"/>
    <w:charset w:val="00"/>
    <w:family w:val="swiss"/>
    <w:pitch w:val="default"/>
    <w:sig w:usb0="00000287" w:usb1="00000800" w:usb2="00000000" w:usb3="00000000" w:csb0="2000009F" w:csb1="DFD70000"/>
  </w:font>
  <w:font w:name="楷体_GB2312">
    <w:altName w:val="汉仪楷体简"/>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苹方-简">
    <w:panose1 w:val="020B0400000000000000"/>
    <w:charset w:val="86"/>
    <w:family w:val="auto"/>
    <w:pitch w:val="default"/>
    <w:sig w:usb0="A00002FF" w:usb1="7ACFFDFB" w:usb2="00000017" w:usb3="00000000" w:csb0="00040001" w:csb1="00000000"/>
  </w:font>
  <w:font w:name="方正仿宋_GBK">
    <w:panose1 w:val="02000000000000000000"/>
    <w:charset w:val="86"/>
    <w:family w:val="auto"/>
    <w:pitch w:val="default"/>
    <w:sig w:usb0="A00002BF" w:usb1="38CF7CFA" w:usb2="00082016"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wrap="none" lIns="0" tIns="0" rIns="0" bIns="0" upright="0">
                      <a:spAutoFit/>
                    </wps:bodyPr>
                  </wps:wsp>
                </a:graphicData>
              </a:graphic>
            </wp:anchor>
          </w:drawing>
        </mc:Choice>
        <mc:Fallback>
          <w:pict>
            <v:shape id="文本框 2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FgAAAGRycy9QSwECFAAUAAAACACHTuJAzql5uc8AAAAFAQAADwAAAAAAAAAB&#10;ACAAAAA4AAAAZHJzL2Rvd25yZXYueG1sUEsBAhQAFAAAAAgAh07iQJx5mW3KAQAAmgMAAA4AAAAA&#10;AAAAAQAgAAAANAEAAGRycy9lMm9Eb2MueG1sUEsFBgAAAAAGAAYAWQEAAHAFAAAAAA==&#10;">
              <v:fill on="f" focussize="0,0"/>
              <v:stroke on="f"/>
              <v:imagedata o:title=""/>
              <o:lock v:ext="edit" aspectratio="f"/>
              <v:textbox inset="0mm,0mm,0mm,0mm" style="mso-fit-shape-to-text:t;">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0">
                      <a:spAutoFit/>
                    </wps:bodyPr>
                  </wps:wsp>
                </a:graphicData>
              </a:graphic>
            </wp:anchor>
          </w:drawing>
        </mc:Choice>
        <mc:Fallback>
          <w:pict>
            <v:shape id="文本框 2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BYAAABkcnMvUEsBAhQAFAAAAAgAh07iQM6pebnPAAAABQEAAA8AAAAAAAAAAQAg&#10;AAAAOAAAAGRycy9kb3ducmV2LnhtbFBLAQIUABQAAAAIAIdO4kAhz+qpyAEAAJoDAAAOAAAAAAAA&#10;AAEAIAAAADQBAABkcnMvZTJvRG9jLnhtbFBLBQYAAAAABgAGAFkBAABuBQAAAAA=&#10;">
              <v:fill on="f" focussize="0,0"/>
              <v:stroke on="f"/>
              <v:imagedata o:title=""/>
              <o:lock v:ext="edit" aspectratio="f"/>
              <v:textbox inset="0mm,0mm,0mm,0mm" style="mso-fit-shape-to-text:t;">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wrap="none" lIns="0" tIns="0" rIns="0" bIns="0" upright="0">
                      <a:spAutoFit/>
                    </wps:bodyPr>
                  </wps:wsp>
                </a:graphicData>
              </a:graphic>
            </wp:anchor>
          </w:drawing>
        </mc:Choice>
        <mc:Fallback>
          <w:pict>
            <v:shape id="文本框 25"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WAAAAZHJzL1BLAQIUABQAAAAIAIdO4kDOqXm5zwAAAAUBAAAPAAAAAAAAAAEA&#10;IAAAADgAAABkcnMvZG93bnJldi54bWxQSwECFAAUAAAACACHTuJAiawveMkBAACaAwAADgAAAAAA&#10;AAABACAAAAA0AQAAZHJzL2Uyb0RvYy54bWxQSwUGAAAAAAYABgBZAQAAbwUAAAAA&#10;">
              <v:fill on="f" focussize="0,0"/>
              <v:stroke on="f"/>
              <v:imagedata o:title=""/>
              <o:lock v:ext="edit" aspectratio="f"/>
              <v:textbox inset="0mm,0mm,0mm,0mm" style="mso-fit-shape-to-text:t;">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both"/>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wrap="none" lIns="0" tIns="0" rIns="0" bIns="0" upright="0">
                      <a:spAutoFit/>
                    </wps:bodyPr>
                  </wps:wsp>
                </a:graphicData>
              </a:graphic>
            </wp:anchor>
          </w:drawing>
        </mc:Choice>
        <mc:Fallback>
          <w:pict>
            <v:shape id="文本框 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FgAAAGRycy9QSwECFAAUAAAACACHTuJAzql5uc8AAAAFAQAADwAAAAAAAAAB&#10;ACAAAAA4AAAAZHJzL2Rvd25yZXYueG1sUEsBAhQAFAAAAAgAh07iQBaYq03KAQAAmgMAAA4AAAAA&#10;AAAAAQAgAAAANAEAAGRycy9lMm9Eb2MueG1sUEsFBgAAAAAGAAYAWQEAAHAFAAAAAA==&#10;">
              <v:fill on="f" focussize="0,0"/>
              <v:stroke on="f"/>
              <v:imagedata o:title=""/>
              <o:lock v:ext="edit" aspectratio="f"/>
              <v:textbox inset="0mm,0mm,0mm,0mm" style="mso-fit-shape-to-text:t;">
                <w:txbxContent>
                  <w:p>
                    <w:pPr>
                      <w:pStyle w:val="15"/>
                      <w:rPr>
                        <w:rFonts w:hint="eastAsia"/>
                      </w:rPr>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rFonts w:hint="eastAsia"/>
      </w:rPr>
      <w:drawing>
        <wp:inline distT="0" distB="0" distL="114300" distR="114300">
          <wp:extent cx="2257425" cy="266700"/>
          <wp:effectExtent l="0" t="0" r="13335" b="7620"/>
          <wp:docPr id="6" name="图片 5" descr="大华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大华logo"/>
                  <pic:cNvPicPr>
                    <a:picLocks noChangeAspect="1"/>
                  </pic:cNvPicPr>
                </pic:nvPicPr>
                <pic:blipFill>
                  <a:blip r:embed="rId1"/>
                  <a:stretch>
                    <a:fillRect/>
                  </a:stretch>
                </pic:blipFill>
                <pic:spPr>
                  <a:xfrm>
                    <a:off x="0" y="0"/>
                    <a:ext cx="2257425" cy="266700"/>
                  </a:xfrm>
                  <a:prstGeom prst="rect">
                    <a:avLst/>
                  </a:prstGeom>
                  <a:noFill/>
                  <a:ln>
                    <a:noFill/>
                  </a:ln>
                </pic:spPr>
              </pic:pic>
            </a:graphicData>
          </a:graphic>
        </wp:inline>
      </w:drawing>
    </w:r>
    <w:r>
      <w:rPr>
        <w:rFonts w:hint="eastAsia"/>
      </w:rPr>
      <w:t xml:space="preserve">                            大华核字[202</w:t>
    </w:r>
    <w:r>
      <w:rPr>
        <w:rFonts w:hint="eastAsia"/>
        <w:lang w:val="en-US" w:eastAsia="zh-CN"/>
      </w:rPr>
      <w:t>1</w:t>
    </w:r>
    <w:r>
      <w:rPr>
        <w:rFonts w:hint="eastAsia"/>
      </w:rPr>
      <w:t>]180367号</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rPr>
        <w:rFonts w:hint="eastAsia"/>
      </w:rPr>
    </w:pPr>
    <w:r>
      <w:rPr>
        <w:rFonts w:hint="eastAsia"/>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rPr>
        <w:rFonts w:hint="default"/>
        <w:lang w:val="en-US" w:eastAsia="zh-CN"/>
      </w:rPr>
    </w:pPr>
    <w:r>
      <w:rPr>
        <w:rFonts w:hint="eastAsia"/>
        <w:lang w:val="en-US" w:eastAsia="zh-CN"/>
      </w:rPr>
      <w:t>大华咨字[2023]</w:t>
    </w:r>
    <w:r>
      <w:rPr>
        <w:rFonts w:hint="eastAsia"/>
        <w:color w:val="auto"/>
        <w:lang w:val="en-US" w:eastAsia="zh-CN"/>
      </w:rPr>
      <w:t>180599</w:t>
    </w:r>
    <w:bookmarkStart w:id="7" w:name="_GoBack"/>
    <w:bookmarkEnd w:id="7"/>
    <w:r>
      <w:rPr>
        <w:rFonts w:hint="eastAsia"/>
        <w:lang w:val="en-US" w:eastAsia="zh-CN"/>
      </w:rPr>
      <w:t>号财务咨询评估报告</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wordWrap w:val="0"/>
      <w:ind w:firstLine="5220" w:firstLineChars="2900"/>
      <w:jc w:val="both"/>
      <w:rPr>
        <w:rFonts w:hint="eastAsia"/>
        <w:lang w:val="en-US" w:eastAsia="zh-CN"/>
      </w:rPr>
    </w:pPr>
    <w:r>
      <w:drawing>
        <wp:anchor distT="0" distB="0" distL="114300" distR="114300" simplePos="0" relativeHeight="251663360" behindDoc="0" locked="0" layoutInCell="1" allowOverlap="1">
          <wp:simplePos x="0" y="0"/>
          <wp:positionH relativeFrom="column">
            <wp:posOffset>-57150</wp:posOffset>
          </wp:positionH>
          <wp:positionV relativeFrom="paragraph">
            <wp:posOffset>-76200</wp:posOffset>
          </wp:positionV>
          <wp:extent cx="2402205" cy="408305"/>
          <wp:effectExtent l="0" t="0" r="0" b="0"/>
          <wp:wrapSquare wrapText="bothSides"/>
          <wp:docPr id="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7"/>
                  <pic:cNvPicPr>
                    <a:picLocks noChangeAspect="1"/>
                  </pic:cNvPicPr>
                </pic:nvPicPr>
                <pic:blipFill>
                  <a:blip r:embed="rId1"/>
                  <a:stretch>
                    <a:fillRect/>
                  </a:stretch>
                </pic:blipFill>
                <pic:spPr>
                  <a:xfrm>
                    <a:off x="0" y="0"/>
                    <a:ext cx="2402205" cy="408305"/>
                  </a:xfrm>
                  <a:prstGeom prst="rect">
                    <a:avLst/>
                  </a:prstGeom>
                  <a:noFill/>
                  <a:ln>
                    <a:noFill/>
                  </a:ln>
                </pic:spPr>
              </pic:pic>
            </a:graphicData>
          </a:graphic>
        </wp:anchor>
      </w:drawing>
    </w:r>
    <w:r>
      <w:rPr>
        <w:rFonts w:hint="eastAsia"/>
      </w:rPr>
      <w:tab/>
    </w:r>
    <w:r>
      <w:rPr>
        <w:rFonts w:hint="eastAsia"/>
        <w:lang w:val="en-US" w:eastAsia="zh-CN"/>
      </w:rPr>
      <w:t xml:space="preserve"> </w:t>
    </w:r>
  </w:p>
  <w:p>
    <w:pPr>
      <w:pStyle w:val="16"/>
      <w:pBdr>
        <w:bottom w:val="none" w:color="auto" w:sz="0" w:space="1"/>
      </w:pBdr>
      <w:wordWrap w:val="0"/>
      <w:ind w:firstLine="4350" w:firstLineChars="2900"/>
      <w:jc w:val="both"/>
      <w:rPr>
        <w:rFonts w:hint="eastAsia" w:ascii="等线" w:hAnsi="等线" w:eastAsia="等线" w:cs="黑体"/>
        <w:sz w:val="15"/>
        <w:szCs w:val="15"/>
      </w:rPr>
    </w:pPr>
  </w:p>
  <w:p>
    <w:pPr>
      <w:pStyle w:val="16"/>
      <w:pBdr>
        <w:bottom w:val="none" w:color="auto" w:sz="0" w:space="1"/>
      </w:pBdr>
      <w:wordWrap w:val="0"/>
      <w:ind w:firstLine="5250" w:firstLineChars="3500"/>
      <w:jc w:val="both"/>
      <w:rPr>
        <w:rFonts w:hint="eastAsia" w:ascii="等线" w:hAnsi="等线" w:eastAsia="等线" w:cs="黑体"/>
        <w:sz w:val="15"/>
        <w:szCs w:val="15"/>
        <w:lang w:eastAsia="zh-CN"/>
      </w:rPr>
    </w:pPr>
    <w:r>
      <w:rPr>
        <w:rFonts w:hint="eastAsia" w:ascii="等线" w:hAnsi="等线" w:eastAsia="等线" w:cs="黑体"/>
        <w:sz w:val="15"/>
        <w:szCs w:val="15"/>
      </w:rPr>
      <w:t>大华会计师事务所（特殊普通合伙）</w:t>
    </w:r>
    <w:r>
      <w:rPr>
        <w:rFonts w:hint="eastAsia" w:ascii="等线" w:hAnsi="等线" w:eastAsia="等线" w:cs="黑体"/>
        <w:sz w:val="15"/>
        <w:szCs w:val="15"/>
        <w:lang w:eastAsia="zh-CN"/>
      </w:rPr>
      <w:t>山西分所</w:t>
    </w:r>
  </w:p>
  <w:p>
    <w:pPr>
      <w:pStyle w:val="16"/>
      <w:pBdr>
        <w:bottom w:val="none" w:color="auto" w:sz="0" w:space="1"/>
      </w:pBdr>
      <w:wordWrap w:val="0"/>
      <w:jc w:val="right"/>
      <w:rPr>
        <w:rFonts w:ascii="等线" w:hAnsi="等线" w:eastAsia="等线" w:cs="黑体"/>
        <w:sz w:val="15"/>
        <w:szCs w:val="15"/>
      </w:rPr>
    </w:pPr>
    <w:r>
      <w:rPr>
        <w:rFonts w:hint="eastAsia" w:ascii="等线" w:hAnsi="等线" w:eastAsia="等线" w:cs="黑体"/>
        <w:sz w:val="15"/>
        <w:szCs w:val="15"/>
        <w:lang w:eastAsia="zh-CN"/>
      </w:rPr>
      <w:t>山西转型综合改革示范区学府产业园长治路226号</w:t>
    </w:r>
    <w:r>
      <w:rPr>
        <w:rFonts w:hint="eastAsia" w:ascii="等线" w:hAnsi="等线" w:eastAsia="等线" w:cs="黑体"/>
        <w:sz w:val="15"/>
        <w:szCs w:val="15"/>
        <w:lang w:val="en-US" w:eastAsia="zh-CN"/>
      </w:rPr>
      <w:t>7层</w:t>
    </w:r>
    <w:r>
      <w:rPr>
        <w:rFonts w:hint="eastAsia" w:ascii="等线" w:hAnsi="等线" w:eastAsia="等线" w:cs="黑体"/>
        <w:sz w:val="15"/>
        <w:szCs w:val="15"/>
      </w:rPr>
      <w:t xml:space="preserve"> </w:t>
    </w:r>
    <w:r>
      <w:rPr>
        <w:rFonts w:ascii="等线" w:hAnsi="等线" w:eastAsia="等线" w:cs="黑体"/>
        <w:sz w:val="15"/>
        <w:szCs w:val="15"/>
      </w:rPr>
      <w:t>[</w:t>
    </w:r>
    <w:r>
      <w:rPr>
        <w:rFonts w:hint="eastAsia" w:ascii="等线" w:hAnsi="等线" w:eastAsia="等线" w:cs="黑体"/>
        <w:sz w:val="15"/>
        <w:szCs w:val="15"/>
        <w:lang w:val="en-US" w:eastAsia="zh-CN"/>
      </w:rPr>
      <w:t>030006</w:t>
    </w:r>
    <w:r>
      <w:rPr>
        <w:rFonts w:hint="eastAsia" w:ascii="等线" w:hAnsi="等线" w:eastAsia="等线" w:cs="黑体"/>
        <w:sz w:val="15"/>
        <w:szCs w:val="15"/>
      </w:rPr>
      <w:t>]</w:t>
    </w:r>
    <w:r>
      <w:rPr>
        <w:rFonts w:ascii="等线" w:hAnsi="等线" w:eastAsia="等线" w:cs="黑体"/>
        <w:sz w:val="15"/>
        <w:szCs w:val="15"/>
      </w:rPr>
      <w:t xml:space="preserve"> </w:t>
    </w:r>
  </w:p>
  <w:p>
    <w:pPr>
      <w:pStyle w:val="16"/>
      <w:pBdr>
        <w:bottom w:val="none" w:color="auto" w:sz="0" w:space="1"/>
      </w:pBdr>
      <w:wordWrap w:val="0"/>
      <w:jc w:val="right"/>
      <w:rPr>
        <w:rFonts w:ascii="等线" w:hAnsi="等线" w:eastAsia="等线" w:cs="黑体"/>
        <w:sz w:val="13"/>
        <w:szCs w:val="13"/>
      </w:rPr>
    </w:pPr>
    <w:r>
      <w:rPr>
        <w:rFonts w:hint="eastAsia" w:ascii="等线" w:hAnsi="等线" w:eastAsia="等线" w:cs="黑体"/>
        <w:sz w:val="13"/>
        <w:szCs w:val="13"/>
      </w:rPr>
      <w:t>电话：</w:t>
    </w:r>
    <w:r>
      <w:rPr>
        <w:rFonts w:ascii="等线" w:hAnsi="等线" w:eastAsia="等线" w:cs="黑体"/>
        <w:sz w:val="13"/>
        <w:szCs w:val="13"/>
      </w:rPr>
      <w:t>86 (351) 833 0656</w:t>
    </w:r>
    <w:r>
      <w:rPr>
        <w:rFonts w:hint="eastAsia" w:ascii="等线" w:hAnsi="等线" w:eastAsia="等线" w:cs="黑体"/>
        <w:sz w:val="13"/>
        <w:szCs w:val="13"/>
      </w:rPr>
      <w:t xml:space="preserve">   传真：</w:t>
    </w:r>
    <w:r>
      <w:rPr>
        <w:rFonts w:ascii="等线" w:hAnsi="等线" w:eastAsia="等线" w:cs="黑体"/>
        <w:sz w:val="13"/>
        <w:szCs w:val="13"/>
      </w:rPr>
      <w:t>86 (351) 833 0658</w:t>
    </w:r>
  </w:p>
  <w:p>
    <w:pPr>
      <w:pStyle w:val="16"/>
      <w:pBdr>
        <w:bottom w:val="none" w:color="auto" w:sz="0" w:space="1"/>
      </w:pBdr>
      <w:jc w:val="right"/>
      <w:rPr>
        <w:rFonts w:hint="eastAsia"/>
      </w:rPr>
    </w:pPr>
    <w:r>
      <w:rPr>
        <w:rFonts w:hint="eastAsia"/>
        <w:lang w:val="en-US" w:eastAsia="zh-CN"/>
      </w:rPr>
      <w:t xml:space="preserve">   </w:t>
    </w:r>
    <w:r>
      <w:fldChar w:fldCharType="begin"/>
    </w:r>
    <w:r>
      <w:instrText xml:space="preserve"> HYPERLINK "http://www.dahua-cpa.com" </w:instrText>
    </w:r>
    <w:r>
      <w:fldChar w:fldCharType="separate"/>
    </w:r>
    <w:r>
      <w:rPr>
        <w:rStyle w:val="27"/>
        <w:rFonts w:ascii="Cambria" w:hAnsi="Cambria" w:eastAsia="等线" w:cs="Cambria"/>
        <w:b/>
        <w:bCs/>
        <w:i/>
        <w:iCs/>
        <w:color w:val="004B65"/>
        <w:sz w:val="15"/>
        <w:szCs w:val="15"/>
        <w:u w:val="none"/>
      </w:rPr>
      <w:t>www.dahua-cpa.com</w:t>
    </w:r>
    <w:r>
      <w:rPr>
        <w:rStyle w:val="27"/>
        <w:rFonts w:ascii="Cambria" w:hAnsi="Cambria" w:eastAsia="等线" w:cs="Cambria"/>
        <w:b/>
        <w:bCs/>
        <w:i/>
        <w:iCs/>
        <w:color w:val="004B65"/>
        <w:sz w:val="15"/>
        <w:szCs w:val="15"/>
        <w:u w:val="none"/>
      </w:rPr>
      <w:fldChar w:fldCharType="end"/>
    </w:r>
    <w:r>
      <w:rPr>
        <w:rFonts w:ascii="等线" w:hAnsi="等线" w:eastAsia="等线" w:cs="黑体"/>
        <w:sz w:val="15"/>
        <w:szCs w:val="15"/>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pPr>
    <w:r>
      <w:rPr>
        <w:rFonts w:hint="eastAsia"/>
      </w:rPr>
      <w:t>项目收益与融资自求平衡预测说明</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rPr>
        <w:rFonts w:hint="eastAsia"/>
      </w:rPr>
    </w:pPr>
    <w:r>
      <w:rPr>
        <w:rFonts w:hint="eastAsia"/>
      </w:rPr>
      <w:t>项目收益与融资自求平衡预测说明</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pPr>
    <w:r>
      <w:rPr>
        <w:rFonts w:hint="eastAsia"/>
      </w:rPr>
      <w:t>项目收益与融资自求平衡预测说明</w:t>
    </w:r>
  </w:p>
  <w:p>
    <w:pPr>
      <w:pStyle w:val="16"/>
      <w:pBdr>
        <w:bottom w:val="none" w:color="auto" w:sz="0" w:space="1"/>
      </w:pBdr>
      <w:rPr>
        <w:rFonts w:hint="eastAsia"/>
      </w:rPr>
    </w:pPr>
    <w:r>
      <w:rPr>
        <w:rFonts w:hint="eastAsia"/>
      </w:rP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pPr>
    <w:r>
      <w:rPr>
        <w:rFonts w:hint="eastAsia"/>
      </w:rPr>
      <w:t>项目收益与融资自求平衡预测说明</w:t>
    </w:r>
  </w:p>
  <w:p>
    <w:pPr>
      <w:pStyle w:val="16"/>
      <w:pBdr>
        <w:bottom w:val="none" w:color="auto" w:sz="0" w:space="1"/>
      </w:pBdr>
      <w:rPr>
        <w:rFonts w:hint="eastAsia"/>
      </w:rPr>
    </w:pPr>
    <w:r>
      <w:rPr>
        <w:rFonts w:hint="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2NTIxMmE3ODUyNmMxNTc5N2YzMDk2YTU3ODk1NzAifQ=="/>
  </w:docVars>
  <w:rsids>
    <w:rsidRoot w:val="008A1C54"/>
    <w:rsid w:val="00000C3D"/>
    <w:rsid w:val="00001CB6"/>
    <w:rsid w:val="00002E92"/>
    <w:rsid w:val="000032DB"/>
    <w:rsid w:val="00014998"/>
    <w:rsid w:val="00014ADD"/>
    <w:rsid w:val="000150B6"/>
    <w:rsid w:val="00016A8E"/>
    <w:rsid w:val="00017058"/>
    <w:rsid w:val="000206BB"/>
    <w:rsid w:val="00025000"/>
    <w:rsid w:val="00026059"/>
    <w:rsid w:val="0003087D"/>
    <w:rsid w:val="00034281"/>
    <w:rsid w:val="00034459"/>
    <w:rsid w:val="00035FFF"/>
    <w:rsid w:val="00041954"/>
    <w:rsid w:val="0004284A"/>
    <w:rsid w:val="00042D8B"/>
    <w:rsid w:val="00044D6E"/>
    <w:rsid w:val="00045AA1"/>
    <w:rsid w:val="00046F9D"/>
    <w:rsid w:val="000507E2"/>
    <w:rsid w:val="0005123A"/>
    <w:rsid w:val="00052A7B"/>
    <w:rsid w:val="0005573D"/>
    <w:rsid w:val="0006122B"/>
    <w:rsid w:val="000615FA"/>
    <w:rsid w:val="00061E4A"/>
    <w:rsid w:val="000638E3"/>
    <w:rsid w:val="00076724"/>
    <w:rsid w:val="00080671"/>
    <w:rsid w:val="00083FD7"/>
    <w:rsid w:val="0008403D"/>
    <w:rsid w:val="00091060"/>
    <w:rsid w:val="00091122"/>
    <w:rsid w:val="00091D47"/>
    <w:rsid w:val="00092787"/>
    <w:rsid w:val="00096075"/>
    <w:rsid w:val="00096C60"/>
    <w:rsid w:val="00097512"/>
    <w:rsid w:val="00097B73"/>
    <w:rsid w:val="00097FE7"/>
    <w:rsid w:val="000B57B9"/>
    <w:rsid w:val="000B5EF4"/>
    <w:rsid w:val="000C0843"/>
    <w:rsid w:val="000C1700"/>
    <w:rsid w:val="000C7CFA"/>
    <w:rsid w:val="000D1737"/>
    <w:rsid w:val="000D45D1"/>
    <w:rsid w:val="000D5791"/>
    <w:rsid w:val="000E54DB"/>
    <w:rsid w:val="000E6363"/>
    <w:rsid w:val="000E65DF"/>
    <w:rsid w:val="000F1F4E"/>
    <w:rsid w:val="000F1F92"/>
    <w:rsid w:val="000F23D6"/>
    <w:rsid w:val="000F5C0C"/>
    <w:rsid w:val="00100C4B"/>
    <w:rsid w:val="001053B2"/>
    <w:rsid w:val="001061AC"/>
    <w:rsid w:val="001130A4"/>
    <w:rsid w:val="00116296"/>
    <w:rsid w:val="00116A23"/>
    <w:rsid w:val="001215A0"/>
    <w:rsid w:val="001223A2"/>
    <w:rsid w:val="0012328D"/>
    <w:rsid w:val="001331A7"/>
    <w:rsid w:val="001347EB"/>
    <w:rsid w:val="001352DA"/>
    <w:rsid w:val="0013754C"/>
    <w:rsid w:val="00137B9D"/>
    <w:rsid w:val="00141B55"/>
    <w:rsid w:val="00142988"/>
    <w:rsid w:val="0014702C"/>
    <w:rsid w:val="00147D24"/>
    <w:rsid w:val="00147D9E"/>
    <w:rsid w:val="001506F3"/>
    <w:rsid w:val="001522E2"/>
    <w:rsid w:val="0015395E"/>
    <w:rsid w:val="00154C57"/>
    <w:rsid w:val="00157E34"/>
    <w:rsid w:val="00162C62"/>
    <w:rsid w:val="00163463"/>
    <w:rsid w:val="00163960"/>
    <w:rsid w:val="00163E06"/>
    <w:rsid w:val="001641E6"/>
    <w:rsid w:val="00164FAD"/>
    <w:rsid w:val="001714E9"/>
    <w:rsid w:val="00173E2C"/>
    <w:rsid w:val="00173F91"/>
    <w:rsid w:val="00174C7C"/>
    <w:rsid w:val="00175BA4"/>
    <w:rsid w:val="00176FB6"/>
    <w:rsid w:val="00181E4C"/>
    <w:rsid w:val="0018469A"/>
    <w:rsid w:val="00186E07"/>
    <w:rsid w:val="00193D9E"/>
    <w:rsid w:val="00194693"/>
    <w:rsid w:val="001947BA"/>
    <w:rsid w:val="00194CB6"/>
    <w:rsid w:val="00195024"/>
    <w:rsid w:val="00197703"/>
    <w:rsid w:val="001A1C19"/>
    <w:rsid w:val="001A5B0E"/>
    <w:rsid w:val="001A7A92"/>
    <w:rsid w:val="001B45D1"/>
    <w:rsid w:val="001B4B5A"/>
    <w:rsid w:val="001B54E1"/>
    <w:rsid w:val="001B6673"/>
    <w:rsid w:val="001C1CF7"/>
    <w:rsid w:val="001C4B04"/>
    <w:rsid w:val="001C4BDB"/>
    <w:rsid w:val="001C5D6B"/>
    <w:rsid w:val="001C6994"/>
    <w:rsid w:val="001C70D6"/>
    <w:rsid w:val="001D0CF7"/>
    <w:rsid w:val="001D3BFB"/>
    <w:rsid w:val="001D687C"/>
    <w:rsid w:val="001D7060"/>
    <w:rsid w:val="001E337D"/>
    <w:rsid w:val="001E4DB6"/>
    <w:rsid w:val="001E6B79"/>
    <w:rsid w:val="001E795E"/>
    <w:rsid w:val="001F00E2"/>
    <w:rsid w:val="001F24DC"/>
    <w:rsid w:val="001F2F16"/>
    <w:rsid w:val="001F44F3"/>
    <w:rsid w:val="001F5A8C"/>
    <w:rsid w:val="001F5D50"/>
    <w:rsid w:val="00201FE4"/>
    <w:rsid w:val="002030F2"/>
    <w:rsid w:val="00204BCF"/>
    <w:rsid w:val="00204DD4"/>
    <w:rsid w:val="00214887"/>
    <w:rsid w:val="0021741A"/>
    <w:rsid w:val="00221150"/>
    <w:rsid w:val="002221EA"/>
    <w:rsid w:val="00226E9D"/>
    <w:rsid w:val="002279B3"/>
    <w:rsid w:val="0023337D"/>
    <w:rsid w:val="00244CC1"/>
    <w:rsid w:val="0024639A"/>
    <w:rsid w:val="002468F6"/>
    <w:rsid w:val="00247474"/>
    <w:rsid w:val="002535E5"/>
    <w:rsid w:val="00256A45"/>
    <w:rsid w:val="00256EAD"/>
    <w:rsid w:val="00257395"/>
    <w:rsid w:val="002623D9"/>
    <w:rsid w:val="00265D20"/>
    <w:rsid w:val="00270E18"/>
    <w:rsid w:val="002731BF"/>
    <w:rsid w:val="002734BD"/>
    <w:rsid w:val="00273621"/>
    <w:rsid w:val="00273E89"/>
    <w:rsid w:val="00274860"/>
    <w:rsid w:val="002759EC"/>
    <w:rsid w:val="00280B08"/>
    <w:rsid w:val="002908EC"/>
    <w:rsid w:val="00292EBE"/>
    <w:rsid w:val="002A121B"/>
    <w:rsid w:val="002A4076"/>
    <w:rsid w:val="002A4639"/>
    <w:rsid w:val="002A5B2A"/>
    <w:rsid w:val="002A7571"/>
    <w:rsid w:val="002B460F"/>
    <w:rsid w:val="002B7BDD"/>
    <w:rsid w:val="002C137E"/>
    <w:rsid w:val="002C19DB"/>
    <w:rsid w:val="002C1DBB"/>
    <w:rsid w:val="002C2BAF"/>
    <w:rsid w:val="002C3174"/>
    <w:rsid w:val="002C334C"/>
    <w:rsid w:val="002C428B"/>
    <w:rsid w:val="002C4D29"/>
    <w:rsid w:val="002C5AD9"/>
    <w:rsid w:val="002C7F32"/>
    <w:rsid w:val="002D4512"/>
    <w:rsid w:val="002D451F"/>
    <w:rsid w:val="002D492C"/>
    <w:rsid w:val="002D4CBD"/>
    <w:rsid w:val="002D7134"/>
    <w:rsid w:val="002D7BD0"/>
    <w:rsid w:val="002E0BF9"/>
    <w:rsid w:val="002E67E6"/>
    <w:rsid w:val="002E6C21"/>
    <w:rsid w:val="002E6E3B"/>
    <w:rsid w:val="002F16BC"/>
    <w:rsid w:val="002F1D23"/>
    <w:rsid w:val="002F4484"/>
    <w:rsid w:val="002F4CE1"/>
    <w:rsid w:val="002F7B28"/>
    <w:rsid w:val="0030071D"/>
    <w:rsid w:val="0030112B"/>
    <w:rsid w:val="00302D7B"/>
    <w:rsid w:val="00302E7F"/>
    <w:rsid w:val="00305A1B"/>
    <w:rsid w:val="00307846"/>
    <w:rsid w:val="00322096"/>
    <w:rsid w:val="00323AE7"/>
    <w:rsid w:val="00324DF0"/>
    <w:rsid w:val="00325445"/>
    <w:rsid w:val="00326DA2"/>
    <w:rsid w:val="00327D44"/>
    <w:rsid w:val="00334AEC"/>
    <w:rsid w:val="00340214"/>
    <w:rsid w:val="00340BFF"/>
    <w:rsid w:val="00345183"/>
    <w:rsid w:val="00350650"/>
    <w:rsid w:val="00352703"/>
    <w:rsid w:val="003529B0"/>
    <w:rsid w:val="00352FD6"/>
    <w:rsid w:val="003556F1"/>
    <w:rsid w:val="003566BD"/>
    <w:rsid w:val="003603D9"/>
    <w:rsid w:val="003612D3"/>
    <w:rsid w:val="00361E50"/>
    <w:rsid w:val="0036645E"/>
    <w:rsid w:val="00371358"/>
    <w:rsid w:val="0037234F"/>
    <w:rsid w:val="00374D11"/>
    <w:rsid w:val="00375013"/>
    <w:rsid w:val="00375B99"/>
    <w:rsid w:val="003774ED"/>
    <w:rsid w:val="00382D15"/>
    <w:rsid w:val="00383448"/>
    <w:rsid w:val="003854A9"/>
    <w:rsid w:val="003875C1"/>
    <w:rsid w:val="003940ED"/>
    <w:rsid w:val="003B16DE"/>
    <w:rsid w:val="003B3FE7"/>
    <w:rsid w:val="003B680C"/>
    <w:rsid w:val="003C1B18"/>
    <w:rsid w:val="003C2677"/>
    <w:rsid w:val="003C4C7A"/>
    <w:rsid w:val="003C537C"/>
    <w:rsid w:val="003C651C"/>
    <w:rsid w:val="003D08D1"/>
    <w:rsid w:val="003D19E3"/>
    <w:rsid w:val="003D2911"/>
    <w:rsid w:val="003D4AE1"/>
    <w:rsid w:val="003D7D4C"/>
    <w:rsid w:val="003E1BBB"/>
    <w:rsid w:val="003E2192"/>
    <w:rsid w:val="003E44E4"/>
    <w:rsid w:val="003E641D"/>
    <w:rsid w:val="003E6B74"/>
    <w:rsid w:val="003F0AB2"/>
    <w:rsid w:val="003F1B1D"/>
    <w:rsid w:val="003F23D7"/>
    <w:rsid w:val="003F30B4"/>
    <w:rsid w:val="003F311A"/>
    <w:rsid w:val="004005DF"/>
    <w:rsid w:val="00400936"/>
    <w:rsid w:val="00400BF3"/>
    <w:rsid w:val="00400DB9"/>
    <w:rsid w:val="00401D33"/>
    <w:rsid w:val="004033AC"/>
    <w:rsid w:val="00404464"/>
    <w:rsid w:val="00420EDF"/>
    <w:rsid w:val="00423A42"/>
    <w:rsid w:val="0042453F"/>
    <w:rsid w:val="00427072"/>
    <w:rsid w:val="00430654"/>
    <w:rsid w:val="00431148"/>
    <w:rsid w:val="00434121"/>
    <w:rsid w:val="00434C35"/>
    <w:rsid w:val="00436757"/>
    <w:rsid w:val="00442E42"/>
    <w:rsid w:val="00444818"/>
    <w:rsid w:val="00447547"/>
    <w:rsid w:val="00450CBC"/>
    <w:rsid w:val="004524BE"/>
    <w:rsid w:val="00461B27"/>
    <w:rsid w:val="00467015"/>
    <w:rsid w:val="00473109"/>
    <w:rsid w:val="0047369A"/>
    <w:rsid w:val="004747C6"/>
    <w:rsid w:val="00474E66"/>
    <w:rsid w:val="00476DF6"/>
    <w:rsid w:val="00480D6B"/>
    <w:rsid w:val="004833FA"/>
    <w:rsid w:val="004837EC"/>
    <w:rsid w:val="00485358"/>
    <w:rsid w:val="00486C1B"/>
    <w:rsid w:val="00490428"/>
    <w:rsid w:val="00490855"/>
    <w:rsid w:val="00491DC0"/>
    <w:rsid w:val="00492A7A"/>
    <w:rsid w:val="00495E98"/>
    <w:rsid w:val="00497027"/>
    <w:rsid w:val="0049773D"/>
    <w:rsid w:val="00497838"/>
    <w:rsid w:val="004B006E"/>
    <w:rsid w:val="004B10E7"/>
    <w:rsid w:val="004B2194"/>
    <w:rsid w:val="004C08E5"/>
    <w:rsid w:val="004C5825"/>
    <w:rsid w:val="004D25A5"/>
    <w:rsid w:val="004D3CDA"/>
    <w:rsid w:val="004D45AE"/>
    <w:rsid w:val="004D5EDC"/>
    <w:rsid w:val="004E42D2"/>
    <w:rsid w:val="004E46A2"/>
    <w:rsid w:val="004E4EA9"/>
    <w:rsid w:val="004F289C"/>
    <w:rsid w:val="004F3E9D"/>
    <w:rsid w:val="004F5896"/>
    <w:rsid w:val="004F7175"/>
    <w:rsid w:val="004F79FF"/>
    <w:rsid w:val="004F7F1B"/>
    <w:rsid w:val="005019A9"/>
    <w:rsid w:val="00501EC9"/>
    <w:rsid w:val="005021CB"/>
    <w:rsid w:val="0050363E"/>
    <w:rsid w:val="00504EBA"/>
    <w:rsid w:val="005061BC"/>
    <w:rsid w:val="0050753B"/>
    <w:rsid w:val="00522D70"/>
    <w:rsid w:val="00522D95"/>
    <w:rsid w:val="005269F3"/>
    <w:rsid w:val="0052710A"/>
    <w:rsid w:val="00527917"/>
    <w:rsid w:val="00527FED"/>
    <w:rsid w:val="005307F0"/>
    <w:rsid w:val="00533035"/>
    <w:rsid w:val="00535D86"/>
    <w:rsid w:val="00536DD4"/>
    <w:rsid w:val="005408FE"/>
    <w:rsid w:val="00543860"/>
    <w:rsid w:val="00543F7B"/>
    <w:rsid w:val="0054551E"/>
    <w:rsid w:val="005508A5"/>
    <w:rsid w:val="00551AED"/>
    <w:rsid w:val="0055527E"/>
    <w:rsid w:val="005625B7"/>
    <w:rsid w:val="00562B64"/>
    <w:rsid w:val="00564D26"/>
    <w:rsid w:val="0057293E"/>
    <w:rsid w:val="0057326A"/>
    <w:rsid w:val="0057345E"/>
    <w:rsid w:val="00575133"/>
    <w:rsid w:val="0057637F"/>
    <w:rsid w:val="00583324"/>
    <w:rsid w:val="00583AF0"/>
    <w:rsid w:val="00587B7C"/>
    <w:rsid w:val="00592127"/>
    <w:rsid w:val="00592599"/>
    <w:rsid w:val="00592A08"/>
    <w:rsid w:val="00593158"/>
    <w:rsid w:val="00595473"/>
    <w:rsid w:val="005A01B9"/>
    <w:rsid w:val="005A084C"/>
    <w:rsid w:val="005A1512"/>
    <w:rsid w:val="005A1F3A"/>
    <w:rsid w:val="005A2B26"/>
    <w:rsid w:val="005A39DD"/>
    <w:rsid w:val="005A4EBC"/>
    <w:rsid w:val="005A55F8"/>
    <w:rsid w:val="005B12B4"/>
    <w:rsid w:val="005B1F8D"/>
    <w:rsid w:val="005B3221"/>
    <w:rsid w:val="005B3C15"/>
    <w:rsid w:val="005B4F5A"/>
    <w:rsid w:val="005B5390"/>
    <w:rsid w:val="005B5E9C"/>
    <w:rsid w:val="005C098E"/>
    <w:rsid w:val="005C10C9"/>
    <w:rsid w:val="005C2E67"/>
    <w:rsid w:val="005C4920"/>
    <w:rsid w:val="005C4B63"/>
    <w:rsid w:val="005C694C"/>
    <w:rsid w:val="005D1123"/>
    <w:rsid w:val="005D3AC3"/>
    <w:rsid w:val="005E0051"/>
    <w:rsid w:val="005E205C"/>
    <w:rsid w:val="005E34C1"/>
    <w:rsid w:val="005E3909"/>
    <w:rsid w:val="005E6089"/>
    <w:rsid w:val="005E72AE"/>
    <w:rsid w:val="005E7A03"/>
    <w:rsid w:val="005F2562"/>
    <w:rsid w:val="005F6268"/>
    <w:rsid w:val="005F6C3F"/>
    <w:rsid w:val="005F754F"/>
    <w:rsid w:val="005F7E6A"/>
    <w:rsid w:val="00600281"/>
    <w:rsid w:val="006040BC"/>
    <w:rsid w:val="006055FC"/>
    <w:rsid w:val="00611117"/>
    <w:rsid w:val="00611ADE"/>
    <w:rsid w:val="00612409"/>
    <w:rsid w:val="00612F9D"/>
    <w:rsid w:val="006153D9"/>
    <w:rsid w:val="00615B1A"/>
    <w:rsid w:val="00616518"/>
    <w:rsid w:val="00617623"/>
    <w:rsid w:val="0062214E"/>
    <w:rsid w:val="0062222F"/>
    <w:rsid w:val="00622358"/>
    <w:rsid w:val="006223FE"/>
    <w:rsid w:val="006228DB"/>
    <w:rsid w:val="00622DE4"/>
    <w:rsid w:val="00622F45"/>
    <w:rsid w:val="00625255"/>
    <w:rsid w:val="006258D1"/>
    <w:rsid w:val="00625D13"/>
    <w:rsid w:val="0062688B"/>
    <w:rsid w:val="00630779"/>
    <w:rsid w:val="00632C45"/>
    <w:rsid w:val="00635010"/>
    <w:rsid w:val="00637914"/>
    <w:rsid w:val="00640E20"/>
    <w:rsid w:val="00641008"/>
    <w:rsid w:val="00643E50"/>
    <w:rsid w:val="00645E83"/>
    <w:rsid w:val="00645FDF"/>
    <w:rsid w:val="00646479"/>
    <w:rsid w:val="006465FD"/>
    <w:rsid w:val="006560CF"/>
    <w:rsid w:val="00661BB1"/>
    <w:rsid w:val="0066369D"/>
    <w:rsid w:val="006644DD"/>
    <w:rsid w:val="006717DF"/>
    <w:rsid w:val="00672CF9"/>
    <w:rsid w:val="00673268"/>
    <w:rsid w:val="00674DE1"/>
    <w:rsid w:val="00674E9B"/>
    <w:rsid w:val="00683916"/>
    <w:rsid w:val="00685BCE"/>
    <w:rsid w:val="00685DF5"/>
    <w:rsid w:val="006860EB"/>
    <w:rsid w:val="006905FA"/>
    <w:rsid w:val="00692176"/>
    <w:rsid w:val="00695A15"/>
    <w:rsid w:val="00696030"/>
    <w:rsid w:val="00696EA8"/>
    <w:rsid w:val="006A7119"/>
    <w:rsid w:val="006B1ECF"/>
    <w:rsid w:val="006B369C"/>
    <w:rsid w:val="006B5D1F"/>
    <w:rsid w:val="006B6174"/>
    <w:rsid w:val="006B7003"/>
    <w:rsid w:val="006C3D13"/>
    <w:rsid w:val="006C4325"/>
    <w:rsid w:val="006D3A10"/>
    <w:rsid w:val="006D3A6E"/>
    <w:rsid w:val="006D47DC"/>
    <w:rsid w:val="006D6199"/>
    <w:rsid w:val="006E0D7F"/>
    <w:rsid w:val="006E49F6"/>
    <w:rsid w:val="006E538E"/>
    <w:rsid w:val="006E5BF8"/>
    <w:rsid w:val="006F0E2F"/>
    <w:rsid w:val="006F1EE7"/>
    <w:rsid w:val="006F309E"/>
    <w:rsid w:val="006F63DC"/>
    <w:rsid w:val="006F6AC8"/>
    <w:rsid w:val="006F776D"/>
    <w:rsid w:val="00700165"/>
    <w:rsid w:val="007036E6"/>
    <w:rsid w:val="00703B90"/>
    <w:rsid w:val="00703D04"/>
    <w:rsid w:val="007040D5"/>
    <w:rsid w:val="0070456D"/>
    <w:rsid w:val="00705702"/>
    <w:rsid w:val="00706C7C"/>
    <w:rsid w:val="00712AB0"/>
    <w:rsid w:val="00712C78"/>
    <w:rsid w:val="00713400"/>
    <w:rsid w:val="007134F3"/>
    <w:rsid w:val="00717A04"/>
    <w:rsid w:val="00721EF4"/>
    <w:rsid w:val="00722D1E"/>
    <w:rsid w:val="007263F3"/>
    <w:rsid w:val="00727BF7"/>
    <w:rsid w:val="007345B3"/>
    <w:rsid w:val="007356F5"/>
    <w:rsid w:val="00737439"/>
    <w:rsid w:val="00742DC4"/>
    <w:rsid w:val="007432A5"/>
    <w:rsid w:val="007432DB"/>
    <w:rsid w:val="00745D81"/>
    <w:rsid w:val="007474F8"/>
    <w:rsid w:val="00747D6D"/>
    <w:rsid w:val="00747EDC"/>
    <w:rsid w:val="007517B2"/>
    <w:rsid w:val="00754880"/>
    <w:rsid w:val="00756440"/>
    <w:rsid w:val="00760B31"/>
    <w:rsid w:val="00763279"/>
    <w:rsid w:val="00763F39"/>
    <w:rsid w:val="007643E4"/>
    <w:rsid w:val="007725C8"/>
    <w:rsid w:val="00772767"/>
    <w:rsid w:val="007778EE"/>
    <w:rsid w:val="0078006A"/>
    <w:rsid w:val="007808C8"/>
    <w:rsid w:val="00781C23"/>
    <w:rsid w:val="007829F1"/>
    <w:rsid w:val="00782A4C"/>
    <w:rsid w:val="007847C7"/>
    <w:rsid w:val="00791F58"/>
    <w:rsid w:val="00792484"/>
    <w:rsid w:val="00793708"/>
    <w:rsid w:val="0079404D"/>
    <w:rsid w:val="007A12FB"/>
    <w:rsid w:val="007A2AC4"/>
    <w:rsid w:val="007A52C9"/>
    <w:rsid w:val="007A5548"/>
    <w:rsid w:val="007A724C"/>
    <w:rsid w:val="007B1AF6"/>
    <w:rsid w:val="007B2638"/>
    <w:rsid w:val="007B69A1"/>
    <w:rsid w:val="007B69AF"/>
    <w:rsid w:val="007C4A7B"/>
    <w:rsid w:val="007C7EC6"/>
    <w:rsid w:val="007D40DC"/>
    <w:rsid w:val="007D7047"/>
    <w:rsid w:val="007D7294"/>
    <w:rsid w:val="007E23F2"/>
    <w:rsid w:val="007E3F3E"/>
    <w:rsid w:val="007E5052"/>
    <w:rsid w:val="007F0B56"/>
    <w:rsid w:val="007F1131"/>
    <w:rsid w:val="007F3E99"/>
    <w:rsid w:val="007F4843"/>
    <w:rsid w:val="00800382"/>
    <w:rsid w:val="00800A64"/>
    <w:rsid w:val="00801821"/>
    <w:rsid w:val="00803BDC"/>
    <w:rsid w:val="008054EF"/>
    <w:rsid w:val="00810304"/>
    <w:rsid w:val="00810FB5"/>
    <w:rsid w:val="00811585"/>
    <w:rsid w:val="00811628"/>
    <w:rsid w:val="0081171E"/>
    <w:rsid w:val="00812561"/>
    <w:rsid w:val="00816491"/>
    <w:rsid w:val="00816BED"/>
    <w:rsid w:val="0081767E"/>
    <w:rsid w:val="00820530"/>
    <w:rsid w:val="00820BE6"/>
    <w:rsid w:val="00825501"/>
    <w:rsid w:val="0082799A"/>
    <w:rsid w:val="00830044"/>
    <w:rsid w:val="0083193D"/>
    <w:rsid w:val="0083675E"/>
    <w:rsid w:val="00836B5C"/>
    <w:rsid w:val="00844AD8"/>
    <w:rsid w:val="00845C03"/>
    <w:rsid w:val="00852127"/>
    <w:rsid w:val="008557CF"/>
    <w:rsid w:val="008561FF"/>
    <w:rsid w:val="008575C2"/>
    <w:rsid w:val="00860D8B"/>
    <w:rsid w:val="00864D88"/>
    <w:rsid w:val="00881CB0"/>
    <w:rsid w:val="00882FCE"/>
    <w:rsid w:val="0088375A"/>
    <w:rsid w:val="00885E2C"/>
    <w:rsid w:val="00885EA0"/>
    <w:rsid w:val="00891417"/>
    <w:rsid w:val="008917B1"/>
    <w:rsid w:val="008918DA"/>
    <w:rsid w:val="00894122"/>
    <w:rsid w:val="008960F9"/>
    <w:rsid w:val="00896F43"/>
    <w:rsid w:val="008977D5"/>
    <w:rsid w:val="008A1C54"/>
    <w:rsid w:val="008A1D2D"/>
    <w:rsid w:val="008A3A01"/>
    <w:rsid w:val="008A4B3C"/>
    <w:rsid w:val="008B2F23"/>
    <w:rsid w:val="008B380F"/>
    <w:rsid w:val="008B4E6D"/>
    <w:rsid w:val="008B5392"/>
    <w:rsid w:val="008B636E"/>
    <w:rsid w:val="008C1C2C"/>
    <w:rsid w:val="008C1E2F"/>
    <w:rsid w:val="008C4AB7"/>
    <w:rsid w:val="008C4E90"/>
    <w:rsid w:val="008C5C09"/>
    <w:rsid w:val="008D1642"/>
    <w:rsid w:val="008D2088"/>
    <w:rsid w:val="008D214F"/>
    <w:rsid w:val="008D5DC1"/>
    <w:rsid w:val="008D5E7A"/>
    <w:rsid w:val="008E29EF"/>
    <w:rsid w:val="008F115B"/>
    <w:rsid w:val="008F3FED"/>
    <w:rsid w:val="008F72CB"/>
    <w:rsid w:val="009001E7"/>
    <w:rsid w:val="00900839"/>
    <w:rsid w:val="0090149D"/>
    <w:rsid w:val="00904643"/>
    <w:rsid w:val="00907EA6"/>
    <w:rsid w:val="009108C1"/>
    <w:rsid w:val="00913C78"/>
    <w:rsid w:val="00925572"/>
    <w:rsid w:val="00931A56"/>
    <w:rsid w:val="00936756"/>
    <w:rsid w:val="00942B16"/>
    <w:rsid w:val="0095249C"/>
    <w:rsid w:val="009540E9"/>
    <w:rsid w:val="009559DA"/>
    <w:rsid w:val="00961CC6"/>
    <w:rsid w:val="00962268"/>
    <w:rsid w:val="00963EF7"/>
    <w:rsid w:val="00965943"/>
    <w:rsid w:val="00965D62"/>
    <w:rsid w:val="009674FF"/>
    <w:rsid w:val="00980D13"/>
    <w:rsid w:val="0098261A"/>
    <w:rsid w:val="00982CF6"/>
    <w:rsid w:val="00984A41"/>
    <w:rsid w:val="00984E62"/>
    <w:rsid w:val="009857D7"/>
    <w:rsid w:val="00986866"/>
    <w:rsid w:val="00987993"/>
    <w:rsid w:val="009928D6"/>
    <w:rsid w:val="00993103"/>
    <w:rsid w:val="00993245"/>
    <w:rsid w:val="0099614C"/>
    <w:rsid w:val="00997DD6"/>
    <w:rsid w:val="009A2DCF"/>
    <w:rsid w:val="009A77EA"/>
    <w:rsid w:val="009B0C0F"/>
    <w:rsid w:val="009B62D7"/>
    <w:rsid w:val="009C12A0"/>
    <w:rsid w:val="009C2BB5"/>
    <w:rsid w:val="009C3B2F"/>
    <w:rsid w:val="009C3FA2"/>
    <w:rsid w:val="009C4285"/>
    <w:rsid w:val="009C4806"/>
    <w:rsid w:val="009C6A75"/>
    <w:rsid w:val="009D25D6"/>
    <w:rsid w:val="009D3447"/>
    <w:rsid w:val="009D51D9"/>
    <w:rsid w:val="009E114C"/>
    <w:rsid w:val="009E25CD"/>
    <w:rsid w:val="009E3ACE"/>
    <w:rsid w:val="009E5225"/>
    <w:rsid w:val="009E7A59"/>
    <w:rsid w:val="009E7D1B"/>
    <w:rsid w:val="009F1446"/>
    <w:rsid w:val="009F31FF"/>
    <w:rsid w:val="009F3DFC"/>
    <w:rsid w:val="009F5E42"/>
    <w:rsid w:val="009F666B"/>
    <w:rsid w:val="009F6C8E"/>
    <w:rsid w:val="009F7105"/>
    <w:rsid w:val="00A01021"/>
    <w:rsid w:val="00A028BC"/>
    <w:rsid w:val="00A039E3"/>
    <w:rsid w:val="00A11744"/>
    <w:rsid w:val="00A134DF"/>
    <w:rsid w:val="00A14A27"/>
    <w:rsid w:val="00A150BE"/>
    <w:rsid w:val="00A166D2"/>
    <w:rsid w:val="00A253B9"/>
    <w:rsid w:val="00A25550"/>
    <w:rsid w:val="00A32E35"/>
    <w:rsid w:val="00A34238"/>
    <w:rsid w:val="00A3742E"/>
    <w:rsid w:val="00A37C1A"/>
    <w:rsid w:val="00A40A82"/>
    <w:rsid w:val="00A41487"/>
    <w:rsid w:val="00A418C4"/>
    <w:rsid w:val="00A419D6"/>
    <w:rsid w:val="00A52648"/>
    <w:rsid w:val="00A529CF"/>
    <w:rsid w:val="00A52C08"/>
    <w:rsid w:val="00A5438B"/>
    <w:rsid w:val="00A54591"/>
    <w:rsid w:val="00A55BDA"/>
    <w:rsid w:val="00A568B3"/>
    <w:rsid w:val="00A56E9F"/>
    <w:rsid w:val="00A6026F"/>
    <w:rsid w:val="00A6052F"/>
    <w:rsid w:val="00A67106"/>
    <w:rsid w:val="00A67427"/>
    <w:rsid w:val="00A67567"/>
    <w:rsid w:val="00A7175E"/>
    <w:rsid w:val="00A76757"/>
    <w:rsid w:val="00A8564A"/>
    <w:rsid w:val="00A86866"/>
    <w:rsid w:val="00A90ED1"/>
    <w:rsid w:val="00A92801"/>
    <w:rsid w:val="00A9310B"/>
    <w:rsid w:val="00A9400C"/>
    <w:rsid w:val="00A96025"/>
    <w:rsid w:val="00A963E1"/>
    <w:rsid w:val="00A96B87"/>
    <w:rsid w:val="00A972BD"/>
    <w:rsid w:val="00A97639"/>
    <w:rsid w:val="00AA2C63"/>
    <w:rsid w:val="00AA3EF8"/>
    <w:rsid w:val="00AA4142"/>
    <w:rsid w:val="00AA4822"/>
    <w:rsid w:val="00AA667D"/>
    <w:rsid w:val="00AB0F06"/>
    <w:rsid w:val="00AB13F5"/>
    <w:rsid w:val="00AB22AE"/>
    <w:rsid w:val="00AB37C8"/>
    <w:rsid w:val="00AB69C3"/>
    <w:rsid w:val="00AB752B"/>
    <w:rsid w:val="00AC0A61"/>
    <w:rsid w:val="00AC1609"/>
    <w:rsid w:val="00AC3430"/>
    <w:rsid w:val="00AC4B87"/>
    <w:rsid w:val="00AC5DE4"/>
    <w:rsid w:val="00AC6D86"/>
    <w:rsid w:val="00AC7059"/>
    <w:rsid w:val="00AD032F"/>
    <w:rsid w:val="00AD16A4"/>
    <w:rsid w:val="00AD2D23"/>
    <w:rsid w:val="00AD2EBF"/>
    <w:rsid w:val="00AD31E9"/>
    <w:rsid w:val="00AD3F50"/>
    <w:rsid w:val="00AD69F3"/>
    <w:rsid w:val="00AE1A94"/>
    <w:rsid w:val="00AE28D4"/>
    <w:rsid w:val="00AE35C9"/>
    <w:rsid w:val="00AE5123"/>
    <w:rsid w:val="00AE5700"/>
    <w:rsid w:val="00AE79AB"/>
    <w:rsid w:val="00AE7D5A"/>
    <w:rsid w:val="00AF2F98"/>
    <w:rsid w:val="00B017D0"/>
    <w:rsid w:val="00B02BDA"/>
    <w:rsid w:val="00B075AC"/>
    <w:rsid w:val="00B107CD"/>
    <w:rsid w:val="00B14995"/>
    <w:rsid w:val="00B15A04"/>
    <w:rsid w:val="00B16CB7"/>
    <w:rsid w:val="00B21631"/>
    <w:rsid w:val="00B2339E"/>
    <w:rsid w:val="00B25086"/>
    <w:rsid w:val="00B3069A"/>
    <w:rsid w:val="00B30F7A"/>
    <w:rsid w:val="00B31867"/>
    <w:rsid w:val="00B34DD0"/>
    <w:rsid w:val="00B35418"/>
    <w:rsid w:val="00B35A79"/>
    <w:rsid w:val="00B362E2"/>
    <w:rsid w:val="00B36B27"/>
    <w:rsid w:val="00B372AC"/>
    <w:rsid w:val="00B37432"/>
    <w:rsid w:val="00B402C0"/>
    <w:rsid w:val="00B40B1A"/>
    <w:rsid w:val="00B40F39"/>
    <w:rsid w:val="00B4179C"/>
    <w:rsid w:val="00B42C66"/>
    <w:rsid w:val="00B43B17"/>
    <w:rsid w:val="00B43B88"/>
    <w:rsid w:val="00B45A1C"/>
    <w:rsid w:val="00B47333"/>
    <w:rsid w:val="00B52112"/>
    <w:rsid w:val="00B5251F"/>
    <w:rsid w:val="00B70DD9"/>
    <w:rsid w:val="00B71A0F"/>
    <w:rsid w:val="00B7235B"/>
    <w:rsid w:val="00B7252F"/>
    <w:rsid w:val="00B7411F"/>
    <w:rsid w:val="00B74185"/>
    <w:rsid w:val="00B746C3"/>
    <w:rsid w:val="00B75216"/>
    <w:rsid w:val="00B7775D"/>
    <w:rsid w:val="00B8008C"/>
    <w:rsid w:val="00B807CA"/>
    <w:rsid w:val="00B81A19"/>
    <w:rsid w:val="00B8215F"/>
    <w:rsid w:val="00B82716"/>
    <w:rsid w:val="00B848FD"/>
    <w:rsid w:val="00B90479"/>
    <w:rsid w:val="00B90EF8"/>
    <w:rsid w:val="00B9479B"/>
    <w:rsid w:val="00B96BFE"/>
    <w:rsid w:val="00BA40DE"/>
    <w:rsid w:val="00BA4728"/>
    <w:rsid w:val="00BA5D10"/>
    <w:rsid w:val="00BA6AE4"/>
    <w:rsid w:val="00BB22C3"/>
    <w:rsid w:val="00BB2F14"/>
    <w:rsid w:val="00BB5BF1"/>
    <w:rsid w:val="00BC1332"/>
    <w:rsid w:val="00BC1CD5"/>
    <w:rsid w:val="00BC475C"/>
    <w:rsid w:val="00BC626C"/>
    <w:rsid w:val="00BD0700"/>
    <w:rsid w:val="00BD292F"/>
    <w:rsid w:val="00BD37DA"/>
    <w:rsid w:val="00BD4054"/>
    <w:rsid w:val="00BD6876"/>
    <w:rsid w:val="00BE2921"/>
    <w:rsid w:val="00BE2F42"/>
    <w:rsid w:val="00BE3051"/>
    <w:rsid w:val="00BE469D"/>
    <w:rsid w:val="00BE47B1"/>
    <w:rsid w:val="00BE56A1"/>
    <w:rsid w:val="00BE6D7D"/>
    <w:rsid w:val="00BF0C59"/>
    <w:rsid w:val="00BF1D53"/>
    <w:rsid w:val="00BF2D1D"/>
    <w:rsid w:val="00BF31FC"/>
    <w:rsid w:val="00BF3540"/>
    <w:rsid w:val="00BF4AD3"/>
    <w:rsid w:val="00BF7EFB"/>
    <w:rsid w:val="00C00B95"/>
    <w:rsid w:val="00C02FF8"/>
    <w:rsid w:val="00C07756"/>
    <w:rsid w:val="00C112BC"/>
    <w:rsid w:val="00C1265A"/>
    <w:rsid w:val="00C15E59"/>
    <w:rsid w:val="00C17958"/>
    <w:rsid w:val="00C208B8"/>
    <w:rsid w:val="00C216C4"/>
    <w:rsid w:val="00C23D78"/>
    <w:rsid w:val="00C3270E"/>
    <w:rsid w:val="00C358D0"/>
    <w:rsid w:val="00C37C7B"/>
    <w:rsid w:val="00C43DF5"/>
    <w:rsid w:val="00C445D2"/>
    <w:rsid w:val="00C45149"/>
    <w:rsid w:val="00C4537A"/>
    <w:rsid w:val="00C454EE"/>
    <w:rsid w:val="00C50CCE"/>
    <w:rsid w:val="00C529A1"/>
    <w:rsid w:val="00C5561B"/>
    <w:rsid w:val="00C57243"/>
    <w:rsid w:val="00C606D4"/>
    <w:rsid w:val="00C61861"/>
    <w:rsid w:val="00C6305D"/>
    <w:rsid w:val="00C65553"/>
    <w:rsid w:val="00C67E35"/>
    <w:rsid w:val="00C73243"/>
    <w:rsid w:val="00C7530C"/>
    <w:rsid w:val="00C75D95"/>
    <w:rsid w:val="00C77CF5"/>
    <w:rsid w:val="00C82E36"/>
    <w:rsid w:val="00C857C1"/>
    <w:rsid w:val="00C93180"/>
    <w:rsid w:val="00C93944"/>
    <w:rsid w:val="00C94287"/>
    <w:rsid w:val="00C94581"/>
    <w:rsid w:val="00C97DF0"/>
    <w:rsid w:val="00CA0ECD"/>
    <w:rsid w:val="00CA1A5A"/>
    <w:rsid w:val="00CA2D7D"/>
    <w:rsid w:val="00CA524A"/>
    <w:rsid w:val="00CA63F0"/>
    <w:rsid w:val="00CA6C33"/>
    <w:rsid w:val="00CA76F9"/>
    <w:rsid w:val="00CB0FF0"/>
    <w:rsid w:val="00CB214E"/>
    <w:rsid w:val="00CB3E62"/>
    <w:rsid w:val="00CC129B"/>
    <w:rsid w:val="00CC3714"/>
    <w:rsid w:val="00CC7E47"/>
    <w:rsid w:val="00CD3FC4"/>
    <w:rsid w:val="00CD5384"/>
    <w:rsid w:val="00CD5657"/>
    <w:rsid w:val="00CE10F5"/>
    <w:rsid w:val="00CE192C"/>
    <w:rsid w:val="00CE22CB"/>
    <w:rsid w:val="00CE49BC"/>
    <w:rsid w:val="00CE5FAC"/>
    <w:rsid w:val="00CF2836"/>
    <w:rsid w:val="00CF4B4A"/>
    <w:rsid w:val="00CF6D3D"/>
    <w:rsid w:val="00CF7756"/>
    <w:rsid w:val="00CF7BE8"/>
    <w:rsid w:val="00D01293"/>
    <w:rsid w:val="00D01C9E"/>
    <w:rsid w:val="00D054E4"/>
    <w:rsid w:val="00D06172"/>
    <w:rsid w:val="00D0669D"/>
    <w:rsid w:val="00D1081E"/>
    <w:rsid w:val="00D109FD"/>
    <w:rsid w:val="00D11186"/>
    <w:rsid w:val="00D120A5"/>
    <w:rsid w:val="00D133AD"/>
    <w:rsid w:val="00D15326"/>
    <w:rsid w:val="00D15979"/>
    <w:rsid w:val="00D15CD4"/>
    <w:rsid w:val="00D16CF1"/>
    <w:rsid w:val="00D3043A"/>
    <w:rsid w:val="00D316A3"/>
    <w:rsid w:val="00D34526"/>
    <w:rsid w:val="00D34BC5"/>
    <w:rsid w:val="00D35A86"/>
    <w:rsid w:val="00D401F7"/>
    <w:rsid w:val="00D40862"/>
    <w:rsid w:val="00D40C82"/>
    <w:rsid w:val="00D439DB"/>
    <w:rsid w:val="00D447A7"/>
    <w:rsid w:val="00D46377"/>
    <w:rsid w:val="00D46BB2"/>
    <w:rsid w:val="00D47333"/>
    <w:rsid w:val="00D474E8"/>
    <w:rsid w:val="00D505D6"/>
    <w:rsid w:val="00D51A6A"/>
    <w:rsid w:val="00D54081"/>
    <w:rsid w:val="00D574FA"/>
    <w:rsid w:val="00D63CF7"/>
    <w:rsid w:val="00D7133E"/>
    <w:rsid w:val="00D714F3"/>
    <w:rsid w:val="00D73CAD"/>
    <w:rsid w:val="00D77E0B"/>
    <w:rsid w:val="00D80A9C"/>
    <w:rsid w:val="00D80E2C"/>
    <w:rsid w:val="00D83AD4"/>
    <w:rsid w:val="00D86C61"/>
    <w:rsid w:val="00D8723A"/>
    <w:rsid w:val="00D87DB5"/>
    <w:rsid w:val="00D90350"/>
    <w:rsid w:val="00D92220"/>
    <w:rsid w:val="00D92F43"/>
    <w:rsid w:val="00D9712C"/>
    <w:rsid w:val="00DA0EAD"/>
    <w:rsid w:val="00DA2E1C"/>
    <w:rsid w:val="00DA4276"/>
    <w:rsid w:val="00DA4C2A"/>
    <w:rsid w:val="00DA5784"/>
    <w:rsid w:val="00DA6D0A"/>
    <w:rsid w:val="00DA76FF"/>
    <w:rsid w:val="00DB229B"/>
    <w:rsid w:val="00DB4BF4"/>
    <w:rsid w:val="00DB51CC"/>
    <w:rsid w:val="00DB57E7"/>
    <w:rsid w:val="00DC03AE"/>
    <w:rsid w:val="00DC220B"/>
    <w:rsid w:val="00DC2915"/>
    <w:rsid w:val="00DC480B"/>
    <w:rsid w:val="00DC5C5C"/>
    <w:rsid w:val="00DD1E97"/>
    <w:rsid w:val="00DD27DA"/>
    <w:rsid w:val="00DD44BD"/>
    <w:rsid w:val="00DD48F0"/>
    <w:rsid w:val="00DD7D7F"/>
    <w:rsid w:val="00DE322A"/>
    <w:rsid w:val="00DF2A5B"/>
    <w:rsid w:val="00E000AE"/>
    <w:rsid w:val="00E03961"/>
    <w:rsid w:val="00E04C43"/>
    <w:rsid w:val="00E04F4D"/>
    <w:rsid w:val="00E0615A"/>
    <w:rsid w:val="00E06329"/>
    <w:rsid w:val="00E129E3"/>
    <w:rsid w:val="00E15B9A"/>
    <w:rsid w:val="00E17130"/>
    <w:rsid w:val="00E23D15"/>
    <w:rsid w:val="00E25ED6"/>
    <w:rsid w:val="00E268D2"/>
    <w:rsid w:val="00E3351E"/>
    <w:rsid w:val="00E33D40"/>
    <w:rsid w:val="00E33DB0"/>
    <w:rsid w:val="00E34ED7"/>
    <w:rsid w:val="00E4138D"/>
    <w:rsid w:val="00E550E4"/>
    <w:rsid w:val="00E57952"/>
    <w:rsid w:val="00E62031"/>
    <w:rsid w:val="00E63B91"/>
    <w:rsid w:val="00E63C58"/>
    <w:rsid w:val="00E71173"/>
    <w:rsid w:val="00E751BA"/>
    <w:rsid w:val="00E811A6"/>
    <w:rsid w:val="00E816EE"/>
    <w:rsid w:val="00E81D82"/>
    <w:rsid w:val="00E86118"/>
    <w:rsid w:val="00E87092"/>
    <w:rsid w:val="00E91605"/>
    <w:rsid w:val="00E92249"/>
    <w:rsid w:val="00E9410C"/>
    <w:rsid w:val="00E94AA2"/>
    <w:rsid w:val="00E969B7"/>
    <w:rsid w:val="00E970DF"/>
    <w:rsid w:val="00EA135A"/>
    <w:rsid w:val="00EA15EA"/>
    <w:rsid w:val="00EA4706"/>
    <w:rsid w:val="00EA4A57"/>
    <w:rsid w:val="00EA4F54"/>
    <w:rsid w:val="00EA56E2"/>
    <w:rsid w:val="00EB1EB4"/>
    <w:rsid w:val="00EB24D3"/>
    <w:rsid w:val="00EB4874"/>
    <w:rsid w:val="00EB49D3"/>
    <w:rsid w:val="00EB5E91"/>
    <w:rsid w:val="00EB78AA"/>
    <w:rsid w:val="00EC16A4"/>
    <w:rsid w:val="00EC2135"/>
    <w:rsid w:val="00EC7B7E"/>
    <w:rsid w:val="00ED338C"/>
    <w:rsid w:val="00ED4817"/>
    <w:rsid w:val="00ED55A5"/>
    <w:rsid w:val="00EE1483"/>
    <w:rsid w:val="00EF014C"/>
    <w:rsid w:val="00EF4EC5"/>
    <w:rsid w:val="00EF5732"/>
    <w:rsid w:val="00EF66F1"/>
    <w:rsid w:val="00EF68E9"/>
    <w:rsid w:val="00EF6A9F"/>
    <w:rsid w:val="00F027BA"/>
    <w:rsid w:val="00F116F2"/>
    <w:rsid w:val="00F15490"/>
    <w:rsid w:val="00F23E63"/>
    <w:rsid w:val="00F25905"/>
    <w:rsid w:val="00F27922"/>
    <w:rsid w:val="00F40111"/>
    <w:rsid w:val="00F4043F"/>
    <w:rsid w:val="00F40D4F"/>
    <w:rsid w:val="00F414F8"/>
    <w:rsid w:val="00F41511"/>
    <w:rsid w:val="00F41762"/>
    <w:rsid w:val="00F42E1D"/>
    <w:rsid w:val="00F4560B"/>
    <w:rsid w:val="00F4582F"/>
    <w:rsid w:val="00F47F9F"/>
    <w:rsid w:val="00F5227B"/>
    <w:rsid w:val="00F537DA"/>
    <w:rsid w:val="00F54A35"/>
    <w:rsid w:val="00F554C4"/>
    <w:rsid w:val="00F5739D"/>
    <w:rsid w:val="00F5771B"/>
    <w:rsid w:val="00F61FAF"/>
    <w:rsid w:val="00F62103"/>
    <w:rsid w:val="00F66D7B"/>
    <w:rsid w:val="00F6779A"/>
    <w:rsid w:val="00F71966"/>
    <w:rsid w:val="00F735A3"/>
    <w:rsid w:val="00F7385C"/>
    <w:rsid w:val="00F73F42"/>
    <w:rsid w:val="00F83391"/>
    <w:rsid w:val="00F83D22"/>
    <w:rsid w:val="00F85F5C"/>
    <w:rsid w:val="00F92702"/>
    <w:rsid w:val="00F930E5"/>
    <w:rsid w:val="00F94CD2"/>
    <w:rsid w:val="00F94D68"/>
    <w:rsid w:val="00FA0EB7"/>
    <w:rsid w:val="00FA2A72"/>
    <w:rsid w:val="00FA3CC9"/>
    <w:rsid w:val="00FB2EF2"/>
    <w:rsid w:val="00FB325C"/>
    <w:rsid w:val="00FB39C9"/>
    <w:rsid w:val="00FB3B6C"/>
    <w:rsid w:val="00FB4F5F"/>
    <w:rsid w:val="00FB71E8"/>
    <w:rsid w:val="00FC5AD0"/>
    <w:rsid w:val="00FC690E"/>
    <w:rsid w:val="00FD05B8"/>
    <w:rsid w:val="00FD09C2"/>
    <w:rsid w:val="00FD1C46"/>
    <w:rsid w:val="00FD4692"/>
    <w:rsid w:val="00FD7F6E"/>
    <w:rsid w:val="00FF187A"/>
    <w:rsid w:val="00FF1B73"/>
    <w:rsid w:val="00FF69E8"/>
    <w:rsid w:val="02A125FC"/>
    <w:rsid w:val="03057D85"/>
    <w:rsid w:val="03B31785"/>
    <w:rsid w:val="03FA1923"/>
    <w:rsid w:val="04717DF4"/>
    <w:rsid w:val="054B3571"/>
    <w:rsid w:val="056D178C"/>
    <w:rsid w:val="068237CF"/>
    <w:rsid w:val="06BD368F"/>
    <w:rsid w:val="06D83776"/>
    <w:rsid w:val="077E01A3"/>
    <w:rsid w:val="084E6C51"/>
    <w:rsid w:val="08CB1603"/>
    <w:rsid w:val="093D625A"/>
    <w:rsid w:val="0A0466A4"/>
    <w:rsid w:val="0A6556DB"/>
    <w:rsid w:val="0AB21460"/>
    <w:rsid w:val="0ACE0520"/>
    <w:rsid w:val="0B835865"/>
    <w:rsid w:val="0BCC52B7"/>
    <w:rsid w:val="0BCE3FEB"/>
    <w:rsid w:val="0D1A30CD"/>
    <w:rsid w:val="0D2C41AB"/>
    <w:rsid w:val="0D6718EA"/>
    <w:rsid w:val="0D676E71"/>
    <w:rsid w:val="0DA45B3D"/>
    <w:rsid w:val="0DB51DE9"/>
    <w:rsid w:val="0DB85E2E"/>
    <w:rsid w:val="0E030740"/>
    <w:rsid w:val="0E207B20"/>
    <w:rsid w:val="0E397FB2"/>
    <w:rsid w:val="0E60189D"/>
    <w:rsid w:val="0E91627B"/>
    <w:rsid w:val="0E9449B9"/>
    <w:rsid w:val="0ECF7CEA"/>
    <w:rsid w:val="0F827BE2"/>
    <w:rsid w:val="10730941"/>
    <w:rsid w:val="10A92671"/>
    <w:rsid w:val="10EC1795"/>
    <w:rsid w:val="11414172"/>
    <w:rsid w:val="11740141"/>
    <w:rsid w:val="11E547CE"/>
    <w:rsid w:val="12115713"/>
    <w:rsid w:val="121605B7"/>
    <w:rsid w:val="12297FC8"/>
    <w:rsid w:val="12645AE6"/>
    <w:rsid w:val="127F1DC7"/>
    <w:rsid w:val="12A256A1"/>
    <w:rsid w:val="138211A7"/>
    <w:rsid w:val="142253FB"/>
    <w:rsid w:val="14465B6D"/>
    <w:rsid w:val="14623AA0"/>
    <w:rsid w:val="14A9738A"/>
    <w:rsid w:val="15001E85"/>
    <w:rsid w:val="150E6C1E"/>
    <w:rsid w:val="151A3A14"/>
    <w:rsid w:val="159F7BCA"/>
    <w:rsid w:val="15CB2DE8"/>
    <w:rsid w:val="15DB564B"/>
    <w:rsid w:val="16385662"/>
    <w:rsid w:val="16BA1546"/>
    <w:rsid w:val="172435BF"/>
    <w:rsid w:val="17562A2A"/>
    <w:rsid w:val="176E2AC1"/>
    <w:rsid w:val="178F42B5"/>
    <w:rsid w:val="19067AD5"/>
    <w:rsid w:val="19121FD6"/>
    <w:rsid w:val="19BF2C17"/>
    <w:rsid w:val="19FA67AF"/>
    <w:rsid w:val="1A3307A8"/>
    <w:rsid w:val="1A5854C9"/>
    <w:rsid w:val="1A8A3C43"/>
    <w:rsid w:val="1B5B05DB"/>
    <w:rsid w:val="1BBF74E7"/>
    <w:rsid w:val="1BCB3760"/>
    <w:rsid w:val="1CF33EAD"/>
    <w:rsid w:val="1D7F261E"/>
    <w:rsid w:val="1D992EC9"/>
    <w:rsid w:val="1DBF7F2C"/>
    <w:rsid w:val="1E7C7CBA"/>
    <w:rsid w:val="1F543653"/>
    <w:rsid w:val="20DA2163"/>
    <w:rsid w:val="20DD71DD"/>
    <w:rsid w:val="20EB7FFC"/>
    <w:rsid w:val="22295FF0"/>
    <w:rsid w:val="22CE00AD"/>
    <w:rsid w:val="22D0601A"/>
    <w:rsid w:val="23E7405F"/>
    <w:rsid w:val="24540782"/>
    <w:rsid w:val="249E5E8B"/>
    <w:rsid w:val="24C65E36"/>
    <w:rsid w:val="25967E29"/>
    <w:rsid w:val="26541EBD"/>
    <w:rsid w:val="269932A4"/>
    <w:rsid w:val="273D2046"/>
    <w:rsid w:val="276617FC"/>
    <w:rsid w:val="2769232B"/>
    <w:rsid w:val="277D4F25"/>
    <w:rsid w:val="29A708A6"/>
    <w:rsid w:val="2A452FBA"/>
    <w:rsid w:val="2A516385"/>
    <w:rsid w:val="2B8E08A2"/>
    <w:rsid w:val="2BFB6CD7"/>
    <w:rsid w:val="2CA84CD4"/>
    <w:rsid w:val="2DC16A72"/>
    <w:rsid w:val="2E334A71"/>
    <w:rsid w:val="2EB318D2"/>
    <w:rsid w:val="2F5431A3"/>
    <w:rsid w:val="2FE75C0D"/>
    <w:rsid w:val="2FFD2E27"/>
    <w:rsid w:val="30831886"/>
    <w:rsid w:val="30A177D6"/>
    <w:rsid w:val="30CD153C"/>
    <w:rsid w:val="315274BF"/>
    <w:rsid w:val="31AE67ED"/>
    <w:rsid w:val="32317519"/>
    <w:rsid w:val="32733AE4"/>
    <w:rsid w:val="32DE70B4"/>
    <w:rsid w:val="32F90177"/>
    <w:rsid w:val="335C7091"/>
    <w:rsid w:val="335F24DE"/>
    <w:rsid w:val="33AC6930"/>
    <w:rsid w:val="3451719F"/>
    <w:rsid w:val="35986E3C"/>
    <w:rsid w:val="35ED7571"/>
    <w:rsid w:val="35EE22F8"/>
    <w:rsid w:val="35F20D6E"/>
    <w:rsid w:val="362F73BC"/>
    <w:rsid w:val="36482ED2"/>
    <w:rsid w:val="36AC2E8C"/>
    <w:rsid w:val="3723532B"/>
    <w:rsid w:val="37423F41"/>
    <w:rsid w:val="388043A7"/>
    <w:rsid w:val="39F81203"/>
    <w:rsid w:val="3A865F28"/>
    <w:rsid w:val="3B5E1885"/>
    <w:rsid w:val="3B720F1F"/>
    <w:rsid w:val="3BDD0CAA"/>
    <w:rsid w:val="3CE04961"/>
    <w:rsid w:val="3CFA7988"/>
    <w:rsid w:val="3D613EEC"/>
    <w:rsid w:val="3D8C0731"/>
    <w:rsid w:val="3EBF1A09"/>
    <w:rsid w:val="3F2F6B8F"/>
    <w:rsid w:val="3F58767D"/>
    <w:rsid w:val="3F8971F7"/>
    <w:rsid w:val="3FDF75AB"/>
    <w:rsid w:val="3FE7FA2F"/>
    <w:rsid w:val="3FF165A5"/>
    <w:rsid w:val="407B1D34"/>
    <w:rsid w:val="40CD48B1"/>
    <w:rsid w:val="412D19F9"/>
    <w:rsid w:val="4150408A"/>
    <w:rsid w:val="415C7A28"/>
    <w:rsid w:val="41A22A37"/>
    <w:rsid w:val="424325ED"/>
    <w:rsid w:val="425815C0"/>
    <w:rsid w:val="42C84BA6"/>
    <w:rsid w:val="42FD6F11"/>
    <w:rsid w:val="43397FDC"/>
    <w:rsid w:val="43CF26EE"/>
    <w:rsid w:val="44053942"/>
    <w:rsid w:val="44426A78"/>
    <w:rsid w:val="44635D6A"/>
    <w:rsid w:val="44E3327E"/>
    <w:rsid w:val="44F543D6"/>
    <w:rsid w:val="44F72BBD"/>
    <w:rsid w:val="459F350A"/>
    <w:rsid w:val="471A57E7"/>
    <w:rsid w:val="489E675F"/>
    <w:rsid w:val="48DB1FB9"/>
    <w:rsid w:val="48FF7A55"/>
    <w:rsid w:val="49FB248F"/>
    <w:rsid w:val="4A2D0677"/>
    <w:rsid w:val="4A823B23"/>
    <w:rsid w:val="4AA409A3"/>
    <w:rsid w:val="4C007927"/>
    <w:rsid w:val="4C5C4D3B"/>
    <w:rsid w:val="4CB93F1B"/>
    <w:rsid w:val="4E95079B"/>
    <w:rsid w:val="4E9B0CF9"/>
    <w:rsid w:val="4EA50255"/>
    <w:rsid w:val="4EBA0142"/>
    <w:rsid w:val="4ECE107A"/>
    <w:rsid w:val="4F540FFE"/>
    <w:rsid w:val="507A35EB"/>
    <w:rsid w:val="50D5792B"/>
    <w:rsid w:val="51796C6C"/>
    <w:rsid w:val="517C47E5"/>
    <w:rsid w:val="518A45F0"/>
    <w:rsid w:val="51AA430B"/>
    <w:rsid w:val="51B10878"/>
    <w:rsid w:val="51BC46F4"/>
    <w:rsid w:val="52087F1A"/>
    <w:rsid w:val="52AB099F"/>
    <w:rsid w:val="537B7D4F"/>
    <w:rsid w:val="5380337B"/>
    <w:rsid w:val="543E0175"/>
    <w:rsid w:val="5513060E"/>
    <w:rsid w:val="556E12BE"/>
    <w:rsid w:val="56963BBC"/>
    <w:rsid w:val="57320E47"/>
    <w:rsid w:val="57A347A0"/>
    <w:rsid w:val="57F1191F"/>
    <w:rsid w:val="59C81720"/>
    <w:rsid w:val="59F12E45"/>
    <w:rsid w:val="5A321DAF"/>
    <w:rsid w:val="5AD33ED1"/>
    <w:rsid w:val="5B711A27"/>
    <w:rsid w:val="5BC239D3"/>
    <w:rsid w:val="5BC701E3"/>
    <w:rsid w:val="5BE31F26"/>
    <w:rsid w:val="5C09267C"/>
    <w:rsid w:val="5C835FB0"/>
    <w:rsid w:val="5C9C74D8"/>
    <w:rsid w:val="5D07737F"/>
    <w:rsid w:val="5D6B3D0B"/>
    <w:rsid w:val="5F110BEE"/>
    <w:rsid w:val="5FF5AE0E"/>
    <w:rsid w:val="601A72BA"/>
    <w:rsid w:val="60202C59"/>
    <w:rsid w:val="610E7C3D"/>
    <w:rsid w:val="61894D37"/>
    <w:rsid w:val="621E1049"/>
    <w:rsid w:val="624A590A"/>
    <w:rsid w:val="62FD7030"/>
    <w:rsid w:val="631D301E"/>
    <w:rsid w:val="637E2746"/>
    <w:rsid w:val="638107D4"/>
    <w:rsid w:val="63F45A48"/>
    <w:rsid w:val="640F375E"/>
    <w:rsid w:val="641203E6"/>
    <w:rsid w:val="646C4C4C"/>
    <w:rsid w:val="64A658E2"/>
    <w:rsid w:val="65282F59"/>
    <w:rsid w:val="6555527D"/>
    <w:rsid w:val="658C7084"/>
    <w:rsid w:val="65B0017A"/>
    <w:rsid w:val="65DC0990"/>
    <w:rsid w:val="66035DE3"/>
    <w:rsid w:val="667B253E"/>
    <w:rsid w:val="680B4FAC"/>
    <w:rsid w:val="68DA70A8"/>
    <w:rsid w:val="69E937CB"/>
    <w:rsid w:val="6A46692A"/>
    <w:rsid w:val="6AC75BB5"/>
    <w:rsid w:val="6AE03B49"/>
    <w:rsid w:val="6BAA4973"/>
    <w:rsid w:val="6BD035A8"/>
    <w:rsid w:val="6BFE16EA"/>
    <w:rsid w:val="6C121EBA"/>
    <w:rsid w:val="6CD71CE8"/>
    <w:rsid w:val="6CF85573"/>
    <w:rsid w:val="6D4A6062"/>
    <w:rsid w:val="6E5C4D39"/>
    <w:rsid w:val="6E892ED3"/>
    <w:rsid w:val="6ED57409"/>
    <w:rsid w:val="6EF64E82"/>
    <w:rsid w:val="6FF155D3"/>
    <w:rsid w:val="6FF72A49"/>
    <w:rsid w:val="6FFE2361"/>
    <w:rsid w:val="70CA6D3A"/>
    <w:rsid w:val="70CE7A6A"/>
    <w:rsid w:val="70E939DF"/>
    <w:rsid w:val="715876F5"/>
    <w:rsid w:val="71691AED"/>
    <w:rsid w:val="71C31235"/>
    <w:rsid w:val="72BA5E5A"/>
    <w:rsid w:val="72C94D4B"/>
    <w:rsid w:val="73736190"/>
    <w:rsid w:val="738842B2"/>
    <w:rsid w:val="73CA4F60"/>
    <w:rsid w:val="73DC33EF"/>
    <w:rsid w:val="74DC47EA"/>
    <w:rsid w:val="74FC2DC7"/>
    <w:rsid w:val="76D34F65"/>
    <w:rsid w:val="76F164E8"/>
    <w:rsid w:val="779F395A"/>
    <w:rsid w:val="77F31C83"/>
    <w:rsid w:val="77FA34D6"/>
    <w:rsid w:val="7A141D8C"/>
    <w:rsid w:val="7A8A1233"/>
    <w:rsid w:val="7AED668A"/>
    <w:rsid w:val="7B1B433F"/>
    <w:rsid w:val="7BAB5FD7"/>
    <w:rsid w:val="7CAA4070"/>
    <w:rsid w:val="7D68575A"/>
    <w:rsid w:val="7DB33FA0"/>
    <w:rsid w:val="7DDB4B98"/>
    <w:rsid w:val="7DF05CAB"/>
    <w:rsid w:val="7DFB4A9E"/>
    <w:rsid w:val="7E0331CB"/>
    <w:rsid w:val="7E3F45E1"/>
    <w:rsid w:val="7E8E75AA"/>
    <w:rsid w:val="7EED7CF2"/>
    <w:rsid w:val="7FAE3CC2"/>
    <w:rsid w:val="89EF18F9"/>
    <w:rsid w:val="BFED8541"/>
    <w:rsid w:val="CDB79C52"/>
    <w:rsid w:val="D7E96C2C"/>
    <w:rsid w:val="DD377F6D"/>
    <w:rsid w:val="FACFA537"/>
    <w:rsid w:val="FFFF484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1"/>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2"/>
    <w:qFormat/>
    <w:uiPriority w:val="0"/>
    <w:pPr>
      <w:keepNext/>
      <w:keepLines/>
      <w:spacing w:before="260" w:after="260" w:line="416" w:lineRule="auto"/>
      <w:outlineLvl w:val="1"/>
    </w:pPr>
    <w:rPr>
      <w:rFonts w:ascii="等线 Light" w:hAnsi="等线 Light" w:eastAsia="等线 Light"/>
      <w:b/>
      <w:bCs/>
      <w:sz w:val="32"/>
      <w:szCs w:val="32"/>
    </w:rPr>
  </w:style>
  <w:style w:type="paragraph" w:styleId="5">
    <w:name w:val="heading 3"/>
    <w:basedOn w:val="1"/>
    <w:next w:val="1"/>
    <w:link w:val="33"/>
    <w:qFormat/>
    <w:uiPriority w:val="0"/>
    <w:pPr>
      <w:keepNext/>
      <w:keepLines/>
      <w:spacing w:before="260" w:after="260" w:line="416" w:lineRule="auto"/>
      <w:outlineLvl w:val="2"/>
    </w:pPr>
    <w:rPr>
      <w:b/>
      <w:bCs/>
      <w:sz w:val="32"/>
      <w:szCs w:val="32"/>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before="100" w:after="50" w:line="288" w:lineRule="auto"/>
      <w:ind w:firstLine="560" w:firstLineChars="200"/>
    </w:pPr>
    <w:rPr>
      <w:rFonts w:ascii="宋体" w:hAnsi="宋体"/>
    </w:rPr>
  </w:style>
  <w:style w:type="paragraph" w:styleId="6">
    <w:name w:val="table of authorities"/>
    <w:basedOn w:val="1"/>
    <w:next w:val="1"/>
    <w:qFormat/>
    <w:uiPriority w:val="0"/>
    <w:pPr>
      <w:spacing w:line="360" w:lineRule="auto"/>
      <w:ind w:left="420" w:leftChars="200" w:firstLine="640" w:firstLineChars="200"/>
    </w:pPr>
    <w:rPr>
      <w:rFonts w:ascii="宋体" w:hAnsi="宋体"/>
      <w:sz w:val="24"/>
    </w:rPr>
  </w:style>
  <w:style w:type="paragraph" w:styleId="7">
    <w:name w:val="Normal Indent"/>
    <w:basedOn w:val="1"/>
    <w:unhideWhenUsed/>
    <w:qFormat/>
    <w:uiPriority w:val="99"/>
    <w:pPr>
      <w:ind w:firstLine="420"/>
    </w:pPr>
  </w:style>
  <w:style w:type="paragraph" w:styleId="8">
    <w:name w:val="Document Map"/>
    <w:basedOn w:val="1"/>
    <w:link w:val="34"/>
    <w:qFormat/>
    <w:uiPriority w:val="0"/>
    <w:rPr>
      <w:rFonts w:ascii="宋体"/>
      <w:sz w:val="18"/>
      <w:szCs w:val="18"/>
    </w:rPr>
  </w:style>
  <w:style w:type="paragraph" w:styleId="9">
    <w:name w:val="annotation text"/>
    <w:basedOn w:val="1"/>
    <w:link w:val="35"/>
    <w:unhideWhenUsed/>
    <w:qFormat/>
    <w:uiPriority w:val="99"/>
    <w:pPr>
      <w:jc w:val="left"/>
    </w:pPr>
    <w:rPr>
      <w:rFonts w:ascii="等线" w:hAnsi="等线" w:eastAsia="等线"/>
      <w:szCs w:val="22"/>
    </w:rPr>
  </w:style>
  <w:style w:type="paragraph" w:styleId="10">
    <w:name w:val="Body Text Indent"/>
    <w:basedOn w:val="1"/>
    <w:next w:val="1"/>
    <w:qFormat/>
    <w:uiPriority w:val="0"/>
    <w:pPr>
      <w:spacing w:after="120" w:afterLines="0"/>
      <w:ind w:left="420" w:leftChars="200"/>
    </w:pPr>
  </w:style>
  <w:style w:type="paragraph" w:styleId="11">
    <w:name w:val="toc 3"/>
    <w:basedOn w:val="1"/>
    <w:next w:val="1"/>
    <w:qFormat/>
    <w:uiPriority w:val="39"/>
    <w:pPr>
      <w:ind w:left="840" w:leftChars="400"/>
    </w:pPr>
  </w:style>
  <w:style w:type="paragraph" w:styleId="12">
    <w:name w:val="Plain Text"/>
    <w:basedOn w:val="1"/>
    <w:link w:val="36"/>
    <w:qFormat/>
    <w:uiPriority w:val="0"/>
    <w:rPr>
      <w:rFonts w:ascii="宋体" w:hAnsi="Courier New"/>
      <w:szCs w:val="20"/>
    </w:rPr>
  </w:style>
  <w:style w:type="paragraph" w:styleId="13">
    <w:name w:val="Body Text Indent 2"/>
    <w:basedOn w:val="1"/>
    <w:semiHidden/>
    <w:qFormat/>
    <w:uiPriority w:val="0"/>
    <w:pPr>
      <w:spacing w:line="360" w:lineRule="auto"/>
      <w:ind w:firstLine="560" w:firstLineChars="200"/>
      <w:jc w:val="left"/>
    </w:pPr>
    <w:rPr>
      <w:sz w:val="28"/>
    </w:rPr>
  </w:style>
  <w:style w:type="paragraph" w:styleId="14">
    <w:name w:val="Balloon Text"/>
    <w:basedOn w:val="1"/>
    <w:link w:val="37"/>
    <w:qFormat/>
    <w:uiPriority w:val="0"/>
    <w:rPr>
      <w:sz w:val="18"/>
      <w:szCs w:val="18"/>
    </w:rPr>
  </w:style>
  <w:style w:type="paragraph" w:styleId="15">
    <w:name w:val="footer"/>
    <w:basedOn w:val="1"/>
    <w:link w:val="38"/>
    <w:qFormat/>
    <w:uiPriority w:val="0"/>
    <w:pPr>
      <w:tabs>
        <w:tab w:val="center" w:pos="4153"/>
        <w:tab w:val="right" w:pos="8306"/>
      </w:tabs>
      <w:snapToGrid w:val="0"/>
      <w:jc w:val="left"/>
    </w:pPr>
    <w:rPr>
      <w:sz w:val="18"/>
      <w:szCs w:val="18"/>
    </w:rPr>
  </w:style>
  <w:style w:type="paragraph" w:styleId="16">
    <w:name w:val="header"/>
    <w:basedOn w:val="1"/>
    <w:link w:val="39"/>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style>
  <w:style w:type="paragraph" w:styleId="18">
    <w:name w:val="Subtitle"/>
    <w:basedOn w:val="1"/>
    <w:next w:val="1"/>
    <w:link w:val="40"/>
    <w:qFormat/>
    <w:uiPriority w:val="0"/>
    <w:pPr>
      <w:spacing w:before="240" w:after="60" w:line="312" w:lineRule="auto"/>
      <w:jc w:val="center"/>
      <w:outlineLvl w:val="1"/>
    </w:pPr>
    <w:rPr>
      <w:rFonts w:ascii="Cambria" w:hAnsi="Cambria"/>
      <w:b/>
      <w:bCs/>
      <w:kern w:val="28"/>
      <w:sz w:val="32"/>
      <w:szCs w:val="32"/>
    </w:rPr>
  </w:style>
  <w:style w:type="paragraph" w:styleId="19">
    <w:name w:val="toc 2"/>
    <w:basedOn w:val="1"/>
    <w:next w:val="1"/>
    <w:qFormat/>
    <w:uiPriority w:val="39"/>
    <w:pPr>
      <w:ind w:left="420" w:leftChars="200"/>
    </w:pPr>
  </w:style>
  <w:style w:type="paragraph" w:styleId="2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1">
    <w:name w:val="Body Text First Indent 2"/>
    <w:basedOn w:val="10"/>
    <w:next w:val="22"/>
    <w:qFormat/>
    <w:uiPriority w:val="0"/>
    <w:pPr>
      <w:ind w:firstLine="420"/>
    </w:p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table" w:styleId="24">
    <w:name w:val="Table Grid"/>
    <w:basedOn w:val="23"/>
    <w:qFormat/>
    <w:uiPriority w:val="99"/>
    <w:rPr>
      <w:rFonts w:ascii="等线" w:hAnsi="等线" w:eastAsia="等线"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qFormat/>
    <w:uiPriority w:val="0"/>
  </w:style>
  <w:style w:type="character" w:styleId="27">
    <w:name w:val="Hyperlink"/>
    <w:unhideWhenUsed/>
    <w:qFormat/>
    <w:uiPriority w:val="99"/>
    <w:rPr>
      <w:color w:val="0563C1"/>
      <w:u w:val="single"/>
    </w:rPr>
  </w:style>
  <w:style w:type="character" w:styleId="28">
    <w:name w:val="annotation reference"/>
    <w:unhideWhenUsed/>
    <w:qFormat/>
    <w:uiPriority w:val="99"/>
    <w:rPr>
      <w:sz w:val="21"/>
      <w:szCs w:val="21"/>
    </w:rPr>
  </w:style>
  <w:style w:type="paragraph" w:customStyle="1" w:styleId="29">
    <w:name w:val="样式 仿宋_GB2312 四号 行距: 1.5 倍行距"/>
    <w:basedOn w:val="1"/>
    <w:qFormat/>
    <w:uiPriority w:val="0"/>
    <w:pPr>
      <w:spacing w:after="120" w:line="360" w:lineRule="auto"/>
      <w:ind w:firstLine="560" w:firstLineChars="200"/>
    </w:pPr>
    <w:rPr>
      <w:rFonts w:ascii="宋体" w:hAnsi="宋体"/>
      <w:color w:val="000000"/>
      <w:sz w:val="24"/>
      <w:szCs w:val="20"/>
    </w:rPr>
  </w:style>
  <w:style w:type="paragraph" w:customStyle="1" w:styleId="30">
    <w:name w:val="No Spacing_ad81b47b-6779-4c76-b471-79375858c8cb"/>
    <w:basedOn w:val="1"/>
    <w:qFormat/>
    <w:uiPriority w:val="0"/>
    <w:pPr>
      <w:ind w:firstLine="200" w:firstLineChars="200"/>
    </w:pPr>
  </w:style>
  <w:style w:type="character" w:customStyle="1" w:styleId="31">
    <w:name w:val="标题 1 Char"/>
    <w:link w:val="3"/>
    <w:qFormat/>
    <w:uiPriority w:val="0"/>
    <w:rPr>
      <w:b/>
      <w:bCs/>
      <w:kern w:val="44"/>
      <w:sz w:val="44"/>
      <w:szCs w:val="44"/>
    </w:rPr>
  </w:style>
  <w:style w:type="character" w:customStyle="1" w:styleId="32">
    <w:name w:val="标题 2 Char"/>
    <w:link w:val="4"/>
    <w:semiHidden/>
    <w:qFormat/>
    <w:uiPriority w:val="0"/>
    <w:rPr>
      <w:rFonts w:ascii="等线 Light" w:hAnsi="等线 Light" w:eastAsia="等线 Light" w:cs="Times New Roman"/>
      <w:b/>
      <w:bCs/>
      <w:kern w:val="2"/>
      <w:sz w:val="32"/>
      <w:szCs w:val="32"/>
    </w:rPr>
  </w:style>
  <w:style w:type="character" w:customStyle="1" w:styleId="33">
    <w:name w:val="标题 3 Char"/>
    <w:link w:val="5"/>
    <w:semiHidden/>
    <w:qFormat/>
    <w:uiPriority w:val="0"/>
    <w:rPr>
      <w:b/>
      <w:bCs/>
      <w:kern w:val="2"/>
      <w:sz w:val="32"/>
      <w:szCs w:val="32"/>
    </w:rPr>
  </w:style>
  <w:style w:type="character" w:customStyle="1" w:styleId="34">
    <w:name w:val="文档结构图 Char"/>
    <w:link w:val="8"/>
    <w:qFormat/>
    <w:uiPriority w:val="0"/>
    <w:rPr>
      <w:rFonts w:ascii="宋体"/>
      <w:kern w:val="2"/>
      <w:sz w:val="18"/>
      <w:szCs w:val="18"/>
    </w:rPr>
  </w:style>
  <w:style w:type="character" w:customStyle="1" w:styleId="35">
    <w:name w:val="批注文字 Char"/>
    <w:link w:val="9"/>
    <w:qFormat/>
    <w:uiPriority w:val="99"/>
    <w:rPr>
      <w:rFonts w:ascii="等线" w:hAnsi="等线" w:eastAsia="等线"/>
      <w:kern w:val="2"/>
      <w:sz w:val="21"/>
      <w:szCs w:val="22"/>
    </w:rPr>
  </w:style>
  <w:style w:type="character" w:customStyle="1" w:styleId="36">
    <w:name w:val="纯文本 Char"/>
    <w:link w:val="12"/>
    <w:qFormat/>
    <w:uiPriority w:val="0"/>
    <w:rPr>
      <w:rFonts w:ascii="宋体" w:hAnsi="Courier New"/>
      <w:kern w:val="2"/>
      <w:sz w:val="21"/>
    </w:rPr>
  </w:style>
  <w:style w:type="character" w:customStyle="1" w:styleId="37">
    <w:name w:val="批注框文本 Char"/>
    <w:link w:val="14"/>
    <w:qFormat/>
    <w:uiPriority w:val="0"/>
    <w:rPr>
      <w:kern w:val="2"/>
      <w:sz w:val="18"/>
      <w:szCs w:val="18"/>
    </w:rPr>
  </w:style>
  <w:style w:type="character" w:customStyle="1" w:styleId="38">
    <w:name w:val="页脚 Char"/>
    <w:link w:val="15"/>
    <w:qFormat/>
    <w:uiPriority w:val="0"/>
    <w:rPr>
      <w:kern w:val="2"/>
      <w:sz w:val="18"/>
      <w:szCs w:val="18"/>
    </w:rPr>
  </w:style>
  <w:style w:type="character" w:customStyle="1" w:styleId="39">
    <w:name w:val="页眉 Char"/>
    <w:link w:val="16"/>
    <w:qFormat/>
    <w:uiPriority w:val="99"/>
    <w:rPr>
      <w:kern w:val="2"/>
      <w:sz w:val="18"/>
      <w:szCs w:val="18"/>
    </w:rPr>
  </w:style>
  <w:style w:type="character" w:customStyle="1" w:styleId="40">
    <w:name w:val="副标题 Char"/>
    <w:link w:val="18"/>
    <w:qFormat/>
    <w:uiPriority w:val="0"/>
    <w:rPr>
      <w:rFonts w:ascii="Cambria" w:hAnsi="Cambria" w:cs="Times New Roman"/>
      <w:b/>
      <w:bCs/>
      <w:kern w:val="28"/>
      <w:sz w:val="32"/>
      <w:szCs w:val="32"/>
    </w:rPr>
  </w:style>
  <w:style w:type="character" w:customStyle="1" w:styleId="41">
    <w:name w:val="font51"/>
    <w:qFormat/>
    <w:uiPriority w:val="0"/>
    <w:rPr>
      <w:rFonts w:hint="eastAsia" w:ascii="宋体" w:hAnsi="宋体" w:eastAsia="宋体" w:cs="宋体"/>
      <w:color w:val="000000"/>
      <w:sz w:val="20"/>
      <w:szCs w:val="20"/>
      <w:u w:val="none"/>
    </w:rPr>
  </w:style>
  <w:style w:type="character" w:customStyle="1" w:styleId="42">
    <w:name w:val="font01"/>
    <w:qFormat/>
    <w:uiPriority w:val="0"/>
    <w:rPr>
      <w:rFonts w:hint="eastAsia" w:ascii="宋体" w:hAnsi="宋体" w:eastAsia="宋体" w:cs="宋体"/>
      <w:color w:val="000000"/>
      <w:sz w:val="22"/>
      <w:szCs w:val="22"/>
      <w:u w:val="none"/>
    </w:rPr>
  </w:style>
  <w:style w:type="character" w:customStyle="1" w:styleId="43">
    <w:name w:val="font11"/>
    <w:qFormat/>
    <w:uiPriority w:val="0"/>
    <w:rPr>
      <w:rFonts w:hint="default" w:ascii="Arial Narrow" w:hAnsi="Arial Narrow" w:eastAsia="Arial Narrow" w:cs="Arial Narrow"/>
      <w:b/>
      <w:color w:val="000000"/>
      <w:sz w:val="20"/>
      <w:szCs w:val="20"/>
      <w:u w:val="none"/>
    </w:rPr>
  </w:style>
  <w:style w:type="character" w:customStyle="1" w:styleId="44">
    <w:name w:val="页脚 字符"/>
    <w:qFormat/>
    <w:uiPriority w:val="99"/>
  </w:style>
  <w:style w:type="character" w:customStyle="1" w:styleId="45">
    <w:name w:val="font31"/>
    <w:basedOn w:val="25"/>
    <w:qFormat/>
    <w:uiPriority w:val="0"/>
    <w:rPr>
      <w:rFonts w:hint="default" w:ascii="Arial Narrow" w:hAnsi="Arial Narrow" w:eastAsia="Arial Narrow" w:cs="Arial Narrow"/>
      <w:color w:val="000000"/>
      <w:sz w:val="20"/>
      <w:szCs w:val="20"/>
      <w:u w:val="none"/>
    </w:rPr>
  </w:style>
  <w:style w:type="paragraph" w:customStyle="1" w:styleId="46">
    <w:name w:val="表格hy"/>
    <w:basedOn w:val="1"/>
    <w:qFormat/>
    <w:uiPriority w:val="0"/>
    <w:pPr>
      <w:widowControl/>
      <w:spacing w:line="0" w:lineRule="atLeast"/>
      <w:jc w:val="center"/>
    </w:pPr>
    <w:rPr>
      <w:rFonts w:ascii="楷体_GB2312" w:eastAsia="楷体_GB2312" w:cs="宋体"/>
      <w:kern w:val="0"/>
      <w:sz w:val="18"/>
      <w:szCs w:val="18"/>
      <w:lang w:eastAsia="en-US" w:bidi="en-US"/>
    </w:rPr>
  </w:style>
  <w:style w:type="paragraph" w:customStyle="1" w:styleId="47">
    <w:name w:val="表格正文"/>
    <w:qFormat/>
    <w:uiPriority w:val="0"/>
    <w:pPr>
      <w:widowControl w:val="0"/>
      <w:adjustRightInd w:val="0"/>
      <w:snapToGrid w:val="0"/>
      <w:jc w:val="center"/>
    </w:pPr>
    <w:rPr>
      <w:rFonts w:ascii="Times New Roman" w:hAnsi="Times New Roman" w:eastAsia="宋体" w:cs="Times New Roman"/>
      <w:kern w:val="2"/>
      <w:sz w:val="21"/>
      <w:szCs w:val="24"/>
      <w:lang w:val="en-GB" w:eastAsia="zh-CN" w:bidi="ar-SA"/>
    </w:rPr>
  </w:style>
  <w:style w:type="paragraph" w:styleId="48">
    <w:name w:val="List Paragraph"/>
    <w:basedOn w:val="1"/>
    <w:qFormat/>
    <w:uiPriority w:val="99"/>
    <w:pPr>
      <w:ind w:firstLine="420" w:firstLineChars="200"/>
    </w:pPr>
  </w:style>
  <w:style w:type="paragraph" w:customStyle="1" w:styleId="49">
    <w:name w:val="附注二级正文"/>
    <w:basedOn w:val="1"/>
    <w:qFormat/>
    <w:uiPriority w:val="0"/>
    <w:pPr>
      <w:widowControl/>
      <w:adjustRightInd w:val="0"/>
      <w:snapToGrid w:val="0"/>
      <w:spacing w:line="400" w:lineRule="atLeast"/>
      <w:ind w:left="718" w:leftChars="342"/>
      <w:jc w:val="left"/>
    </w:pPr>
    <w:rPr>
      <w:rFonts w:ascii="宋体" w:hAnsi="宋体"/>
      <w:szCs w:val="21"/>
    </w:rPr>
  </w:style>
  <w:style w:type="character" w:customStyle="1" w:styleId="50">
    <w:name w:val="font21"/>
    <w:basedOn w:val="25"/>
    <w:qFormat/>
    <w:uiPriority w:val="0"/>
    <w:rPr>
      <w:rFonts w:hint="default" w:ascii="Arial Narrow" w:hAnsi="Arial Narrow" w:eastAsia="Arial Narrow" w:cs="Arial Narrow"/>
      <w:color w:val="000000"/>
      <w:sz w:val="20"/>
      <w:szCs w:val="20"/>
      <w:u w:val="none"/>
    </w:rPr>
  </w:style>
  <w:style w:type="paragraph" w:customStyle="1" w:styleId="51">
    <w:name w:val="样式3"/>
    <w:basedOn w:val="1"/>
    <w:qFormat/>
    <w:uiPriority w:val="0"/>
    <w:pPr>
      <w:widowControl/>
      <w:spacing w:beforeLines="50" w:afterLines="50"/>
      <w:ind w:firstLine="482" w:firstLineChars="200"/>
      <w:jc w:val="left"/>
    </w:pPr>
    <w:rPr>
      <w:b/>
      <w:kern w:val="0"/>
    </w:rPr>
  </w:style>
  <w:style w:type="character" w:customStyle="1" w:styleId="52">
    <w:name w:val="font61"/>
    <w:basedOn w:val="25"/>
    <w:qFormat/>
    <w:uiPriority w:val="0"/>
    <w:rPr>
      <w:rFonts w:hint="eastAsia" w:ascii="宋体" w:hAnsi="宋体" w:eastAsia="宋体" w:cs="宋体"/>
      <w:b/>
      <w:color w:val="000000"/>
      <w:sz w:val="20"/>
      <w:szCs w:val="20"/>
      <w:u w:val="none"/>
    </w:rPr>
  </w:style>
  <w:style w:type="character" w:customStyle="1" w:styleId="53">
    <w:name w:val="font41"/>
    <w:basedOn w:val="25"/>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4922</Words>
  <Characters>8601</Characters>
  <Lines>54</Lines>
  <Paragraphs>15</Paragraphs>
  <TotalTime>0</TotalTime>
  <ScaleCrop>false</ScaleCrop>
  <LinksUpToDate>false</LinksUpToDate>
  <CharactersWithSpaces>9101</CharactersWithSpaces>
  <Application>WPS Office_6.3.0.8471_F1E327BC-269C-435d-A152-05C5408002CA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2022-01-09T17:33:00Z</dcterms:created>
  <dc:creator>IBM</dc:creator>
  <cp:lastModifiedBy>Echo</cp:lastModifiedBy>
  <cp:lastPrinted>2019-12-31T08:49:00Z</cp:lastPrinted>
  <dcterms:modified xsi:type="dcterms:W3CDTF">2023-11-14T15:39:22Z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2052-6.3.0.8471</vt:lpwstr>
  </property>
  <property fmtid="{D5CDD505-2E9C-101B-9397-08002B2CF9AE}" pid="3" name="ICV">
    <vt:lpwstr>5085022FD0EA6DEF0CE95265DC3E7A29_43</vt:lpwstr>
  </property>
</Properties>
</file>