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3" w:firstLineChars="50"/>
        <w:jc w:val="center"/>
        <w:rPr>
          <w:rFonts w:hint="eastAsia" w:ascii="仿宋" w:hAnsi="仿宋" w:eastAsia="仿宋" w:cs="仿宋"/>
          <w:b/>
          <w:sz w:val="36"/>
          <w:szCs w:val="36"/>
          <w:highlight w:val="none"/>
          <w:shd w:val="clear" w:color="auto" w:fill="FFFFFF"/>
          <w:lang w:val="en-US" w:eastAsia="zh-CN"/>
        </w:rPr>
      </w:pPr>
      <w:r>
        <w:rPr>
          <w:rFonts w:hint="eastAsia" w:ascii="仿宋" w:hAnsi="仿宋" w:eastAsia="仿宋" w:cs="仿宋"/>
          <w:b/>
          <w:w w:val="90"/>
          <w:sz w:val="36"/>
          <w:szCs w:val="36"/>
          <w:highlight w:val="none"/>
          <w:shd w:val="clear" w:color="auto" w:fill="FFFFFF"/>
          <w:lang w:eastAsia="zh-CN"/>
        </w:rPr>
        <w:t>202</w:t>
      </w:r>
      <w:r>
        <w:rPr>
          <w:rFonts w:hint="eastAsia" w:ascii="仿宋" w:hAnsi="仿宋" w:eastAsia="仿宋" w:cs="仿宋"/>
          <w:b/>
          <w:w w:val="90"/>
          <w:sz w:val="36"/>
          <w:szCs w:val="36"/>
          <w:highlight w:val="none"/>
          <w:shd w:val="clear" w:color="auto" w:fill="FFFFFF"/>
          <w:lang w:val="en-US" w:eastAsia="zh-CN"/>
        </w:rPr>
        <w:t>3</w:t>
      </w:r>
      <w:r>
        <w:rPr>
          <w:rFonts w:hint="eastAsia" w:ascii="仿宋" w:hAnsi="仿宋" w:eastAsia="仿宋" w:cs="仿宋"/>
          <w:b/>
          <w:w w:val="90"/>
          <w:sz w:val="36"/>
          <w:szCs w:val="36"/>
          <w:highlight w:val="none"/>
          <w:shd w:val="clear" w:color="auto" w:fill="FFFFFF"/>
          <w:lang w:eastAsia="zh-CN"/>
        </w:rPr>
        <w:t>年</w:t>
      </w:r>
      <w:r>
        <w:rPr>
          <w:rFonts w:hint="eastAsia" w:ascii="仿宋" w:hAnsi="仿宋" w:eastAsia="仿宋" w:cs="仿宋"/>
          <w:b/>
          <w:w w:val="90"/>
          <w:sz w:val="36"/>
          <w:szCs w:val="36"/>
          <w:highlight w:val="none"/>
          <w:shd w:val="clear" w:color="auto" w:fill="FFFFFF"/>
          <w:lang w:val="en-US" w:eastAsia="zh-Hans"/>
        </w:rPr>
        <w:t>至</w:t>
      </w:r>
      <w:r>
        <w:rPr>
          <w:rFonts w:hint="default" w:ascii="仿宋" w:hAnsi="仿宋" w:eastAsia="仿宋" w:cs="仿宋"/>
          <w:b/>
          <w:w w:val="90"/>
          <w:sz w:val="36"/>
          <w:szCs w:val="36"/>
          <w:highlight w:val="none"/>
          <w:shd w:val="clear" w:color="auto" w:fill="FFFFFF"/>
          <w:lang w:eastAsia="zh-Hans"/>
        </w:rPr>
        <w:t>2024</w:t>
      </w:r>
      <w:r>
        <w:rPr>
          <w:rFonts w:hint="eastAsia" w:ascii="仿宋" w:hAnsi="仿宋" w:eastAsia="仿宋" w:cs="仿宋"/>
          <w:b/>
          <w:w w:val="90"/>
          <w:sz w:val="36"/>
          <w:szCs w:val="36"/>
          <w:highlight w:val="none"/>
          <w:shd w:val="clear" w:color="auto" w:fill="FFFFFF"/>
          <w:lang w:val="en-US" w:eastAsia="zh-Hans"/>
        </w:rPr>
        <w:t>年</w:t>
      </w:r>
      <w:r>
        <w:rPr>
          <w:rFonts w:hint="eastAsia" w:ascii="仿宋" w:hAnsi="仿宋" w:eastAsia="仿宋" w:cs="仿宋"/>
          <w:b/>
          <w:w w:val="90"/>
          <w:sz w:val="36"/>
          <w:szCs w:val="36"/>
          <w:highlight w:val="none"/>
          <w:shd w:val="clear" w:color="auto" w:fill="FFFFFF"/>
          <w:lang w:val="en-US" w:eastAsia="zh-CN"/>
        </w:rPr>
        <w:t>太原市杏花岭区康乐幼儿园（五一北路校区）新建项目</w:t>
      </w:r>
      <w:r>
        <w:rPr>
          <w:rFonts w:hint="eastAsia" w:ascii="仿宋" w:hAnsi="仿宋" w:eastAsia="仿宋" w:cs="仿宋"/>
          <w:b/>
          <w:w w:val="90"/>
          <w:sz w:val="36"/>
          <w:szCs w:val="36"/>
          <w:highlight w:val="none"/>
          <w:shd w:val="clear" w:color="auto" w:fill="FFFFFF"/>
        </w:rPr>
        <w:t>专项债券项目</w:t>
      </w:r>
      <w:r>
        <w:rPr>
          <w:rFonts w:hint="eastAsia" w:ascii="仿宋" w:hAnsi="仿宋" w:eastAsia="仿宋" w:cs="仿宋"/>
          <w:b/>
          <w:sz w:val="36"/>
          <w:szCs w:val="36"/>
          <w:highlight w:val="none"/>
          <w:shd w:val="clear" w:color="auto" w:fill="FFFFFF"/>
        </w:rPr>
        <w:t>情况</w:t>
      </w:r>
      <w:r>
        <w:rPr>
          <w:rFonts w:hint="eastAsia" w:ascii="仿宋" w:hAnsi="仿宋" w:eastAsia="仿宋" w:cs="仿宋"/>
          <w:b/>
          <w:sz w:val="36"/>
          <w:szCs w:val="36"/>
          <w:shd w:val="clear" w:color="auto" w:fill="FFFFFF"/>
        </w:rPr>
        <w:t>及资金平衡方案</w:t>
      </w:r>
    </w:p>
    <w:p>
      <w:pPr>
        <w:numPr>
          <w:ilvl w:val="0"/>
          <w:numId w:val="1"/>
        </w:numPr>
        <w:spacing w:before="100" w:beforeAutospacing="1" w:line="360" w:lineRule="auto"/>
        <w:outlineLvl w:val="0"/>
        <w:rPr>
          <w:rFonts w:ascii="仿宋" w:hAnsi="仿宋" w:eastAsia="仿宋"/>
          <w:b/>
          <w:color w:val="000000"/>
          <w:sz w:val="28"/>
          <w:szCs w:val="28"/>
          <w:highlight w:val="none"/>
        </w:rPr>
      </w:pPr>
      <w:r>
        <w:rPr>
          <w:rFonts w:hint="eastAsia" w:ascii="仿宋" w:hAnsi="仿宋" w:eastAsia="仿宋"/>
          <w:b/>
          <w:color w:val="000000"/>
          <w:sz w:val="28"/>
          <w:szCs w:val="28"/>
          <w:highlight w:val="none"/>
          <w:lang w:val="en-US" w:eastAsia="zh-CN"/>
        </w:rPr>
        <w:t>项目募投计划</w:t>
      </w:r>
    </w:p>
    <w:p>
      <w:pPr>
        <w:ind w:firstLine="560" w:firstLineChars="200"/>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lang w:eastAsia="zh-CN"/>
        </w:rPr>
        <w:t>202</w:t>
      </w:r>
      <w:r>
        <w:rPr>
          <w:rFonts w:hint="eastAsia" w:ascii="仿宋" w:hAnsi="仿宋" w:eastAsia="仿宋" w:cs="仿宋"/>
          <w:color w:val="000000"/>
          <w:kern w:val="0"/>
          <w:sz w:val="28"/>
          <w:szCs w:val="28"/>
          <w:highlight w:val="none"/>
          <w:lang w:val="en-US" w:eastAsia="zh-CN"/>
        </w:rPr>
        <w:t>3</w:t>
      </w:r>
      <w:r>
        <w:rPr>
          <w:rFonts w:hint="eastAsia" w:ascii="仿宋" w:hAnsi="仿宋" w:eastAsia="仿宋" w:cs="仿宋"/>
          <w:color w:val="000000"/>
          <w:kern w:val="0"/>
          <w:sz w:val="28"/>
          <w:szCs w:val="28"/>
          <w:highlight w:val="none"/>
          <w:lang w:eastAsia="zh-CN"/>
        </w:rPr>
        <w:t>年</w:t>
      </w:r>
      <w:r>
        <w:rPr>
          <w:rFonts w:hint="eastAsia" w:ascii="仿宋" w:hAnsi="仿宋" w:eastAsia="仿宋" w:cs="仿宋"/>
          <w:color w:val="000000"/>
          <w:kern w:val="0"/>
          <w:sz w:val="28"/>
          <w:szCs w:val="28"/>
          <w:highlight w:val="none"/>
          <w:lang w:val="en-US" w:eastAsia="zh-Hans"/>
        </w:rPr>
        <w:t>至</w:t>
      </w:r>
      <w:r>
        <w:rPr>
          <w:rFonts w:hint="default" w:ascii="仿宋" w:hAnsi="仿宋" w:eastAsia="仿宋" w:cs="仿宋"/>
          <w:color w:val="000000"/>
          <w:kern w:val="0"/>
          <w:sz w:val="28"/>
          <w:szCs w:val="28"/>
          <w:highlight w:val="none"/>
          <w:lang w:eastAsia="zh-Hans"/>
        </w:rPr>
        <w:t>2024</w:t>
      </w:r>
      <w:r>
        <w:rPr>
          <w:rFonts w:hint="eastAsia" w:ascii="仿宋" w:hAnsi="仿宋" w:eastAsia="仿宋" w:cs="仿宋"/>
          <w:color w:val="000000"/>
          <w:kern w:val="0"/>
          <w:sz w:val="28"/>
          <w:szCs w:val="28"/>
          <w:highlight w:val="none"/>
          <w:lang w:val="en-US" w:eastAsia="zh-Hans"/>
        </w:rPr>
        <w:t>年</w:t>
      </w:r>
      <w:r>
        <w:rPr>
          <w:rFonts w:hint="eastAsia" w:ascii="仿宋" w:hAnsi="仿宋" w:eastAsia="仿宋" w:cs="仿宋"/>
          <w:color w:val="000000"/>
          <w:kern w:val="0"/>
          <w:sz w:val="28"/>
          <w:szCs w:val="28"/>
          <w:highlight w:val="none"/>
          <w:lang w:eastAsia="zh-CN"/>
        </w:rPr>
        <w:t>太原市杏花岭区康乐幼儿园（五一北路校区）新建项目</w:t>
      </w:r>
      <w:r>
        <w:rPr>
          <w:rFonts w:hint="eastAsia" w:ascii="仿宋" w:hAnsi="仿宋" w:eastAsia="仿宋" w:cs="仿宋"/>
          <w:color w:val="000000"/>
          <w:kern w:val="0"/>
          <w:sz w:val="28"/>
          <w:szCs w:val="28"/>
          <w:highlight w:val="none"/>
        </w:rPr>
        <w:t>专项债券</w:t>
      </w:r>
      <w:r>
        <w:rPr>
          <w:rFonts w:hint="eastAsia" w:ascii="仿宋" w:hAnsi="仿宋" w:eastAsia="仿宋" w:cs="仿宋"/>
          <w:sz w:val="28"/>
          <w:szCs w:val="32"/>
          <w:highlight w:val="none"/>
        </w:rPr>
        <w:t>募投</w:t>
      </w:r>
      <w:r>
        <w:rPr>
          <w:rFonts w:hint="eastAsia" w:ascii="仿宋" w:hAnsi="仿宋" w:eastAsia="仿宋" w:cs="仿宋"/>
          <w:sz w:val="28"/>
          <w:szCs w:val="32"/>
          <w:highlight w:val="none"/>
          <w:lang w:val="en-US" w:eastAsia="zh-CN"/>
        </w:rPr>
        <w:t>总</w:t>
      </w:r>
      <w:r>
        <w:rPr>
          <w:rFonts w:hint="eastAsia" w:ascii="仿宋" w:hAnsi="仿宋" w:eastAsia="仿宋" w:cs="仿宋"/>
          <w:sz w:val="28"/>
          <w:szCs w:val="32"/>
          <w:highlight w:val="none"/>
        </w:rPr>
        <w:t>规模</w:t>
      </w:r>
      <w:r>
        <w:rPr>
          <w:rFonts w:hint="eastAsia" w:ascii="仿宋" w:hAnsi="仿宋" w:eastAsia="仿宋" w:cs="仿宋"/>
          <w:sz w:val="28"/>
          <w:szCs w:val="32"/>
          <w:highlight w:val="none"/>
          <w:lang w:val="en-US" w:eastAsia="zh-CN"/>
        </w:rPr>
        <w:t>24</w:t>
      </w:r>
      <w:r>
        <w:rPr>
          <w:rFonts w:hint="eastAsia" w:ascii="仿宋" w:hAnsi="仿宋" w:eastAsia="仿宋" w:cs="仿宋"/>
          <w:sz w:val="28"/>
          <w:szCs w:val="32"/>
          <w:highlight w:val="none"/>
        </w:rPr>
        <w:t>,</w:t>
      </w:r>
      <w:r>
        <w:rPr>
          <w:rFonts w:hint="eastAsia" w:ascii="仿宋" w:hAnsi="仿宋" w:eastAsia="仿宋" w:cs="仿宋"/>
          <w:sz w:val="28"/>
          <w:szCs w:val="32"/>
          <w:highlight w:val="none"/>
          <w:lang w:val="en-US" w:eastAsia="zh-CN"/>
        </w:rPr>
        <w:t>0</w:t>
      </w:r>
      <w:r>
        <w:rPr>
          <w:rFonts w:hint="eastAsia" w:ascii="仿宋" w:hAnsi="仿宋" w:eastAsia="仿宋" w:cs="仿宋"/>
          <w:sz w:val="28"/>
          <w:szCs w:val="32"/>
          <w:highlight w:val="none"/>
        </w:rPr>
        <w:t>00.00万元</w:t>
      </w:r>
      <w:r>
        <w:rPr>
          <w:rFonts w:hint="eastAsia" w:ascii="仿宋" w:hAnsi="仿宋" w:eastAsia="仿宋" w:cs="仿宋"/>
          <w:kern w:val="0"/>
          <w:sz w:val="28"/>
          <w:szCs w:val="28"/>
          <w:highlight w:val="none"/>
          <w:lang w:val="en-US" w:eastAsia="zh-CN"/>
        </w:rPr>
        <w:t>，其中2023年</w:t>
      </w:r>
      <w:r>
        <w:rPr>
          <w:rFonts w:hint="eastAsia" w:ascii="仿宋" w:hAnsi="仿宋" w:eastAsia="仿宋" w:cs="仿宋"/>
          <w:kern w:val="0"/>
          <w:sz w:val="28"/>
          <w:szCs w:val="28"/>
          <w:highlight w:val="none"/>
          <w:lang w:val="en-US" w:eastAsia="zh-Hans"/>
        </w:rPr>
        <w:t>已</w:t>
      </w:r>
      <w:r>
        <w:rPr>
          <w:rFonts w:hint="eastAsia" w:ascii="仿宋" w:hAnsi="仿宋" w:eastAsia="仿宋" w:cs="仿宋"/>
          <w:kern w:val="0"/>
          <w:sz w:val="28"/>
          <w:szCs w:val="28"/>
          <w:highlight w:val="none"/>
          <w:lang w:val="en-US" w:eastAsia="zh-CN"/>
        </w:rPr>
        <w:t>募投专项债券11,500.00万元，</w:t>
      </w:r>
      <w:r>
        <w:rPr>
          <w:rFonts w:hint="eastAsia" w:ascii="仿宋" w:hAnsi="仿宋" w:eastAsia="仿宋" w:cs="仿宋"/>
          <w:sz w:val="28"/>
          <w:szCs w:val="32"/>
          <w:highlight w:val="none"/>
          <w:lang w:val="en-US" w:eastAsia="zh-Hans"/>
        </w:rPr>
        <w:t>本批次拟募投</w:t>
      </w:r>
      <w:r>
        <w:rPr>
          <w:rFonts w:hint="eastAsia" w:ascii="仿宋" w:hAnsi="仿宋" w:eastAsia="仿宋" w:cs="仿宋"/>
          <w:sz w:val="28"/>
          <w:szCs w:val="32"/>
          <w:highlight w:val="none"/>
          <w:lang w:val="en-US" w:eastAsia="zh-CN"/>
        </w:rPr>
        <w:t>1</w:t>
      </w:r>
      <w:r>
        <w:rPr>
          <w:rFonts w:hint="default" w:ascii="仿宋" w:hAnsi="仿宋" w:eastAsia="仿宋" w:cs="仿宋"/>
          <w:sz w:val="28"/>
          <w:szCs w:val="32"/>
          <w:highlight w:val="none"/>
          <w:lang w:eastAsia="zh-Hans"/>
        </w:rPr>
        <w:t>,</w:t>
      </w:r>
      <w:r>
        <w:rPr>
          <w:rFonts w:hint="eastAsia" w:ascii="仿宋" w:hAnsi="仿宋" w:eastAsia="仿宋" w:cs="仿宋"/>
          <w:sz w:val="28"/>
          <w:szCs w:val="32"/>
          <w:highlight w:val="none"/>
          <w:lang w:val="en-US" w:eastAsia="zh-CN"/>
        </w:rPr>
        <w:t>68</w:t>
      </w:r>
      <w:r>
        <w:rPr>
          <w:rFonts w:hint="default" w:ascii="仿宋" w:hAnsi="仿宋" w:eastAsia="仿宋" w:cs="仿宋"/>
          <w:sz w:val="28"/>
          <w:szCs w:val="32"/>
          <w:highlight w:val="none"/>
          <w:lang w:eastAsia="zh-Hans"/>
        </w:rPr>
        <w:t>0.00</w:t>
      </w:r>
      <w:r>
        <w:rPr>
          <w:rFonts w:hint="eastAsia" w:ascii="仿宋" w:hAnsi="仿宋" w:eastAsia="仿宋" w:cs="仿宋"/>
          <w:sz w:val="28"/>
          <w:szCs w:val="32"/>
          <w:highlight w:val="none"/>
          <w:lang w:val="en-US" w:eastAsia="zh-Hans"/>
        </w:rPr>
        <w:t>万元</w:t>
      </w:r>
      <w:r>
        <w:rPr>
          <w:rFonts w:hint="default" w:ascii="仿宋" w:hAnsi="仿宋" w:eastAsia="仿宋" w:cs="仿宋"/>
          <w:sz w:val="28"/>
          <w:szCs w:val="32"/>
          <w:highlight w:val="none"/>
          <w:lang w:eastAsia="zh-Hans"/>
        </w:rPr>
        <w:t>，</w:t>
      </w:r>
      <w:r>
        <w:rPr>
          <w:rFonts w:hint="eastAsia" w:ascii="仿宋" w:hAnsi="仿宋" w:eastAsia="仿宋" w:cs="仿宋"/>
          <w:sz w:val="28"/>
          <w:szCs w:val="32"/>
          <w:highlight w:val="none"/>
          <w:lang w:val="en-US" w:eastAsia="zh-Hans"/>
        </w:rPr>
        <w:t>以后批次拟募投 10,820.00 万元</w:t>
      </w:r>
      <w:r>
        <w:rPr>
          <w:rFonts w:hint="default" w:ascii="仿宋" w:hAnsi="仿宋" w:eastAsia="仿宋" w:cs="仿宋"/>
          <w:sz w:val="28"/>
          <w:szCs w:val="32"/>
          <w:highlight w:val="none"/>
          <w:lang w:eastAsia="zh-Hans"/>
        </w:rPr>
        <w:t>，</w:t>
      </w:r>
      <w:r>
        <w:rPr>
          <w:rFonts w:hint="eastAsia" w:ascii="仿宋" w:hAnsi="仿宋" w:eastAsia="仿宋" w:cs="仿宋"/>
          <w:color w:val="000000"/>
          <w:kern w:val="0"/>
          <w:sz w:val="28"/>
          <w:szCs w:val="28"/>
          <w:highlight w:val="none"/>
        </w:rPr>
        <w:t>期限为</w:t>
      </w:r>
      <w:r>
        <w:rPr>
          <w:rFonts w:hint="eastAsia" w:ascii="仿宋" w:hAnsi="仿宋" w:eastAsia="仿宋" w:cs="仿宋"/>
          <w:color w:val="000000"/>
          <w:kern w:val="0"/>
          <w:sz w:val="28"/>
          <w:szCs w:val="28"/>
          <w:highlight w:val="none"/>
          <w:lang w:val="en-US" w:eastAsia="zh-CN"/>
        </w:rPr>
        <w:t>15</w:t>
      </w:r>
      <w:r>
        <w:rPr>
          <w:rFonts w:hint="eastAsia" w:ascii="仿宋" w:hAnsi="仿宋" w:eastAsia="仿宋" w:cs="仿宋"/>
          <w:color w:val="000000"/>
          <w:kern w:val="0"/>
          <w:sz w:val="28"/>
          <w:szCs w:val="28"/>
          <w:highlight w:val="none"/>
        </w:rPr>
        <w:t>年，</w:t>
      </w:r>
      <w:r>
        <w:rPr>
          <w:rFonts w:hint="eastAsia" w:ascii="仿宋" w:hAnsi="仿宋" w:eastAsia="仿宋" w:cs="仿宋"/>
          <w:sz w:val="28"/>
          <w:szCs w:val="28"/>
          <w:highlight w:val="none"/>
          <w:shd w:val="clear" w:color="auto" w:fill="FFFFFF"/>
        </w:rPr>
        <w:t>债券还本方式为</w:t>
      </w:r>
      <w:r>
        <w:rPr>
          <w:rFonts w:hint="eastAsia" w:ascii="仿宋" w:hAnsi="仿宋" w:eastAsia="仿宋" w:cs="仿宋"/>
          <w:sz w:val="28"/>
          <w:szCs w:val="28"/>
          <w:highlight w:val="none"/>
          <w:shd w:val="clear" w:color="auto" w:fill="FFFFFF"/>
          <w:lang w:val="en-US" w:eastAsia="zh-CN"/>
        </w:rPr>
        <w:t>到期一次</w:t>
      </w:r>
      <w:r>
        <w:rPr>
          <w:rFonts w:hint="eastAsia" w:ascii="仿宋" w:hAnsi="仿宋" w:eastAsia="仿宋" w:cs="仿宋"/>
          <w:sz w:val="28"/>
          <w:szCs w:val="28"/>
          <w:highlight w:val="none"/>
          <w:shd w:val="clear" w:color="auto" w:fill="FFFFFF"/>
        </w:rPr>
        <w:t>还本，每半年支付一次利息。</w:t>
      </w:r>
    </w:p>
    <w:p>
      <w:pPr>
        <w:spacing w:line="360" w:lineRule="auto"/>
        <w:ind w:firstLine="560" w:firstLineChars="200"/>
        <w:jc w:val="center"/>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债券</w:t>
      </w:r>
      <w:r>
        <w:rPr>
          <w:rFonts w:hint="eastAsia" w:ascii="仿宋" w:hAnsi="仿宋" w:eastAsia="仿宋" w:cs="仿宋"/>
          <w:color w:val="000000"/>
          <w:kern w:val="0"/>
          <w:sz w:val="28"/>
          <w:szCs w:val="28"/>
          <w:highlight w:val="none"/>
          <w:lang w:val="en-US" w:eastAsia="zh-CN"/>
        </w:rPr>
        <w:t>募投</w:t>
      </w:r>
      <w:r>
        <w:rPr>
          <w:rFonts w:hint="eastAsia" w:ascii="仿宋" w:hAnsi="仿宋" w:eastAsia="仿宋" w:cs="仿宋"/>
          <w:color w:val="000000"/>
          <w:kern w:val="0"/>
          <w:sz w:val="28"/>
          <w:szCs w:val="28"/>
          <w:highlight w:val="none"/>
        </w:rPr>
        <w:t>计划表</w:t>
      </w:r>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0"/>
        <w:gridCol w:w="1390"/>
        <w:gridCol w:w="1478"/>
        <w:gridCol w:w="1478"/>
        <w:gridCol w:w="1386"/>
        <w:gridCol w:w="1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trPr>
        <w:tc>
          <w:tcPr>
            <w:tcW w:w="5000" w:type="pct"/>
            <w:gridSpan w:val="6"/>
            <w:tcBorders>
              <w:top w:val="nil"/>
              <w:left w:val="nil"/>
              <w:bottom w:val="dotted"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22" w:hRule="atLeast"/>
        </w:trPr>
        <w:tc>
          <w:tcPr>
            <w:tcW w:w="810" w:type="pct"/>
            <w:tcBorders>
              <w:top w:val="nil"/>
              <w:left w:val="nil"/>
              <w:bottom w:val="dotted" w:color="000000" w:sz="4" w:space="0"/>
              <w:right w:val="dotted"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w:t>
            </w:r>
          </w:p>
        </w:tc>
        <w:tc>
          <w:tcPr>
            <w:tcW w:w="816" w:type="pct"/>
            <w:tcBorders>
              <w:top w:val="dotted" w:color="000000" w:sz="4" w:space="0"/>
              <w:left w:val="nil"/>
              <w:bottom w:val="dotted" w:color="000000" w:sz="4" w:space="0"/>
              <w:right w:val="dotted"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批次</w:t>
            </w:r>
          </w:p>
        </w:tc>
        <w:tc>
          <w:tcPr>
            <w:tcW w:w="867" w:type="pct"/>
            <w:tcBorders>
              <w:top w:val="dotted" w:color="000000" w:sz="4" w:space="0"/>
              <w:left w:val="nil"/>
              <w:bottom w:val="dotted" w:color="000000" w:sz="4" w:space="0"/>
              <w:right w:val="dotted"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募集总额</w:t>
            </w:r>
          </w:p>
        </w:tc>
        <w:tc>
          <w:tcPr>
            <w:tcW w:w="867" w:type="pct"/>
            <w:tcBorders>
              <w:top w:val="dotted" w:color="000000" w:sz="4" w:space="0"/>
              <w:left w:val="nil"/>
              <w:bottom w:val="dotted" w:color="000000" w:sz="4" w:space="0"/>
              <w:right w:val="dotted"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期限</w:t>
            </w:r>
          </w:p>
        </w:tc>
        <w:tc>
          <w:tcPr>
            <w:tcW w:w="813" w:type="pct"/>
            <w:tcBorders>
              <w:top w:val="dotted" w:color="000000" w:sz="4" w:space="0"/>
              <w:left w:val="nil"/>
              <w:bottom w:val="dotted" w:color="000000" w:sz="4" w:space="0"/>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还本方式</w:t>
            </w:r>
          </w:p>
        </w:tc>
        <w:tc>
          <w:tcPr>
            <w:tcW w:w="826" w:type="pct"/>
            <w:tcBorders>
              <w:top w:val="dotted" w:color="000000" w:sz="4" w:space="0"/>
              <w:left w:val="nil"/>
              <w:bottom w:val="dotted"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付息方式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trPr>
        <w:tc>
          <w:tcPr>
            <w:tcW w:w="810"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r>
              <w:rPr>
                <w:rFonts w:hint="eastAsia" w:ascii="宋体" w:hAnsi="宋体" w:cs="宋体"/>
                <w:i w:val="0"/>
                <w:iCs w:val="0"/>
                <w:color w:val="000000"/>
                <w:kern w:val="0"/>
                <w:sz w:val="18"/>
                <w:szCs w:val="18"/>
                <w:highlight w:val="none"/>
                <w:u w:val="none"/>
                <w:lang w:val="en-US" w:eastAsia="zh-CN" w:bidi="ar"/>
              </w:rPr>
              <w:t>23</w:t>
            </w:r>
            <w:r>
              <w:rPr>
                <w:rFonts w:hint="eastAsia" w:ascii="宋体" w:hAnsi="宋体" w:eastAsia="宋体" w:cs="宋体"/>
                <w:i w:val="0"/>
                <w:iCs w:val="0"/>
                <w:color w:val="000000"/>
                <w:kern w:val="0"/>
                <w:sz w:val="18"/>
                <w:szCs w:val="18"/>
                <w:highlight w:val="none"/>
                <w:u w:val="none"/>
                <w:lang w:val="en-US" w:eastAsia="zh-CN" w:bidi="ar"/>
              </w:rPr>
              <w:t>年</w:t>
            </w:r>
          </w:p>
        </w:tc>
        <w:tc>
          <w:tcPr>
            <w:tcW w:w="816"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Hans" w:bidi="ar"/>
              </w:rPr>
              <w:t>以前</w:t>
            </w:r>
            <w:r>
              <w:rPr>
                <w:rFonts w:hint="eastAsia" w:ascii="宋体" w:hAnsi="宋体" w:eastAsia="宋体" w:cs="宋体"/>
                <w:i w:val="0"/>
                <w:iCs w:val="0"/>
                <w:color w:val="000000"/>
                <w:kern w:val="0"/>
                <w:sz w:val="18"/>
                <w:szCs w:val="18"/>
                <w:highlight w:val="none"/>
                <w:u w:val="none"/>
                <w:lang w:val="en-US" w:eastAsia="zh-CN" w:bidi="ar"/>
              </w:rPr>
              <w:t>批次</w:t>
            </w:r>
          </w:p>
        </w:tc>
        <w:tc>
          <w:tcPr>
            <w:tcW w:w="867"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r>
              <w:rPr>
                <w:rFonts w:hint="eastAsia" w:ascii="宋体" w:hAnsi="宋体" w:eastAsia="宋体" w:cs="宋体"/>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lang w:val="en-US" w:eastAsia="zh-CN"/>
              </w:rPr>
              <w:t>00.00</w:t>
            </w:r>
          </w:p>
        </w:tc>
        <w:tc>
          <w:tcPr>
            <w:tcW w:w="867"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r>
              <w:rPr>
                <w:rFonts w:hint="eastAsia" w:ascii="宋体" w:hAnsi="宋体" w:cs="宋体"/>
                <w:i w:val="0"/>
                <w:iCs w:val="0"/>
                <w:color w:val="000000"/>
                <w:kern w:val="0"/>
                <w:sz w:val="18"/>
                <w:szCs w:val="18"/>
                <w:highlight w:val="none"/>
                <w:u w:val="none"/>
                <w:lang w:val="en-US" w:eastAsia="zh-CN" w:bidi="ar"/>
              </w:rPr>
              <w:t>5</w:t>
            </w:r>
            <w:r>
              <w:rPr>
                <w:rFonts w:hint="eastAsia" w:ascii="宋体" w:hAnsi="宋体" w:eastAsia="宋体" w:cs="宋体"/>
                <w:i w:val="0"/>
                <w:iCs w:val="0"/>
                <w:color w:val="000000"/>
                <w:kern w:val="0"/>
                <w:sz w:val="18"/>
                <w:szCs w:val="18"/>
                <w:highlight w:val="none"/>
                <w:u w:val="none"/>
                <w:lang w:val="en-US" w:eastAsia="zh-CN" w:bidi="ar"/>
              </w:rPr>
              <w:t>年</w:t>
            </w:r>
          </w:p>
        </w:tc>
        <w:tc>
          <w:tcPr>
            <w:tcW w:w="813"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到期一次还本</w:t>
            </w:r>
          </w:p>
        </w:tc>
        <w:tc>
          <w:tcPr>
            <w:tcW w:w="82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每半年付息一次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trPr>
        <w:tc>
          <w:tcPr>
            <w:tcW w:w="810"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r>
              <w:rPr>
                <w:rFonts w:hint="eastAsia" w:ascii="宋体" w:hAnsi="宋体" w:cs="宋体"/>
                <w:i w:val="0"/>
                <w:iCs w:val="0"/>
                <w:color w:val="000000"/>
                <w:kern w:val="0"/>
                <w:sz w:val="18"/>
                <w:szCs w:val="18"/>
                <w:highlight w:val="none"/>
                <w:u w:val="none"/>
                <w:lang w:val="en-US" w:eastAsia="zh-CN" w:bidi="ar"/>
              </w:rPr>
              <w:t>23</w:t>
            </w:r>
            <w:r>
              <w:rPr>
                <w:rFonts w:hint="eastAsia" w:ascii="宋体" w:hAnsi="宋体" w:eastAsia="宋体" w:cs="宋体"/>
                <w:i w:val="0"/>
                <w:iCs w:val="0"/>
                <w:color w:val="000000"/>
                <w:kern w:val="0"/>
                <w:sz w:val="18"/>
                <w:szCs w:val="18"/>
                <w:highlight w:val="none"/>
                <w:u w:val="none"/>
                <w:lang w:val="en-US" w:eastAsia="zh-CN" w:bidi="ar"/>
              </w:rPr>
              <w:t>年</w:t>
            </w:r>
          </w:p>
        </w:tc>
        <w:tc>
          <w:tcPr>
            <w:tcW w:w="816"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Hans" w:bidi="ar"/>
              </w:rPr>
              <w:t>以前</w:t>
            </w:r>
            <w:r>
              <w:rPr>
                <w:rFonts w:hint="eastAsia" w:ascii="宋体" w:hAnsi="宋体" w:eastAsia="宋体" w:cs="宋体"/>
                <w:i w:val="0"/>
                <w:iCs w:val="0"/>
                <w:color w:val="000000"/>
                <w:kern w:val="0"/>
                <w:sz w:val="18"/>
                <w:szCs w:val="18"/>
                <w:highlight w:val="none"/>
                <w:u w:val="none"/>
                <w:lang w:val="en-US" w:eastAsia="zh-CN" w:bidi="ar"/>
              </w:rPr>
              <w:t>批次</w:t>
            </w:r>
          </w:p>
        </w:tc>
        <w:tc>
          <w:tcPr>
            <w:tcW w:w="867"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sz w:val="18"/>
                <w:szCs w:val="18"/>
                <w:highlight w:val="none"/>
                <w:u w:val="none"/>
                <w:lang w:val="en-US" w:eastAsia="zh-CN"/>
              </w:rPr>
            </w:pPr>
            <w:r>
              <w:rPr>
                <w:rFonts w:hint="default" w:ascii="宋体" w:hAnsi="宋体" w:cs="宋体"/>
                <w:i w:val="0"/>
                <w:iCs w:val="0"/>
                <w:color w:val="000000"/>
                <w:sz w:val="18"/>
                <w:szCs w:val="18"/>
                <w:highlight w:val="none"/>
                <w:u w:val="none"/>
                <w:lang w:eastAsia="zh-CN"/>
              </w:rPr>
              <w:t>5</w:t>
            </w:r>
            <w:r>
              <w:rPr>
                <w:rFonts w:hint="eastAsia" w:ascii="宋体" w:hAnsi="宋体" w:eastAsia="宋体" w:cs="宋体"/>
                <w:i w:val="0"/>
                <w:iCs w:val="0"/>
                <w:color w:val="000000"/>
                <w:sz w:val="18"/>
                <w:szCs w:val="18"/>
                <w:highlight w:val="none"/>
                <w:u w:val="none"/>
                <w:lang w:val="en-US" w:eastAsia="zh-CN"/>
              </w:rPr>
              <w:t>,</w:t>
            </w:r>
            <w:r>
              <w:rPr>
                <w:rFonts w:hint="default" w:ascii="宋体" w:hAnsi="宋体" w:cs="宋体"/>
                <w:i w:val="0"/>
                <w:iCs w:val="0"/>
                <w:color w:val="000000"/>
                <w:sz w:val="18"/>
                <w:szCs w:val="18"/>
                <w:highlight w:val="none"/>
                <w:u w:val="none"/>
                <w:lang w:eastAsia="zh-CN"/>
              </w:rPr>
              <w:t>5</w:t>
            </w:r>
            <w:r>
              <w:rPr>
                <w:rFonts w:hint="eastAsia" w:ascii="宋体" w:hAnsi="宋体" w:eastAsia="宋体" w:cs="宋体"/>
                <w:i w:val="0"/>
                <w:iCs w:val="0"/>
                <w:color w:val="000000"/>
                <w:sz w:val="18"/>
                <w:szCs w:val="18"/>
                <w:highlight w:val="none"/>
                <w:u w:val="none"/>
                <w:lang w:val="en-US" w:eastAsia="zh-CN"/>
              </w:rPr>
              <w:t>00.00</w:t>
            </w:r>
          </w:p>
        </w:tc>
        <w:tc>
          <w:tcPr>
            <w:tcW w:w="867"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w:t>
            </w:r>
            <w:r>
              <w:rPr>
                <w:rFonts w:hint="eastAsia" w:ascii="宋体" w:hAnsi="宋体" w:cs="宋体"/>
                <w:i w:val="0"/>
                <w:iCs w:val="0"/>
                <w:color w:val="000000"/>
                <w:kern w:val="0"/>
                <w:sz w:val="18"/>
                <w:szCs w:val="18"/>
                <w:highlight w:val="none"/>
                <w:u w:val="none"/>
                <w:lang w:val="en-US" w:eastAsia="zh-CN" w:bidi="ar"/>
              </w:rPr>
              <w:t>5</w:t>
            </w:r>
            <w:r>
              <w:rPr>
                <w:rFonts w:hint="eastAsia" w:ascii="宋体" w:hAnsi="宋体" w:eastAsia="宋体" w:cs="宋体"/>
                <w:i w:val="0"/>
                <w:iCs w:val="0"/>
                <w:color w:val="000000"/>
                <w:kern w:val="0"/>
                <w:sz w:val="18"/>
                <w:szCs w:val="18"/>
                <w:highlight w:val="none"/>
                <w:u w:val="none"/>
                <w:lang w:val="en-US" w:eastAsia="zh-CN" w:bidi="ar"/>
              </w:rPr>
              <w:t>年</w:t>
            </w:r>
          </w:p>
        </w:tc>
        <w:tc>
          <w:tcPr>
            <w:tcW w:w="813"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到期一次还本</w:t>
            </w:r>
          </w:p>
        </w:tc>
        <w:tc>
          <w:tcPr>
            <w:tcW w:w="82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每半年付息一次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trPr>
        <w:tc>
          <w:tcPr>
            <w:tcW w:w="810"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2023年</w:t>
            </w:r>
          </w:p>
        </w:tc>
        <w:tc>
          <w:tcPr>
            <w:tcW w:w="816"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本批次</w:t>
            </w:r>
          </w:p>
        </w:tc>
        <w:tc>
          <w:tcPr>
            <w:tcW w:w="867"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r>
              <w:rPr>
                <w:rFonts w:hint="default" w:ascii="宋体" w:hAnsi="宋体" w:cs="宋体"/>
                <w:i w:val="0"/>
                <w:iCs w:val="0"/>
                <w:color w:val="000000"/>
                <w:sz w:val="18"/>
                <w:szCs w:val="18"/>
                <w:highlight w:val="none"/>
                <w:u w:val="none"/>
                <w:lang w:val="en-US" w:eastAsia="zh-CN"/>
              </w:rPr>
              <w:t>,680.00</w:t>
            </w:r>
          </w:p>
        </w:tc>
        <w:tc>
          <w:tcPr>
            <w:tcW w:w="867"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w:t>
            </w:r>
            <w:r>
              <w:rPr>
                <w:rFonts w:hint="eastAsia" w:ascii="宋体" w:hAnsi="宋体" w:cs="宋体"/>
                <w:i w:val="0"/>
                <w:iCs w:val="0"/>
                <w:color w:val="000000"/>
                <w:kern w:val="0"/>
                <w:sz w:val="18"/>
                <w:szCs w:val="18"/>
                <w:highlight w:val="none"/>
                <w:u w:val="none"/>
                <w:lang w:val="en-US" w:eastAsia="zh-CN" w:bidi="ar"/>
              </w:rPr>
              <w:t>5</w:t>
            </w:r>
            <w:r>
              <w:rPr>
                <w:rFonts w:hint="eastAsia" w:ascii="宋体" w:hAnsi="宋体" w:eastAsia="宋体" w:cs="宋体"/>
                <w:i w:val="0"/>
                <w:iCs w:val="0"/>
                <w:color w:val="000000"/>
                <w:kern w:val="0"/>
                <w:sz w:val="18"/>
                <w:szCs w:val="18"/>
                <w:highlight w:val="none"/>
                <w:u w:val="none"/>
                <w:lang w:val="en-US" w:eastAsia="zh-CN" w:bidi="ar"/>
              </w:rPr>
              <w:t>年</w:t>
            </w:r>
          </w:p>
        </w:tc>
        <w:tc>
          <w:tcPr>
            <w:tcW w:w="813"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到期一次还本</w:t>
            </w:r>
          </w:p>
        </w:tc>
        <w:tc>
          <w:tcPr>
            <w:tcW w:w="82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每半年付息一次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trPr>
        <w:tc>
          <w:tcPr>
            <w:tcW w:w="810"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Hans" w:bidi="ar"/>
              </w:rPr>
            </w:pPr>
            <w:r>
              <w:rPr>
                <w:rFonts w:hint="default" w:ascii="宋体" w:hAnsi="宋体" w:cs="宋体"/>
                <w:i w:val="0"/>
                <w:iCs w:val="0"/>
                <w:color w:val="000000"/>
                <w:kern w:val="0"/>
                <w:sz w:val="18"/>
                <w:szCs w:val="18"/>
                <w:highlight w:val="none"/>
                <w:u w:val="none"/>
                <w:lang w:eastAsia="zh-CN" w:bidi="ar"/>
              </w:rPr>
              <w:t>2024</w:t>
            </w:r>
            <w:r>
              <w:rPr>
                <w:rFonts w:hint="eastAsia" w:ascii="宋体" w:hAnsi="宋体" w:cs="宋体"/>
                <w:i w:val="0"/>
                <w:iCs w:val="0"/>
                <w:color w:val="000000"/>
                <w:kern w:val="0"/>
                <w:sz w:val="18"/>
                <w:szCs w:val="18"/>
                <w:highlight w:val="none"/>
                <w:u w:val="none"/>
                <w:lang w:val="en-US" w:eastAsia="zh-Hans" w:bidi="ar"/>
              </w:rPr>
              <w:t>年</w:t>
            </w:r>
          </w:p>
        </w:tc>
        <w:tc>
          <w:tcPr>
            <w:tcW w:w="816"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Hans" w:bidi="ar"/>
              </w:rPr>
              <w:t>以后批次</w:t>
            </w:r>
          </w:p>
        </w:tc>
        <w:tc>
          <w:tcPr>
            <w:tcW w:w="867"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default" w:ascii="宋体" w:hAnsi="宋体" w:cs="宋体"/>
                <w:i w:val="0"/>
                <w:iCs w:val="0"/>
                <w:color w:val="000000"/>
                <w:sz w:val="18"/>
                <w:szCs w:val="18"/>
                <w:highlight w:val="none"/>
                <w:u w:val="none"/>
                <w:lang w:eastAsia="zh-CN"/>
              </w:rPr>
              <w:t>1</w:t>
            </w:r>
            <w:r>
              <w:rPr>
                <w:rFonts w:hint="eastAsia" w:ascii="宋体" w:hAnsi="宋体" w:cs="宋体"/>
                <w:i w:val="0"/>
                <w:iCs w:val="0"/>
                <w:color w:val="000000"/>
                <w:sz w:val="18"/>
                <w:szCs w:val="18"/>
                <w:highlight w:val="none"/>
                <w:u w:val="none"/>
                <w:lang w:val="en-US" w:eastAsia="zh-CN"/>
              </w:rPr>
              <w:t>0</w:t>
            </w:r>
            <w:r>
              <w:rPr>
                <w:rFonts w:hint="default"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82</w:t>
            </w:r>
            <w:r>
              <w:rPr>
                <w:rFonts w:hint="default" w:ascii="宋体" w:hAnsi="宋体" w:cs="宋体"/>
                <w:i w:val="0"/>
                <w:iCs w:val="0"/>
                <w:color w:val="000000"/>
                <w:sz w:val="18"/>
                <w:szCs w:val="18"/>
                <w:highlight w:val="none"/>
                <w:u w:val="none"/>
                <w:lang w:eastAsia="zh-CN"/>
              </w:rPr>
              <w:t>0.00</w:t>
            </w:r>
          </w:p>
        </w:tc>
        <w:tc>
          <w:tcPr>
            <w:tcW w:w="867"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w:t>
            </w:r>
            <w:r>
              <w:rPr>
                <w:rFonts w:hint="eastAsia" w:ascii="宋体" w:hAnsi="宋体" w:cs="宋体"/>
                <w:i w:val="0"/>
                <w:iCs w:val="0"/>
                <w:color w:val="000000"/>
                <w:kern w:val="0"/>
                <w:sz w:val="18"/>
                <w:szCs w:val="18"/>
                <w:highlight w:val="none"/>
                <w:u w:val="none"/>
                <w:lang w:val="en-US" w:eastAsia="zh-CN" w:bidi="ar"/>
              </w:rPr>
              <w:t>5</w:t>
            </w:r>
            <w:r>
              <w:rPr>
                <w:rFonts w:hint="eastAsia" w:ascii="宋体" w:hAnsi="宋体" w:eastAsia="宋体" w:cs="宋体"/>
                <w:i w:val="0"/>
                <w:iCs w:val="0"/>
                <w:color w:val="000000"/>
                <w:kern w:val="0"/>
                <w:sz w:val="18"/>
                <w:szCs w:val="18"/>
                <w:highlight w:val="none"/>
                <w:u w:val="none"/>
                <w:lang w:val="en-US" w:eastAsia="zh-CN" w:bidi="ar"/>
              </w:rPr>
              <w:t>年</w:t>
            </w:r>
          </w:p>
        </w:tc>
        <w:tc>
          <w:tcPr>
            <w:tcW w:w="813" w:type="pct"/>
            <w:tcBorders>
              <w:top w:val="nil"/>
              <w:left w:val="nil"/>
              <w:bottom w:val="nil"/>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到期一次还本</w:t>
            </w:r>
          </w:p>
        </w:tc>
        <w:tc>
          <w:tcPr>
            <w:tcW w:w="82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每半年付息一次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trPr>
        <w:tc>
          <w:tcPr>
            <w:tcW w:w="810" w:type="pct"/>
            <w:tcBorders>
              <w:top w:val="nil"/>
              <w:left w:val="nil"/>
              <w:bottom w:val="dotted" w:color="000000" w:sz="4" w:space="0"/>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Hans" w:bidi="ar"/>
              </w:rPr>
            </w:pPr>
            <w:r>
              <w:rPr>
                <w:rFonts w:hint="eastAsia" w:ascii="宋体" w:hAnsi="宋体" w:cs="宋体"/>
                <w:i w:val="0"/>
                <w:iCs w:val="0"/>
                <w:color w:val="000000"/>
                <w:kern w:val="0"/>
                <w:sz w:val="18"/>
                <w:szCs w:val="18"/>
                <w:highlight w:val="none"/>
                <w:u w:val="none"/>
                <w:lang w:val="en-US" w:eastAsia="zh-Hans" w:bidi="ar"/>
              </w:rPr>
              <w:t>合计</w:t>
            </w:r>
          </w:p>
        </w:tc>
        <w:tc>
          <w:tcPr>
            <w:tcW w:w="816" w:type="pct"/>
            <w:tcBorders>
              <w:top w:val="nil"/>
              <w:left w:val="nil"/>
              <w:bottom w:val="dotted" w:color="000000" w:sz="4" w:space="0"/>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67" w:type="pct"/>
            <w:tcBorders>
              <w:top w:val="nil"/>
              <w:left w:val="nil"/>
              <w:bottom w:val="dotted" w:color="000000" w:sz="4" w:space="0"/>
              <w:right w:val="dotted"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default" w:ascii="宋体" w:hAnsi="宋体" w:cs="宋体"/>
                <w:i w:val="0"/>
                <w:iCs w:val="0"/>
                <w:color w:val="000000"/>
                <w:sz w:val="18"/>
                <w:szCs w:val="18"/>
                <w:highlight w:val="none"/>
                <w:u w:val="none"/>
                <w:lang w:eastAsia="zh-CN"/>
              </w:rPr>
              <w:t>24,000.00</w:t>
            </w:r>
          </w:p>
        </w:tc>
        <w:tc>
          <w:tcPr>
            <w:tcW w:w="867" w:type="pct"/>
            <w:tcBorders>
              <w:top w:val="nil"/>
              <w:left w:val="nil"/>
              <w:bottom w:val="dotted" w:color="000000" w:sz="4" w:space="0"/>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13" w:type="pct"/>
            <w:tcBorders>
              <w:top w:val="nil"/>
              <w:left w:val="nil"/>
              <w:bottom w:val="dotted" w:color="000000" w:sz="4" w:space="0"/>
              <w:right w:val="dotted"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26" w:type="pct"/>
            <w:tcBorders>
              <w:top w:val="nil"/>
              <w:left w:val="nil"/>
              <w:bottom w:val="dotted"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bl>
    <w:p>
      <w:pPr>
        <w:numPr>
          <w:ilvl w:val="0"/>
          <w:numId w:val="1"/>
        </w:numPr>
        <w:spacing w:before="100" w:beforeAutospacing="1" w:line="360" w:lineRule="auto"/>
        <w:outlineLvl w:val="0"/>
        <w:rPr>
          <w:rFonts w:hint="eastAsia" w:ascii="仿宋" w:hAnsi="仿宋" w:eastAsia="仿宋" w:cs="仿宋"/>
          <w:color w:val="000000"/>
          <w:kern w:val="0"/>
          <w:sz w:val="28"/>
          <w:szCs w:val="28"/>
          <w:highlight w:val="none"/>
        </w:rPr>
      </w:pPr>
      <w:r>
        <w:rPr>
          <w:rFonts w:hint="eastAsia" w:ascii="仿宋" w:hAnsi="仿宋" w:eastAsia="仿宋"/>
          <w:b/>
          <w:color w:val="000000"/>
          <w:sz w:val="28"/>
          <w:szCs w:val="28"/>
          <w:highlight w:val="none"/>
        </w:rPr>
        <w:t>项目事前绩效评估情况</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rPr>
        <w:t>根据《地方政府专项债券项目资金绩效管理办法》(财预[2021]61号)和《政府专项债券项目资金绩效管理办法》(晋财债[2021]38号)的要求，</w:t>
      </w:r>
      <w:r>
        <w:rPr>
          <w:rFonts w:hint="eastAsia" w:ascii="仿宋" w:hAnsi="仿宋" w:eastAsia="仿宋" w:cs="仿宋"/>
          <w:color w:val="000000"/>
          <w:kern w:val="0"/>
          <w:sz w:val="28"/>
          <w:szCs w:val="28"/>
          <w:highlight w:val="none"/>
          <w:lang w:val="en-US" w:eastAsia="zh-CN"/>
        </w:rPr>
        <w:t>项目单位针对本</w:t>
      </w:r>
      <w:r>
        <w:rPr>
          <w:rFonts w:hint="eastAsia" w:ascii="仿宋" w:hAnsi="仿宋" w:eastAsia="仿宋" w:cs="仿宋"/>
          <w:color w:val="000000"/>
          <w:kern w:val="0"/>
          <w:sz w:val="28"/>
          <w:szCs w:val="28"/>
          <w:highlight w:val="none"/>
        </w:rPr>
        <w:t>项目申请专项债券资金支持的必要性和可行性完成了事前绩效评估，项目事前绩效评估综合评分在90分(含)以上，符合专项债券项目的入库条件。并结合项目实际的产出数量、质量、时效、成本，围绕经济效益、社会效益、可持续影响、服务对象满意度等绩效指标设置了细化的总体绩效目标和年度绩效目标，能够有效反映项目的预期产出、融资成本、偿债风险等</w:t>
      </w:r>
      <w:r>
        <w:rPr>
          <w:rFonts w:hint="eastAsia" w:ascii="仿宋" w:hAnsi="仿宋" w:eastAsia="仿宋" w:cs="仿宋"/>
          <w:color w:val="000000"/>
          <w:kern w:val="0"/>
          <w:sz w:val="28"/>
          <w:szCs w:val="28"/>
          <w:highlight w:val="none"/>
          <w:lang w:eastAsia="zh-CN"/>
        </w:rPr>
        <w:t>。</w:t>
      </w:r>
    </w:p>
    <w:p>
      <w:pPr>
        <w:numPr>
          <w:ilvl w:val="0"/>
          <w:numId w:val="1"/>
        </w:numPr>
        <w:spacing w:before="100" w:beforeAutospacing="1" w:line="360" w:lineRule="auto"/>
        <w:outlineLvl w:val="0"/>
        <w:rPr>
          <w:rFonts w:hint="eastAsia" w:ascii="仿宋" w:hAnsi="仿宋" w:eastAsia="仿宋"/>
          <w:b/>
          <w:color w:val="000000"/>
          <w:sz w:val="28"/>
          <w:szCs w:val="28"/>
          <w:highlight w:val="none"/>
          <w:lang w:val="en-US" w:eastAsia="zh-CN"/>
        </w:rPr>
      </w:pPr>
      <w:r>
        <w:rPr>
          <w:rFonts w:hint="eastAsia" w:ascii="仿宋" w:hAnsi="仿宋" w:eastAsia="仿宋"/>
          <w:b/>
          <w:color w:val="000000"/>
          <w:sz w:val="28"/>
          <w:szCs w:val="28"/>
          <w:highlight w:val="none"/>
          <w:lang w:val="en-US" w:eastAsia="zh-CN"/>
        </w:rPr>
        <w:t>项目情况</w:t>
      </w:r>
    </w:p>
    <w:p>
      <w:pPr>
        <w:pStyle w:val="4"/>
        <w:spacing w:before="156" w:beforeLines="50"/>
        <w:ind w:firstLine="562" w:firstLineChars="200"/>
        <w:jc w:val="both"/>
        <w:rPr>
          <w:rFonts w:hint="default" w:ascii="仿宋" w:hAnsi="仿宋" w:eastAsia="仿宋"/>
          <w:b/>
          <w:sz w:val="28"/>
          <w:szCs w:val="28"/>
          <w:highlight w:val="none"/>
          <w:lang w:val="en-US" w:eastAsia="zh-CN"/>
        </w:rPr>
      </w:pPr>
      <w:r>
        <w:rPr>
          <w:rFonts w:hint="eastAsia" w:ascii="仿宋" w:hAnsi="仿宋" w:eastAsia="仿宋"/>
          <w:b/>
          <w:sz w:val="28"/>
          <w:szCs w:val="28"/>
          <w:highlight w:val="none"/>
        </w:rPr>
        <w:t>（</w:t>
      </w:r>
      <w:r>
        <w:rPr>
          <w:rFonts w:hint="eastAsia" w:ascii="仿宋" w:hAnsi="仿宋" w:eastAsia="仿宋"/>
          <w:b/>
          <w:sz w:val="28"/>
          <w:szCs w:val="28"/>
          <w:highlight w:val="none"/>
          <w:lang w:val="en-US" w:eastAsia="zh-CN"/>
        </w:rPr>
        <w:t>一</w:t>
      </w:r>
      <w:r>
        <w:rPr>
          <w:rFonts w:hint="eastAsia" w:ascii="仿宋" w:hAnsi="仿宋" w:eastAsia="仿宋"/>
          <w:b/>
          <w:sz w:val="28"/>
          <w:szCs w:val="28"/>
          <w:highlight w:val="none"/>
        </w:rPr>
        <w:t>）项目主体</w:t>
      </w:r>
      <w:r>
        <w:rPr>
          <w:rFonts w:hint="eastAsia" w:ascii="仿宋" w:hAnsi="仿宋" w:eastAsia="仿宋"/>
          <w:b/>
          <w:sz w:val="28"/>
          <w:szCs w:val="28"/>
          <w:highlight w:val="none"/>
          <w:lang w:eastAsia="zh-CN"/>
        </w:rPr>
        <w:t>：太原市杏花岭区教育局</w:t>
      </w:r>
    </w:p>
    <w:p>
      <w:pPr>
        <w:ind w:firstLine="562" w:firstLineChars="200"/>
        <w:rPr>
          <w:rFonts w:hint="eastAsia" w:ascii="仿宋" w:hAnsi="仿宋" w:eastAsia="仿宋"/>
          <w:b/>
          <w:sz w:val="28"/>
          <w:szCs w:val="28"/>
          <w:highlight w:val="none"/>
        </w:rPr>
      </w:pPr>
      <w:r>
        <w:rPr>
          <w:rFonts w:hint="eastAsia" w:ascii="仿宋" w:hAnsi="仿宋" w:eastAsia="仿宋"/>
          <w:b/>
          <w:sz w:val="28"/>
          <w:szCs w:val="28"/>
          <w:highlight w:val="none"/>
        </w:rPr>
        <w:t>（</w:t>
      </w:r>
      <w:r>
        <w:rPr>
          <w:rFonts w:hint="eastAsia" w:ascii="仿宋" w:hAnsi="仿宋" w:eastAsia="仿宋"/>
          <w:b/>
          <w:sz w:val="28"/>
          <w:szCs w:val="28"/>
          <w:highlight w:val="none"/>
          <w:lang w:val="en-US" w:eastAsia="zh-CN"/>
        </w:rPr>
        <w:t>二</w:t>
      </w:r>
      <w:r>
        <w:rPr>
          <w:rFonts w:hint="eastAsia" w:ascii="仿宋" w:hAnsi="仿宋" w:eastAsia="仿宋"/>
          <w:b/>
          <w:sz w:val="28"/>
          <w:szCs w:val="28"/>
          <w:highlight w:val="none"/>
        </w:rPr>
        <w:t>）项目批复手续</w:t>
      </w:r>
    </w:p>
    <w:p>
      <w:pPr>
        <w:pStyle w:val="4"/>
        <w:spacing w:before="156" w:beforeLines="50"/>
        <w:ind w:firstLine="560" w:firstLineChars="200"/>
        <w:jc w:val="both"/>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1、2022年11月8日，项目取得太原市行政审批服务管理局《建设项目用地预审与选址意见书》</w:t>
      </w:r>
      <w:r>
        <w:rPr>
          <w:rFonts w:hint="default" w:ascii="仿宋" w:hAnsi="仿宋" w:eastAsia="仿宋" w:cs="仿宋"/>
          <w:color w:val="000000"/>
          <w:kern w:val="0"/>
          <w:sz w:val="28"/>
          <w:szCs w:val="28"/>
          <w:highlight w:val="none"/>
          <w:lang w:eastAsia="zh-CN"/>
        </w:rPr>
        <w:t>（</w:t>
      </w:r>
      <w:r>
        <w:rPr>
          <w:rFonts w:hint="eastAsia" w:ascii="仿宋" w:hAnsi="仿宋" w:eastAsia="仿宋" w:cs="仿宋"/>
          <w:color w:val="000000"/>
          <w:kern w:val="0"/>
          <w:sz w:val="28"/>
          <w:szCs w:val="28"/>
          <w:highlight w:val="none"/>
          <w:lang w:val="en-US" w:eastAsia="zh-Hans"/>
        </w:rPr>
        <w:t>用字第</w:t>
      </w:r>
      <w:r>
        <w:rPr>
          <w:rFonts w:hint="default" w:ascii="仿宋" w:hAnsi="仿宋" w:eastAsia="仿宋" w:cs="仿宋"/>
          <w:color w:val="000000"/>
          <w:kern w:val="0"/>
          <w:sz w:val="28"/>
          <w:szCs w:val="28"/>
          <w:highlight w:val="none"/>
          <w:lang w:eastAsia="zh-Hans"/>
        </w:rPr>
        <w:t>140100202210052</w:t>
      </w:r>
      <w:r>
        <w:rPr>
          <w:rFonts w:hint="eastAsia" w:ascii="仿宋" w:hAnsi="仿宋" w:eastAsia="仿宋" w:cs="仿宋"/>
          <w:color w:val="000000"/>
          <w:kern w:val="0"/>
          <w:sz w:val="28"/>
          <w:szCs w:val="28"/>
          <w:highlight w:val="none"/>
          <w:lang w:val="en-US" w:eastAsia="zh-Hans"/>
        </w:rPr>
        <w:t>号</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CN"/>
        </w:rPr>
        <w:t>；</w:t>
      </w:r>
    </w:p>
    <w:p>
      <w:pPr>
        <w:pStyle w:val="4"/>
        <w:spacing w:before="156" w:beforeLines="50"/>
        <w:ind w:firstLine="560" w:firstLineChars="200"/>
        <w:jc w:val="both"/>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2、2022年11月11日，项目取得太原市杏花岭区行政审批服务管理局《关于对康乐幼儿园(五一北路校区)新建项目可行性研究报告的批复》（杏审管批[2022]49号）；</w:t>
      </w:r>
    </w:p>
    <w:p>
      <w:pPr>
        <w:pStyle w:val="4"/>
        <w:spacing w:before="156" w:beforeLines="50"/>
        <w:ind w:firstLine="560" w:firstLineChars="200"/>
        <w:jc w:val="both"/>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项目代码：2205-140107-89-01-823286</w:t>
      </w:r>
    </w:p>
    <w:p>
      <w:pPr>
        <w:ind w:firstLine="560" w:firstLineChars="200"/>
        <w:rPr>
          <w:rFonts w:hint="default" w:ascii="仿宋" w:hAnsi="仿宋" w:eastAsia="仿宋" w:cs="仿宋"/>
          <w:color w:val="000000"/>
          <w:kern w:val="0"/>
          <w:sz w:val="28"/>
          <w:szCs w:val="28"/>
          <w:highlight w:val="none"/>
          <w:lang w:eastAsia="zh-CN"/>
        </w:rPr>
      </w:pPr>
      <w:r>
        <w:rPr>
          <w:rFonts w:hint="default" w:ascii="仿宋" w:hAnsi="仿宋" w:eastAsia="仿宋" w:cs="仿宋"/>
          <w:color w:val="000000"/>
          <w:kern w:val="0"/>
          <w:sz w:val="28"/>
          <w:szCs w:val="28"/>
          <w:highlight w:val="none"/>
          <w:lang w:eastAsia="zh-CN"/>
        </w:rPr>
        <w:t>3、2023</w:t>
      </w:r>
      <w:r>
        <w:rPr>
          <w:rFonts w:hint="eastAsia" w:ascii="仿宋" w:hAnsi="仿宋" w:eastAsia="仿宋" w:cs="仿宋"/>
          <w:color w:val="000000"/>
          <w:kern w:val="0"/>
          <w:sz w:val="28"/>
          <w:szCs w:val="28"/>
          <w:highlight w:val="none"/>
          <w:lang w:val="en-US" w:eastAsia="zh-Hans"/>
        </w:rPr>
        <w:t>年</w:t>
      </w:r>
      <w:r>
        <w:rPr>
          <w:rFonts w:hint="default" w:ascii="仿宋" w:hAnsi="仿宋" w:eastAsia="仿宋" w:cs="仿宋"/>
          <w:color w:val="000000"/>
          <w:kern w:val="0"/>
          <w:sz w:val="28"/>
          <w:szCs w:val="28"/>
          <w:highlight w:val="none"/>
          <w:lang w:eastAsia="zh-Hans"/>
        </w:rPr>
        <w:t>3</w:t>
      </w:r>
      <w:r>
        <w:rPr>
          <w:rFonts w:hint="eastAsia" w:ascii="仿宋" w:hAnsi="仿宋" w:eastAsia="仿宋" w:cs="仿宋"/>
          <w:color w:val="000000"/>
          <w:kern w:val="0"/>
          <w:sz w:val="28"/>
          <w:szCs w:val="28"/>
          <w:highlight w:val="none"/>
          <w:lang w:val="en-US" w:eastAsia="zh-Hans"/>
        </w:rPr>
        <w:t>月</w:t>
      </w:r>
      <w:r>
        <w:rPr>
          <w:rFonts w:hint="default" w:ascii="仿宋" w:hAnsi="仿宋" w:eastAsia="仿宋" w:cs="仿宋"/>
          <w:color w:val="000000"/>
          <w:kern w:val="0"/>
          <w:sz w:val="28"/>
          <w:szCs w:val="28"/>
          <w:highlight w:val="none"/>
          <w:lang w:eastAsia="zh-Hans"/>
        </w:rPr>
        <w:t>2</w:t>
      </w:r>
      <w:r>
        <w:rPr>
          <w:rFonts w:hint="eastAsia" w:ascii="仿宋" w:hAnsi="仿宋" w:eastAsia="仿宋" w:cs="仿宋"/>
          <w:color w:val="000000"/>
          <w:kern w:val="0"/>
          <w:sz w:val="28"/>
          <w:szCs w:val="28"/>
          <w:highlight w:val="none"/>
          <w:lang w:val="en-US" w:eastAsia="zh-Hans"/>
        </w:rPr>
        <w:t>日</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项目取得</w:t>
      </w:r>
      <w:r>
        <w:rPr>
          <w:rFonts w:hint="eastAsia" w:ascii="仿宋" w:hAnsi="仿宋" w:eastAsia="仿宋" w:cs="仿宋"/>
          <w:color w:val="000000"/>
          <w:kern w:val="0"/>
          <w:sz w:val="28"/>
          <w:szCs w:val="28"/>
          <w:highlight w:val="none"/>
          <w:lang w:val="en-US" w:eastAsia="zh-CN"/>
        </w:rPr>
        <w:t>太原市杏花岭区行政审批服务管理局《关于对康乐幼儿园(五一北路校区)新建项目</w:t>
      </w:r>
      <w:r>
        <w:rPr>
          <w:rFonts w:hint="eastAsia" w:ascii="仿宋" w:hAnsi="仿宋" w:eastAsia="仿宋" w:cs="仿宋"/>
          <w:color w:val="000000"/>
          <w:kern w:val="0"/>
          <w:sz w:val="28"/>
          <w:szCs w:val="28"/>
          <w:highlight w:val="none"/>
          <w:lang w:val="en-US" w:eastAsia="zh-Hans"/>
        </w:rPr>
        <w:t>初步设计</w:t>
      </w:r>
      <w:r>
        <w:rPr>
          <w:rFonts w:hint="eastAsia" w:ascii="仿宋" w:hAnsi="仿宋" w:eastAsia="仿宋" w:cs="仿宋"/>
          <w:color w:val="000000"/>
          <w:kern w:val="0"/>
          <w:sz w:val="28"/>
          <w:szCs w:val="28"/>
          <w:highlight w:val="none"/>
          <w:lang w:val="en-US" w:eastAsia="zh-CN"/>
        </w:rPr>
        <w:t>的批复》（杏审管批[202</w:t>
      </w:r>
      <w:r>
        <w:rPr>
          <w:rFonts w:hint="default" w:ascii="仿宋" w:hAnsi="仿宋" w:eastAsia="仿宋" w:cs="仿宋"/>
          <w:color w:val="000000"/>
          <w:kern w:val="0"/>
          <w:sz w:val="28"/>
          <w:szCs w:val="28"/>
          <w:highlight w:val="none"/>
          <w:lang w:eastAsia="zh-CN"/>
        </w:rPr>
        <w:t>3</w:t>
      </w:r>
      <w:r>
        <w:rPr>
          <w:rFonts w:hint="eastAsia" w:ascii="仿宋" w:hAnsi="仿宋" w:eastAsia="仿宋" w:cs="仿宋"/>
          <w:color w:val="000000"/>
          <w:kern w:val="0"/>
          <w:sz w:val="28"/>
          <w:szCs w:val="28"/>
          <w:highlight w:val="none"/>
          <w:lang w:val="en-US" w:eastAsia="zh-CN"/>
        </w:rPr>
        <w:t>]</w:t>
      </w:r>
      <w:r>
        <w:rPr>
          <w:rFonts w:hint="default" w:ascii="仿宋" w:hAnsi="仿宋" w:eastAsia="仿宋" w:cs="仿宋"/>
          <w:color w:val="000000"/>
          <w:kern w:val="0"/>
          <w:sz w:val="28"/>
          <w:szCs w:val="28"/>
          <w:highlight w:val="none"/>
          <w:lang w:eastAsia="zh-CN"/>
        </w:rPr>
        <w:t>7</w:t>
      </w:r>
      <w:r>
        <w:rPr>
          <w:rFonts w:hint="eastAsia" w:ascii="仿宋" w:hAnsi="仿宋" w:eastAsia="仿宋" w:cs="仿宋"/>
          <w:color w:val="000000"/>
          <w:kern w:val="0"/>
          <w:sz w:val="28"/>
          <w:szCs w:val="28"/>
          <w:highlight w:val="none"/>
          <w:lang w:val="en-US" w:eastAsia="zh-CN"/>
        </w:rPr>
        <w:t>号）</w:t>
      </w:r>
      <w:r>
        <w:rPr>
          <w:rFonts w:hint="default" w:ascii="仿宋" w:hAnsi="仿宋" w:eastAsia="仿宋" w:cs="仿宋"/>
          <w:color w:val="000000"/>
          <w:kern w:val="0"/>
          <w:sz w:val="28"/>
          <w:szCs w:val="28"/>
          <w:highlight w:val="none"/>
          <w:lang w:eastAsia="zh-CN"/>
        </w:rPr>
        <w:t>；</w:t>
      </w:r>
    </w:p>
    <w:p>
      <w:pPr>
        <w:ind w:firstLine="560" w:firstLineChars="200"/>
        <w:rPr>
          <w:rFonts w:hint="default" w:ascii="仿宋" w:hAnsi="仿宋" w:eastAsia="仿宋" w:cs="仿宋"/>
          <w:color w:val="000000"/>
          <w:kern w:val="0"/>
          <w:sz w:val="28"/>
          <w:szCs w:val="28"/>
          <w:highlight w:val="none"/>
          <w:lang w:eastAsia="zh-Hans"/>
        </w:rPr>
      </w:pPr>
      <w:r>
        <w:rPr>
          <w:rFonts w:hint="default" w:ascii="仿宋" w:hAnsi="仿宋" w:eastAsia="仿宋" w:cs="仿宋"/>
          <w:color w:val="000000"/>
          <w:kern w:val="0"/>
          <w:sz w:val="28"/>
          <w:szCs w:val="28"/>
          <w:highlight w:val="none"/>
          <w:lang w:eastAsia="zh-CN"/>
        </w:rPr>
        <w:t>4、2023</w:t>
      </w:r>
      <w:r>
        <w:rPr>
          <w:rFonts w:hint="eastAsia" w:ascii="仿宋" w:hAnsi="仿宋" w:eastAsia="仿宋" w:cs="仿宋"/>
          <w:color w:val="000000"/>
          <w:kern w:val="0"/>
          <w:sz w:val="28"/>
          <w:szCs w:val="28"/>
          <w:highlight w:val="none"/>
          <w:lang w:val="en-US" w:eastAsia="zh-Hans"/>
        </w:rPr>
        <w:t>年</w:t>
      </w:r>
      <w:r>
        <w:rPr>
          <w:rFonts w:hint="default" w:ascii="仿宋" w:hAnsi="仿宋" w:eastAsia="仿宋" w:cs="仿宋"/>
          <w:color w:val="000000"/>
          <w:kern w:val="0"/>
          <w:sz w:val="28"/>
          <w:szCs w:val="28"/>
          <w:highlight w:val="none"/>
          <w:lang w:eastAsia="zh-Hans"/>
        </w:rPr>
        <w:t>5</w:t>
      </w:r>
      <w:r>
        <w:rPr>
          <w:rFonts w:hint="eastAsia" w:ascii="仿宋" w:hAnsi="仿宋" w:eastAsia="仿宋" w:cs="仿宋"/>
          <w:color w:val="000000"/>
          <w:kern w:val="0"/>
          <w:sz w:val="28"/>
          <w:szCs w:val="28"/>
          <w:highlight w:val="none"/>
          <w:lang w:val="en-US" w:eastAsia="zh-Hans"/>
        </w:rPr>
        <w:t>月</w:t>
      </w:r>
      <w:r>
        <w:rPr>
          <w:rFonts w:hint="default" w:ascii="仿宋" w:hAnsi="仿宋" w:eastAsia="仿宋" w:cs="仿宋"/>
          <w:color w:val="000000"/>
          <w:kern w:val="0"/>
          <w:sz w:val="28"/>
          <w:szCs w:val="28"/>
          <w:highlight w:val="none"/>
          <w:lang w:eastAsia="zh-Hans"/>
        </w:rPr>
        <w:t>22</w:t>
      </w:r>
      <w:r>
        <w:rPr>
          <w:rFonts w:hint="eastAsia" w:ascii="仿宋" w:hAnsi="仿宋" w:eastAsia="仿宋" w:cs="仿宋"/>
          <w:color w:val="000000"/>
          <w:kern w:val="0"/>
          <w:sz w:val="28"/>
          <w:szCs w:val="28"/>
          <w:highlight w:val="none"/>
          <w:lang w:val="en-US" w:eastAsia="zh-Hans"/>
        </w:rPr>
        <w:t>日</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项目取得</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建设用地规划许可证</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地字第</w:t>
      </w:r>
      <w:r>
        <w:rPr>
          <w:rFonts w:hint="default" w:ascii="仿宋" w:hAnsi="仿宋" w:eastAsia="仿宋" w:cs="仿宋"/>
          <w:color w:val="000000"/>
          <w:kern w:val="0"/>
          <w:sz w:val="28"/>
          <w:szCs w:val="28"/>
          <w:highlight w:val="none"/>
          <w:lang w:eastAsia="zh-Hans"/>
        </w:rPr>
        <w:t>140100202320033</w:t>
      </w:r>
      <w:r>
        <w:rPr>
          <w:rFonts w:hint="eastAsia" w:ascii="仿宋" w:hAnsi="仿宋" w:eastAsia="仿宋" w:cs="仿宋"/>
          <w:color w:val="000000"/>
          <w:kern w:val="0"/>
          <w:sz w:val="28"/>
          <w:szCs w:val="28"/>
          <w:highlight w:val="none"/>
          <w:lang w:val="en-US" w:eastAsia="zh-Hans"/>
        </w:rPr>
        <w:t>号</w:t>
      </w:r>
      <w:r>
        <w:rPr>
          <w:rFonts w:hint="default" w:ascii="仿宋" w:hAnsi="仿宋" w:eastAsia="仿宋" w:cs="仿宋"/>
          <w:color w:val="000000"/>
          <w:kern w:val="0"/>
          <w:sz w:val="28"/>
          <w:szCs w:val="28"/>
          <w:highlight w:val="none"/>
          <w:lang w:eastAsia="zh-Hans"/>
        </w:rPr>
        <w:t>）；</w:t>
      </w:r>
    </w:p>
    <w:p>
      <w:pPr>
        <w:ind w:firstLine="560" w:firstLineChars="200"/>
        <w:rPr>
          <w:rFonts w:hint="default" w:ascii="仿宋" w:hAnsi="仿宋" w:eastAsia="仿宋" w:cs="仿宋"/>
          <w:color w:val="000000"/>
          <w:kern w:val="0"/>
          <w:sz w:val="28"/>
          <w:szCs w:val="28"/>
          <w:highlight w:val="none"/>
          <w:lang w:eastAsia="zh-Hans"/>
        </w:rPr>
      </w:pPr>
      <w:r>
        <w:rPr>
          <w:rFonts w:hint="default" w:ascii="仿宋" w:hAnsi="仿宋" w:eastAsia="仿宋" w:cs="仿宋"/>
          <w:color w:val="000000"/>
          <w:kern w:val="0"/>
          <w:sz w:val="28"/>
          <w:szCs w:val="28"/>
          <w:highlight w:val="none"/>
          <w:lang w:eastAsia="zh-Hans"/>
        </w:rPr>
        <w:t>5、2023</w:t>
      </w:r>
      <w:r>
        <w:rPr>
          <w:rFonts w:hint="eastAsia" w:ascii="仿宋" w:hAnsi="仿宋" w:eastAsia="仿宋" w:cs="仿宋"/>
          <w:color w:val="000000"/>
          <w:kern w:val="0"/>
          <w:sz w:val="28"/>
          <w:szCs w:val="28"/>
          <w:highlight w:val="none"/>
          <w:lang w:val="en-US" w:eastAsia="zh-Hans"/>
        </w:rPr>
        <w:t>年</w:t>
      </w:r>
      <w:r>
        <w:rPr>
          <w:rFonts w:hint="default" w:ascii="仿宋" w:hAnsi="仿宋" w:eastAsia="仿宋" w:cs="仿宋"/>
          <w:color w:val="000000"/>
          <w:kern w:val="0"/>
          <w:sz w:val="28"/>
          <w:szCs w:val="28"/>
          <w:highlight w:val="none"/>
          <w:lang w:eastAsia="zh-Hans"/>
        </w:rPr>
        <w:t>6</w:t>
      </w:r>
      <w:r>
        <w:rPr>
          <w:rFonts w:hint="eastAsia" w:ascii="仿宋" w:hAnsi="仿宋" w:eastAsia="仿宋" w:cs="仿宋"/>
          <w:color w:val="000000"/>
          <w:kern w:val="0"/>
          <w:sz w:val="28"/>
          <w:szCs w:val="28"/>
          <w:highlight w:val="none"/>
          <w:lang w:val="en-US" w:eastAsia="zh-Hans"/>
        </w:rPr>
        <w:t>月</w:t>
      </w:r>
      <w:r>
        <w:rPr>
          <w:rFonts w:hint="default" w:ascii="仿宋" w:hAnsi="仿宋" w:eastAsia="仿宋" w:cs="仿宋"/>
          <w:color w:val="000000"/>
          <w:kern w:val="0"/>
          <w:sz w:val="28"/>
          <w:szCs w:val="28"/>
          <w:highlight w:val="none"/>
          <w:lang w:eastAsia="zh-Hans"/>
        </w:rPr>
        <w:t>26</w:t>
      </w:r>
      <w:r>
        <w:rPr>
          <w:rFonts w:hint="eastAsia" w:ascii="仿宋" w:hAnsi="仿宋" w:eastAsia="仿宋" w:cs="仿宋"/>
          <w:color w:val="000000"/>
          <w:kern w:val="0"/>
          <w:sz w:val="28"/>
          <w:szCs w:val="28"/>
          <w:highlight w:val="none"/>
          <w:lang w:val="en-US" w:eastAsia="zh-Hans"/>
        </w:rPr>
        <w:t>日</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项目取得</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国有建设用地划拨决定书</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编号HB</w:t>
      </w:r>
      <w:r>
        <w:rPr>
          <w:rFonts w:hint="default" w:ascii="仿宋" w:hAnsi="仿宋" w:eastAsia="仿宋" w:cs="仿宋"/>
          <w:color w:val="000000"/>
          <w:kern w:val="0"/>
          <w:sz w:val="28"/>
          <w:szCs w:val="28"/>
          <w:highlight w:val="none"/>
          <w:lang w:eastAsia="zh-Hans"/>
        </w:rPr>
        <w:t>1401072023048）；</w:t>
      </w:r>
    </w:p>
    <w:p>
      <w:pPr>
        <w:ind w:firstLine="560" w:firstLineChars="200"/>
        <w:rPr>
          <w:rFonts w:hint="default" w:ascii="仿宋" w:hAnsi="仿宋" w:eastAsia="仿宋" w:cs="仿宋"/>
          <w:color w:val="000000"/>
          <w:kern w:val="0"/>
          <w:sz w:val="28"/>
          <w:szCs w:val="28"/>
          <w:highlight w:val="none"/>
          <w:lang w:eastAsia="zh-Hans"/>
        </w:rPr>
      </w:pPr>
      <w:r>
        <w:rPr>
          <w:rFonts w:hint="default" w:ascii="仿宋" w:hAnsi="仿宋" w:eastAsia="仿宋" w:cs="仿宋"/>
          <w:color w:val="000000"/>
          <w:kern w:val="0"/>
          <w:sz w:val="28"/>
          <w:szCs w:val="28"/>
          <w:highlight w:val="none"/>
          <w:lang w:eastAsia="zh-Hans"/>
        </w:rPr>
        <w:t>6、2023</w:t>
      </w:r>
      <w:r>
        <w:rPr>
          <w:rFonts w:hint="eastAsia" w:ascii="仿宋" w:hAnsi="仿宋" w:eastAsia="仿宋" w:cs="仿宋"/>
          <w:color w:val="000000"/>
          <w:kern w:val="0"/>
          <w:sz w:val="28"/>
          <w:szCs w:val="28"/>
          <w:highlight w:val="none"/>
          <w:lang w:val="en-US" w:eastAsia="zh-Hans"/>
        </w:rPr>
        <w:t>年</w:t>
      </w:r>
      <w:r>
        <w:rPr>
          <w:rFonts w:hint="default" w:ascii="仿宋" w:hAnsi="仿宋" w:eastAsia="仿宋" w:cs="仿宋"/>
          <w:color w:val="000000"/>
          <w:kern w:val="0"/>
          <w:sz w:val="28"/>
          <w:szCs w:val="28"/>
          <w:highlight w:val="none"/>
          <w:lang w:eastAsia="zh-Hans"/>
        </w:rPr>
        <w:t>7</w:t>
      </w:r>
      <w:r>
        <w:rPr>
          <w:rFonts w:hint="eastAsia" w:ascii="仿宋" w:hAnsi="仿宋" w:eastAsia="仿宋" w:cs="仿宋"/>
          <w:color w:val="000000"/>
          <w:kern w:val="0"/>
          <w:sz w:val="28"/>
          <w:szCs w:val="28"/>
          <w:highlight w:val="none"/>
          <w:lang w:val="en-US" w:eastAsia="zh-Hans"/>
        </w:rPr>
        <w:t>月</w:t>
      </w:r>
      <w:r>
        <w:rPr>
          <w:rFonts w:hint="default" w:ascii="仿宋" w:hAnsi="仿宋" w:eastAsia="仿宋" w:cs="仿宋"/>
          <w:color w:val="000000"/>
          <w:kern w:val="0"/>
          <w:sz w:val="28"/>
          <w:szCs w:val="28"/>
          <w:highlight w:val="none"/>
          <w:lang w:eastAsia="zh-Hans"/>
        </w:rPr>
        <w:t>5</w:t>
      </w:r>
      <w:r>
        <w:rPr>
          <w:rFonts w:hint="eastAsia" w:ascii="仿宋" w:hAnsi="仿宋" w:eastAsia="仿宋" w:cs="仿宋"/>
          <w:color w:val="000000"/>
          <w:kern w:val="0"/>
          <w:sz w:val="28"/>
          <w:szCs w:val="28"/>
          <w:highlight w:val="none"/>
          <w:lang w:val="en-US" w:eastAsia="zh-Hans"/>
        </w:rPr>
        <w:t>日</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项目取得</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建筑工程施工许可证</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编号</w:t>
      </w:r>
      <w:r>
        <w:rPr>
          <w:rFonts w:hint="default" w:ascii="仿宋" w:hAnsi="仿宋" w:eastAsia="仿宋" w:cs="仿宋"/>
          <w:color w:val="000000"/>
          <w:kern w:val="0"/>
          <w:sz w:val="28"/>
          <w:szCs w:val="28"/>
          <w:highlight w:val="none"/>
          <w:lang w:eastAsia="zh-Hans"/>
        </w:rPr>
        <w:t>140103202307050101）；</w:t>
      </w:r>
    </w:p>
    <w:p>
      <w:pPr>
        <w:ind w:firstLine="560" w:firstLineChars="200"/>
        <w:rPr>
          <w:rFonts w:hint="default" w:ascii="仿宋" w:hAnsi="仿宋" w:eastAsia="仿宋" w:cs="仿宋"/>
          <w:color w:val="000000"/>
          <w:kern w:val="0"/>
          <w:sz w:val="28"/>
          <w:szCs w:val="28"/>
          <w:highlight w:val="none"/>
          <w:lang w:eastAsia="zh-Hans"/>
        </w:rPr>
      </w:pPr>
      <w:r>
        <w:rPr>
          <w:rFonts w:hint="default" w:ascii="仿宋" w:hAnsi="仿宋" w:eastAsia="仿宋" w:cs="仿宋"/>
          <w:color w:val="000000"/>
          <w:kern w:val="0"/>
          <w:sz w:val="28"/>
          <w:szCs w:val="28"/>
          <w:highlight w:val="none"/>
          <w:lang w:eastAsia="zh-Hans"/>
        </w:rPr>
        <w:t>7、2023</w:t>
      </w:r>
      <w:r>
        <w:rPr>
          <w:rFonts w:hint="eastAsia" w:ascii="仿宋" w:hAnsi="仿宋" w:eastAsia="仿宋" w:cs="仿宋"/>
          <w:color w:val="000000"/>
          <w:kern w:val="0"/>
          <w:sz w:val="28"/>
          <w:szCs w:val="28"/>
          <w:highlight w:val="none"/>
          <w:lang w:val="en-US" w:eastAsia="zh-Hans"/>
        </w:rPr>
        <w:t>年</w:t>
      </w:r>
      <w:r>
        <w:rPr>
          <w:rFonts w:hint="default" w:ascii="仿宋" w:hAnsi="仿宋" w:eastAsia="仿宋" w:cs="仿宋"/>
          <w:color w:val="000000"/>
          <w:kern w:val="0"/>
          <w:sz w:val="28"/>
          <w:szCs w:val="28"/>
          <w:highlight w:val="none"/>
          <w:lang w:eastAsia="zh-Hans"/>
        </w:rPr>
        <w:t>8</w:t>
      </w:r>
      <w:r>
        <w:rPr>
          <w:rFonts w:hint="eastAsia" w:ascii="仿宋" w:hAnsi="仿宋" w:eastAsia="仿宋" w:cs="仿宋"/>
          <w:color w:val="000000"/>
          <w:kern w:val="0"/>
          <w:sz w:val="28"/>
          <w:szCs w:val="28"/>
          <w:highlight w:val="none"/>
          <w:lang w:val="en-US" w:eastAsia="zh-Hans"/>
        </w:rPr>
        <w:t>月</w:t>
      </w:r>
      <w:r>
        <w:rPr>
          <w:rFonts w:hint="default" w:ascii="仿宋" w:hAnsi="仿宋" w:eastAsia="仿宋" w:cs="仿宋"/>
          <w:color w:val="000000"/>
          <w:kern w:val="0"/>
          <w:sz w:val="28"/>
          <w:szCs w:val="28"/>
          <w:highlight w:val="none"/>
          <w:lang w:eastAsia="zh-Hans"/>
        </w:rPr>
        <w:t>16</w:t>
      </w:r>
      <w:r>
        <w:rPr>
          <w:rFonts w:hint="eastAsia" w:ascii="仿宋" w:hAnsi="仿宋" w:eastAsia="仿宋" w:cs="仿宋"/>
          <w:color w:val="000000"/>
          <w:kern w:val="0"/>
          <w:sz w:val="28"/>
          <w:szCs w:val="28"/>
          <w:highlight w:val="none"/>
          <w:lang w:val="en-US" w:eastAsia="zh-Hans"/>
        </w:rPr>
        <w:t>日</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项目取得</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不动产权证书</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晋</w:t>
      </w:r>
      <w:r>
        <w:rPr>
          <w:rFonts w:hint="default" w:ascii="仿宋" w:hAnsi="仿宋" w:eastAsia="仿宋" w:cs="仿宋"/>
          <w:color w:val="000000"/>
          <w:kern w:val="0"/>
          <w:sz w:val="28"/>
          <w:szCs w:val="28"/>
          <w:highlight w:val="none"/>
          <w:lang w:eastAsia="zh-Hans"/>
        </w:rPr>
        <w:t>[2023]</w:t>
      </w:r>
      <w:r>
        <w:rPr>
          <w:rFonts w:hint="eastAsia" w:ascii="仿宋" w:hAnsi="仿宋" w:eastAsia="仿宋" w:cs="仿宋"/>
          <w:color w:val="000000"/>
          <w:kern w:val="0"/>
          <w:sz w:val="28"/>
          <w:szCs w:val="28"/>
          <w:highlight w:val="none"/>
          <w:lang w:val="en-US" w:eastAsia="zh-Hans"/>
        </w:rPr>
        <w:t>太原市不动产权第</w:t>
      </w:r>
      <w:r>
        <w:rPr>
          <w:rFonts w:hint="default" w:ascii="仿宋" w:hAnsi="仿宋" w:eastAsia="仿宋" w:cs="仿宋"/>
          <w:color w:val="000000"/>
          <w:kern w:val="0"/>
          <w:sz w:val="28"/>
          <w:szCs w:val="28"/>
          <w:highlight w:val="none"/>
          <w:lang w:eastAsia="zh-Hans"/>
        </w:rPr>
        <w:t>0187854</w:t>
      </w:r>
      <w:r>
        <w:rPr>
          <w:rFonts w:hint="eastAsia" w:ascii="仿宋" w:hAnsi="仿宋" w:eastAsia="仿宋" w:cs="仿宋"/>
          <w:color w:val="000000"/>
          <w:kern w:val="0"/>
          <w:sz w:val="28"/>
          <w:szCs w:val="28"/>
          <w:highlight w:val="none"/>
          <w:lang w:val="en-US" w:eastAsia="zh-Hans"/>
        </w:rPr>
        <w:t>号</w:t>
      </w:r>
      <w:r>
        <w:rPr>
          <w:rFonts w:hint="default" w:ascii="仿宋" w:hAnsi="仿宋" w:eastAsia="仿宋" w:cs="仿宋"/>
          <w:color w:val="000000"/>
          <w:kern w:val="0"/>
          <w:sz w:val="28"/>
          <w:szCs w:val="28"/>
          <w:highlight w:val="none"/>
          <w:lang w:eastAsia="zh-Hans"/>
        </w:rPr>
        <w:t>）；</w:t>
      </w:r>
    </w:p>
    <w:p>
      <w:pPr>
        <w:ind w:firstLine="560" w:firstLineChars="200"/>
        <w:rPr>
          <w:rFonts w:hint="default" w:eastAsia="仿宋"/>
          <w:b/>
          <w:bCs/>
          <w:lang w:eastAsia="zh-Hans"/>
        </w:rPr>
      </w:pPr>
      <w:r>
        <w:rPr>
          <w:rFonts w:hint="default" w:ascii="仿宋" w:hAnsi="仿宋" w:eastAsia="仿宋" w:cs="仿宋"/>
          <w:color w:val="000000"/>
          <w:kern w:val="0"/>
          <w:sz w:val="28"/>
          <w:szCs w:val="28"/>
          <w:highlight w:val="none"/>
          <w:lang w:eastAsia="zh-Hans"/>
        </w:rPr>
        <w:t>8、2023</w:t>
      </w:r>
      <w:r>
        <w:rPr>
          <w:rFonts w:hint="eastAsia" w:ascii="仿宋" w:hAnsi="仿宋" w:eastAsia="仿宋" w:cs="仿宋"/>
          <w:color w:val="000000"/>
          <w:kern w:val="0"/>
          <w:sz w:val="28"/>
          <w:szCs w:val="28"/>
          <w:highlight w:val="none"/>
          <w:lang w:val="en-US" w:eastAsia="zh-Hans"/>
        </w:rPr>
        <w:t>年</w:t>
      </w:r>
      <w:r>
        <w:rPr>
          <w:rFonts w:hint="default" w:ascii="仿宋" w:hAnsi="仿宋" w:eastAsia="仿宋" w:cs="仿宋"/>
          <w:color w:val="000000"/>
          <w:kern w:val="0"/>
          <w:sz w:val="28"/>
          <w:szCs w:val="28"/>
          <w:highlight w:val="none"/>
          <w:lang w:eastAsia="zh-Hans"/>
        </w:rPr>
        <w:t>7</w:t>
      </w:r>
      <w:r>
        <w:rPr>
          <w:rFonts w:hint="eastAsia" w:ascii="仿宋" w:hAnsi="仿宋" w:eastAsia="仿宋" w:cs="仿宋"/>
          <w:color w:val="000000"/>
          <w:kern w:val="0"/>
          <w:sz w:val="28"/>
          <w:szCs w:val="28"/>
          <w:highlight w:val="none"/>
          <w:lang w:val="en-US" w:eastAsia="zh-Hans"/>
        </w:rPr>
        <w:t>月</w:t>
      </w:r>
      <w:r>
        <w:rPr>
          <w:rFonts w:hint="default" w:ascii="仿宋" w:hAnsi="仿宋" w:eastAsia="仿宋" w:cs="仿宋"/>
          <w:color w:val="000000"/>
          <w:kern w:val="0"/>
          <w:sz w:val="28"/>
          <w:szCs w:val="28"/>
          <w:highlight w:val="none"/>
          <w:lang w:eastAsia="zh-Hans"/>
        </w:rPr>
        <w:t>19</w:t>
      </w:r>
      <w:r>
        <w:rPr>
          <w:rFonts w:hint="eastAsia" w:ascii="仿宋" w:hAnsi="仿宋" w:eastAsia="仿宋" w:cs="仿宋"/>
          <w:color w:val="000000"/>
          <w:kern w:val="0"/>
          <w:sz w:val="28"/>
          <w:szCs w:val="28"/>
          <w:highlight w:val="none"/>
          <w:lang w:val="en-US" w:eastAsia="zh-Hans"/>
        </w:rPr>
        <w:t>日</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项目完成建设工程质量登记</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Hans"/>
        </w:rPr>
        <w:t>登记编号</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CN"/>
        </w:rPr>
        <w:t>Z</w:t>
      </w:r>
      <w:r>
        <w:rPr>
          <w:rFonts w:hint="default" w:ascii="仿宋" w:hAnsi="仿宋" w:eastAsia="仿宋" w:cs="仿宋"/>
          <w:color w:val="000000"/>
          <w:kern w:val="0"/>
          <w:sz w:val="28"/>
          <w:szCs w:val="28"/>
          <w:highlight w:val="none"/>
          <w:lang w:eastAsia="zh-Hans"/>
        </w:rPr>
        <w:t>20230101）。</w:t>
      </w:r>
    </w:p>
    <w:p>
      <w:pPr>
        <w:pStyle w:val="4"/>
        <w:spacing w:before="156" w:beforeLines="50"/>
        <w:ind w:firstLine="562" w:firstLineChars="200"/>
        <w:jc w:val="both"/>
        <w:rPr>
          <w:rFonts w:hint="default" w:ascii="仿宋" w:hAnsi="仿宋" w:eastAsia="仿宋"/>
          <w:b/>
          <w:sz w:val="28"/>
          <w:szCs w:val="28"/>
          <w:highlight w:val="none"/>
          <w:lang w:val="en-US" w:eastAsia="zh-CN"/>
        </w:rPr>
      </w:pPr>
      <w:r>
        <w:rPr>
          <w:rFonts w:hint="eastAsia" w:ascii="仿宋" w:hAnsi="仿宋" w:eastAsia="仿宋"/>
          <w:b/>
          <w:sz w:val="28"/>
          <w:szCs w:val="28"/>
          <w:highlight w:val="none"/>
          <w:lang w:eastAsia="zh-CN"/>
        </w:rPr>
        <w:t>（</w:t>
      </w:r>
      <w:r>
        <w:rPr>
          <w:rFonts w:hint="eastAsia" w:ascii="仿宋" w:hAnsi="仿宋" w:eastAsia="仿宋"/>
          <w:b/>
          <w:sz w:val="28"/>
          <w:szCs w:val="28"/>
          <w:highlight w:val="none"/>
          <w:lang w:val="en-US" w:eastAsia="zh-CN"/>
        </w:rPr>
        <w:t>三</w:t>
      </w:r>
      <w:r>
        <w:rPr>
          <w:rFonts w:hint="eastAsia" w:ascii="仿宋" w:hAnsi="仿宋" w:eastAsia="仿宋"/>
          <w:b/>
          <w:sz w:val="28"/>
          <w:szCs w:val="28"/>
          <w:highlight w:val="none"/>
          <w:lang w:eastAsia="zh-CN"/>
        </w:rPr>
        <w:t>）</w:t>
      </w:r>
      <w:r>
        <w:rPr>
          <w:rFonts w:hint="eastAsia" w:ascii="仿宋" w:hAnsi="仿宋" w:eastAsia="仿宋"/>
          <w:b/>
          <w:color w:val="000000"/>
          <w:sz w:val="28"/>
          <w:szCs w:val="28"/>
          <w:highlight w:val="none"/>
        </w:rPr>
        <w:t>项目建设的必要性和意义</w:t>
      </w:r>
    </w:p>
    <w:p>
      <w:pPr>
        <w:spacing w:line="360" w:lineRule="auto"/>
        <w:ind w:firstLine="562" w:firstLineChars="200"/>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1、项目建设的必要性</w:t>
      </w:r>
    </w:p>
    <w:p>
      <w:pPr>
        <w:spacing w:line="360" w:lineRule="auto"/>
        <w:ind w:firstLine="560" w:firstLineChars="200"/>
        <w:rPr>
          <w:rFonts w:hint="eastAsia" w:ascii="仿宋" w:hAnsi="仿宋" w:eastAsia="仿宋" w:cs="仿宋"/>
          <w:sz w:val="28"/>
          <w:szCs w:val="28"/>
          <w:lang w:eastAsia="zh-CN"/>
        </w:rPr>
      </w:pPr>
      <w:r>
        <w:rPr>
          <w:rFonts w:hint="default" w:ascii="仿宋" w:hAnsi="仿宋" w:eastAsia="仿宋" w:cs="仿宋"/>
          <w:color w:val="000000"/>
          <w:kern w:val="0"/>
          <w:sz w:val="28"/>
          <w:szCs w:val="28"/>
          <w:highlight w:val="none"/>
          <w:lang w:val="en-US" w:eastAsia="zh-CN"/>
        </w:rPr>
        <w:t>本项目完成后，将有效缓解片区内学前阶段的入学压力，合理配置区内教育资源，提高杏花岭区教育教学质量，适应教育事业和区域经济建设发展的需求，加快区域教育改革步伐，促进教育均衡发展。本项目的建设将有助于促进区域教育体系发展，为山西经济建设、人才培养起积极作用。项目建设条件良好，建设方案合理，建设资金基本得以落实，在项目可行性及必要性方面符合投资建设要求，建议尽快投资建设，可以早日服务师生，服务学校，继而服务社会，所以本项目的建设是必要的，应尽快组织实施</w:t>
      </w:r>
      <w:r>
        <w:rPr>
          <w:rFonts w:hint="eastAsia" w:ascii="仿宋" w:hAnsi="仿宋" w:eastAsia="仿宋" w:cs="仿宋"/>
          <w:sz w:val="28"/>
          <w:szCs w:val="28"/>
          <w:lang w:eastAsia="zh-CN"/>
        </w:rPr>
        <w:t>。</w:t>
      </w:r>
    </w:p>
    <w:p>
      <w:pPr>
        <w:spacing w:line="360" w:lineRule="auto"/>
        <w:ind w:firstLine="562" w:firstLineChars="200"/>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2、经济社会效益分析</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有利于当地学前教育的健康可持续地发展，改善学前教育环境，满足现代化教育教学的要求。只有加强学前教育基础能力建设，不断改善办学条件，改善学习环境，才能让儿童接受优质的教育。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color w:val="000000"/>
          <w:kern w:val="0"/>
          <w:sz w:val="28"/>
          <w:szCs w:val="28"/>
          <w:highlight w:val="none"/>
          <w:lang w:val="en-US" w:eastAsia="zh-CN"/>
        </w:rPr>
      </w:pPr>
      <w:r>
        <w:rPr>
          <w:rFonts w:hint="eastAsia" w:ascii="仿宋" w:hAnsi="仿宋" w:eastAsia="仿宋"/>
          <w:sz w:val="28"/>
          <w:szCs w:val="28"/>
        </w:rPr>
        <w:t>有利于提高人口素质、构建和谐社会、促进社会公平、全面建设小康社会。随着经济的发展和社会的繁荣，人民群众对优质教育的要求越来越高，教育的全面性、基础性和先导性的作用越来越大。促进教育教学质量全面提升，满足群众对接受优质教育资源的需求。项目的建设，为儿童教育提供了一个良好的学习环境，有利于提高人口素质，实现教育现代化，促进社会安定团结</w:t>
      </w:r>
      <w:r>
        <w:rPr>
          <w:rFonts w:hint="default" w:ascii="仿宋" w:hAnsi="仿宋" w:eastAsia="仿宋" w:cs="仿宋"/>
          <w:color w:val="000000"/>
          <w:kern w:val="0"/>
          <w:sz w:val="28"/>
          <w:szCs w:val="28"/>
          <w:highlight w:val="none"/>
          <w:lang w:val="en-US" w:eastAsia="zh-CN"/>
        </w:rPr>
        <w:t>。</w:t>
      </w:r>
    </w:p>
    <w:p>
      <w:pPr>
        <w:pStyle w:val="4"/>
        <w:spacing w:before="156" w:beforeLines="50"/>
        <w:ind w:firstLine="562" w:firstLineChars="200"/>
        <w:jc w:val="both"/>
        <w:rPr>
          <w:rFonts w:ascii="仿宋" w:hAnsi="仿宋" w:eastAsia="仿宋"/>
          <w:b/>
          <w:sz w:val="28"/>
          <w:szCs w:val="28"/>
          <w:highlight w:val="none"/>
        </w:rPr>
      </w:pPr>
      <w:r>
        <w:rPr>
          <w:rFonts w:hint="eastAsia" w:ascii="仿宋" w:hAnsi="仿宋" w:eastAsia="仿宋"/>
          <w:b/>
          <w:sz w:val="28"/>
          <w:szCs w:val="28"/>
          <w:highlight w:val="none"/>
        </w:rPr>
        <w:t>（</w:t>
      </w:r>
      <w:r>
        <w:rPr>
          <w:rFonts w:hint="eastAsia" w:ascii="仿宋" w:hAnsi="仿宋" w:eastAsia="仿宋"/>
          <w:b/>
          <w:sz w:val="28"/>
          <w:szCs w:val="28"/>
          <w:highlight w:val="none"/>
          <w:lang w:val="en-US" w:eastAsia="zh-CN"/>
        </w:rPr>
        <w:t>四</w:t>
      </w:r>
      <w:r>
        <w:rPr>
          <w:rFonts w:hint="eastAsia" w:ascii="仿宋" w:hAnsi="仿宋" w:eastAsia="仿宋"/>
          <w:b/>
          <w:sz w:val="28"/>
          <w:szCs w:val="28"/>
          <w:highlight w:val="none"/>
        </w:rPr>
        <w:t>）项目主要建设规模和内容</w:t>
      </w:r>
    </w:p>
    <w:p>
      <w:pPr>
        <w:spacing w:line="360" w:lineRule="auto"/>
        <w:ind w:firstLine="560" w:firstLineChars="200"/>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建设地点：该项目位于杏花岭区，涧河路以南、五一北路以东、享堂街以北。</w:t>
      </w:r>
    </w:p>
    <w:p>
      <w:pPr>
        <w:spacing w:line="360" w:lineRule="auto"/>
        <w:ind w:firstLine="560" w:firstLineChars="200"/>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项目总用地面积：15084.69平方米，总建筑面积21173.8平方米，其中：地上建筑面积15036.53平方米，地下建筑面积6137.27平方米。项目建设1幢地上3层地下1层的幼儿园综合楼，主要建设内容包括建筑物的土建装饰工程、结构工程、给排水消防工程、暖通工程、电气工程、智能化工程及室外各类管网、道路、广场硬化、绿化工程等基础设施配套工程。</w:t>
      </w:r>
    </w:p>
    <w:p>
      <w:pPr>
        <w:pStyle w:val="4"/>
        <w:spacing w:before="156" w:beforeLines="50"/>
        <w:ind w:firstLine="562" w:firstLineChars="200"/>
        <w:jc w:val="both"/>
        <w:rPr>
          <w:rFonts w:ascii="仿宋" w:hAnsi="仿宋" w:eastAsia="仿宋"/>
          <w:b/>
          <w:sz w:val="28"/>
          <w:szCs w:val="28"/>
          <w:highlight w:val="none"/>
        </w:rPr>
      </w:pPr>
      <w:r>
        <w:rPr>
          <w:rFonts w:hint="eastAsia" w:ascii="仿宋" w:hAnsi="仿宋" w:eastAsia="仿宋"/>
          <w:b/>
          <w:sz w:val="28"/>
          <w:szCs w:val="28"/>
          <w:highlight w:val="none"/>
        </w:rPr>
        <w:t>（</w:t>
      </w:r>
      <w:r>
        <w:rPr>
          <w:rFonts w:hint="eastAsia" w:ascii="仿宋" w:hAnsi="仿宋" w:eastAsia="仿宋"/>
          <w:b/>
          <w:sz w:val="28"/>
          <w:szCs w:val="28"/>
          <w:highlight w:val="none"/>
          <w:lang w:val="en-US" w:eastAsia="zh-CN"/>
        </w:rPr>
        <w:t>五</w:t>
      </w:r>
      <w:r>
        <w:rPr>
          <w:rFonts w:hint="eastAsia" w:ascii="仿宋" w:hAnsi="仿宋" w:eastAsia="仿宋"/>
          <w:b/>
          <w:sz w:val="28"/>
          <w:szCs w:val="28"/>
          <w:highlight w:val="none"/>
        </w:rPr>
        <w:t>）项目建设计划及进度</w:t>
      </w:r>
    </w:p>
    <w:p>
      <w:pPr>
        <w:spacing w:line="360" w:lineRule="auto"/>
        <w:ind w:firstLine="560" w:firstLineChars="200"/>
        <w:rPr>
          <w:rFonts w:hint="eastAsia"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项目已完成立项、用地审批等前期手续，目前项目</w:t>
      </w:r>
      <w:r>
        <w:rPr>
          <w:rFonts w:hint="eastAsia" w:ascii="仿宋" w:hAnsi="仿宋" w:eastAsia="仿宋" w:cs="仿宋"/>
          <w:color w:val="000000"/>
          <w:kern w:val="0"/>
          <w:sz w:val="28"/>
          <w:szCs w:val="28"/>
          <w:highlight w:val="none"/>
          <w:lang w:val="en-US" w:eastAsia="zh-Hans"/>
        </w:rPr>
        <w:t>已</w:t>
      </w:r>
      <w:r>
        <w:rPr>
          <w:rFonts w:hint="eastAsia" w:ascii="仿宋" w:hAnsi="仿宋" w:eastAsia="仿宋" w:cs="仿宋"/>
          <w:color w:val="000000"/>
          <w:kern w:val="0"/>
          <w:sz w:val="28"/>
          <w:szCs w:val="28"/>
          <w:highlight w:val="none"/>
          <w:lang w:val="en-US" w:eastAsia="zh-CN"/>
        </w:rPr>
        <w:t>开工，全部工程预计2024年</w:t>
      </w:r>
      <w:r>
        <w:rPr>
          <w:rFonts w:hint="default" w:ascii="仿宋" w:hAnsi="仿宋" w:eastAsia="仿宋" w:cs="仿宋"/>
          <w:color w:val="000000"/>
          <w:kern w:val="0"/>
          <w:sz w:val="28"/>
          <w:szCs w:val="28"/>
          <w:highlight w:val="none"/>
          <w:lang w:eastAsia="zh-CN"/>
        </w:rPr>
        <w:t>9</w:t>
      </w:r>
      <w:r>
        <w:rPr>
          <w:rFonts w:hint="eastAsia" w:ascii="仿宋" w:hAnsi="仿宋" w:eastAsia="仿宋" w:cs="仿宋"/>
          <w:color w:val="000000"/>
          <w:kern w:val="0"/>
          <w:sz w:val="28"/>
          <w:szCs w:val="28"/>
          <w:highlight w:val="none"/>
          <w:lang w:val="en-US" w:eastAsia="zh-CN"/>
        </w:rPr>
        <w:t>月完工。</w:t>
      </w:r>
    </w:p>
    <w:p>
      <w:pPr>
        <w:numPr>
          <w:ilvl w:val="0"/>
          <w:numId w:val="1"/>
        </w:numPr>
        <w:spacing w:before="156" w:beforeLines="50" w:line="360" w:lineRule="auto"/>
        <w:outlineLvl w:val="0"/>
        <w:rPr>
          <w:rFonts w:ascii="仿宋" w:hAnsi="仿宋" w:eastAsia="仿宋"/>
          <w:b/>
          <w:color w:val="000000"/>
          <w:sz w:val="28"/>
          <w:szCs w:val="28"/>
          <w:highlight w:val="none"/>
        </w:rPr>
      </w:pPr>
      <w:r>
        <w:rPr>
          <w:rFonts w:hint="eastAsia" w:ascii="仿宋" w:hAnsi="仿宋" w:eastAsia="仿宋"/>
          <w:b/>
          <w:color w:val="000000"/>
          <w:sz w:val="28"/>
          <w:szCs w:val="28"/>
          <w:highlight w:val="none"/>
        </w:rPr>
        <w:t>项目投资估算及资金筹措方案</w:t>
      </w:r>
    </w:p>
    <w:p>
      <w:pPr>
        <w:pStyle w:val="4"/>
        <w:spacing w:before="156" w:beforeLines="50"/>
        <w:ind w:firstLine="562" w:firstLineChars="200"/>
        <w:jc w:val="both"/>
        <w:rPr>
          <w:rFonts w:ascii="仿宋" w:hAnsi="仿宋" w:eastAsia="仿宋"/>
          <w:b/>
          <w:sz w:val="28"/>
          <w:szCs w:val="28"/>
          <w:highlight w:val="none"/>
        </w:rPr>
      </w:pPr>
      <w:r>
        <w:rPr>
          <w:rFonts w:hint="eastAsia" w:ascii="仿宋" w:hAnsi="仿宋" w:eastAsia="仿宋"/>
          <w:b/>
          <w:sz w:val="28"/>
          <w:szCs w:val="28"/>
          <w:highlight w:val="none"/>
        </w:rPr>
        <w:t>（</w:t>
      </w:r>
      <w:r>
        <w:rPr>
          <w:rFonts w:hint="eastAsia" w:ascii="仿宋" w:hAnsi="仿宋" w:eastAsia="仿宋"/>
          <w:b/>
          <w:sz w:val="28"/>
          <w:szCs w:val="28"/>
          <w:highlight w:val="none"/>
          <w:lang w:val="en-US" w:eastAsia="zh-CN"/>
        </w:rPr>
        <w:t>一</w:t>
      </w:r>
      <w:r>
        <w:rPr>
          <w:rFonts w:hint="eastAsia" w:ascii="仿宋" w:hAnsi="仿宋" w:eastAsia="仿宋"/>
          <w:b/>
          <w:sz w:val="28"/>
          <w:szCs w:val="28"/>
          <w:highlight w:val="none"/>
        </w:rPr>
        <w:t>）项目总投资</w:t>
      </w:r>
    </w:p>
    <w:p>
      <w:pPr>
        <w:pStyle w:val="2"/>
        <w:adjustRightInd w:val="0"/>
        <w:snapToGrid w:val="0"/>
        <w:spacing w:before="156" w:beforeLines="50" w:line="360" w:lineRule="auto"/>
        <w:outlineLvl w:val="2"/>
        <w:rPr>
          <w:rFonts w:hint="eastAsia" w:ascii="仿宋" w:hAnsi="仿宋" w:eastAsia="仿宋" w:cs="仿宋"/>
          <w:color w:val="000000"/>
          <w:kern w:val="0"/>
          <w:sz w:val="28"/>
          <w:szCs w:val="28"/>
          <w:highlight w:val="none"/>
        </w:rPr>
      </w:pPr>
      <w:r>
        <w:rPr>
          <w:rFonts w:hint="eastAsia" w:ascii="仿宋" w:hAnsi="仿宋" w:eastAsia="仿宋" w:cs="仿宋"/>
          <w:kern w:val="0"/>
          <w:sz w:val="28"/>
          <w:szCs w:val="28"/>
          <w:lang w:val="en-US" w:eastAsia="zh-CN" w:bidi="ar-SA"/>
        </w:rPr>
        <w:t>项目概算总投资29,9</w:t>
      </w:r>
      <w:r>
        <w:rPr>
          <w:rFonts w:hint="default" w:ascii="仿宋" w:hAnsi="仿宋" w:eastAsia="仿宋" w:cs="仿宋"/>
          <w:kern w:val="0"/>
          <w:sz w:val="28"/>
          <w:szCs w:val="28"/>
          <w:lang w:eastAsia="zh-CN" w:bidi="ar-SA"/>
        </w:rPr>
        <w:t>01</w:t>
      </w:r>
      <w:r>
        <w:rPr>
          <w:rFonts w:hint="eastAsia" w:ascii="仿宋" w:hAnsi="仿宋" w:eastAsia="仿宋" w:cs="仿宋"/>
          <w:kern w:val="0"/>
          <w:sz w:val="28"/>
          <w:szCs w:val="28"/>
          <w:lang w:val="en-US" w:eastAsia="zh-CN" w:bidi="ar-SA"/>
        </w:rPr>
        <w:t>.</w:t>
      </w:r>
      <w:r>
        <w:rPr>
          <w:rFonts w:hint="default" w:ascii="仿宋" w:hAnsi="仿宋" w:eastAsia="仿宋" w:cs="仿宋"/>
          <w:kern w:val="0"/>
          <w:sz w:val="28"/>
          <w:szCs w:val="28"/>
          <w:lang w:eastAsia="zh-CN" w:bidi="ar-SA"/>
        </w:rPr>
        <w:t>09</w:t>
      </w:r>
      <w:r>
        <w:rPr>
          <w:rFonts w:hint="eastAsia" w:ascii="仿宋" w:hAnsi="仿宋" w:eastAsia="仿宋" w:cs="仿宋"/>
          <w:kern w:val="0"/>
          <w:sz w:val="28"/>
          <w:szCs w:val="28"/>
          <w:lang w:val="en-US" w:eastAsia="zh-CN" w:bidi="ar-SA"/>
        </w:rPr>
        <w:t>万元，</w:t>
      </w:r>
      <w:r>
        <w:rPr>
          <w:rFonts w:hint="eastAsia" w:ascii="仿宋" w:hAnsi="仿宋" w:eastAsia="仿宋" w:cs="仿宋"/>
          <w:kern w:val="0"/>
          <w:sz w:val="28"/>
          <w:szCs w:val="28"/>
          <w:lang w:val="en-US" w:eastAsia="zh-Hans" w:bidi="ar-SA"/>
        </w:rPr>
        <w:t>经测算建设期利息调整总投资为30,065.55 万元</w:t>
      </w:r>
      <w:r>
        <w:rPr>
          <w:rFonts w:hint="default" w:ascii="仿宋" w:hAnsi="仿宋" w:eastAsia="仿宋" w:cs="仿宋"/>
          <w:kern w:val="0"/>
          <w:sz w:val="28"/>
          <w:szCs w:val="28"/>
          <w:lang w:eastAsia="zh-Hans" w:bidi="ar-SA"/>
        </w:rPr>
        <w:t>，</w:t>
      </w:r>
      <w:r>
        <w:rPr>
          <w:rFonts w:hint="eastAsia" w:ascii="仿宋" w:hAnsi="仿宋" w:eastAsia="仿宋" w:cs="仿宋"/>
          <w:kern w:val="0"/>
          <w:sz w:val="28"/>
          <w:szCs w:val="28"/>
          <w:lang w:val="en-US" w:eastAsia="zh-CN" w:bidi="ar-SA"/>
        </w:rPr>
        <w:t>其中包含工程直接费用、其他费用、预备费</w:t>
      </w:r>
      <w:r>
        <w:rPr>
          <w:rFonts w:hint="eastAsia" w:ascii="仿宋" w:hAnsi="仿宋" w:eastAsia="仿宋" w:cs="仿宋"/>
          <w:kern w:val="0"/>
          <w:sz w:val="28"/>
          <w:szCs w:val="28"/>
          <w:lang w:val="en-US" w:eastAsia="zh-Hans" w:bidi="ar-SA"/>
        </w:rPr>
        <w:t>及建设期债券利息等</w:t>
      </w:r>
      <w:r>
        <w:rPr>
          <w:rFonts w:hint="eastAsia" w:ascii="仿宋" w:hAnsi="仿宋" w:eastAsia="仿宋" w:cs="仿宋"/>
          <w:color w:val="000000"/>
          <w:kern w:val="0"/>
          <w:sz w:val="28"/>
          <w:szCs w:val="28"/>
          <w:highlight w:val="none"/>
          <w:lang w:val="en-US" w:eastAsia="zh-CN"/>
        </w:rPr>
        <w:t>。</w:t>
      </w:r>
    </w:p>
    <w:p>
      <w:pPr>
        <w:pStyle w:val="4"/>
        <w:spacing w:before="156" w:beforeLines="50"/>
        <w:ind w:firstLine="562" w:firstLineChars="200"/>
        <w:jc w:val="both"/>
        <w:rPr>
          <w:rFonts w:ascii="仿宋" w:hAnsi="仿宋" w:eastAsia="仿宋"/>
          <w:b/>
          <w:sz w:val="28"/>
          <w:szCs w:val="28"/>
          <w:highlight w:val="none"/>
        </w:rPr>
      </w:pPr>
      <w:r>
        <w:rPr>
          <w:rFonts w:hint="eastAsia" w:ascii="仿宋" w:hAnsi="仿宋" w:eastAsia="仿宋"/>
          <w:b/>
          <w:sz w:val="28"/>
          <w:szCs w:val="28"/>
          <w:highlight w:val="none"/>
        </w:rPr>
        <w:t>（</w:t>
      </w:r>
      <w:r>
        <w:rPr>
          <w:rFonts w:hint="eastAsia" w:ascii="仿宋" w:hAnsi="仿宋" w:eastAsia="仿宋"/>
          <w:b/>
          <w:sz w:val="28"/>
          <w:szCs w:val="28"/>
          <w:highlight w:val="none"/>
          <w:lang w:val="en-US" w:eastAsia="zh-CN"/>
        </w:rPr>
        <w:t>二</w:t>
      </w:r>
      <w:r>
        <w:rPr>
          <w:rFonts w:hint="eastAsia" w:ascii="仿宋" w:hAnsi="仿宋" w:eastAsia="仿宋"/>
          <w:b/>
          <w:sz w:val="28"/>
          <w:szCs w:val="28"/>
          <w:highlight w:val="none"/>
        </w:rPr>
        <w:t>）项目资金筹措方案</w:t>
      </w:r>
    </w:p>
    <w:p>
      <w:pPr>
        <w:numPr>
          <w:ilvl w:val="0"/>
          <w:numId w:val="2"/>
        </w:numPr>
        <w:ind w:firstLine="560"/>
        <w:rPr>
          <w:rFonts w:ascii="仿宋" w:hAnsi="仿宋" w:eastAsia="仿宋" w:cs="仿宋"/>
          <w:kern w:val="0"/>
          <w:sz w:val="28"/>
          <w:szCs w:val="28"/>
        </w:rPr>
      </w:pPr>
      <w:r>
        <w:rPr>
          <w:rFonts w:hint="eastAsia" w:ascii="仿宋" w:hAnsi="仿宋" w:eastAsia="仿宋" w:cs="仿宋"/>
          <w:kern w:val="0"/>
          <w:sz w:val="28"/>
          <w:szCs w:val="28"/>
          <w:lang w:val="en-US" w:eastAsia="zh-CN"/>
        </w:rPr>
        <w:t xml:space="preserve">自有资金6,065.55 </w:t>
      </w:r>
      <w:r>
        <w:rPr>
          <w:rFonts w:hint="eastAsia" w:ascii="仿宋" w:hAnsi="仿宋" w:eastAsia="仿宋" w:cs="仿宋"/>
          <w:kern w:val="0"/>
          <w:sz w:val="28"/>
          <w:szCs w:val="28"/>
        </w:rPr>
        <w:t>万元，</w:t>
      </w:r>
      <w:r>
        <w:rPr>
          <w:rFonts w:hint="eastAsia" w:ascii="仿宋" w:hAnsi="仿宋" w:eastAsia="仿宋" w:cs="仿宋"/>
          <w:kern w:val="0"/>
          <w:sz w:val="28"/>
          <w:szCs w:val="28"/>
          <w:lang w:val="en-US" w:eastAsia="zh-CN"/>
        </w:rPr>
        <w:t>由项目单位</w:t>
      </w:r>
      <w:r>
        <w:rPr>
          <w:rFonts w:hint="eastAsia" w:ascii="仿宋" w:hAnsi="仿宋" w:eastAsia="仿宋" w:cs="仿宋"/>
          <w:kern w:val="0"/>
          <w:sz w:val="28"/>
          <w:szCs w:val="28"/>
        </w:rPr>
        <w:t>申请财政资金解决，资金按项目建设进度所需到位；</w:t>
      </w:r>
    </w:p>
    <w:p>
      <w:pPr>
        <w:numPr>
          <w:ilvl w:val="0"/>
          <w:numId w:val="2"/>
        </w:numPr>
        <w:ind w:firstLine="560"/>
        <w:rPr>
          <w:rFonts w:ascii="仿宋" w:hAnsi="仿宋" w:eastAsia="仿宋" w:cs="仿宋"/>
          <w:color w:val="000000"/>
          <w:kern w:val="0"/>
          <w:sz w:val="28"/>
          <w:szCs w:val="28"/>
          <w:highlight w:val="none"/>
        </w:rPr>
      </w:pPr>
      <w:r>
        <w:rPr>
          <w:rFonts w:hint="eastAsia" w:ascii="仿宋" w:hAnsi="仿宋" w:eastAsia="仿宋" w:cs="仿宋"/>
          <w:color w:val="000000"/>
          <w:kern w:val="0"/>
          <w:sz w:val="28"/>
          <w:szCs w:val="28"/>
          <w:lang w:val="en-US" w:eastAsia="zh-CN"/>
        </w:rPr>
        <w:t>资金</w:t>
      </w:r>
      <w:r>
        <w:rPr>
          <w:rFonts w:hint="eastAsia" w:ascii="仿宋" w:hAnsi="仿宋" w:eastAsia="仿宋" w:cs="仿宋"/>
          <w:color w:val="000000"/>
          <w:kern w:val="0"/>
          <w:sz w:val="28"/>
          <w:szCs w:val="28"/>
          <w:highlight w:val="none"/>
          <w:lang w:val="en-US" w:eastAsia="zh-CN"/>
        </w:rPr>
        <w:t>缺口为</w:t>
      </w:r>
      <w:r>
        <w:rPr>
          <w:rFonts w:hint="eastAsia" w:ascii="仿宋" w:hAnsi="仿宋" w:eastAsia="仿宋" w:cs="仿宋"/>
          <w:sz w:val="28"/>
          <w:szCs w:val="32"/>
          <w:highlight w:val="none"/>
          <w:lang w:val="en-US" w:eastAsia="zh-CN"/>
        </w:rPr>
        <w:t>24</w:t>
      </w:r>
      <w:r>
        <w:rPr>
          <w:rFonts w:hint="eastAsia" w:ascii="仿宋" w:hAnsi="仿宋" w:eastAsia="仿宋" w:cs="仿宋"/>
          <w:sz w:val="28"/>
          <w:szCs w:val="32"/>
          <w:highlight w:val="none"/>
        </w:rPr>
        <w:t>,</w:t>
      </w:r>
      <w:r>
        <w:rPr>
          <w:rFonts w:hint="eastAsia" w:ascii="仿宋" w:hAnsi="仿宋" w:eastAsia="仿宋" w:cs="仿宋"/>
          <w:sz w:val="28"/>
          <w:szCs w:val="32"/>
          <w:highlight w:val="none"/>
          <w:lang w:val="en-US" w:eastAsia="zh-CN"/>
        </w:rPr>
        <w:t>0</w:t>
      </w:r>
      <w:r>
        <w:rPr>
          <w:rFonts w:hint="eastAsia" w:ascii="仿宋" w:hAnsi="仿宋" w:eastAsia="仿宋" w:cs="仿宋"/>
          <w:sz w:val="28"/>
          <w:szCs w:val="32"/>
          <w:highlight w:val="none"/>
        </w:rPr>
        <w:t>00.00</w:t>
      </w:r>
      <w:r>
        <w:rPr>
          <w:rFonts w:hint="eastAsia" w:ascii="仿宋" w:hAnsi="仿宋" w:eastAsia="仿宋" w:cs="仿宋"/>
          <w:color w:val="000000"/>
          <w:kern w:val="0"/>
          <w:sz w:val="28"/>
          <w:szCs w:val="28"/>
          <w:highlight w:val="none"/>
        </w:rPr>
        <w:t>万元</w:t>
      </w:r>
      <w:r>
        <w:rPr>
          <w:rFonts w:hint="eastAsia" w:ascii="仿宋" w:hAnsi="仿宋" w:eastAsia="仿宋" w:cs="仿宋"/>
          <w:color w:val="000000"/>
          <w:kern w:val="0"/>
          <w:sz w:val="28"/>
          <w:szCs w:val="28"/>
          <w:highlight w:val="none"/>
          <w:lang w:eastAsia="zh-CN"/>
        </w:rPr>
        <w:t>，</w:t>
      </w:r>
      <w:r>
        <w:rPr>
          <w:rFonts w:hint="eastAsia" w:ascii="仿宋" w:hAnsi="仿宋" w:eastAsia="仿宋" w:cs="仿宋"/>
          <w:color w:val="000000"/>
          <w:kern w:val="0"/>
          <w:sz w:val="28"/>
          <w:szCs w:val="28"/>
          <w:highlight w:val="none"/>
          <w:lang w:val="en-US" w:eastAsia="zh-CN"/>
        </w:rPr>
        <w:t>拟通过</w:t>
      </w:r>
      <w:r>
        <w:rPr>
          <w:rFonts w:hint="eastAsia" w:ascii="仿宋" w:hAnsi="仿宋" w:eastAsia="仿宋" w:cs="仿宋"/>
          <w:color w:val="000000"/>
          <w:kern w:val="0"/>
          <w:sz w:val="28"/>
          <w:szCs w:val="28"/>
          <w:highlight w:val="none"/>
        </w:rPr>
        <w:t>地方政府专项债券解决，</w:t>
      </w:r>
      <w:r>
        <w:rPr>
          <w:rFonts w:hint="eastAsia" w:ascii="仿宋" w:hAnsi="仿宋" w:eastAsia="仿宋" w:cs="仿宋"/>
          <w:kern w:val="0"/>
          <w:sz w:val="28"/>
          <w:szCs w:val="28"/>
          <w:highlight w:val="none"/>
          <w:lang w:val="en-US" w:eastAsia="zh-CN"/>
        </w:rPr>
        <w:t>2023年</w:t>
      </w:r>
      <w:r>
        <w:rPr>
          <w:rFonts w:hint="eastAsia" w:ascii="仿宋" w:hAnsi="仿宋" w:eastAsia="仿宋" w:cs="仿宋"/>
          <w:kern w:val="0"/>
          <w:sz w:val="28"/>
          <w:szCs w:val="28"/>
          <w:highlight w:val="none"/>
          <w:lang w:val="en-US" w:eastAsia="zh-Hans"/>
        </w:rPr>
        <w:t>已</w:t>
      </w:r>
      <w:r>
        <w:rPr>
          <w:rFonts w:hint="eastAsia" w:ascii="仿宋" w:hAnsi="仿宋" w:eastAsia="仿宋" w:cs="仿宋"/>
          <w:kern w:val="0"/>
          <w:sz w:val="28"/>
          <w:szCs w:val="28"/>
          <w:highlight w:val="none"/>
          <w:lang w:val="en-US" w:eastAsia="zh-CN"/>
        </w:rPr>
        <w:t>募投专项债券11,500.00万元，</w:t>
      </w:r>
      <w:r>
        <w:rPr>
          <w:rFonts w:hint="eastAsia" w:ascii="仿宋" w:hAnsi="仿宋" w:eastAsia="仿宋" w:cs="仿宋"/>
          <w:sz w:val="28"/>
          <w:szCs w:val="32"/>
          <w:highlight w:val="none"/>
          <w:lang w:val="en-US" w:eastAsia="zh-Hans"/>
        </w:rPr>
        <w:t>本批次拟募投</w:t>
      </w:r>
      <w:r>
        <w:rPr>
          <w:rFonts w:hint="eastAsia" w:ascii="仿宋" w:hAnsi="仿宋" w:eastAsia="仿宋" w:cs="仿宋"/>
          <w:sz w:val="28"/>
          <w:szCs w:val="32"/>
          <w:highlight w:val="none"/>
          <w:lang w:val="en-US" w:eastAsia="zh-CN"/>
        </w:rPr>
        <w:t>1</w:t>
      </w:r>
      <w:r>
        <w:rPr>
          <w:rFonts w:hint="default" w:ascii="仿宋" w:hAnsi="仿宋" w:eastAsia="仿宋" w:cs="仿宋"/>
          <w:sz w:val="28"/>
          <w:szCs w:val="32"/>
          <w:highlight w:val="none"/>
          <w:lang w:eastAsia="zh-Hans"/>
        </w:rPr>
        <w:t>,</w:t>
      </w:r>
      <w:r>
        <w:rPr>
          <w:rFonts w:hint="eastAsia" w:ascii="仿宋" w:hAnsi="仿宋" w:eastAsia="仿宋" w:cs="仿宋"/>
          <w:sz w:val="28"/>
          <w:szCs w:val="32"/>
          <w:highlight w:val="none"/>
          <w:lang w:val="en-US" w:eastAsia="zh-CN"/>
        </w:rPr>
        <w:t>68</w:t>
      </w:r>
      <w:r>
        <w:rPr>
          <w:rFonts w:hint="default" w:ascii="仿宋" w:hAnsi="仿宋" w:eastAsia="仿宋" w:cs="仿宋"/>
          <w:sz w:val="28"/>
          <w:szCs w:val="32"/>
          <w:highlight w:val="none"/>
          <w:lang w:eastAsia="zh-Hans"/>
        </w:rPr>
        <w:t>0.00</w:t>
      </w:r>
      <w:r>
        <w:rPr>
          <w:rFonts w:hint="eastAsia" w:ascii="仿宋" w:hAnsi="仿宋" w:eastAsia="仿宋" w:cs="仿宋"/>
          <w:sz w:val="28"/>
          <w:szCs w:val="32"/>
          <w:highlight w:val="none"/>
          <w:lang w:val="en-US" w:eastAsia="zh-Hans"/>
        </w:rPr>
        <w:t>万元</w:t>
      </w:r>
      <w:r>
        <w:rPr>
          <w:rFonts w:hint="default" w:ascii="仿宋" w:hAnsi="仿宋" w:eastAsia="仿宋" w:cs="仿宋"/>
          <w:sz w:val="28"/>
          <w:szCs w:val="32"/>
          <w:highlight w:val="none"/>
          <w:lang w:eastAsia="zh-Hans"/>
        </w:rPr>
        <w:t>，</w:t>
      </w:r>
      <w:r>
        <w:rPr>
          <w:rFonts w:hint="eastAsia" w:ascii="仿宋" w:hAnsi="仿宋" w:eastAsia="仿宋" w:cs="仿宋"/>
          <w:sz w:val="28"/>
          <w:szCs w:val="32"/>
          <w:highlight w:val="none"/>
          <w:lang w:val="en-US" w:eastAsia="zh-Hans"/>
        </w:rPr>
        <w:t>以后批次拟募投 10,820.00 万元</w:t>
      </w:r>
      <w:r>
        <w:rPr>
          <w:rFonts w:hint="eastAsia" w:ascii="仿宋" w:hAnsi="仿宋" w:eastAsia="仿宋" w:cs="仿宋"/>
          <w:color w:val="000000"/>
          <w:kern w:val="0"/>
          <w:sz w:val="28"/>
          <w:szCs w:val="28"/>
          <w:highlight w:val="none"/>
        </w:rPr>
        <w:t>。</w:t>
      </w:r>
    </w:p>
    <w:p>
      <w:pPr>
        <w:numPr>
          <w:ilvl w:val="0"/>
          <w:numId w:val="2"/>
        </w:numPr>
        <w:ind w:firstLine="560"/>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资金使用计划</w:t>
      </w:r>
    </w:p>
    <w:p>
      <w:pPr>
        <w:pStyle w:val="23"/>
        <w:widowControl w:val="0"/>
        <w:tabs>
          <w:tab w:val="left" w:pos="196"/>
          <w:tab w:val="left" w:pos="426"/>
        </w:tabs>
        <w:spacing w:line="360" w:lineRule="auto"/>
        <w:ind w:left="0" w:leftChars="0" w:firstLine="562" w:firstLineChars="200"/>
        <w:jc w:val="center"/>
        <w:rPr>
          <w:rFonts w:ascii="仿宋" w:hAnsi="仿宋" w:eastAsia="仿宋" w:cs="仿宋"/>
          <w:b/>
          <w:bCs/>
          <w:kern w:val="44"/>
          <w:sz w:val="28"/>
          <w:szCs w:val="28"/>
          <w:highlight w:val="none"/>
        </w:rPr>
      </w:pPr>
      <w:r>
        <w:rPr>
          <w:rFonts w:ascii="仿宋" w:hAnsi="仿宋" w:eastAsia="仿宋" w:cs="仿宋"/>
          <w:b/>
          <w:bCs/>
          <w:kern w:val="44"/>
          <w:sz w:val="28"/>
          <w:szCs w:val="28"/>
          <w:highlight w:val="none"/>
        </w:rPr>
        <w:t>分年度资金使用计划</w:t>
      </w:r>
    </w:p>
    <w:tbl>
      <w:tblPr>
        <w:tblStyle w:val="16"/>
        <w:tblW w:w="4998" w:type="pct"/>
        <w:jc w:val="center"/>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Layout w:type="autofit"/>
        <w:tblCellMar>
          <w:top w:w="15" w:type="dxa"/>
          <w:left w:w="15" w:type="dxa"/>
          <w:bottom w:w="15" w:type="dxa"/>
          <w:right w:w="15" w:type="dxa"/>
        </w:tblCellMar>
      </w:tblPr>
      <w:tblGrid>
        <w:gridCol w:w="4205"/>
        <w:gridCol w:w="1207"/>
        <w:gridCol w:w="1459"/>
        <w:gridCol w:w="1462"/>
      </w:tblGrid>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PrEx>
        <w:trPr>
          <w:trHeight w:val="90" w:hRule="atLeast"/>
          <w:tblHeader/>
          <w:jc w:val="center"/>
        </w:trPr>
        <w:tc>
          <w:tcPr>
            <w:tcW w:w="2523" w:type="pct"/>
            <w:tcBorders>
              <w:tl2br w:val="nil"/>
              <w:tr2bl w:val="nil"/>
            </w:tcBorders>
            <w:noWrap/>
            <w:vAlign w:val="center"/>
          </w:tcPr>
          <w:p>
            <w:pPr>
              <w:widowControl/>
              <w:jc w:val="center"/>
              <w:textAlignment w:val="center"/>
              <w:rPr>
                <w:rFonts w:cs="Arial Narrow" w:asciiTheme="minorEastAsia" w:hAnsiTheme="minorEastAsia" w:eastAsiaTheme="minorEastAsia"/>
                <w:b/>
                <w:bCs/>
                <w:color w:val="000000"/>
                <w:kern w:val="0"/>
                <w:sz w:val="20"/>
                <w:szCs w:val="20"/>
                <w:highlight w:val="none"/>
              </w:rPr>
            </w:pPr>
            <w:r>
              <w:rPr>
                <w:rFonts w:cs="Arial Narrow" w:asciiTheme="minorEastAsia" w:hAnsiTheme="minorEastAsia" w:eastAsiaTheme="minorEastAsia"/>
                <w:b/>
                <w:bCs/>
                <w:color w:val="000000"/>
                <w:kern w:val="0"/>
                <w:sz w:val="20"/>
                <w:szCs w:val="20"/>
                <w:highlight w:val="none"/>
              </w:rPr>
              <w:t>年份</w:t>
            </w:r>
          </w:p>
        </w:tc>
        <w:tc>
          <w:tcPr>
            <w:tcW w:w="724" w:type="pct"/>
            <w:tcBorders>
              <w:tl2br w:val="nil"/>
              <w:tr2bl w:val="nil"/>
            </w:tcBorders>
            <w:vAlign w:val="center"/>
          </w:tcPr>
          <w:p>
            <w:pPr>
              <w:keepNext w:val="0"/>
              <w:keepLines w:val="0"/>
              <w:widowControl/>
              <w:suppressLineNumbers w:val="0"/>
              <w:jc w:val="center"/>
              <w:textAlignment w:val="center"/>
              <w:rPr>
                <w:rFonts w:cs="Arial Narrow" w:asciiTheme="minorEastAsia" w:hAnsiTheme="minorEastAsia" w:eastAsiaTheme="minorEastAsia"/>
                <w:b/>
                <w:bCs/>
                <w:color w:val="000000"/>
                <w:kern w:val="0"/>
                <w:sz w:val="20"/>
                <w:szCs w:val="20"/>
                <w:highlight w:val="none"/>
              </w:rPr>
            </w:pPr>
            <w:r>
              <w:rPr>
                <w:rFonts w:hint="default" w:ascii="Arial Narrow" w:hAnsi="Arial Narrow" w:eastAsia="Arial Narrow" w:cs="Arial Narrow"/>
                <w:b/>
                <w:bCs/>
                <w:i w:val="0"/>
                <w:iCs w:val="0"/>
                <w:color w:val="000000"/>
                <w:kern w:val="0"/>
                <w:sz w:val="18"/>
                <w:szCs w:val="18"/>
                <w:highlight w:val="none"/>
                <w:u w:val="none"/>
                <w:lang w:val="en-US" w:eastAsia="zh-CN" w:bidi="ar"/>
              </w:rPr>
              <w:t>202</w:t>
            </w:r>
            <w:r>
              <w:rPr>
                <w:rFonts w:hint="eastAsia" w:ascii="Arial Narrow" w:hAnsi="Arial Narrow" w:eastAsia="Arial Narrow" w:cs="Arial Narrow"/>
                <w:b/>
                <w:bCs/>
                <w:i w:val="0"/>
                <w:iCs w:val="0"/>
                <w:color w:val="000000"/>
                <w:kern w:val="0"/>
                <w:sz w:val="18"/>
                <w:szCs w:val="18"/>
                <w:highlight w:val="none"/>
                <w:u w:val="none"/>
                <w:lang w:val="en-US" w:eastAsia="zh-CN" w:bidi="ar"/>
              </w:rPr>
              <w:t>3</w:t>
            </w:r>
            <w:r>
              <w:rPr>
                <w:rFonts w:hint="eastAsia" w:ascii="宋体" w:hAnsi="宋体" w:eastAsia="宋体" w:cs="宋体"/>
                <w:b/>
                <w:bCs/>
                <w:i w:val="0"/>
                <w:iCs w:val="0"/>
                <w:color w:val="000000"/>
                <w:kern w:val="0"/>
                <w:sz w:val="18"/>
                <w:szCs w:val="18"/>
                <w:highlight w:val="none"/>
                <w:u w:val="none"/>
                <w:lang w:val="en-US" w:eastAsia="zh-CN" w:bidi="ar"/>
              </w:rPr>
              <w:t>年</w:t>
            </w:r>
          </w:p>
        </w:tc>
        <w:tc>
          <w:tcPr>
            <w:tcW w:w="875"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highlight w:val="none"/>
                <w:u w:val="none"/>
                <w:lang w:val="en-US" w:eastAsia="zh-CN" w:bidi="ar"/>
              </w:rPr>
            </w:pPr>
            <w:r>
              <w:rPr>
                <w:rFonts w:hint="default" w:ascii="Arial Narrow" w:hAnsi="Arial Narrow" w:eastAsia="Arial Narrow" w:cs="Arial Narrow"/>
                <w:b/>
                <w:bCs/>
                <w:i w:val="0"/>
                <w:iCs w:val="0"/>
                <w:color w:val="000000"/>
                <w:kern w:val="0"/>
                <w:sz w:val="18"/>
                <w:szCs w:val="18"/>
                <w:highlight w:val="none"/>
                <w:u w:val="none"/>
                <w:lang w:val="en-US" w:eastAsia="zh-CN" w:bidi="ar"/>
              </w:rPr>
              <w:t>202</w:t>
            </w:r>
            <w:r>
              <w:rPr>
                <w:rFonts w:hint="eastAsia" w:ascii="Arial Narrow" w:hAnsi="Arial Narrow" w:eastAsia="Arial Narrow" w:cs="Arial Narrow"/>
                <w:b/>
                <w:bCs/>
                <w:i w:val="0"/>
                <w:iCs w:val="0"/>
                <w:color w:val="000000"/>
                <w:kern w:val="0"/>
                <w:sz w:val="18"/>
                <w:szCs w:val="18"/>
                <w:highlight w:val="none"/>
                <w:u w:val="none"/>
                <w:lang w:val="en-US" w:eastAsia="zh-CN" w:bidi="ar"/>
              </w:rPr>
              <w:t>4</w:t>
            </w:r>
            <w:r>
              <w:rPr>
                <w:rFonts w:hint="eastAsia" w:ascii="宋体" w:hAnsi="宋体" w:eastAsia="宋体" w:cs="宋体"/>
                <w:b/>
                <w:bCs/>
                <w:i w:val="0"/>
                <w:iCs w:val="0"/>
                <w:color w:val="000000"/>
                <w:kern w:val="0"/>
                <w:sz w:val="18"/>
                <w:szCs w:val="18"/>
                <w:highlight w:val="none"/>
                <w:u w:val="none"/>
                <w:lang w:val="en-US" w:eastAsia="zh-CN" w:bidi="ar"/>
              </w:rPr>
              <w:t>年</w:t>
            </w:r>
          </w:p>
        </w:tc>
        <w:tc>
          <w:tcPr>
            <w:tcW w:w="877" w:type="pct"/>
            <w:tcBorders>
              <w:tl2br w:val="nil"/>
              <w:tr2bl w:val="nil"/>
            </w:tcBorders>
            <w:noWrap/>
            <w:vAlign w:val="center"/>
          </w:tcPr>
          <w:p>
            <w:pPr>
              <w:keepNext w:val="0"/>
              <w:keepLines w:val="0"/>
              <w:widowControl/>
              <w:suppressLineNumbers w:val="0"/>
              <w:jc w:val="center"/>
              <w:textAlignment w:val="center"/>
              <w:rPr>
                <w:rFonts w:cs="Arial Narrow" w:asciiTheme="minorEastAsia" w:hAnsiTheme="minorEastAsia" w:eastAsiaTheme="minorEastAsia"/>
                <w:b/>
                <w:bCs/>
                <w:color w:val="000000"/>
                <w:kern w:val="0"/>
                <w:sz w:val="20"/>
                <w:szCs w:val="20"/>
                <w:highlight w:val="none"/>
              </w:rPr>
            </w:pPr>
            <w:r>
              <w:rPr>
                <w:rFonts w:hint="eastAsia" w:ascii="宋体" w:hAnsi="宋体" w:eastAsia="宋体" w:cs="宋体"/>
                <w:b/>
                <w:i w:val="0"/>
                <w:color w:val="000000"/>
                <w:kern w:val="0"/>
                <w:sz w:val="20"/>
                <w:szCs w:val="20"/>
                <w:highlight w:val="none"/>
                <w:u w:val="none"/>
                <w:lang w:val="en-US" w:eastAsia="zh-CN" w:bidi="ar"/>
              </w:rPr>
              <w:t>合计</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PrEx>
        <w:trPr>
          <w:trHeight w:val="340" w:hRule="atLeast"/>
          <w:jc w:val="center"/>
        </w:trPr>
        <w:tc>
          <w:tcPr>
            <w:tcW w:w="2523" w:type="pct"/>
            <w:tcBorders>
              <w:tl2br w:val="nil"/>
              <w:tr2bl w:val="nil"/>
            </w:tcBorders>
            <w:noWrap/>
            <w:vAlign w:val="center"/>
          </w:tcPr>
          <w:p>
            <w:pPr>
              <w:widowControl/>
              <w:jc w:val="left"/>
              <w:textAlignment w:val="center"/>
              <w:rPr>
                <w:rFonts w:cs="Arial Narrow" w:asciiTheme="minorEastAsia" w:hAnsiTheme="minorEastAsia" w:eastAsiaTheme="minorEastAsia"/>
                <w:b/>
                <w:bCs/>
                <w:color w:val="000000"/>
                <w:kern w:val="0"/>
                <w:sz w:val="20"/>
                <w:szCs w:val="20"/>
                <w:highlight w:val="none"/>
              </w:rPr>
            </w:pPr>
            <w:r>
              <w:rPr>
                <w:rFonts w:cs="Arial Narrow" w:asciiTheme="minorEastAsia" w:hAnsiTheme="minorEastAsia" w:eastAsiaTheme="minorEastAsia"/>
                <w:b/>
                <w:bCs/>
                <w:color w:val="000000"/>
                <w:kern w:val="0"/>
                <w:sz w:val="20"/>
                <w:szCs w:val="20"/>
                <w:highlight w:val="none"/>
              </w:rPr>
              <w:t>投资金额（万元）</w:t>
            </w:r>
          </w:p>
        </w:tc>
        <w:tc>
          <w:tcPr>
            <w:tcW w:w="1207" w:type="dxa"/>
            <w:tcBorders>
              <w:tl2br w:val="nil"/>
              <w:tr2bl w:val="nil"/>
            </w:tcBorders>
            <w:vAlign w:val="center"/>
          </w:tcPr>
          <w:p>
            <w:pPr>
              <w:keepNext w:val="0"/>
              <w:keepLines w:val="0"/>
              <w:widowControl/>
              <w:suppressLineNumbers w:val="0"/>
              <w:jc w:val="right"/>
              <w:textAlignment w:val="center"/>
              <w:rPr>
                <w:rFonts w:hint="default" w:ascii="Arial Narrow" w:hAnsi="Arial Narrow" w:eastAsia="Arial Narrow" w:cs="Arial Narrow"/>
                <w:i w:val="0"/>
                <w:color w:val="000000"/>
                <w:kern w:val="0"/>
                <w:sz w:val="20"/>
                <w:szCs w:val="20"/>
                <w:highlight w:val="none"/>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13,274.80 </w:t>
            </w:r>
          </w:p>
        </w:tc>
        <w:tc>
          <w:tcPr>
            <w:tcW w:w="1459" w:type="dxa"/>
            <w:tcBorders>
              <w:tl2br w:val="nil"/>
              <w:tr2bl w:val="nil"/>
            </w:tcBorders>
            <w:noWrap/>
            <w:vAlign w:val="center"/>
          </w:tcPr>
          <w:p>
            <w:pPr>
              <w:keepNext w:val="0"/>
              <w:keepLines w:val="0"/>
              <w:widowControl/>
              <w:suppressLineNumbers w:val="0"/>
              <w:jc w:val="right"/>
              <w:textAlignment w:val="center"/>
              <w:rPr>
                <w:rFonts w:hint="default" w:ascii="Arial Narrow" w:hAnsi="Arial Narrow" w:eastAsia="Arial Narrow" w:cs="Arial Narrow"/>
                <w:i w:val="0"/>
                <w:color w:val="000000"/>
                <w:kern w:val="0"/>
                <w:sz w:val="20"/>
                <w:szCs w:val="20"/>
                <w:highlight w:val="none"/>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16,790.75 </w:t>
            </w:r>
          </w:p>
        </w:tc>
        <w:tc>
          <w:tcPr>
            <w:tcW w:w="1462" w:type="dxa"/>
            <w:tcBorders>
              <w:tl2br w:val="nil"/>
              <w:tr2bl w:val="nil"/>
            </w:tcBorders>
            <w:noWrap/>
            <w:vAlign w:val="center"/>
          </w:tcPr>
          <w:p>
            <w:pPr>
              <w:keepNext w:val="0"/>
              <w:keepLines w:val="0"/>
              <w:widowControl/>
              <w:suppressLineNumbers w:val="0"/>
              <w:jc w:val="right"/>
              <w:textAlignment w:val="center"/>
              <w:rPr>
                <w:rFonts w:hint="default" w:ascii="Arial Narrow" w:hAnsi="Arial Narrow" w:eastAsia="Arial Narrow" w:cs="宋体"/>
                <w:color w:val="000000"/>
                <w:sz w:val="20"/>
                <w:szCs w:val="20"/>
                <w:highlight w:val="none"/>
                <w:lang w:eastAsia="zh-Hans"/>
              </w:rPr>
            </w:pPr>
            <w:r>
              <w:rPr>
                <w:rFonts w:hint="default" w:ascii="Arial Narrow" w:hAnsi="Arial Narrow" w:eastAsia="Arial Narrow" w:cs="Arial Narrow"/>
                <w:i w:val="0"/>
                <w:iCs w:val="0"/>
                <w:color w:val="000000"/>
                <w:kern w:val="0"/>
                <w:sz w:val="20"/>
                <w:szCs w:val="20"/>
                <w:u w:val="none"/>
                <w:lang w:val="en-US" w:eastAsia="zh-CN" w:bidi="ar"/>
              </w:rPr>
              <w:t xml:space="preserve">30,065.55 </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PrEx>
        <w:trPr>
          <w:trHeight w:val="340" w:hRule="atLeast"/>
          <w:jc w:val="center"/>
        </w:trPr>
        <w:tc>
          <w:tcPr>
            <w:tcW w:w="2523" w:type="pct"/>
            <w:tcBorders>
              <w:tl2br w:val="nil"/>
              <w:tr2bl w:val="nil"/>
            </w:tcBorders>
            <w:noWrap/>
            <w:vAlign w:val="center"/>
          </w:tcPr>
          <w:p>
            <w:pPr>
              <w:widowControl/>
              <w:jc w:val="left"/>
              <w:textAlignment w:val="center"/>
              <w:rPr>
                <w:rFonts w:hint="eastAsia" w:cs="Arial Narrow" w:asciiTheme="minorEastAsia" w:hAnsiTheme="minorEastAsia" w:eastAsiaTheme="minorEastAsia"/>
                <w:b/>
                <w:bCs/>
                <w:color w:val="000000"/>
                <w:kern w:val="0"/>
                <w:sz w:val="20"/>
                <w:szCs w:val="20"/>
                <w:highlight w:val="none"/>
                <w:lang w:val="en-US" w:eastAsia="zh-CN"/>
              </w:rPr>
            </w:pPr>
            <w:r>
              <w:rPr>
                <w:rFonts w:hint="eastAsia" w:cs="Arial Narrow" w:asciiTheme="minorEastAsia" w:hAnsiTheme="minorEastAsia" w:eastAsiaTheme="minorEastAsia"/>
                <w:b/>
                <w:bCs/>
                <w:color w:val="000000"/>
                <w:kern w:val="0"/>
                <w:sz w:val="20"/>
                <w:szCs w:val="20"/>
                <w:highlight w:val="none"/>
              </w:rPr>
              <w:t>占总</w:t>
            </w:r>
            <w:r>
              <w:rPr>
                <w:rFonts w:cs="Arial Narrow" w:asciiTheme="minorEastAsia" w:hAnsiTheme="minorEastAsia" w:eastAsiaTheme="minorEastAsia"/>
                <w:b/>
                <w:bCs/>
                <w:color w:val="000000"/>
                <w:kern w:val="0"/>
                <w:sz w:val="20"/>
                <w:szCs w:val="20"/>
                <w:highlight w:val="none"/>
              </w:rPr>
              <w:t>投资比例</w:t>
            </w:r>
          </w:p>
        </w:tc>
        <w:tc>
          <w:tcPr>
            <w:tcW w:w="1207" w:type="dxa"/>
            <w:tcBorders>
              <w:tl2br w:val="nil"/>
              <w:tr2bl w:val="nil"/>
            </w:tcBorders>
            <w:vAlign w:val="center"/>
          </w:tcPr>
          <w:p>
            <w:pPr>
              <w:keepNext w:val="0"/>
              <w:keepLines w:val="0"/>
              <w:widowControl/>
              <w:suppressLineNumbers w:val="0"/>
              <w:jc w:val="right"/>
              <w:textAlignment w:val="center"/>
              <w:rPr>
                <w:rFonts w:hint="default" w:ascii="Arial Narrow" w:hAnsi="Arial Narrow" w:eastAsia="Arial Narrow" w:cs="Arial Narrow"/>
                <w:i w:val="0"/>
                <w:color w:val="000000"/>
                <w:kern w:val="0"/>
                <w:sz w:val="20"/>
                <w:szCs w:val="20"/>
                <w:highlight w:val="none"/>
                <w:u w:val="none"/>
                <w:lang w:val="en-US" w:eastAsia="zh-CN" w:bidi="ar"/>
              </w:rPr>
            </w:pPr>
            <w:r>
              <w:rPr>
                <w:rFonts w:hint="default" w:ascii="Arial Narrow" w:hAnsi="Arial Narrow" w:eastAsia="Arial Narrow" w:cs="Arial Narrow"/>
                <w:i w:val="0"/>
                <w:iCs w:val="0"/>
                <w:color w:val="000000"/>
                <w:kern w:val="0"/>
                <w:sz w:val="20"/>
                <w:szCs w:val="20"/>
                <w:u w:val="none"/>
                <w:lang w:val="en-US" w:eastAsia="zh-CN" w:bidi="ar"/>
              </w:rPr>
              <w:t>44.15%</w:t>
            </w:r>
          </w:p>
        </w:tc>
        <w:tc>
          <w:tcPr>
            <w:tcW w:w="1459" w:type="dxa"/>
            <w:tcBorders>
              <w:tl2br w:val="nil"/>
              <w:tr2bl w:val="nil"/>
            </w:tcBorders>
            <w:noWrap/>
            <w:vAlign w:val="center"/>
          </w:tcPr>
          <w:p>
            <w:pPr>
              <w:keepNext w:val="0"/>
              <w:keepLines w:val="0"/>
              <w:widowControl/>
              <w:suppressLineNumbers w:val="0"/>
              <w:jc w:val="right"/>
              <w:textAlignment w:val="center"/>
              <w:rPr>
                <w:rFonts w:hint="eastAsia" w:ascii="Arial Narrow" w:hAnsi="Arial Narrow" w:eastAsia="Arial Narrow" w:cs="Arial Narrow"/>
                <w:i w:val="0"/>
                <w:color w:val="000000"/>
                <w:kern w:val="0"/>
                <w:sz w:val="20"/>
                <w:szCs w:val="20"/>
                <w:highlight w:val="none"/>
                <w:u w:val="none"/>
                <w:lang w:val="en-US" w:eastAsia="zh-CN" w:bidi="ar"/>
              </w:rPr>
            </w:pPr>
            <w:r>
              <w:rPr>
                <w:rFonts w:hint="default" w:ascii="Arial Narrow" w:hAnsi="Arial Narrow" w:eastAsia="Arial Narrow" w:cs="Arial Narrow"/>
                <w:i w:val="0"/>
                <w:iCs w:val="0"/>
                <w:color w:val="000000"/>
                <w:kern w:val="0"/>
                <w:sz w:val="20"/>
                <w:szCs w:val="20"/>
                <w:u w:val="none"/>
                <w:lang w:val="en-US" w:eastAsia="zh-CN" w:bidi="ar"/>
              </w:rPr>
              <w:t>55.85%</w:t>
            </w:r>
          </w:p>
        </w:tc>
        <w:tc>
          <w:tcPr>
            <w:tcW w:w="1462" w:type="dxa"/>
            <w:tcBorders>
              <w:tl2br w:val="nil"/>
              <w:tr2bl w:val="nil"/>
            </w:tcBorders>
            <w:noWrap/>
            <w:vAlign w:val="center"/>
          </w:tcPr>
          <w:p>
            <w:pPr>
              <w:keepNext w:val="0"/>
              <w:keepLines w:val="0"/>
              <w:widowControl/>
              <w:suppressLineNumbers w:val="0"/>
              <w:jc w:val="right"/>
              <w:textAlignment w:val="center"/>
              <w:rPr>
                <w:rFonts w:ascii="Arial Narrow" w:hAnsi="Arial Narrow" w:cs="宋体"/>
                <w:color w:val="000000"/>
                <w:sz w:val="20"/>
                <w:szCs w:val="20"/>
                <w:highlight w:val="none"/>
              </w:rPr>
            </w:pPr>
            <w:r>
              <w:rPr>
                <w:rFonts w:hint="default" w:ascii="Arial Narrow" w:hAnsi="Arial Narrow" w:eastAsia="Arial Narrow" w:cs="Arial Narrow"/>
                <w:i w:val="0"/>
                <w:iCs w:val="0"/>
                <w:color w:val="000000"/>
                <w:kern w:val="0"/>
                <w:sz w:val="20"/>
                <w:szCs w:val="20"/>
                <w:u w:val="none"/>
                <w:lang w:val="en-US" w:eastAsia="zh-CN" w:bidi="ar"/>
              </w:rPr>
              <w:t>100.00%</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PrEx>
        <w:trPr>
          <w:trHeight w:val="340" w:hRule="atLeast"/>
          <w:jc w:val="center"/>
        </w:trPr>
        <w:tc>
          <w:tcPr>
            <w:tcW w:w="2523" w:type="pct"/>
            <w:tcBorders>
              <w:tl2br w:val="nil"/>
              <w:tr2bl w:val="nil"/>
            </w:tcBorders>
            <w:noWrap/>
            <w:vAlign w:val="center"/>
          </w:tcPr>
          <w:p>
            <w:pPr>
              <w:widowControl/>
              <w:jc w:val="left"/>
              <w:textAlignment w:val="center"/>
              <w:rPr>
                <w:rFonts w:cs="Arial Narrow" w:asciiTheme="minorEastAsia" w:hAnsiTheme="minorEastAsia" w:eastAsiaTheme="minorEastAsia"/>
                <w:b/>
                <w:bCs/>
                <w:color w:val="000000"/>
                <w:kern w:val="0"/>
                <w:sz w:val="20"/>
                <w:szCs w:val="20"/>
                <w:highlight w:val="none"/>
              </w:rPr>
            </w:pPr>
            <w:r>
              <w:rPr>
                <w:rFonts w:hint="eastAsia" w:cs="Arial Narrow" w:asciiTheme="minorEastAsia" w:hAnsiTheme="minorEastAsia" w:eastAsiaTheme="minorEastAsia"/>
                <w:b/>
                <w:bCs/>
                <w:color w:val="000000"/>
                <w:kern w:val="0"/>
                <w:sz w:val="20"/>
                <w:szCs w:val="20"/>
                <w:highlight w:val="none"/>
              </w:rPr>
              <w:t>项目对应债券资金</w:t>
            </w:r>
            <w:r>
              <w:rPr>
                <w:rFonts w:cs="Arial Narrow" w:asciiTheme="minorEastAsia" w:hAnsiTheme="minorEastAsia" w:eastAsiaTheme="minorEastAsia"/>
                <w:b/>
                <w:bCs/>
                <w:color w:val="000000"/>
                <w:kern w:val="0"/>
                <w:sz w:val="20"/>
                <w:szCs w:val="20"/>
                <w:highlight w:val="none"/>
              </w:rPr>
              <w:t>（万元）</w:t>
            </w:r>
          </w:p>
        </w:tc>
        <w:tc>
          <w:tcPr>
            <w:tcW w:w="1207" w:type="dxa"/>
            <w:tcBorders>
              <w:tl2br w:val="nil"/>
              <w:tr2bl w:val="nil"/>
            </w:tcBorders>
            <w:vAlign w:val="center"/>
          </w:tcPr>
          <w:p>
            <w:pPr>
              <w:keepNext w:val="0"/>
              <w:keepLines w:val="0"/>
              <w:widowControl/>
              <w:suppressLineNumbers w:val="0"/>
              <w:jc w:val="right"/>
              <w:textAlignment w:val="center"/>
              <w:rPr>
                <w:rFonts w:hint="default" w:ascii="Arial Narrow" w:hAnsi="Arial Narrow" w:eastAsia="Arial Narrow" w:cs="Arial Narrow"/>
                <w:i w:val="0"/>
                <w:color w:val="000000"/>
                <w:kern w:val="0"/>
                <w:sz w:val="20"/>
                <w:szCs w:val="20"/>
                <w:highlight w:val="none"/>
                <w:u w:val="none"/>
                <w:lang w:val="en-US"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13,180.00 </w:t>
            </w:r>
          </w:p>
        </w:tc>
        <w:tc>
          <w:tcPr>
            <w:tcW w:w="1459" w:type="dxa"/>
            <w:tcBorders>
              <w:tl2br w:val="nil"/>
              <w:tr2bl w:val="nil"/>
            </w:tcBorders>
            <w:noWrap/>
            <w:vAlign w:val="center"/>
          </w:tcPr>
          <w:p>
            <w:pPr>
              <w:keepNext w:val="0"/>
              <w:keepLines w:val="0"/>
              <w:widowControl/>
              <w:suppressLineNumbers w:val="0"/>
              <w:jc w:val="right"/>
              <w:textAlignment w:val="center"/>
              <w:rPr>
                <w:rFonts w:hint="default" w:ascii="Arial Narrow" w:hAnsi="Arial Narrow" w:eastAsia="Arial Narrow" w:cs="Arial Narrow"/>
                <w:i w:val="0"/>
                <w:color w:val="000000"/>
                <w:kern w:val="0"/>
                <w:sz w:val="20"/>
                <w:szCs w:val="20"/>
                <w:highlight w:val="none"/>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10,820.00 </w:t>
            </w:r>
          </w:p>
        </w:tc>
        <w:tc>
          <w:tcPr>
            <w:tcW w:w="1462" w:type="dxa"/>
            <w:tcBorders>
              <w:tl2br w:val="nil"/>
              <w:tr2bl w:val="nil"/>
            </w:tcBorders>
            <w:noWrap/>
            <w:vAlign w:val="center"/>
          </w:tcPr>
          <w:p>
            <w:pPr>
              <w:keepNext w:val="0"/>
              <w:keepLines w:val="0"/>
              <w:widowControl/>
              <w:suppressLineNumbers w:val="0"/>
              <w:jc w:val="right"/>
              <w:textAlignment w:val="center"/>
              <w:rPr>
                <w:rFonts w:ascii="Arial Narrow" w:hAnsi="Arial Narrow" w:cs="宋体"/>
                <w:color w:val="000000"/>
                <w:sz w:val="20"/>
                <w:szCs w:val="20"/>
                <w:highlight w:val="none"/>
              </w:rPr>
            </w:pPr>
            <w:r>
              <w:rPr>
                <w:rFonts w:hint="default" w:ascii="Arial Narrow" w:hAnsi="Arial Narrow" w:eastAsia="Arial Narrow" w:cs="Arial Narrow"/>
                <w:i w:val="0"/>
                <w:color w:val="000000"/>
                <w:kern w:val="0"/>
                <w:sz w:val="20"/>
                <w:szCs w:val="20"/>
                <w:highlight w:val="none"/>
                <w:u w:val="none"/>
                <w:lang w:val="en-US" w:eastAsia="zh-CN" w:bidi="ar"/>
              </w:rPr>
              <w:t>2</w:t>
            </w:r>
            <w:r>
              <w:rPr>
                <w:rFonts w:hint="eastAsia" w:ascii="Arial Narrow" w:hAnsi="Arial Narrow" w:eastAsia="Arial Narrow" w:cs="Arial Narrow"/>
                <w:i w:val="0"/>
                <w:color w:val="000000"/>
                <w:kern w:val="0"/>
                <w:sz w:val="20"/>
                <w:szCs w:val="20"/>
                <w:highlight w:val="none"/>
                <w:u w:val="none"/>
                <w:lang w:val="en-US" w:eastAsia="zh-CN" w:bidi="ar"/>
              </w:rPr>
              <w:t>4</w:t>
            </w:r>
            <w:r>
              <w:rPr>
                <w:rFonts w:hint="default" w:ascii="Arial Narrow" w:hAnsi="Arial Narrow" w:eastAsia="Arial Narrow" w:cs="Arial Narrow"/>
                <w:i w:val="0"/>
                <w:color w:val="000000"/>
                <w:kern w:val="0"/>
                <w:sz w:val="20"/>
                <w:szCs w:val="20"/>
                <w:highlight w:val="none"/>
                <w:u w:val="none"/>
                <w:lang w:val="en-US" w:eastAsia="zh-CN" w:bidi="ar"/>
              </w:rPr>
              <w:t>,</w:t>
            </w:r>
            <w:r>
              <w:rPr>
                <w:rFonts w:hint="eastAsia" w:ascii="Arial Narrow" w:hAnsi="Arial Narrow" w:eastAsia="Arial Narrow" w:cs="Arial Narrow"/>
                <w:i w:val="0"/>
                <w:color w:val="000000"/>
                <w:kern w:val="0"/>
                <w:sz w:val="20"/>
                <w:szCs w:val="20"/>
                <w:highlight w:val="none"/>
                <w:u w:val="none"/>
                <w:lang w:val="en-US" w:eastAsia="zh-CN" w:bidi="ar"/>
              </w:rPr>
              <w:t>0</w:t>
            </w:r>
            <w:r>
              <w:rPr>
                <w:rFonts w:hint="default" w:ascii="Arial Narrow" w:hAnsi="Arial Narrow" w:eastAsia="Arial Narrow" w:cs="Arial Narrow"/>
                <w:i w:val="0"/>
                <w:color w:val="000000"/>
                <w:kern w:val="0"/>
                <w:sz w:val="20"/>
                <w:szCs w:val="20"/>
                <w:highlight w:val="none"/>
                <w:u w:val="none"/>
                <w:lang w:val="en-US" w:eastAsia="zh-CN" w:bidi="ar"/>
              </w:rPr>
              <w:t>00.00</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PrEx>
        <w:trPr>
          <w:trHeight w:val="340" w:hRule="atLeast"/>
          <w:jc w:val="center"/>
        </w:trPr>
        <w:tc>
          <w:tcPr>
            <w:tcW w:w="2523" w:type="pct"/>
            <w:tcBorders>
              <w:tl2br w:val="nil"/>
              <w:tr2bl w:val="nil"/>
            </w:tcBorders>
            <w:noWrap/>
            <w:vAlign w:val="center"/>
          </w:tcPr>
          <w:p>
            <w:pPr>
              <w:widowControl/>
              <w:jc w:val="left"/>
              <w:textAlignment w:val="center"/>
              <w:rPr>
                <w:rFonts w:hint="default" w:cs="Arial Narrow" w:asciiTheme="minorEastAsia" w:hAnsiTheme="minorEastAsia" w:eastAsiaTheme="minorEastAsia"/>
                <w:b/>
                <w:bCs/>
                <w:color w:val="000000"/>
                <w:kern w:val="0"/>
                <w:sz w:val="20"/>
                <w:szCs w:val="20"/>
                <w:highlight w:val="none"/>
                <w:lang w:val="en-US" w:eastAsia="zh-CN"/>
              </w:rPr>
            </w:pPr>
            <w:r>
              <w:rPr>
                <w:rFonts w:hint="eastAsia" w:cs="Arial Narrow" w:asciiTheme="minorEastAsia" w:hAnsiTheme="minorEastAsia" w:eastAsiaTheme="minorEastAsia"/>
                <w:b/>
                <w:bCs/>
                <w:color w:val="000000"/>
                <w:kern w:val="0"/>
                <w:sz w:val="20"/>
                <w:szCs w:val="20"/>
                <w:highlight w:val="none"/>
              </w:rPr>
              <w:t>其中：</w:t>
            </w:r>
            <w:r>
              <w:rPr>
                <w:rFonts w:hint="eastAsia" w:cs="Arial Narrow" w:asciiTheme="minorEastAsia" w:hAnsiTheme="minorEastAsia" w:eastAsiaTheme="minorEastAsia"/>
                <w:b/>
                <w:bCs/>
                <w:color w:val="000000"/>
                <w:kern w:val="0"/>
                <w:sz w:val="20"/>
                <w:szCs w:val="20"/>
                <w:highlight w:val="none"/>
                <w:lang w:val="en-US" w:eastAsia="zh-CN"/>
              </w:rPr>
              <w:t>本批专项债券</w:t>
            </w:r>
          </w:p>
        </w:tc>
        <w:tc>
          <w:tcPr>
            <w:tcW w:w="1207" w:type="dxa"/>
            <w:tcBorders>
              <w:tl2br w:val="nil"/>
              <w:tr2bl w:val="nil"/>
            </w:tcBorders>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2"/>
                <w:sz w:val="20"/>
                <w:szCs w:val="20"/>
                <w:highlight w:val="none"/>
                <w:u w:val="none"/>
                <w:lang w:eastAsia="zh-CN" w:bidi="ar-SA"/>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c>
          <w:tcPr>
            <w:tcW w:w="1459" w:type="dxa"/>
            <w:tcBorders>
              <w:tl2br w:val="nil"/>
              <w:tr2bl w:val="nil"/>
            </w:tcBorders>
            <w:noWrap/>
            <w:vAlign w:val="center"/>
          </w:tcPr>
          <w:p>
            <w:pPr>
              <w:rPr>
                <w:rFonts w:hint="default" w:ascii="Arial Narrow" w:hAnsi="Arial Narrow" w:eastAsia="Arial Narrow" w:cs="Arial Narrow"/>
                <w:i w:val="0"/>
                <w:color w:val="000000"/>
                <w:kern w:val="0"/>
                <w:sz w:val="20"/>
                <w:szCs w:val="20"/>
                <w:highlight w:val="none"/>
                <w:u w:val="none"/>
                <w:lang w:val="en-US" w:eastAsia="zh-CN" w:bidi="ar"/>
              </w:rPr>
            </w:pPr>
          </w:p>
        </w:tc>
        <w:tc>
          <w:tcPr>
            <w:tcW w:w="1462" w:type="dxa"/>
            <w:tcBorders>
              <w:tl2br w:val="nil"/>
              <w:tr2bl w:val="nil"/>
            </w:tcBorders>
            <w:noWrap/>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2"/>
                <w:sz w:val="20"/>
                <w:szCs w:val="20"/>
                <w:highlight w:val="none"/>
                <w:u w:val="none"/>
                <w:lang w:eastAsia="zh-CN" w:bidi="ar-SA"/>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r>
    </w:tbl>
    <w:p>
      <w:pPr>
        <w:spacing w:before="100" w:beforeAutospacing="1" w:after="156" w:afterLines="50" w:line="360" w:lineRule="auto"/>
        <w:ind w:firstLine="562" w:firstLineChars="200"/>
        <w:outlineLvl w:val="0"/>
        <w:rPr>
          <w:rFonts w:ascii="仿宋" w:hAnsi="仿宋" w:eastAsia="仿宋"/>
          <w:b/>
          <w:sz w:val="28"/>
          <w:szCs w:val="28"/>
        </w:rPr>
      </w:pPr>
      <w:r>
        <w:rPr>
          <w:rFonts w:hint="eastAsia" w:ascii="仿宋" w:hAnsi="仿宋" w:eastAsia="仿宋" w:cs="仿宋"/>
          <w:b/>
          <w:sz w:val="28"/>
          <w:szCs w:val="28"/>
          <w:lang w:val="en-US" w:eastAsia="zh-CN"/>
        </w:rPr>
        <w:t>五</w:t>
      </w:r>
      <w:r>
        <w:rPr>
          <w:rFonts w:hint="eastAsia" w:ascii="仿宋" w:hAnsi="仿宋" w:eastAsia="仿宋" w:cs="仿宋"/>
          <w:b/>
          <w:sz w:val="28"/>
          <w:szCs w:val="28"/>
        </w:rPr>
        <w:t>、项目预期收益与融资平衡情况</w:t>
      </w:r>
    </w:p>
    <w:p>
      <w:pPr>
        <w:pStyle w:val="4"/>
        <w:spacing w:beforeLines="50"/>
        <w:ind w:firstLine="562" w:firstLineChars="200"/>
        <w:jc w:val="both"/>
        <w:rPr>
          <w:rFonts w:hint="eastAsia" w:ascii="仿宋" w:hAnsi="仿宋" w:eastAsia="仿宋" w:cs="Times New Roman"/>
          <w:b/>
          <w:sz w:val="28"/>
          <w:szCs w:val="28"/>
        </w:rPr>
      </w:pPr>
      <w:bookmarkStart w:id="0" w:name="_Toc527053866"/>
      <w:r>
        <w:rPr>
          <w:rFonts w:hint="eastAsia" w:ascii="仿宋" w:hAnsi="仿宋" w:eastAsia="仿宋" w:cs="Times New Roman"/>
          <w:b/>
          <w:sz w:val="28"/>
          <w:szCs w:val="28"/>
        </w:rPr>
        <w:t>（一）项目收入</w:t>
      </w:r>
      <w:bookmarkEnd w:id="0"/>
    </w:p>
    <w:p>
      <w:pPr>
        <w:pStyle w:val="23"/>
        <w:widowControl w:val="0"/>
        <w:tabs>
          <w:tab w:val="left" w:pos="196"/>
          <w:tab w:val="left" w:pos="426"/>
        </w:tabs>
        <w:spacing w:before="156" w:beforeLines="50" w:line="360" w:lineRule="auto"/>
        <w:ind w:left="0" w:leftChars="0" w:firstLine="560" w:firstLineChars="200"/>
        <w:jc w:val="both"/>
        <w:rPr>
          <w:rFonts w:hint="eastAsia" w:ascii="仿宋" w:hAnsi="仿宋" w:eastAsia="仿宋" w:cs="仿宋"/>
          <w:bCs/>
          <w:sz w:val="28"/>
          <w:szCs w:val="28"/>
        </w:rPr>
      </w:pPr>
      <w:bookmarkStart w:id="1" w:name="_Hlk535497282"/>
      <w:r>
        <w:rPr>
          <w:rFonts w:hint="eastAsia" w:ascii="仿宋" w:hAnsi="仿宋" w:eastAsia="仿宋" w:cs="仿宋"/>
          <w:bCs/>
          <w:sz w:val="28"/>
          <w:szCs w:val="28"/>
        </w:rPr>
        <w:t>项目主要收入为保教费收入、食宿午托收入</w:t>
      </w:r>
      <w:r>
        <w:rPr>
          <w:rFonts w:hint="eastAsia" w:ascii="仿宋" w:hAnsi="仿宋" w:eastAsia="仿宋" w:cs="仿宋"/>
          <w:bCs/>
          <w:sz w:val="28"/>
          <w:szCs w:val="28"/>
          <w:lang w:eastAsia="zh-CN"/>
        </w:rPr>
        <w:t>、</w:t>
      </w:r>
      <w:r>
        <w:rPr>
          <w:rFonts w:hint="eastAsia" w:ascii="仿宋" w:hAnsi="仿宋" w:eastAsia="仿宋" w:cs="仿宋"/>
          <w:bCs/>
          <w:sz w:val="28"/>
          <w:szCs w:val="28"/>
        </w:rPr>
        <w:t>教育培训收入和</w:t>
      </w:r>
      <w:r>
        <w:rPr>
          <w:rFonts w:hint="eastAsia" w:ascii="仿宋" w:hAnsi="仿宋" w:eastAsia="仿宋" w:cs="仿宋"/>
          <w:bCs/>
          <w:sz w:val="28"/>
          <w:szCs w:val="28"/>
          <w:lang w:val="en-US" w:eastAsia="zh-Hans"/>
        </w:rPr>
        <w:t>申请</w:t>
      </w:r>
      <w:r>
        <w:rPr>
          <w:rFonts w:hint="eastAsia" w:ascii="仿宋" w:hAnsi="仿宋" w:eastAsia="仿宋" w:cs="仿宋"/>
          <w:bCs/>
          <w:sz w:val="28"/>
          <w:szCs w:val="28"/>
        </w:rPr>
        <w:t>财政补助收入，债券存续内预计可实现收入 47,925.01 万元。</w:t>
      </w:r>
    </w:p>
    <w:p>
      <w:pPr>
        <w:pStyle w:val="23"/>
        <w:widowControl w:val="0"/>
        <w:tabs>
          <w:tab w:val="left" w:pos="196"/>
          <w:tab w:val="left" w:pos="426"/>
        </w:tabs>
        <w:spacing w:beforeLines="50" w:line="360" w:lineRule="auto"/>
        <w:ind w:left="0" w:leftChars="0" w:firstLine="560" w:firstLineChars="200"/>
        <w:jc w:val="both"/>
        <w:rPr>
          <w:rFonts w:hint="default" w:ascii="仿宋" w:hAnsi="仿宋" w:eastAsia="仿宋" w:cs="仿宋"/>
          <w:color w:val="000000"/>
          <w:kern w:val="0"/>
          <w:sz w:val="28"/>
          <w:szCs w:val="28"/>
          <w:lang w:val="en-US" w:eastAsia="zh-CN"/>
        </w:rPr>
      </w:pPr>
      <w:r>
        <w:rPr>
          <w:rFonts w:hint="eastAsia" w:ascii="仿宋" w:hAnsi="仿宋" w:eastAsia="仿宋" w:cs="仿宋"/>
          <w:bCs/>
          <w:sz w:val="28"/>
          <w:szCs w:val="28"/>
          <w:lang w:val="en-US" w:eastAsia="zh-CN"/>
        </w:rPr>
        <w:t>太原市杏花岭区</w:t>
      </w:r>
      <w:r>
        <w:rPr>
          <w:rFonts w:hint="eastAsia" w:ascii="仿宋" w:hAnsi="仿宋" w:eastAsia="仿宋" w:cs="仿宋"/>
          <w:bCs/>
          <w:sz w:val="28"/>
          <w:szCs w:val="28"/>
        </w:rPr>
        <w:t>是一个人口较为稠密的</w:t>
      </w:r>
      <w:r>
        <w:rPr>
          <w:rFonts w:hint="eastAsia" w:ascii="仿宋" w:hAnsi="仿宋" w:eastAsia="仿宋" w:cs="仿宋"/>
          <w:bCs/>
          <w:sz w:val="28"/>
          <w:szCs w:val="28"/>
          <w:lang w:val="en-US" w:eastAsia="zh-CN"/>
        </w:rPr>
        <w:t>区域</w:t>
      </w:r>
      <w:r>
        <w:rPr>
          <w:rFonts w:hint="eastAsia" w:ascii="仿宋" w:hAnsi="仿宋" w:eastAsia="仿宋" w:cs="仿宋"/>
          <w:bCs/>
          <w:sz w:val="28"/>
          <w:szCs w:val="28"/>
        </w:rPr>
        <w:t>，并且人口发展趋势正在缓慢增长，现有的幼儿园难以满足适龄儿童入园的需求，项目建成后将会带来很好的收益效果。</w:t>
      </w:r>
      <w:r>
        <w:rPr>
          <w:rFonts w:hint="eastAsia" w:ascii="仿宋" w:hAnsi="仿宋" w:eastAsia="仿宋" w:cs="仿宋"/>
          <w:bCs/>
          <w:sz w:val="28"/>
          <w:szCs w:val="28"/>
          <w:lang w:val="en-US" w:eastAsia="zh-Hans"/>
        </w:rPr>
        <w:t>根据太原市价格部门核定标准</w:t>
      </w:r>
      <w:r>
        <w:rPr>
          <w:rFonts w:hint="default" w:ascii="仿宋" w:hAnsi="仿宋" w:eastAsia="仿宋" w:cs="仿宋"/>
          <w:bCs/>
          <w:sz w:val="28"/>
          <w:szCs w:val="28"/>
          <w:lang w:eastAsia="zh-Hans"/>
        </w:rPr>
        <w:t>，</w:t>
      </w:r>
      <w:r>
        <w:rPr>
          <w:rFonts w:hint="eastAsia" w:ascii="仿宋" w:hAnsi="仿宋" w:eastAsia="仿宋" w:cs="仿宋"/>
          <w:bCs/>
          <w:sz w:val="28"/>
          <w:szCs w:val="28"/>
        </w:rPr>
        <w:t>康乐幼儿园</w:t>
      </w:r>
      <w:r>
        <w:rPr>
          <w:rFonts w:hint="eastAsia" w:ascii="仿宋" w:hAnsi="仿宋" w:eastAsia="仿宋" w:cs="仿宋"/>
          <w:bCs/>
          <w:sz w:val="28"/>
          <w:szCs w:val="28"/>
          <w:lang w:val="en-US" w:eastAsia="zh-CN"/>
        </w:rPr>
        <w:t>建成后预计</w:t>
      </w:r>
      <w:r>
        <w:rPr>
          <w:rFonts w:hint="eastAsia" w:ascii="仿宋" w:hAnsi="仿宋" w:eastAsia="仿宋" w:cs="仿宋"/>
          <w:bCs/>
          <w:sz w:val="28"/>
          <w:szCs w:val="28"/>
        </w:rPr>
        <w:t>保教费每生每月</w:t>
      </w:r>
      <w:r>
        <w:rPr>
          <w:rFonts w:hint="eastAsia" w:ascii="仿宋" w:hAnsi="仿宋" w:eastAsia="仿宋" w:cs="仿宋"/>
          <w:bCs/>
          <w:sz w:val="28"/>
          <w:szCs w:val="28"/>
          <w:lang w:val="en-US" w:eastAsia="zh-CN"/>
        </w:rPr>
        <w:t>500</w:t>
      </w:r>
      <w:r>
        <w:rPr>
          <w:rFonts w:hint="eastAsia" w:ascii="仿宋" w:hAnsi="仿宋" w:eastAsia="仿宋" w:cs="仿宋"/>
          <w:bCs/>
          <w:sz w:val="28"/>
          <w:szCs w:val="28"/>
        </w:rPr>
        <w:t>元，</w:t>
      </w:r>
      <w:r>
        <w:rPr>
          <w:rFonts w:hint="eastAsia" w:ascii="仿宋" w:hAnsi="仿宋" w:eastAsia="仿宋" w:cs="仿宋"/>
          <w:bCs/>
          <w:sz w:val="28"/>
          <w:szCs w:val="28"/>
          <w:lang w:val="en-US" w:eastAsia="zh-Hans"/>
        </w:rPr>
        <w:t>伙食费每生每天</w:t>
      </w:r>
      <w:r>
        <w:rPr>
          <w:rFonts w:hint="default" w:ascii="仿宋" w:hAnsi="仿宋" w:eastAsia="仿宋" w:cs="仿宋"/>
          <w:bCs/>
          <w:sz w:val="28"/>
          <w:szCs w:val="28"/>
          <w:lang w:eastAsia="zh-Hans"/>
        </w:rPr>
        <w:t>20</w:t>
      </w:r>
      <w:r>
        <w:rPr>
          <w:rFonts w:hint="eastAsia" w:ascii="仿宋" w:hAnsi="仿宋" w:eastAsia="仿宋" w:cs="仿宋"/>
          <w:bCs/>
          <w:sz w:val="28"/>
          <w:szCs w:val="28"/>
          <w:lang w:val="en-US" w:eastAsia="zh-Hans"/>
        </w:rPr>
        <w:t>元</w:t>
      </w:r>
      <w:r>
        <w:rPr>
          <w:rFonts w:hint="default" w:ascii="仿宋" w:hAnsi="仿宋" w:eastAsia="仿宋" w:cs="仿宋"/>
          <w:bCs/>
          <w:sz w:val="28"/>
          <w:szCs w:val="28"/>
          <w:lang w:eastAsia="zh-Hans"/>
        </w:rPr>
        <w:t>，</w:t>
      </w:r>
      <w:r>
        <w:rPr>
          <w:rFonts w:hint="eastAsia" w:ascii="仿宋" w:hAnsi="仿宋" w:eastAsia="仿宋" w:cs="仿宋"/>
          <w:bCs/>
          <w:sz w:val="28"/>
          <w:szCs w:val="28"/>
        </w:rPr>
        <w:t>幼儿园建成后最多可同时容纳</w:t>
      </w:r>
      <w:r>
        <w:rPr>
          <w:rFonts w:hint="eastAsia" w:ascii="仿宋" w:hAnsi="仿宋" w:eastAsia="仿宋" w:cs="仿宋"/>
          <w:bCs/>
          <w:sz w:val="28"/>
          <w:szCs w:val="28"/>
          <w:lang w:val="en-US" w:eastAsia="zh-CN"/>
        </w:rPr>
        <w:t>810</w:t>
      </w:r>
      <w:r>
        <w:rPr>
          <w:rFonts w:hint="eastAsia" w:ascii="仿宋" w:hAnsi="仿宋" w:eastAsia="仿宋" w:cs="仿宋"/>
          <w:bCs/>
          <w:sz w:val="28"/>
          <w:szCs w:val="28"/>
        </w:rPr>
        <w:t>人，结合按照每年在校时间10个月测算，伙食费按每月在校20天测算，并且收入每年</w:t>
      </w:r>
      <w:r>
        <w:rPr>
          <w:rFonts w:hint="eastAsia" w:ascii="仿宋" w:hAnsi="仿宋" w:eastAsia="仿宋" w:cs="仿宋"/>
          <w:bCs/>
          <w:sz w:val="28"/>
          <w:szCs w:val="28"/>
          <w:lang w:val="en-US" w:eastAsia="zh-CN"/>
        </w:rPr>
        <w:t>按照物价上涨合理</w:t>
      </w:r>
      <w:r>
        <w:rPr>
          <w:rFonts w:hint="eastAsia" w:ascii="仿宋" w:hAnsi="仿宋" w:eastAsia="仿宋" w:cs="仿宋"/>
          <w:bCs/>
          <w:sz w:val="28"/>
          <w:szCs w:val="28"/>
        </w:rPr>
        <w:t>递增；预计项目建成后，产生的教育培训收入按照保教收入的</w:t>
      </w:r>
      <w:r>
        <w:rPr>
          <w:rFonts w:hint="default" w:ascii="仿宋" w:hAnsi="仿宋" w:eastAsia="仿宋" w:cs="仿宋"/>
          <w:bCs/>
          <w:sz w:val="28"/>
          <w:szCs w:val="28"/>
        </w:rPr>
        <w:t>1</w:t>
      </w:r>
      <w:r>
        <w:rPr>
          <w:rFonts w:hint="eastAsia" w:ascii="仿宋" w:hAnsi="仿宋" w:eastAsia="仿宋" w:cs="仿宋"/>
          <w:bCs/>
          <w:sz w:val="28"/>
          <w:szCs w:val="28"/>
          <w:lang w:val="en-US" w:eastAsia="zh-Hans"/>
        </w:rPr>
        <w:t>.</w:t>
      </w:r>
      <w:r>
        <w:rPr>
          <w:rFonts w:hint="default" w:ascii="仿宋" w:hAnsi="仿宋" w:eastAsia="仿宋" w:cs="仿宋"/>
          <w:bCs/>
          <w:sz w:val="28"/>
          <w:szCs w:val="28"/>
          <w:lang w:eastAsia="zh-Hans"/>
        </w:rPr>
        <w:t>5</w:t>
      </w:r>
      <w:r>
        <w:rPr>
          <w:rFonts w:hint="eastAsia" w:ascii="仿宋" w:hAnsi="仿宋" w:eastAsia="仿宋" w:cs="仿宋"/>
          <w:bCs/>
          <w:sz w:val="28"/>
          <w:szCs w:val="28"/>
          <w:lang w:val="en-US" w:eastAsia="zh-CN"/>
        </w:rPr>
        <w:t>倍</w:t>
      </w:r>
      <w:r>
        <w:rPr>
          <w:rFonts w:hint="eastAsia" w:ascii="仿宋" w:hAnsi="仿宋" w:eastAsia="仿宋" w:cs="仿宋"/>
          <w:bCs/>
          <w:sz w:val="28"/>
          <w:szCs w:val="28"/>
        </w:rPr>
        <w:t>估算；基于项目属于教育类民生项目，项目单位申请运营期间根据亏损情况进行专项补助</w:t>
      </w:r>
      <w:r>
        <w:rPr>
          <w:rFonts w:hint="eastAsia" w:ascii="仿宋" w:hAnsi="仿宋" w:eastAsia="仿宋" w:cs="仿宋"/>
          <w:color w:val="000000"/>
          <w:kern w:val="0"/>
          <w:sz w:val="28"/>
          <w:szCs w:val="28"/>
          <w:lang w:val="en-US" w:eastAsia="zh-CN"/>
        </w:rPr>
        <w:t>。</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债券存续期收入预测如下：</w:t>
      </w:r>
      <w:bookmarkEnd w:id="1"/>
    </w:p>
    <w:p>
      <w:pPr>
        <w:ind w:firstLine="480" w:firstLineChars="200"/>
        <w:jc w:val="right"/>
        <w:rPr>
          <w:rFonts w:ascii="仿宋" w:hAnsi="仿宋" w:eastAsia="仿宋" w:cs="仿宋"/>
          <w:color w:val="000000"/>
          <w:kern w:val="0"/>
          <w:sz w:val="24"/>
        </w:rPr>
      </w:pPr>
      <w:r>
        <w:rPr>
          <w:rFonts w:hint="eastAsia" w:ascii="仿宋" w:hAnsi="仿宋" w:eastAsia="仿宋" w:cs="仿宋"/>
          <w:color w:val="000000"/>
          <w:kern w:val="0"/>
          <w:sz w:val="24"/>
        </w:rPr>
        <w:t>单位：万元</w:t>
      </w:r>
    </w:p>
    <w:tbl>
      <w:tblPr>
        <w:tblStyle w:val="16"/>
        <w:tblW w:w="4998"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904"/>
        <w:gridCol w:w="1343"/>
        <w:gridCol w:w="1344"/>
        <w:gridCol w:w="1344"/>
        <w:gridCol w:w="1320"/>
        <w:gridCol w:w="1264"/>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1117"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bookmarkStart w:id="2" w:name="RANGE!A2"/>
            <w:bookmarkStart w:id="3" w:name="_Hlk535497552"/>
            <w:r>
              <w:rPr>
                <w:rFonts w:hint="eastAsia" w:asciiTheme="minorEastAsia" w:hAnsiTheme="minorEastAsia" w:eastAsiaTheme="minorEastAsia"/>
                <w:b/>
                <w:bCs/>
                <w:color w:val="000000"/>
                <w:sz w:val="20"/>
                <w:szCs w:val="20"/>
              </w:rPr>
              <w:t>收入</w:t>
            </w:r>
            <w:bookmarkEnd w:id="2"/>
          </w:p>
        </w:tc>
        <w:tc>
          <w:tcPr>
            <w:tcW w:w="1343"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2024年</w:t>
            </w:r>
          </w:p>
        </w:tc>
        <w:tc>
          <w:tcPr>
            <w:tcW w:w="1344"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2025年</w:t>
            </w:r>
          </w:p>
        </w:tc>
        <w:tc>
          <w:tcPr>
            <w:tcW w:w="1344"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2026年</w:t>
            </w:r>
          </w:p>
        </w:tc>
        <w:tc>
          <w:tcPr>
            <w:tcW w:w="1320"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2027年</w:t>
            </w:r>
          </w:p>
        </w:tc>
        <w:tc>
          <w:tcPr>
            <w:tcW w:w="1264"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2028年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904" w:type="dxa"/>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保教费收入</w:t>
            </w:r>
          </w:p>
        </w:tc>
        <w:tc>
          <w:tcPr>
            <w:tcW w:w="134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78.75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315.00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346.50 </w:t>
            </w:r>
          </w:p>
        </w:tc>
        <w:tc>
          <w:tcPr>
            <w:tcW w:w="132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381.15 </w:t>
            </w:r>
          </w:p>
        </w:tc>
        <w:tc>
          <w:tcPr>
            <w:tcW w:w="126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419.27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904" w:type="dxa"/>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教育培训收入</w:t>
            </w:r>
          </w:p>
        </w:tc>
        <w:tc>
          <w:tcPr>
            <w:tcW w:w="134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118.13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472.50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519.75 </w:t>
            </w:r>
          </w:p>
        </w:tc>
        <w:tc>
          <w:tcPr>
            <w:tcW w:w="132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571.73 </w:t>
            </w:r>
          </w:p>
        </w:tc>
        <w:tc>
          <w:tcPr>
            <w:tcW w:w="126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628.91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904" w:type="dxa"/>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食宿午托收入</w:t>
            </w:r>
          </w:p>
        </w:tc>
        <w:tc>
          <w:tcPr>
            <w:tcW w:w="134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63.00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252.00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277.20 </w:t>
            </w:r>
          </w:p>
        </w:tc>
        <w:tc>
          <w:tcPr>
            <w:tcW w:w="132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304.92 </w:t>
            </w:r>
          </w:p>
        </w:tc>
        <w:tc>
          <w:tcPr>
            <w:tcW w:w="126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335.41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904" w:type="dxa"/>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Hans" w:bidi="ar"/>
              </w:rPr>
              <w:t>申请</w:t>
            </w:r>
            <w:r>
              <w:rPr>
                <w:rFonts w:hint="eastAsia" w:ascii="宋体" w:hAnsi="宋体" w:eastAsia="宋体" w:cs="宋体"/>
                <w:b/>
                <w:bCs/>
                <w:i w:val="0"/>
                <w:iCs w:val="0"/>
                <w:color w:val="000000"/>
                <w:kern w:val="0"/>
                <w:sz w:val="20"/>
                <w:szCs w:val="20"/>
                <w:u w:val="none"/>
                <w:lang w:val="en-US" w:eastAsia="zh-CN" w:bidi="ar"/>
              </w:rPr>
              <w:t>财政补助</w:t>
            </w:r>
          </w:p>
        </w:tc>
        <w:tc>
          <w:tcPr>
            <w:tcW w:w="134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312.50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32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26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904" w:type="dxa"/>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合计</w:t>
            </w:r>
          </w:p>
        </w:tc>
        <w:tc>
          <w:tcPr>
            <w:tcW w:w="134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572.38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2,289.50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2,393.45 </w:t>
            </w:r>
          </w:p>
        </w:tc>
        <w:tc>
          <w:tcPr>
            <w:tcW w:w="132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2,507.80 </w:t>
            </w:r>
          </w:p>
        </w:tc>
        <w:tc>
          <w:tcPr>
            <w:tcW w:w="126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2,633.59 </w:t>
            </w:r>
          </w:p>
        </w:tc>
      </w:tr>
      <w:bookmarkEnd w:id="3"/>
    </w:tbl>
    <w:p>
      <w:pPr>
        <w:ind w:firstLine="560" w:firstLineChars="200"/>
        <w:rPr>
          <w:rFonts w:ascii="仿宋" w:hAnsi="仿宋" w:eastAsia="仿宋" w:cs="仿宋"/>
          <w:color w:val="000000"/>
          <w:kern w:val="0"/>
          <w:sz w:val="28"/>
          <w:szCs w:val="28"/>
        </w:rPr>
      </w:pPr>
      <w:bookmarkStart w:id="4" w:name="_Toc527053868"/>
      <w:r>
        <w:rPr>
          <w:rFonts w:hint="eastAsia" w:ascii="仿宋" w:hAnsi="仿宋" w:eastAsia="仿宋" w:cs="仿宋"/>
          <w:color w:val="000000"/>
          <w:kern w:val="0"/>
          <w:sz w:val="28"/>
          <w:szCs w:val="28"/>
        </w:rPr>
        <w:t>续：</w:t>
      </w:r>
    </w:p>
    <w:tbl>
      <w:tblPr>
        <w:tblStyle w:val="16"/>
        <w:tblW w:w="4997"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658"/>
        <w:gridCol w:w="1169"/>
        <w:gridCol w:w="1169"/>
        <w:gridCol w:w="1169"/>
        <w:gridCol w:w="1149"/>
        <w:gridCol w:w="1101"/>
        <w:gridCol w:w="1102"/>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973"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收入</w:t>
            </w:r>
          </w:p>
        </w:tc>
        <w:tc>
          <w:tcPr>
            <w:tcW w:w="1169"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2029年</w:t>
            </w:r>
          </w:p>
        </w:tc>
        <w:tc>
          <w:tcPr>
            <w:tcW w:w="1169"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2030年</w:t>
            </w:r>
          </w:p>
        </w:tc>
        <w:tc>
          <w:tcPr>
            <w:tcW w:w="1169"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2031年</w:t>
            </w:r>
          </w:p>
        </w:tc>
        <w:tc>
          <w:tcPr>
            <w:tcW w:w="1149"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2032年</w:t>
            </w:r>
          </w:p>
        </w:tc>
        <w:tc>
          <w:tcPr>
            <w:tcW w:w="1101"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2033年</w:t>
            </w:r>
          </w:p>
        </w:tc>
        <w:tc>
          <w:tcPr>
            <w:tcW w:w="110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2034年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保教费收入</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461.20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507.32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558.05 </w:t>
            </w:r>
          </w:p>
        </w:tc>
        <w:tc>
          <w:tcPr>
            <w:tcW w:w="114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613.86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675.25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742.78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教育培训收入</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691.80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760.98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837.08 </w:t>
            </w:r>
          </w:p>
        </w:tc>
        <w:tc>
          <w:tcPr>
            <w:tcW w:w="114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920.79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1,012.88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1,114.17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食宿午托收入</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368.95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405.85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446.44 </w:t>
            </w:r>
          </w:p>
        </w:tc>
        <w:tc>
          <w:tcPr>
            <w:tcW w:w="114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491.08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540.19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594.21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Hans" w:bidi="ar"/>
              </w:rPr>
              <w:t>申请</w:t>
            </w:r>
            <w:r>
              <w:rPr>
                <w:rFonts w:hint="eastAsia" w:ascii="宋体" w:hAnsi="宋体" w:eastAsia="宋体" w:cs="宋体"/>
                <w:b/>
                <w:bCs/>
                <w:i w:val="0"/>
                <w:iCs w:val="0"/>
                <w:color w:val="000000"/>
                <w:kern w:val="0"/>
                <w:sz w:val="20"/>
                <w:szCs w:val="20"/>
                <w:u w:val="none"/>
                <w:lang w:val="en-US" w:eastAsia="zh-CN" w:bidi="ar"/>
              </w:rPr>
              <w:t>财政补助</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4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合计</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2,771.95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2,924.15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3,091.57 </w:t>
            </w:r>
          </w:p>
        </w:tc>
        <w:tc>
          <w:tcPr>
            <w:tcW w:w="114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3,275.73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3,478.32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3,701.16 </w:t>
            </w:r>
          </w:p>
        </w:tc>
      </w:tr>
    </w:tbl>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续：</w:t>
      </w:r>
    </w:p>
    <w:tbl>
      <w:tblPr>
        <w:tblStyle w:val="16"/>
        <w:tblW w:w="4997"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657"/>
        <w:gridCol w:w="1168"/>
        <w:gridCol w:w="1168"/>
        <w:gridCol w:w="1168"/>
        <w:gridCol w:w="1148"/>
        <w:gridCol w:w="1101"/>
        <w:gridCol w:w="1107"/>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973"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收入</w:t>
            </w:r>
          </w:p>
        </w:tc>
        <w:tc>
          <w:tcPr>
            <w:tcW w:w="1168"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2035年</w:t>
            </w:r>
          </w:p>
        </w:tc>
        <w:tc>
          <w:tcPr>
            <w:tcW w:w="1168"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2036年</w:t>
            </w:r>
          </w:p>
        </w:tc>
        <w:tc>
          <w:tcPr>
            <w:tcW w:w="1168"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2037年</w:t>
            </w:r>
          </w:p>
        </w:tc>
        <w:tc>
          <w:tcPr>
            <w:tcW w:w="1148"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2038年</w:t>
            </w:r>
          </w:p>
        </w:tc>
        <w:tc>
          <w:tcPr>
            <w:tcW w:w="1101"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2039年</w:t>
            </w:r>
          </w:p>
        </w:tc>
        <w:tc>
          <w:tcPr>
            <w:tcW w:w="1107"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合计</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保教费收入</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817.06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817.06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817.06 </w:t>
            </w:r>
          </w:p>
        </w:tc>
        <w:tc>
          <w:tcPr>
            <w:tcW w:w="114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817.06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408.53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8,775.90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教育培训收入</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1,225.59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1,225.59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1,225.59 </w:t>
            </w:r>
          </w:p>
        </w:tc>
        <w:tc>
          <w:tcPr>
            <w:tcW w:w="114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1,225.59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612.80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13,163.88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食宿午托收入</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653.63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718.99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790.89 </w:t>
            </w:r>
          </w:p>
        </w:tc>
        <w:tc>
          <w:tcPr>
            <w:tcW w:w="114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869.98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434.99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7,547.73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Hans" w:bidi="ar"/>
              </w:rPr>
              <w:t>申请</w:t>
            </w:r>
            <w:r>
              <w:rPr>
                <w:rFonts w:hint="eastAsia" w:ascii="宋体" w:hAnsi="宋体" w:eastAsia="宋体" w:cs="宋体"/>
                <w:b/>
                <w:bCs/>
                <w:i w:val="0"/>
                <w:iCs w:val="0"/>
                <w:color w:val="000000"/>
                <w:kern w:val="0"/>
                <w:sz w:val="20"/>
                <w:szCs w:val="20"/>
                <w:u w:val="none"/>
                <w:lang w:val="en-US" w:eastAsia="zh-CN" w:bidi="ar"/>
              </w:rPr>
              <w:t>财政补助</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4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625.00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18,437.50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合计</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3,946.28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4,011.64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4,083.54 </w:t>
            </w:r>
          </w:p>
        </w:tc>
        <w:tc>
          <w:tcPr>
            <w:tcW w:w="114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4,162.63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2,081.32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47,925.01 </w:t>
            </w:r>
          </w:p>
        </w:tc>
      </w:tr>
    </w:tbl>
    <w:p>
      <w:pPr>
        <w:pStyle w:val="4"/>
        <w:spacing w:beforeLines="50"/>
        <w:ind w:firstLine="562" w:firstLineChars="200"/>
        <w:jc w:val="both"/>
        <w:rPr>
          <w:rFonts w:hint="eastAsia" w:ascii="仿宋" w:hAnsi="仿宋" w:eastAsia="仿宋" w:cs="Times New Roman"/>
          <w:b/>
          <w:sz w:val="28"/>
          <w:szCs w:val="28"/>
        </w:rPr>
      </w:pPr>
      <w:r>
        <w:rPr>
          <w:rFonts w:hint="eastAsia" w:ascii="仿宋" w:hAnsi="仿宋" w:eastAsia="仿宋" w:cs="Times New Roman"/>
          <w:b/>
          <w:sz w:val="28"/>
          <w:szCs w:val="28"/>
        </w:rPr>
        <w:t>（</w:t>
      </w:r>
      <w:r>
        <w:rPr>
          <w:rFonts w:hint="eastAsia" w:ascii="仿宋" w:hAnsi="仿宋" w:eastAsia="仿宋" w:cs="Times New Roman"/>
          <w:b/>
          <w:sz w:val="28"/>
          <w:szCs w:val="28"/>
          <w:lang w:val="en-US" w:eastAsia="zh-CN"/>
        </w:rPr>
        <w:t>二</w:t>
      </w:r>
      <w:r>
        <w:rPr>
          <w:rFonts w:hint="eastAsia" w:ascii="仿宋" w:hAnsi="仿宋" w:eastAsia="仿宋" w:cs="Times New Roman"/>
          <w:b/>
          <w:sz w:val="28"/>
          <w:szCs w:val="28"/>
        </w:rPr>
        <w:t>）项目成本</w:t>
      </w:r>
    </w:p>
    <w:bookmarkEnd w:id="4"/>
    <w:p>
      <w:pPr>
        <w:ind w:firstLine="560" w:firstLineChars="200"/>
        <w:rPr>
          <w:rFonts w:hint="default" w:ascii="仿宋" w:hAnsi="仿宋" w:eastAsia="仿宋" w:cs="仿宋"/>
          <w:color w:val="000000"/>
          <w:kern w:val="0"/>
          <w:sz w:val="28"/>
          <w:szCs w:val="28"/>
        </w:rPr>
      </w:pPr>
      <w:bookmarkStart w:id="5" w:name="_Hlk535497679"/>
      <w:r>
        <w:rPr>
          <w:rFonts w:hint="default" w:ascii="仿宋" w:hAnsi="仿宋" w:eastAsia="仿宋" w:cs="仿宋"/>
          <w:color w:val="000000"/>
          <w:kern w:val="0"/>
          <w:sz w:val="28"/>
          <w:szCs w:val="28"/>
        </w:rPr>
        <w:t>项目</w:t>
      </w:r>
      <w:r>
        <w:rPr>
          <w:rFonts w:hint="eastAsia" w:ascii="仿宋" w:hAnsi="仿宋" w:eastAsia="仿宋" w:cs="仿宋"/>
          <w:color w:val="000000"/>
          <w:kern w:val="0"/>
          <w:sz w:val="28"/>
          <w:szCs w:val="28"/>
        </w:rPr>
        <w:t>运营成本主要包括人工薪酬、食材费用和管理费用</w:t>
      </w:r>
      <w:r>
        <w:rPr>
          <w:rFonts w:hint="default" w:ascii="仿宋" w:hAnsi="仿宋" w:eastAsia="仿宋" w:cs="仿宋"/>
          <w:color w:val="000000"/>
          <w:kern w:val="0"/>
          <w:sz w:val="28"/>
          <w:szCs w:val="28"/>
        </w:rPr>
        <w:t>，</w:t>
      </w:r>
      <w:r>
        <w:rPr>
          <w:rFonts w:hint="eastAsia" w:ascii="仿宋" w:hAnsi="仿宋" w:eastAsia="仿宋" w:cs="仿宋"/>
          <w:color w:val="000000"/>
          <w:kern w:val="0"/>
          <w:sz w:val="28"/>
          <w:szCs w:val="28"/>
        </w:rPr>
        <w:t>债券存续期内共发生成本约 6,013.48 万元。</w:t>
      </w:r>
    </w:p>
    <w:p>
      <w:pPr>
        <w:ind w:firstLine="560" w:firstLineChars="200"/>
        <w:rPr>
          <w:rFonts w:hint="default" w:ascii="仿宋" w:hAnsi="仿宋" w:eastAsia="仿宋" w:cs="仿宋"/>
          <w:color w:val="000000"/>
          <w:kern w:val="0"/>
          <w:sz w:val="28"/>
          <w:szCs w:val="28"/>
          <w:lang w:val="en-US"/>
        </w:rPr>
      </w:pPr>
      <w:r>
        <w:rPr>
          <w:rFonts w:hint="eastAsia" w:ascii="仿宋" w:hAnsi="仿宋" w:eastAsia="仿宋" w:cs="宋体"/>
          <w:sz w:val="28"/>
          <w:szCs w:val="28"/>
          <w:lang w:val="en-US" w:eastAsia="zh-Hans"/>
        </w:rPr>
        <w:t>根据幼儿园班级设置情况及规模</w:t>
      </w:r>
      <w:r>
        <w:rPr>
          <w:rFonts w:hint="default" w:ascii="仿宋" w:hAnsi="仿宋" w:eastAsia="仿宋" w:cs="宋体"/>
          <w:sz w:val="28"/>
          <w:szCs w:val="28"/>
          <w:lang w:eastAsia="zh-Hans"/>
        </w:rPr>
        <w:t>，</w:t>
      </w:r>
      <w:r>
        <w:rPr>
          <w:rFonts w:hint="default" w:ascii="仿宋" w:hAnsi="仿宋" w:eastAsia="仿宋" w:cs="仿宋"/>
          <w:bCs/>
          <w:sz w:val="28"/>
          <w:szCs w:val="28"/>
          <w:lang w:eastAsia="zh-Hans"/>
        </w:rPr>
        <w:t>预计项目员工约为40人，</w:t>
      </w:r>
      <w:r>
        <w:rPr>
          <w:rFonts w:hint="eastAsia" w:ascii="仿宋" w:hAnsi="仿宋" w:eastAsia="仿宋" w:cs="仿宋"/>
          <w:bCs/>
          <w:sz w:val="28"/>
          <w:szCs w:val="28"/>
          <w:lang w:val="en-US" w:eastAsia="zh-Hans"/>
        </w:rPr>
        <w:t>工资及福利费按</w:t>
      </w:r>
      <w:r>
        <w:rPr>
          <w:rFonts w:hint="default" w:ascii="仿宋" w:hAnsi="仿宋" w:eastAsia="仿宋" w:cs="仿宋"/>
          <w:bCs/>
          <w:sz w:val="28"/>
          <w:szCs w:val="28"/>
          <w:lang w:eastAsia="zh-Hans"/>
        </w:rPr>
        <w:t>3200</w:t>
      </w:r>
      <w:r>
        <w:rPr>
          <w:rFonts w:hint="eastAsia" w:ascii="仿宋" w:hAnsi="仿宋" w:eastAsia="仿宋" w:cs="仿宋"/>
          <w:bCs/>
          <w:sz w:val="28"/>
          <w:szCs w:val="28"/>
          <w:lang w:val="en-US" w:eastAsia="zh-Hans"/>
        </w:rPr>
        <w:t>元</w:t>
      </w:r>
      <w:r>
        <w:rPr>
          <w:rFonts w:hint="default" w:ascii="仿宋" w:hAnsi="仿宋" w:eastAsia="仿宋" w:cs="仿宋"/>
          <w:bCs/>
          <w:sz w:val="28"/>
          <w:szCs w:val="28"/>
          <w:lang w:eastAsia="zh-Hans"/>
        </w:rPr>
        <w:t>/</w:t>
      </w:r>
      <w:r>
        <w:rPr>
          <w:rFonts w:hint="eastAsia" w:ascii="仿宋" w:hAnsi="仿宋" w:eastAsia="仿宋" w:cs="仿宋"/>
          <w:bCs/>
          <w:sz w:val="28"/>
          <w:szCs w:val="28"/>
          <w:lang w:val="en-US" w:eastAsia="zh-Hans"/>
        </w:rPr>
        <w:t>月</w:t>
      </w:r>
      <w:r>
        <w:rPr>
          <w:rFonts w:hint="default" w:ascii="仿宋" w:hAnsi="仿宋" w:eastAsia="仿宋" w:cs="仿宋"/>
          <w:bCs/>
          <w:sz w:val="28"/>
          <w:szCs w:val="28"/>
          <w:lang w:eastAsia="zh-Hans"/>
        </w:rPr>
        <w:t>/</w:t>
      </w:r>
      <w:r>
        <w:rPr>
          <w:rFonts w:hint="eastAsia" w:ascii="仿宋" w:hAnsi="仿宋" w:eastAsia="仿宋" w:cs="仿宋"/>
          <w:bCs/>
          <w:sz w:val="28"/>
          <w:szCs w:val="28"/>
          <w:lang w:val="en-US" w:eastAsia="zh-Hans"/>
        </w:rPr>
        <w:t>人</w:t>
      </w:r>
      <w:r>
        <w:rPr>
          <w:rFonts w:hint="default" w:ascii="仿宋" w:hAnsi="仿宋" w:eastAsia="仿宋" w:cs="仿宋"/>
          <w:bCs/>
          <w:sz w:val="28"/>
          <w:szCs w:val="28"/>
          <w:lang w:eastAsia="zh-Hans"/>
        </w:rPr>
        <w:t>；</w:t>
      </w:r>
      <w:r>
        <w:rPr>
          <w:rFonts w:hint="eastAsia" w:ascii="仿宋" w:hAnsi="仿宋" w:eastAsia="仿宋" w:cs="仿宋"/>
          <w:color w:val="000000"/>
          <w:kern w:val="0"/>
          <w:sz w:val="28"/>
          <w:szCs w:val="28"/>
          <w:lang w:val="en-US" w:eastAsia="zh-Hans"/>
        </w:rPr>
        <w:t>食材费用按伙食费收入</w:t>
      </w:r>
      <w:r>
        <w:rPr>
          <w:rFonts w:hint="default" w:ascii="仿宋" w:hAnsi="仿宋" w:eastAsia="仿宋" w:cs="仿宋"/>
          <w:color w:val="000000"/>
          <w:kern w:val="0"/>
          <w:sz w:val="28"/>
          <w:szCs w:val="28"/>
          <w:lang w:eastAsia="zh-Hans"/>
        </w:rPr>
        <w:t>10%</w:t>
      </w:r>
      <w:r>
        <w:rPr>
          <w:rFonts w:hint="eastAsia" w:ascii="仿宋" w:hAnsi="仿宋" w:eastAsia="仿宋" w:cs="仿宋"/>
          <w:color w:val="000000"/>
          <w:kern w:val="0"/>
          <w:sz w:val="28"/>
          <w:szCs w:val="28"/>
          <w:lang w:val="en-US" w:eastAsia="zh-Hans"/>
        </w:rPr>
        <w:t>进行预测</w:t>
      </w:r>
      <w:r>
        <w:rPr>
          <w:rFonts w:hint="default" w:ascii="仿宋" w:hAnsi="仿宋" w:eastAsia="仿宋" w:cs="仿宋"/>
          <w:color w:val="000000"/>
          <w:kern w:val="0"/>
          <w:sz w:val="28"/>
          <w:szCs w:val="28"/>
          <w:lang w:eastAsia="zh-Hans"/>
        </w:rPr>
        <w:t>；</w:t>
      </w:r>
      <w:r>
        <w:rPr>
          <w:rFonts w:hint="eastAsia" w:ascii="仿宋" w:hAnsi="仿宋" w:eastAsia="仿宋" w:cs="仿宋"/>
          <w:color w:val="000000"/>
          <w:kern w:val="0"/>
          <w:sz w:val="28"/>
          <w:szCs w:val="28"/>
          <w:lang w:val="en-US" w:eastAsia="zh-Hans"/>
        </w:rPr>
        <w:t>管理费用按保教费及教育培训收入</w:t>
      </w:r>
      <w:r>
        <w:rPr>
          <w:rFonts w:hint="default" w:ascii="仿宋" w:hAnsi="仿宋" w:eastAsia="仿宋" w:cs="仿宋"/>
          <w:color w:val="000000"/>
          <w:kern w:val="0"/>
          <w:sz w:val="28"/>
          <w:szCs w:val="28"/>
          <w:lang w:eastAsia="zh-Hans"/>
        </w:rPr>
        <w:t>3%</w:t>
      </w:r>
      <w:r>
        <w:rPr>
          <w:rFonts w:hint="eastAsia" w:ascii="仿宋" w:hAnsi="仿宋" w:eastAsia="仿宋" w:cs="仿宋"/>
          <w:color w:val="000000"/>
          <w:kern w:val="0"/>
          <w:sz w:val="28"/>
          <w:szCs w:val="28"/>
          <w:lang w:val="en-US" w:eastAsia="zh-Hans"/>
        </w:rPr>
        <w:t>进行预测</w:t>
      </w:r>
      <w:r>
        <w:rPr>
          <w:rFonts w:hint="eastAsia" w:ascii="仿宋" w:hAnsi="仿宋" w:eastAsia="仿宋" w:cs="仿宋"/>
          <w:color w:val="000000"/>
          <w:kern w:val="0"/>
          <w:sz w:val="28"/>
          <w:szCs w:val="28"/>
          <w:lang w:val="en-US" w:eastAsia="zh-CN"/>
        </w:rPr>
        <w:t>。</w:t>
      </w:r>
    </w:p>
    <w:p>
      <w:pPr>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债券存续期成本预测如下：</w:t>
      </w:r>
    </w:p>
    <w:p>
      <w:pPr>
        <w:pStyle w:val="2"/>
        <w:ind w:firstLine="6960" w:firstLineChars="2900"/>
      </w:pPr>
      <w:r>
        <w:rPr>
          <w:rFonts w:hint="eastAsia" w:ascii="仿宋" w:hAnsi="仿宋" w:eastAsia="仿宋" w:cs="仿宋"/>
          <w:color w:val="000000"/>
          <w:kern w:val="0"/>
          <w:sz w:val="24"/>
        </w:rPr>
        <w:t>单位：万元</w:t>
      </w:r>
    </w:p>
    <w:tbl>
      <w:tblPr>
        <w:tblStyle w:val="16"/>
        <w:tblW w:w="4997"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2074"/>
        <w:gridCol w:w="1283"/>
        <w:gridCol w:w="1283"/>
        <w:gridCol w:w="1258"/>
        <w:gridCol w:w="1326"/>
        <w:gridCol w:w="1293"/>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1217"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成本</w:t>
            </w:r>
          </w:p>
        </w:tc>
        <w:tc>
          <w:tcPr>
            <w:tcW w:w="128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2024年</w:t>
            </w:r>
          </w:p>
        </w:tc>
        <w:tc>
          <w:tcPr>
            <w:tcW w:w="1283" w:type="dxa"/>
            <w:tcBorders>
              <w:tl2br w:val="nil"/>
              <w:tr2bl w:val="nil"/>
            </w:tcBorders>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2025年</w:t>
            </w:r>
          </w:p>
        </w:tc>
        <w:tc>
          <w:tcPr>
            <w:tcW w:w="1258"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2026年</w:t>
            </w:r>
          </w:p>
        </w:tc>
        <w:tc>
          <w:tcPr>
            <w:tcW w:w="1326"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2027年</w:t>
            </w:r>
          </w:p>
        </w:tc>
        <w:tc>
          <w:tcPr>
            <w:tcW w:w="1293"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2028年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2074" w:type="dxa"/>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人工薪酬</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38.40 </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153.60 </w:t>
            </w:r>
          </w:p>
        </w:tc>
        <w:tc>
          <w:tcPr>
            <w:tcW w:w="125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168.96 </w:t>
            </w:r>
          </w:p>
        </w:tc>
        <w:tc>
          <w:tcPr>
            <w:tcW w:w="13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185.86 </w:t>
            </w:r>
          </w:p>
        </w:tc>
        <w:tc>
          <w:tcPr>
            <w:tcW w:w="129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204.44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2074" w:type="dxa"/>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食材费用</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6.30 </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25.20 </w:t>
            </w:r>
          </w:p>
        </w:tc>
        <w:tc>
          <w:tcPr>
            <w:tcW w:w="125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27.72 </w:t>
            </w:r>
          </w:p>
        </w:tc>
        <w:tc>
          <w:tcPr>
            <w:tcW w:w="13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30.49 </w:t>
            </w:r>
          </w:p>
        </w:tc>
        <w:tc>
          <w:tcPr>
            <w:tcW w:w="129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33.54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2074" w:type="dxa"/>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管理费用</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5.91 </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23.63 </w:t>
            </w:r>
          </w:p>
        </w:tc>
        <w:tc>
          <w:tcPr>
            <w:tcW w:w="125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25.99 </w:t>
            </w:r>
          </w:p>
        </w:tc>
        <w:tc>
          <w:tcPr>
            <w:tcW w:w="13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28.59 </w:t>
            </w:r>
          </w:p>
        </w:tc>
        <w:tc>
          <w:tcPr>
            <w:tcW w:w="129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31.45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217" w:type="pct"/>
            <w:tcBorders>
              <w:tl2br w:val="nil"/>
              <w:tr2bl w:val="nil"/>
            </w:tcBorders>
            <w:noWrap/>
            <w:vAlign w:val="center"/>
          </w:tcPr>
          <w:p>
            <w:pPr>
              <w:jc w:val="center"/>
              <w:rPr>
                <w:rFonts w:hint="eastAsia"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小计</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50.61 </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202.43 </w:t>
            </w:r>
          </w:p>
        </w:tc>
        <w:tc>
          <w:tcPr>
            <w:tcW w:w="125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222.67 </w:t>
            </w:r>
          </w:p>
        </w:tc>
        <w:tc>
          <w:tcPr>
            <w:tcW w:w="13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244.94 </w:t>
            </w:r>
          </w:p>
        </w:tc>
        <w:tc>
          <w:tcPr>
            <w:tcW w:w="129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269.43 </w:t>
            </w:r>
          </w:p>
        </w:tc>
      </w:tr>
    </w:tbl>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续：</w:t>
      </w:r>
    </w:p>
    <w:tbl>
      <w:tblPr>
        <w:tblStyle w:val="16"/>
        <w:tblW w:w="4997"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743"/>
        <w:gridCol w:w="1115"/>
        <w:gridCol w:w="1033"/>
        <w:gridCol w:w="1045"/>
        <w:gridCol w:w="1129"/>
        <w:gridCol w:w="1226"/>
        <w:gridCol w:w="1226"/>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1023" w:type="pct"/>
            <w:tcBorders>
              <w:tl2br w:val="nil"/>
              <w:tr2bl w:val="nil"/>
            </w:tcBorders>
            <w:noWrap/>
            <w:vAlign w:val="center"/>
          </w:tcPr>
          <w:p>
            <w:pPr>
              <w:overflowPunct w:val="0"/>
              <w:autoSpaceDE w:val="0"/>
              <w:autoSpaceDN w:val="0"/>
              <w:adjustRightInd w:val="0"/>
              <w:jc w:val="center"/>
              <w:textAlignment w:val="baseline"/>
              <w:rPr>
                <w:rFonts w:cs="宋体" w:asciiTheme="minorEastAsia" w:hAnsiTheme="minorEastAsia" w:eastAsiaTheme="minorEastAsia"/>
                <w:b/>
                <w:sz w:val="20"/>
                <w:szCs w:val="20"/>
              </w:rPr>
            </w:pPr>
            <w:r>
              <w:rPr>
                <w:rFonts w:hint="eastAsia" w:cs="宋体" w:asciiTheme="minorEastAsia" w:hAnsiTheme="minorEastAsia" w:eastAsiaTheme="minorEastAsia"/>
                <w:b/>
                <w:sz w:val="20"/>
                <w:szCs w:val="20"/>
              </w:rPr>
              <w:t>成本</w:t>
            </w:r>
          </w:p>
        </w:tc>
        <w:tc>
          <w:tcPr>
            <w:tcW w:w="1115"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2029年</w:t>
            </w:r>
          </w:p>
        </w:tc>
        <w:tc>
          <w:tcPr>
            <w:tcW w:w="1033"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2030年</w:t>
            </w:r>
          </w:p>
        </w:tc>
        <w:tc>
          <w:tcPr>
            <w:tcW w:w="1045"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2031年</w:t>
            </w:r>
          </w:p>
        </w:tc>
        <w:tc>
          <w:tcPr>
            <w:tcW w:w="1129" w:type="dxa"/>
            <w:tcBorders>
              <w:tl2br w:val="nil"/>
              <w:tr2bl w:val="nil"/>
            </w:tcBorders>
            <w:noWrap/>
            <w:vAlign w:val="center"/>
          </w:tcPr>
          <w:p>
            <w:pPr>
              <w:keepNext w:val="0"/>
              <w:keepLines w:val="0"/>
              <w:widowControl/>
              <w:suppressLineNumbers w:val="0"/>
              <w:jc w:val="center"/>
              <w:textAlignment w:val="center"/>
              <w:rPr>
                <w:rFonts w:hint="eastAsia"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2032年</w:t>
            </w:r>
          </w:p>
        </w:tc>
        <w:tc>
          <w:tcPr>
            <w:tcW w:w="1226"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2033年</w:t>
            </w:r>
          </w:p>
        </w:tc>
        <w:tc>
          <w:tcPr>
            <w:tcW w:w="1226"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2034年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23"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人工薪酬</w:t>
            </w:r>
          </w:p>
        </w:tc>
        <w:tc>
          <w:tcPr>
            <w:tcW w:w="111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224.89 </w:t>
            </w:r>
          </w:p>
        </w:tc>
        <w:tc>
          <w:tcPr>
            <w:tcW w:w="103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247.37 </w:t>
            </w:r>
          </w:p>
        </w:tc>
        <w:tc>
          <w:tcPr>
            <w:tcW w:w="104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272.11 </w:t>
            </w:r>
          </w:p>
        </w:tc>
        <w:tc>
          <w:tcPr>
            <w:tcW w:w="112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299.32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329.26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362.18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23"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食材费用</w:t>
            </w:r>
          </w:p>
        </w:tc>
        <w:tc>
          <w:tcPr>
            <w:tcW w:w="111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36.90 </w:t>
            </w:r>
          </w:p>
        </w:tc>
        <w:tc>
          <w:tcPr>
            <w:tcW w:w="103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40.59 </w:t>
            </w:r>
          </w:p>
        </w:tc>
        <w:tc>
          <w:tcPr>
            <w:tcW w:w="104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44.64 </w:t>
            </w:r>
          </w:p>
        </w:tc>
        <w:tc>
          <w:tcPr>
            <w:tcW w:w="112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49.11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54.02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59.42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23"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管理费用</w:t>
            </w:r>
          </w:p>
        </w:tc>
        <w:tc>
          <w:tcPr>
            <w:tcW w:w="111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34.59 </w:t>
            </w:r>
          </w:p>
        </w:tc>
        <w:tc>
          <w:tcPr>
            <w:tcW w:w="103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38.05 </w:t>
            </w:r>
          </w:p>
        </w:tc>
        <w:tc>
          <w:tcPr>
            <w:tcW w:w="104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41.85 </w:t>
            </w:r>
          </w:p>
        </w:tc>
        <w:tc>
          <w:tcPr>
            <w:tcW w:w="112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46.04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50.64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55.71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23"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小计</w:t>
            </w:r>
          </w:p>
        </w:tc>
        <w:tc>
          <w:tcPr>
            <w:tcW w:w="111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296.38 </w:t>
            </w:r>
          </w:p>
        </w:tc>
        <w:tc>
          <w:tcPr>
            <w:tcW w:w="103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326.01 </w:t>
            </w:r>
          </w:p>
        </w:tc>
        <w:tc>
          <w:tcPr>
            <w:tcW w:w="104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358.60 </w:t>
            </w:r>
          </w:p>
        </w:tc>
        <w:tc>
          <w:tcPr>
            <w:tcW w:w="112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394.47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433.92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477.31 </w:t>
            </w:r>
          </w:p>
        </w:tc>
      </w:tr>
      <w:bookmarkEnd w:id="5"/>
    </w:tbl>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续：</w:t>
      </w:r>
    </w:p>
    <w:tbl>
      <w:tblPr>
        <w:tblStyle w:val="16"/>
        <w:tblW w:w="4998"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775"/>
        <w:gridCol w:w="1137"/>
        <w:gridCol w:w="1056"/>
        <w:gridCol w:w="1069"/>
        <w:gridCol w:w="1160"/>
        <w:gridCol w:w="1161"/>
        <w:gridCol w:w="1161"/>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1041" w:type="pct"/>
            <w:tcBorders>
              <w:tl2br w:val="nil"/>
              <w:tr2bl w:val="nil"/>
            </w:tcBorders>
            <w:noWrap/>
            <w:vAlign w:val="center"/>
          </w:tcPr>
          <w:p>
            <w:pPr>
              <w:overflowPunct w:val="0"/>
              <w:autoSpaceDE w:val="0"/>
              <w:autoSpaceDN w:val="0"/>
              <w:adjustRightInd w:val="0"/>
              <w:jc w:val="center"/>
              <w:textAlignment w:val="baseline"/>
              <w:rPr>
                <w:rFonts w:cs="宋体" w:asciiTheme="minorEastAsia" w:hAnsiTheme="minorEastAsia" w:eastAsiaTheme="minorEastAsia"/>
                <w:b/>
                <w:sz w:val="20"/>
                <w:szCs w:val="20"/>
              </w:rPr>
            </w:pPr>
            <w:r>
              <w:rPr>
                <w:rFonts w:hint="eastAsia" w:cs="宋体" w:asciiTheme="minorEastAsia" w:hAnsiTheme="minorEastAsia" w:eastAsiaTheme="minorEastAsia"/>
                <w:b/>
                <w:sz w:val="20"/>
                <w:szCs w:val="20"/>
              </w:rPr>
              <w:t>成本</w:t>
            </w:r>
          </w:p>
        </w:tc>
        <w:tc>
          <w:tcPr>
            <w:tcW w:w="1137"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2035年</w:t>
            </w:r>
          </w:p>
        </w:tc>
        <w:tc>
          <w:tcPr>
            <w:tcW w:w="1056"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2036年</w:t>
            </w:r>
          </w:p>
        </w:tc>
        <w:tc>
          <w:tcPr>
            <w:tcW w:w="1069"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2037年</w:t>
            </w:r>
          </w:p>
        </w:tc>
        <w:tc>
          <w:tcPr>
            <w:tcW w:w="1160"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b/>
                <w:i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2038年</w:t>
            </w:r>
          </w:p>
        </w:tc>
        <w:tc>
          <w:tcPr>
            <w:tcW w:w="1161" w:type="dxa"/>
            <w:tcBorders>
              <w:tl2br w:val="nil"/>
              <w:tr2bl w:val="nil"/>
            </w:tcBorders>
            <w:noWrap/>
            <w:vAlign w:val="center"/>
          </w:tcPr>
          <w:p>
            <w:pPr>
              <w:keepNext w:val="0"/>
              <w:keepLines w:val="0"/>
              <w:widowControl/>
              <w:suppressLineNumbers w:val="0"/>
              <w:jc w:val="center"/>
              <w:textAlignment w:val="center"/>
              <w:rPr>
                <w:rFonts w:hint="eastAsia"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2039年</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合计</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41"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b w:val="0"/>
                <w:bCs w:val="0"/>
                <w:color w:val="000000"/>
                <w:sz w:val="20"/>
                <w:szCs w:val="20"/>
              </w:rPr>
            </w:pPr>
            <w:r>
              <w:rPr>
                <w:rFonts w:hint="eastAsia" w:ascii="宋体" w:hAnsi="宋体" w:eastAsia="宋体" w:cs="宋体"/>
                <w:b/>
                <w:bCs/>
                <w:i w:val="0"/>
                <w:iCs w:val="0"/>
                <w:color w:val="000000"/>
                <w:kern w:val="0"/>
                <w:sz w:val="20"/>
                <w:szCs w:val="20"/>
                <w:u w:val="none"/>
                <w:lang w:val="en-US" w:eastAsia="zh-CN" w:bidi="ar"/>
              </w:rPr>
              <w:t>人工薪酬</w:t>
            </w:r>
          </w:p>
        </w:tc>
        <w:tc>
          <w:tcPr>
            <w:tcW w:w="1137"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398.40 </w:t>
            </w:r>
          </w:p>
        </w:tc>
        <w:tc>
          <w:tcPr>
            <w:tcW w:w="105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438.24 </w:t>
            </w:r>
          </w:p>
        </w:tc>
        <w:tc>
          <w:tcPr>
            <w:tcW w:w="10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482.06 </w:t>
            </w:r>
          </w:p>
        </w:tc>
        <w:tc>
          <w:tcPr>
            <w:tcW w:w="116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530.27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265.13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4,600.49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41"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b w:val="0"/>
                <w:bCs w:val="0"/>
                <w:color w:val="000000"/>
                <w:sz w:val="20"/>
                <w:szCs w:val="20"/>
              </w:rPr>
            </w:pPr>
            <w:r>
              <w:rPr>
                <w:rFonts w:hint="eastAsia" w:ascii="宋体" w:hAnsi="宋体" w:eastAsia="宋体" w:cs="宋体"/>
                <w:b/>
                <w:bCs/>
                <w:i w:val="0"/>
                <w:iCs w:val="0"/>
                <w:color w:val="000000"/>
                <w:kern w:val="0"/>
                <w:sz w:val="20"/>
                <w:szCs w:val="20"/>
                <w:u w:val="none"/>
                <w:lang w:val="en-US" w:eastAsia="zh-CN" w:bidi="ar"/>
              </w:rPr>
              <w:t>食材费用</w:t>
            </w:r>
          </w:p>
        </w:tc>
        <w:tc>
          <w:tcPr>
            <w:tcW w:w="1137"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65.36 </w:t>
            </w:r>
          </w:p>
        </w:tc>
        <w:tc>
          <w:tcPr>
            <w:tcW w:w="105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71.90 </w:t>
            </w:r>
          </w:p>
        </w:tc>
        <w:tc>
          <w:tcPr>
            <w:tcW w:w="10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79.09 </w:t>
            </w:r>
          </w:p>
        </w:tc>
        <w:tc>
          <w:tcPr>
            <w:tcW w:w="116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87.00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43.50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754.78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41"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b w:val="0"/>
                <w:bCs w:val="0"/>
                <w:color w:val="000000"/>
                <w:sz w:val="20"/>
                <w:szCs w:val="20"/>
              </w:rPr>
            </w:pPr>
            <w:r>
              <w:rPr>
                <w:rFonts w:hint="eastAsia" w:ascii="宋体" w:hAnsi="宋体" w:eastAsia="宋体" w:cs="宋体"/>
                <w:b/>
                <w:bCs/>
                <w:i w:val="0"/>
                <w:iCs w:val="0"/>
                <w:color w:val="000000"/>
                <w:kern w:val="0"/>
                <w:sz w:val="20"/>
                <w:szCs w:val="20"/>
                <w:u w:val="none"/>
                <w:lang w:val="en-US" w:eastAsia="zh-CN" w:bidi="ar"/>
              </w:rPr>
              <w:t>管理费用</w:t>
            </w:r>
          </w:p>
        </w:tc>
        <w:tc>
          <w:tcPr>
            <w:tcW w:w="1137"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61.28 </w:t>
            </w:r>
          </w:p>
        </w:tc>
        <w:tc>
          <w:tcPr>
            <w:tcW w:w="105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61.28 </w:t>
            </w:r>
          </w:p>
        </w:tc>
        <w:tc>
          <w:tcPr>
            <w:tcW w:w="10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61.28 </w:t>
            </w:r>
          </w:p>
        </w:tc>
        <w:tc>
          <w:tcPr>
            <w:tcW w:w="116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61.28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30.64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658.21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41"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小计</w:t>
            </w:r>
          </w:p>
        </w:tc>
        <w:tc>
          <w:tcPr>
            <w:tcW w:w="1137"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525.04 </w:t>
            </w:r>
          </w:p>
        </w:tc>
        <w:tc>
          <w:tcPr>
            <w:tcW w:w="105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571.42 </w:t>
            </w:r>
          </w:p>
        </w:tc>
        <w:tc>
          <w:tcPr>
            <w:tcW w:w="10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622.43 </w:t>
            </w:r>
          </w:p>
        </w:tc>
        <w:tc>
          <w:tcPr>
            <w:tcW w:w="116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678.55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339.27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6,013.48 </w:t>
            </w:r>
          </w:p>
        </w:tc>
      </w:tr>
    </w:tbl>
    <w:p>
      <w:pPr>
        <w:pStyle w:val="4"/>
        <w:spacing w:before="156" w:beforeLines="50"/>
        <w:ind w:firstLine="562" w:firstLineChars="200"/>
        <w:jc w:val="both"/>
        <w:rPr>
          <w:rFonts w:ascii="仿宋" w:hAnsi="仿宋" w:eastAsia="仿宋"/>
          <w:b/>
          <w:sz w:val="28"/>
          <w:szCs w:val="28"/>
        </w:rPr>
      </w:pPr>
      <w:r>
        <w:rPr>
          <w:rFonts w:hint="eastAsia" w:ascii="仿宋" w:hAnsi="仿宋" w:eastAsia="仿宋" w:cs="仿宋"/>
          <w:b/>
          <w:sz w:val="28"/>
          <w:szCs w:val="28"/>
          <w:shd w:val="clear" w:color="auto" w:fill="FFFFFF"/>
        </w:rPr>
        <w:t>（三）</w:t>
      </w:r>
      <w:r>
        <w:rPr>
          <w:rFonts w:hint="eastAsia" w:ascii="仿宋" w:hAnsi="仿宋" w:eastAsia="仿宋"/>
          <w:b/>
          <w:sz w:val="28"/>
          <w:szCs w:val="28"/>
        </w:rPr>
        <w:t>项目收益</w:t>
      </w:r>
    </w:p>
    <w:p>
      <w:pPr>
        <w:pStyle w:val="4"/>
        <w:spacing w:before="156" w:beforeLines="50"/>
        <w:ind w:firstLine="560" w:firstLineChars="200"/>
        <w:jc w:val="both"/>
        <w:rPr>
          <w:rFonts w:hint="eastAsia" w:ascii="仿宋" w:hAnsi="仿宋" w:eastAsia="仿宋"/>
          <w:sz w:val="28"/>
          <w:szCs w:val="28"/>
        </w:rPr>
      </w:pPr>
      <w:r>
        <w:rPr>
          <w:rFonts w:hint="eastAsia" w:ascii="仿宋" w:hAnsi="仿宋" w:eastAsia="仿宋"/>
          <w:sz w:val="28"/>
          <w:szCs w:val="28"/>
        </w:rPr>
        <w:t>综上，项目收益不考虑融资成本及非付现成本的情况下，202</w:t>
      </w:r>
      <w:r>
        <w:rPr>
          <w:rFonts w:hint="eastAsia" w:ascii="仿宋" w:hAnsi="仿宋" w:eastAsia="仿宋"/>
          <w:sz w:val="28"/>
          <w:szCs w:val="28"/>
          <w:lang w:val="en-US" w:eastAsia="zh-CN"/>
        </w:rPr>
        <w:t>2</w:t>
      </w:r>
      <w:r>
        <w:rPr>
          <w:rFonts w:hint="eastAsia" w:ascii="仿宋" w:hAnsi="仿宋" w:eastAsia="仿宋"/>
          <w:sz w:val="28"/>
          <w:szCs w:val="28"/>
        </w:rPr>
        <w:t>年至20</w:t>
      </w:r>
      <w:r>
        <w:rPr>
          <w:rFonts w:hint="eastAsia" w:ascii="仿宋" w:hAnsi="仿宋" w:eastAsia="仿宋"/>
          <w:sz w:val="28"/>
          <w:szCs w:val="28"/>
          <w:lang w:val="en-US" w:eastAsia="zh-CN"/>
        </w:rPr>
        <w:t>3</w:t>
      </w:r>
      <w:r>
        <w:rPr>
          <w:rFonts w:hint="default" w:ascii="仿宋" w:hAnsi="仿宋" w:eastAsia="仿宋"/>
          <w:sz w:val="28"/>
          <w:szCs w:val="28"/>
          <w:lang w:eastAsia="zh-CN"/>
        </w:rPr>
        <w:t>9</w:t>
      </w:r>
      <w:r>
        <w:rPr>
          <w:rFonts w:hint="eastAsia" w:ascii="仿宋" w:hAnsi="仿宋" w:eastAsia="仿宋"/>
          <w:sz w:val="28"/>
          <w:szCs w:val="28"/>
        </w:rPr>
        <w:t>年可用于还本付息净收益为 41,911.53 万元。</w:t>
      </w:r>
    </w:p>
    <w:p>
      <w:pPr>
        <w:pStyle w:val="4"/>
        <w:spacing w:before="156" w:beforeLines="50"/>
        <w:ind w:firstLine="562" w:firstLineChars="200"/>
        <w:jc w:val="both"/>
        <w:rPr>
          <w:rFonts w:ascii="仿宋" w:hAnsi="仿宋" w:eastAsia="仿宋"/>
          <w:b/>
          <w:sz w:val="28"/>
          <w:szCs w:val="28"/>
        </w:rPr>
      </w:pPr>
      <w:r>
        <w:rPr>
          <w:rFonts w:hint="eastAsia" w:ascii="仿宋" w:hAnsi="仿宋" w:eastAsia="仿宋"/>
          <w:b/>
          <w:sz w:val="28"/>
          <w:szCs w:val="28"/>
        </w:rPr>
        <w:t>（四）项目融资成本</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项目计划募投地方政府专项债券资金解决</w:t>
      </w:r>
      <w:r>
        <w:rPr>
          <w:rFonts w:hint="eastAsia" w:ascii="仿宋" w:hAnsi="仿宋" w:eastAsia="仿宋" w:cs="仿宋"/>
          <w:sz w:val="28"/>
          <w:szCs w:val="32"/>
          <w:highlight w:val="none"/>
          <w:lang w:val="en-US" w:eastAsia="zh-CN"/>
        </w:rPr>
        <w:t>24</w:t>
      </w:r>
      <w:r>
        <w:rPr>
          <w:rFonts w:hint="eastAsia" w:ascii="仿宋" w:hAnsi="仿宋" w:eastAsia="仿宋" w:cs="仿宋"/>
          <w:sz w:val="28"/>
          <w:szCs w:val="32"/>
          <w:highlight w:val="none"/>
        </w:rPr>
        <w:t>,</w:t>
      </w:r>
      <w:r>
        <w:rPr>
          <w:rFonts w:hint="eastAsia" w:ascii="仿宋" w:hAnsi="仿宋" w:eastAsia="仿宋" w:cs="仿宋"/>
          <w:sz w:val="28"/>
          <w:szCs w:val="32"/>
          <w:highlight w:val="none"/>
          <w:lang w:val="en-US" w:eastAsia="zh-CN"/>
        </w:rPr>
        <w:t>0</w:t>
      </w:r>
      <w:r>
        <w:rPr>
          <w:rFonts w:hint="eastAsia" w:ascii="仿宋" w:hAnsi="仿宋" w:eastAsia="仿宋" w:cs="仿宋"/>
          <w:sz w:val="28"/>
          <w:szCs w:val="32"/>
          <w:highlight w:val="none"/>
        </w:rPr>
        <w:t>00.00</w:t>
      </w:r>
      <w:r>
        <w:rPr>
          <w:rFonts w:hint="eastAsia" w:ascii="仿宋" w:hAnsi="仿宋" w:eastAsia="仿宋" w:cs="仿宋"/>
          <w:color w:val="000000"/>
          <w:kern w:val="0"/>
          <w:sz w:val="28"/>
          <w:szCs w:val="28"/>
        </w:rPr>
        <w:t>万元，</w:t>
      </w:r>
      <w:r>
        <w:rPr>
          <w:rFonts w:hint="eastAsia" w:ascii="仿宋" w:hAnsi="仿宋" w:eastAsia="仿宋" w:cs="仿宋"/>
          <w:color w:val="000000"/>
          <w:kern w:val="0"/>
          <w:sz w:val="28"/>
          <w:szCs w:val="28"/>
          <w:highlight w:val="none"/>
          <w:lang w:val="en-US" w:eastAsia="zh-Hans"/>
        </w:rPr>
        <w:t>本批次拟募投</w:t>
      </w:r>
      <w:r>
        <w:rPr>
          <w:rFonts w:hint="eastAsia" w:ascii="仿宋" w:hAnsi="仿宋" w:eastAsia="仿宋" w:cs="仿宋"/>
          <w:color w:val="000000"/>
          <w:kern w:val="0"/>
          <w:sz w:val="28"/>
          <w:szCs w:val="28"/>
          <w:highlight w:val="none"/>
          <w:lang w:val="en-US" w:eastAsia="zh-CN"/>
        </w:rPr>
        <w:t>1</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highlight w:val="none"/>
          <w:lang w:val="en-US" w:eastAsia="zh-CN"/>
        </w:rPr>
        <w:t>68</w:t>
      </w:r>
      <w:r>
        <w:rPr>
          <w:rFonts w:hint="default" w:ascii="仿宋" w:hAnsi="仿宋" w:eastAsia="仿宋" w:cs="仿宋"/>
          <w:color w:val="000000"/>
          <w:kern w:val="0"/>
          <w:sz w:val="28"/>
          <w:szCs w:val="28"/>
          <w:highlight w:val="none"/>
          <w:lang w:eastAsia="zh-Hans"/>
        </w:rPr>
        <w:t>0.00</w:t>
      </w:r>
      <w:r>
        <w:rPr>
          <w:rFonts w:hint="eastAsia" w:ascii="仿宋" w:hAnsi="仿宋" w:eastAsia="仿宋" w:cs="仿宋"/>
          <w:color w:val="000000"/>
          <w:kern w:val="0"/>
          <w:sz w:val="28"/>
          <w:szCs w:val="28"/>
          <w:highlight w:val="none"/>
          <w:lang w:val="en-US" w:eastAsia="zh-Hans"/>
        </w:rPr>
        <w:t>万元</w:t>
      </w:r>
      <w:r>
        <w:rPr>
          <w:rFonts w:hint="default" w:ascii="仿宋" w:hAnsi="仿宋" w:eastAsia="仿宋" w:cs="仿宋"/>
          <w:color w:val="000000"/>
          <w:kern w:val="0"/>
          <w:sz w:val="28"/>
          <w:szCs w:val="28"/>
          <w:highlight w:val="none"/>
          <w:lang w:eastAsia="zh-Hans"/>
        </w:rPr>
        <w:t>，</w:t>
      </w:r>
      <w:r>
        <w:rPr>
          <w:rFonts w:hint="eastAsia" w:ascii="仿宋" w:hAnsi="仿宋" w:eastAsia="仿宋" w:cs="仿宋"/>
          <w:color w:val="000000"/>
          <w:kern w:val="0"/>
          <w:sz w:val="28"/>
          <w:szCs w:val="28"/>
        </w:rPr>
        <w:t>债券还本方式为到期还本，每半年支付一次利息，融资成本为募投的地方政府专项债券利息费用，具体情况如下：</w:t>
      </w:r>
    </w:p>
    <w:p>
      <w:pPr>
        <w:spacing w:line="360" w:lineRule="auto"/>
        <w:ind w:firstLine="560" w:firstLineChars="200"/>
        <w:rPr>
          <w:rFonts w:ascii="仿宋" w:hAnsi="仿宋" w:eastAsia="仿宋" w:cs="仿宋"/>
          <w:b/>
          <w:sz w:val="28"/>
          <w:szCs w:val="28"/>
          <w:shd w:val="clear" w:color="auto" w:fill="FFFFFF"/>
        </w:rPr>
      </w:pPr>
      <w:r>
        <w:rPr>
          <w:rFonts w:hint="eastAsia" w:ascii="仿宋" w:hAnsi="仿宋" w:eastAsia="仿宋" w:cs="仿宋"/>
          <w:bCs/>
          <w:sz w:val="28"/>
          <w:szCs w:val="28"/>
        </w:rPr>
        <w:t>已募投到位的债券按照实际发行利率进行测算，202</w:t>
      </w:r>
      <w:r>
        <w:rPr>
          <w:rFonts w:hint="eastAsia" w:ascii="仿宋" w:hAnsi="仿宋" w:eastAsia="仿宋" w:cs="仿宋"/>
          <w:bCs/>
          <w:sz w:val="28"/>
          <w:szCs w:val="28"/>
          <w:lang w:val="en-US" w:eastAsia="zh-CN"/>
        </w:rPr>
        <w:t>3</w:t>
      </w:r>
      <w:r>
        <w:rPr>
          <w:rFonts w:hint="eastAsia" w:ascii="仿宋" w:hAnsi="仿宋" w:eastAsia="仿宋" w:cs="仿宋"/>
          <w:bCs/>
          <w:sz w:val="28"/>
          <w:szCs w:val="28"/>
        </w:rPr>
        <w:t>年募投债券票面利率参考当前</w:t>
      </w:r>
      <w:r>
        <w:rPr>
          <w:rFonts w:hint="eastAsia" w:ascii="仿宋" w:hAnsi="仿宋" w:eastAsia="仿宋" w:cs="仿宋"/>
          <w:bCs/>
          <w:sz w:val="28"/>
          <w:szCs w:val="28"/>
          <w:lang w:val="en-US" w:eastAsia="zh-CN"/>
        </w:rPr>
        <w:t>15</w:t>
      </w:r>
      <w:r>
        <w:rPr>
          <w:rFonts w:hint="eastAsia" w:ascii="仿宋" w:hAnsi="仿宋" w:eastAsia="仿宋" w:cs="仿宋"/>
          <w:bCs/>
          <w:sz w:val="28"/>
          <w:szCs w:val="28"/>
        </w:rPr>
        <w:t>年期国债收益率利率（基准日202</w:t>
      </w:r>
      <w:r>
        <w:rPr>
          <w:rFonts w:hint="eastAsia" w:ascii="仿宋" w:hAnsi="仿宋" w:eastAsia="仿宋" w:cs="仿宋"/>
          <w:bCs/>
          <w:sz w:val="28"/>
          <w:szCs w:val="28"/>
          <w:lang w:val="en-US" w:eastAsia="zh-CN"/>
        </w:rPr>
        <w:t>3</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11</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10</w:t>
      </w:r>
      <w:r>
        <w:rPr>
          <w:rFonts w:hint="eastAsia" w:ascii="仿宋" w:hAnsi="仿宋" w:eastAsia="仿宋" w:cs="仿宋"/>
          <w:bCs/>
          <w:sz w:val="28"/>
          <w:szCs w:val="28"/>
        </w:rPr>
        <w:t>日）</w:t>
      </w:r>
      <w:r>
        <w:rPr>
          <w:rFonts w:hint="eastAsia" w:ascii="仿宋" w:hAnsi="仿宋" w:eastAsia="仿宋" w:cs="仿宋"/>
          <w:color w:val="000000"/>
          <w:kern w:val="0"/>
          <w:sz w:val="28"/>
          <w:szCs w:val="28"/>
        </w:rPr>
        <w:t>上浮</w:t>
      </w:r>
      <w:r>
        <w:rPr>
          <w:rFonts w:hint="eastAsia" w:ascii="仿宋" w:hAnsi="仿宋" w:eastAsia="仿宋" w:cs="仿宋"/>
          <w:color w:val="000000"/>
          <w:kern w:val="0"/>
          <w:sz w:val="28"/>
          <w:szCs w:val="28"/>
          <w:lang w:val="en-US" w:eastAsia="zh-CN"/>
        </w:rPr>
        <w:t>50bp</w:t>
      </w:r>
      <w:r>
        <w:rPr>
          <w:rFonts w:hint="eastAsia" w:ascii="仿宋" w:hAnsi="仿宋" w:eastAsia="仿宋" w:cs="仿宋"/>
          <w:color w:val="000000"/>
          <w:kern w:val="0"/>
          <w:sz w:val="28"/>
          <w:szCs w:val="28"/>
        </w:rPr>
        <w:t>来测算</w:t>
      </w:r>
      <w:r>
        <w:rPr>
          <w:rFonts w:hint="eastAsia" w:ascii="仿宋" w:hAnsi="仿宋" w:eastAsia="仿宋" w:cs="仿宋"/>
          <w:bCs/>
          <w:sz w:val="28"/>
          <w:szCs w:val="28"/>
        </w:rPr>
        <w:t>，</w:t>
      </w:r>
      <w:bookmarkStart w:id="6" w:name="_GoBack"/>
      <w:bookmarkEnd w:id="6"/>
      <w:r>
        <w:rPr>
          <w:rFonts w:hint="eastAsia" w:ascii="仿宋" w:hAnsi="仿宋" w:eastAsia="仿宋" w:cs="仿宋"/>
          <w:bCs/>
          <w:sz w:val="28"/>
          <w:szCs w:val="28"/>
        </w:rPr>
        <w:t>约为</w:t>
      </w:r>
      <w:r>
        <w:rPr>
          <w:rFonts w:hint="eastAsia" w:ascii="仿宋" w:hAnsi="仿宋" w:eastAsia="仿宋" w:cs="仿宋"/>
          <w:bCs/>
          <w:sz w:val="28"/>
          <w:szCs w:val="28"/>
          <w:lang w:val="en-US" w:eastAsia="zh-CN"/>
        </w:rPr>
        <w:t>3.</w:t>
      </w:r>
      <w:r>
        <w:rPr>
          <w:rFonts w:hint="default" w:ascii="仿宋" w:hAnsi="仿宋" w:eastAsia="仿宋" w:cs="仿宋"/>
          <w:bCs/>
          <w:sz w:val="28"/>
          <w:szCs w:val="28"/>
          <w:lang w:eastAsia="zh-CN"/>
        </w:rPr>
        <w:t>2</w:t>
      </w:r>
      <w:r>
        <w:rPr>
          <w:rFonts w:hint="eastAsia" w:ascii="仿宋" w:hAnsi="仿宋" w:eastAsia="仿宋" w:cs="仿宋"/>
          <w:bCs/>
          <w:sz w:val="28"/>
          <w:szCs w:val="28"/>
          <w:lang w:val="en-US" w:eastAsia="zh-CN"/>
        </w:rPr>
        <w:t>6</w:t>
      </w:r>
      <w:r>
        <w:rPr>
          <w:rFonts w:ascii="仿宋" w:hAnsi="仿宋" w:eastAsia="仿宋" w:cs="仿宋"/>
          <w:bCs/>
          <w:sz w:val="28"/>
          <w:szCs w:val="28"/>
        </w:rPr>
        <w:t>%</w:t>
      </w:r>
      <w:r>
        <w:rPr>
          <w:rFonts w:hint="eastAsia" w:ascii="仿宋" w:hAnsi="仿宋" w:eastAsia="仿宋" w:cs="仿宋"/>
          <w:bCs/>
          <w:sz w:val="28"/>
          <w:szCs w:val="28"/>
        </w:rPr>
        <w:t>。</w:t>
      </w:r>
      <w:r>
        <w:rPr>
          <w:rFonts w:hint="eastAsia" w:ascii="仿宋" w:hAnsi="仿宋" w:eastAsia="仿宋" w:cs="仿宋"/>
          <w:color w:val="000000"/>
          <w:kern w:val="0"/>
          <w:sz w:val="28"/>
          <w:szCs w:val="28"/>
        </w:rPr>
        <w:t>202</w:t>
      </w:r>
      <w:r>
        <w:rPr>
          <w:rFonts w:hint="eastAsia" w:ascii="仿宋" w:hAnsi="仿宋" w:eastAsia="仿宋" w:cs="仿宋"/>
          <w:color w:val="000000"/>
          <w:kern w:val="0"/>
          <w:sz w:val="28"/>
          <w:szCs w:val="28"/>
          <w:lang w:val="en-US" w:eastAsia="zh-CN"/>
        </w:rPr>
        <w:t>3</w:t>
      </w:r>
      <w:r>
        <w:rPr>
          <w:rFonts w:hint="eastAsia" w:ascii="仿宋" w:hAnsi="仿宋" w:eastAsia="仿宋" w:cs="仿宋"/>
          <w:color w:val="000000"/>
          <w:kern w:val="0"/>
          <w:sz w:val="28"/>
          <w:szCs w:val="28"/>
        </w:rPr>
        <w:t>年至20</w:t>
      </w:r>
      <w:r>
        <w:rPr>
          <w:rFonts w:hint="eastAsia" w:ascii="仿宋" w:hAnsi="仿宋" w:eastAsia="仿宋" w:cs="仿宋"/>
          <w:color w:val="000000"/>
          <w:kern w:val="0"/>
          <w:sz w:val="28"/>
          <w:szCs w:val="28"/>
          <w:lang w:val="en-US" w:eastAsia="zh-CN"/>
        </w:rPr>
        <w:t>39</w:t>
      </w:r>
      <w:r>
        <w:rPr>
          <w:rFonts w:hint="eastAsia" w:ascii="仿宋" w:hAnsi="仿宋" w:eastAsia="仿宋" w:cs="仿宋"/>
          <w:color w:val="000000"/>
          <w:kern w:val="0"/>
          <w:sz w:val="28"/>
          <w:szCs w:val="28"/>
        </w:rPr>
        <w:t>年共计需要支付债券利息费用 11,519.10 万元。</w:t>
      </w:r>
    </w:p>
    <w:p>
      <w:pPr>
        <w:pStyle w:val="4"/>
        <w:spacing w:before="312"/>
        <w:ind w:firstLine="422" w:firstLineChars="150"/>
        <w:jc w:val="both"/>
        <w:rPr>
          <w:rFonts w:ascii="仿宋" w:hAnsi="仿宋" w:eastAsia="仿宋" w:cs="仿宋"/>
          <w:b/>
          <w:sz w:val="28"/>
          <w:szCs w:val="28"/>
          <w:shd w:val="clear" w:color="auto" w:fill="FFFFFF"/>
        </w:rPr>
      </w:pPr>
      <w:r>
        <w:rPr>
          <w:rFonts w:hint="eastAsia" w:ascii="仿宋" w:hAnsi="仿宋" w:eastAsia="仿宋" w:cs="仿宋"/>
          <w:b/>
          <w:sz w:val="28"/>
          <w:szCs w:val="28"/>
          <w:shd w:val="clear" w:color="auto" w:fill="FFFFFF"/>
        </w:rPr>
        <w:t>（五）资金测算平衡情况</w:t>
      </w:r>
    </w:p>
    <w:p>
      <w:pPr>
        <w:widowControl/>
        <w:spacing w:line="360" w:lineRule="auto"/>
        <w:ind w:firstLine="560" w:firstLineChars="200"/>
        <w:jc w:val="left"/>
        <w:rPr>
          <w:rFonts w:ascii="仿宋" w:hAnsi="仿宋" w:eastAsia="仿宋" w:cs="仿宋"/>
          <w:kern w:val="0"/>
          <w:sz w:val="28"/>
          <w:szCs w:val="28"/>
        </w:rPr>
      </w:pPr>
      <w:r>
        <w:rPr>
          <w:rFonts w:hint="eastAsia" w:ascii="仿宋" w:hAnsi="仿宋" w:eastAsia="仿宋" w:cs="仿宋"/>
          <w:color w:val="000000"/>
          <w:kern w:val="0"/>
          <w:sz w:val="28"/>
          <w:szCs w:val="28"/>
        </w:rPr>
        <w:t>根据前述财务数据进行如下项目资金平衡测算，在本债券存续期内，项目对应的收益可有效覆盖债券对应地方政府专项债券项目的债券本息支出。项目本息覆盖率可达到1.</w:t>
      </w:r>
      <w:r>
        <w:rPr>
          <w:rFonts w:hint="default" w:ascii="仿宋" w:hAnsi="仿宋" w:eastAsia="仿宋" w:cs="仿宋"/>
          <w:color w:val="000000"/>
          <w:kern w:val="0"/>
          <w:sz w:val="28"/>
          <w:szCs w:val="28"/>
        </w:rPr>
        <w:t>18</w:t>
      </w:r>
      <w:r>
        <w:rPr>
          <w:rFonts w:hint="eastAsia" w:ascii="仿宋" w:hAnsi="仿宋" w:eastAsia="仿宋" w:cs="仿宋"/>
          <w:color w:val="000000"/>
          <w:kern w:val="0"/>
          <w:sz w:val="28"/>
          <w:szCs w:val="28"/>
        </w:rPr>
        <w:t>倍，期末项目现金净结余量为 6,556.89 万元。项目完成后能够实现充足、稳定的现金流收入，能够覆盖专项债券还本付息的规模，由此可知，本项目能够实现项目收益与融资自求平衡</w:t>
      </w:r>
      <w:r>
        <w:rPr>
          <w:rFonts w:hint="eastAsia" w:ascii="仿宋" w:hAnsi="仿宋" w:eastAsia="仿宋" w:cs="仿宋"/>
          <w:kern w:val="0"/>
          <w:sz w:val="28"/>
          <w:szCs w:val="28"/>
        </w:rPr>
        <w:t>。</w:t>
      </w:r>
    </w:p>
    <w:p>
      <w:pPr>
        <w:spacing w:line="360" w:lineRule="auto"/>
        <w:ind w:right="400" w:firstLine="402" w:firstLineChars="200"/>
        <w:rPr>
          <w:rFonts w:ascii="仿宋" w:hAnsi="仿宋" w:eastAsia="仿宋" w:cs="宋体"/>
          <w:b/>
          <w:sz w:val="20"/>
          <w:szCs w:val="20"/>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ind w:firstLine="562" w:firstLineChars="200"/>
        <w:jc w:val="cente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资金平衡表</w:t>
      </w:r>
    </w:p>
    <w:p>
      <w:pPr>
        <w:ind w:firstLine="482" w:firstLineChars="200"/>
        <w:jc w:val="right"/>
        <w:rPr>
          <w:rFonts w:hint="eastAsia" w:ascii="仿宋" w:hAnsi="仿宋" w:eastAsia="仿宋" w:cs="宋体"/>
          <w:b/>
          <w:sz w:val="24"/>
          <w:szCs w:val="24"/>
          <w:lang w:val="en-US" w:eastAsia="zh-CN"/>
        </w:rPr>
      </w:pPr>
      <w:r>
        <w:rPr>
          <w:rFonts w:hint="eastAsia" w:ascii="仿宋" w:hAnsi="仿宋" w:eastAsia="仿宋" w:cs="宋体"/>
          <w:b/>
          <w:sz w:val="24"/>
          <w:szCs w:val="24"/>
          <w:lang w:val="en-US" w:eastAsia="zh-CN"/>
        </w:rPr>
        <w:t>单位：万元</w:t>
      </w:r>
    </w:p>
    <w:tbl>
      <w:tblPr>
        <w:tblStyle w:val="16"/>
        <w:tblW w:w="4997"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487"/>
        <w:gridCol w:w="2926"/>
        <w:gridCol w:w="1312"/>
        <w:gridCol w:w="1180"/>
        <w:gridCol w:w="1180"/>
        <w:gridCol w:w="1180"/>
        <w:gridCol w:w="1180"/>
        <w:gridCol w:w="1180"/>
        <w:gridCol w:w="1180"/>
        <w:gridCol w:w="1180"/>
        <w:gridCol w:w="1180"/>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blHeader/>
        </w:trPr>
        <w:tc>
          <w:tcPr>
            <w:tcW w:w="172" w:type="pct"/>
            <w:vAlign w:val="center"/>
          </w:tcPr>
          <w:p>
            <w:pPr>
              <w:jc w:val="center"/>
              <w:rPr>
                <w:rFonts w:ascii="宋体" w:hAnsi="宋体" w:cs="宋体"/>
                <w:b/>
                <w:kern w:val="0"/>
                <w:sz w:val="20"/>
                <w:szCs w:val="16"/>
              </w:rPr>
            </w:pPr>
            <w:r>
              <w:rPr>
                <w:rFonts w:hint="eastAsia" w:ascii="宋体" w:hAnsi="宋体" w:cs="宋体"/>
                <w:b/>
                <w:kern w:val="0"/>
                <w:sz w:val="20"/>
                <w:szCs w:val="16"/>
              </w:rPr>
              <w:t>序号</w:t>
            </w:r>
          </w:p>
        </w:tc>
        <w:tc>
          <w:tcPr>
            <w:tcW w:w="1032" w:type="pct"/>
            <w:vAlign w:val="center"/>
          </w:tcPr>
          <w:p>
            <w:pPr>
              <w:jc w:val="center"/>
              <w:rPr>
                <w:rFonts w:ascii="宋体" w:hAnsi="宋体" w:cs="宋体"/>
                <w:b/>
                <w:kern w:val="0"/>
                <w:sz w:val="20"/>
                <w:szCs w:val="16"/>
              </w:rPr>
            </w:pPr>
            <w:r>
              <w:rPr>
                <w:rFonts w:hint="eastAsia" w:ascii="宋体" w:hAnsi="宋体" w:cs="宋体"/>
                <w:b/>
                <w:kern w:val="0"/>
                <w:sz w:val="20"/>
                <w:szCs w:val="16"/>
              </w:rPr>
              <w:t>项目</w:t>
            </w:r>
          </w:p>
        </w:tc>
        <w:tc>
          <w:tcPr>
            <w:tcW w:w="1312"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2023</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eastAsia"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2024</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2025</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2026</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2027</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2028</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2029</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2030</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Narrow" w:hAnsi="Arial Narrow" w:eastAsia="Arial Narrow" w:cs="Arial Narrow"/>
                <w:b/>
                <w:bCs/>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2031</w:t>
            </w:r>
            <w:r>
              <w:rPr>
                <w:rFonts w:hint="eastAsia" w:ascii="宋体" w:hAnsi="宋体" w:eastAsia="宋体" w:cs="宋体"/>
                <w:b/>
                <w:bCs/>
                <w:i w:val="0"/>
                <w:iCs w:val="0"/>
                <w:color w:val="000000"/>
                <w:kern w:val="0"/>
                <w:sz w:val="18"/>
                <w:szCs w:val="18"/>
                <w:u w:val="none"/>
                <w:lang w:val="en-US" w:eastAsia="zh-CN" w:bidi="ar"/>
              </w:rPr>
              <w:t>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w:t>
            </w:r>
          </w:p>
        </w:tc>
        <w:tc>
          <w:tcPr>
            <w:tcW w:w="1032"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项目资金流入（1=2+3+4+5+6）</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13,274.80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17,312.52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2,087.07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2,170.78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2,262.86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2,364.16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2,475.57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2,598.14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2,732.97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2</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自有资金投入（不含专项债券）</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94.80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5,970.75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其中：财政资金</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94.80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5,970.75 </w:t>
            </w: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3</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银行贷款等市场化配套融资</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4</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专项债券资金</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13,180.00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10,820.00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其中：本批债券</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5</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其他资金</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6</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净收益</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521.77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2,087.07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2,170.78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2,262.86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2,364.16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2,475.57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2,598.14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2,732.97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7</w:t>
            </w:r>
          </w:p>
        </w:tc>
        <w:tc>
          <w:tcPr>
            <w:tcW w:w="1032" w:type="pct"/>
            <w:vAlign w:val="center"/>
          </w:tcPr>
          <w:p>
            <w:pPr>
              <w:widowControl/>
              <w:jc w:val="left"/>
              <w:textAlignment w:val="center"/>
              <w:rPr>
                <w:rFonts w:hint="default" w:ascii="宋体" w:hAnsi="宋体" w:cs="宋体"/>
                <w:kern w:val="0"/>
                <w:sz w:val="20"/>
                <w:szCs w:val="16"/>
              </w:rPr>
            </w:pPr>
            <w:r>
              <w:rPr>
                <w:rFonts w:hint="eastAsia" w:ascii="宋体" w:hAnsi="宋体" w:cs="宋体"/>
                <w:b/>
                <w:color w:val="000000"/>
                <w:kern w:val="0"/>
                <w:sz w:val="18"/>
                <w:szCs w:val="18"/>
              </w:rPr>
              <w:t>开发建设支出</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13,180.00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16,721.09 </w:t>
            </w: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8</w:t>
            </w:r>
          </w:p>
        </w:tc>
        <w:tc>
          <w:tcPr>
            <w:tcW w:w="1032"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融资支出（8=9+10+11）</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94.80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591.43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9</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专项债券利息支出</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94.80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591.43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其中：本批专项债券利息</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10</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专项债券本金支出</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其中：本批债券本金</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11</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eastAsia="宋体" w:cs="宋体"/>
                <w:b w:val="0"/>
                <w:bCs/>
                <w:color w:val="000000"/>
                <w:kern w:val="0"/>
                <w:sz w:val="18"/>
                <w:szCs w:val="18"/>
              </w:rPr>
              <w:t>银行贷款等市场化配套融资本息</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12</w:t>
            </w:r>
          </w:p>
        </w:tc>
        <w:tc>
          <w:tcPr>
            <w:tcW w:w="1032"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当年结余（12=1-7-8）</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1,319.13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1,402.84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1,494.92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1,596.22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1,707.63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1,830.20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1,965.03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13</w:t>
            </w:r>
          </w:p>
        </w:tc>
        <w:tc>
          <w:tcPr>
            <w:tcW w:w="1032"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期末累计结余（13）</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1,319.13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2,721.97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4,216.89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5,813.11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7,520.74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9,350.94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11,315.97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14</w:t>
            </w:r>
          </w:p>
        </w:tc>
        <w:tc>
          <w:tcPr>
            <w:tcW w:w="1032"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净收益覆盖融资成本倍数（14=6/8）</w:t>
            </w:r>
          </w:p>
        </w:tc>
        <w:tc>
          <w:tcPr>
            <w:tcW w:w="463"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r>
    </w:tbl>
    <w:p>
      <w:pPr>
        <w:pStyle w:val="2"/>
        <w:rPr>
          <w:rFonts w:hint="default"/>
          <w:lang w:val="en-US" w:eastAsia="zh-CN"/>
        </w:rPr>
      </w:pPr>
    </w:p>
    <w:p>
      <w:pPr>
        <w:pStyle w:val="2"/>
        <w:ind w:left="0" w:leftChars="0" w:firstLine="0" w:firstLineChars="0"/>
        <w:rPr>
          <w:rFonts w:hint="default" w:ascii="仿宋" w:hAnsi="仿宋" w:eastAsia="仿宋" w:cs="宋体"/>
          <w:b/>
          <w:sz w:val="28"/>
          <w:szCs w:val="28"/>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ind w:firstLine="562" w:firstLineChars="200"/>
        <w:jc w:val="center"/>
        <w:rPr>
          <w:rFonts w:hint="eastAsia" w:ascii="仿宋" w:hAnsi="仿宋" w:eastAsia="仿宋" w:cs="宋体"/>
          <w:b/>
          <w:sz w:val="28"/>
          <w:szCs w:val="28"/>
        </w:rPr>
      </w:pPr>
      <w:r>
        <w:rPr>
          <w:rFonts w:hint="eastAsia" w:ascii="仿宋" w:hAnsi="仿宋" w:eastAsia="仿宋" w:cs="宋体"/>
          <w:b/>
          <w:sz w:val="28"/>
          <w:szCs w:val="28"/>
          <w:lang w:val="en-US" w:eastAsia="zh-CN"/>
        </w:rPr>
        <w:t>资金</w:t>
      </w:r>
      <w:r>
        <w:rPr>
          <w:rFonts w:hint="eastAsia" w:ascii="仿宋" w:hAnsi="仿宋" w:eastAsia="仿宋" w:cs="宋体"/>
          <w:b/>
          <w:sz w:val="28"/>
          <w:szCs w:val="28"/>
        </w:rPr>
        <w:t>平衡表</w:t>
      </w:r>
    </w:p>
    <w:p>
      <w:pPr>
        <w:ind w:firstLine="482" w:firstLineChars="200"/>
        <w:jc w:val="right"/>
        <w:rPr>
          <w:rFonts w:hint="default" w:ascii="仿宋" w:hAnsi="仿宋" w:eastAsia="仿宋" w:cs="宋体"/>
          <w:b/>
          <w:sz w:val="24"/>
        </w:rPr>
      </w:pPr>
      <w:r>
        <w:rPr>
          <w:rFonts w:hint="eastAsia" w:ascii="仿宋" w:hAnsi="仿宋" w:eastAsia="仿宋" w:cs="宋体"/>
          <w:b/>
          <w:sz w:val="24"/>
        </w:rPr>
        <w:t>单位：万元</w:t>
      </w:r>
    </w:p>
    <w:tbl>
      <w:tblPr>
        <w:tblStyle w:val="16"/>
        <w:tblW w:w="4998"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487"/>
        <w:gridCol w:w="2941"/>
        <w:gridCol w:w="1302"/>
        <w:gridCol w:w="1169"/>
        <w:gridCol w:w="1169"/>
        <w:gridCol w:w="1169"/>
        <w:gridCol w:w="1169"/>
        <w:gridCol w:w="1169"/>
        <w:gridCol w:w="1169"/>
        <w:gridCol w:w="1173"/>
        <w:gridCol w:w="1251"/>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blHeader/>
        </w:trPr>
        <w:tc>
          <w:tcPr>
            <w:tcW w:w="172" w:type="pct"/>
            <w:vAlign w:val="center"/>
          </w:tcPr>
          <w:p>
            <w:pPr>
              <w:jc w:val="center"/>
              <w:rPr>
                <w:rFonts w:ascii="宋体" w:hAnsi="宋体" w:cs="宋体"/>
                <w:b/>
                <w:kern w:val="0"/>
                <w:sz w:val="20"/>
                <w:szCs w:val="16"/>
              </w:rPr>
            </w:pPr>
            <w:r>
              <w:rPr>
                <w:rFonts w:hint="eastAsia" w:ascii="宋体" w:hAnsi="宋体" w:cs="宋体"/>
                <w:b/>
                <w:kern w:val="0"/>
                <w:sz w:val="20"/>
                <w:szCs w:val="16"/>
              </w:rPr>
              <w:t>序号</w:t>
            </w:r>
          </w:p>
        </w:tc>
        <w:tc>
          <w:tcPr>
            <w:tcW w:w="1038" w:type="pct"/>
            <w:vAlign w:val="center"/>
          </w:tcPr>
          <w:p>
            <w:pPr>
              <w:jc w:val="center"/>
              <w:rPr>
                <w:rFonts w:ascii="宋体" w:hAnsi="宋体" w:cs="宋体"/>
                <w:b/>
                <w:kern w:val="0"/>
                <w:sz w:val="20"/>
                <w:szCs w:val="16"/>
              </w:rPr>
            </w:pPr>
            <w:r>
              <w:rPr>
                <w:rFonts w:hint="eastAsia" w:ascii="宋体" w:hAnsi="宋体" w:cs="宋体"/>
                <w:b/>
                <w:kern w:val="0"/>
                <w:sz w:val="20"/>
                <w:szCs w:val="16"/>
              </w:rPr>
              <w:t>项目</w:t>
            </w:r>
          </w:p>
        </w:tc>
        <w:tc>
          <w:tcPr>
            <w:tcW w:w="1301"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2032</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eastAsia"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2033</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2034</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2035</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2036</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2037</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2038</w:t>
            </w:r>
            <w:r>
              <w:rPr>
                <w:rFonts w:hint="eastAsia" w:ascii="宋体" w:hAnsi="宋体" w:eastAsia="宋体" w:cs="宋体"/>
                <w:b/>
                <w:bCs/>
                <w:i w:val="0"/>
                <w:iCs w:val="0"/>
                <w:color w:val="000000"/>
                <w:kern w:val="0"/>
                <w:sz w:val="18"/>
                <w:szCs w:val="18"/>
                <w:u w:val="none"/>
                <w:lang w:val="en-US" w:eastAsia="zh-CN" w:bidi="ar"/>
              </w:rPr>
              <w:t>年</w:t>
            </w:r>
          </w:p>
        </w:tc>
        <w:tc>
          <w:tcPr>
            <w:tcW w:w="1173"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2039</w:t>
            </w:r>
            <w:r>
              <w:rPr>
                <w:rFonts w:hint="eastAsia" w:ascii="宋体" w:hAnsi="宋体" w:eastAsia="宋体" w:cs="宋体"/>
                <w:b/>
                <w:bCs/>
                <w:i w:val="0"/>
                <w:iCs w:val="0"/>
                <w:color w:val="000000"/>
                <w:kern w:val="0"/>
                <w:sz w:val="18"/>
                <w:szCs w:val="18"/>
                <w:u w:val="none"/>
                <w:lang w:val="en-US" w:eastAsia="zh-CN" w:bidi="ar"/>
              </w:rPr>
              <w:t>年</w:t>
            </w:r>
          </w:p>
        </w:tc>
        <w:tc>
          <w:tcPr>
            <w:tcW w:w="124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合计</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w:t>
            </w:r>
          </w:p>
        </w:tc>
        <w:tc>
          <w:tcPr>
            <w:tcW w:w="1038"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项目资金流入（1=2+3+4+5+6）</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2,881.26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3,044.40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3,223.85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3,421.24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3,440.22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3,461.11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3,484.08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1,742.05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71,977.08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2</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自有资金投入（不含专项债券）</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6,065.55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其中：财政资金</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6,065.55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3</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银行贷款等市场化配套融资</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4</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专项债券资金</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24,000.00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其中：本批债券</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5</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其他资金</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6</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净收益</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2,881.26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3,044.40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3,223.85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3,421.24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3,440.22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3,461.11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3,484.08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1,742.05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41,911.53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7</w:t>
            </w:r>
          </w:p>
        </w:tc>
        <w:tc>
          <w:tcPr>
            <w:tcW w:w="1038" w:type="pct"/>
            <w:vAlign w:val="center"/>
          </w:tcPr>
          <w:p>
            <w:pPr>
              <w:widowControl/>
              <w:jc w:val="left"/>
              <w:textAlignment w:val="center"/>
              <w:rPr>
                <w:rFonts w:hint="default" w:ascii="宋体" w:hAnsi="宋体" w:cs="宋体"/>
                <w:kern w:val="0"/>
                <w:sz w:val="20"/>
                <w:szCs w:val="16"/>
              </w:rPr>
            </w:pPr>
            <w:r>
              <w:rPr>
                <w:rFonts w:hint="eastAsia" w:ascii="宋体" w:hAnsi="宋体" w:cs="宋体"/>
                <w:b/>
                <w:color w:val="000000"/>
                <w:kern w:val="0"/>
                <w:sz w:val="18"/>
                <w:szCs w:val="18"/>
              </w:rPr>
              <w:t>开发建设支出</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29,901.09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8</w:t>
            </w:r>
          </w:p>
        </w:tc>
        <w:tc>
          <w:tcPr>
            <w:tcW w:w="1038"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融资支出（8=9+10+11）</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13,853.14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10,996.51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35,519.10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9</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专项债券利息支出</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673.14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176.51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11,519.10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其中：本批专项债券利息</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822.20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10</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专项债券本金支出</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13,180.00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10,820.00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24,000.00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其中：本批债券本金</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11</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eastAsia="宋体" w:cs="宋体"/>
                <w:b w:val="0"/>
                <w:bCs/>
                <w:color w:val="000000"/>
                <w:kern w:val="0"/>
                <w:sz w:val="18"/>
                <w:szCs w:val="18"/>
              </w:rPr>
              <w:t>银行贷款等市场化配套融资本息</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12</w:t>
            </w:r>
          </w:p>
        </w:tc>
        <w:tc>
          <w:tcPr>
            <w:tcW w:w="1038"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当年结余（12=1-7-8）</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2,113.32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2,276.46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2,455.91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2,653.30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2,672.28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2,693.17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-10,369.06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-9,254.46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6,556.89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13</w:t>
            </w:r>
          </w:p>
        </w:tc>
        <w:tc>
          <w:tcPr>
            <w:tcW w:w="1038"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期末累计结余（13）</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13,429.29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15,705.75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18,161.66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20,814.96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23,487.24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26,180.41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15,811.35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6,556.89 </w:t>
            </w:r>
          </w:p>
        </w:tc>
        <w:tc>
          <w:tcPr>
            <w:tcW w:w="125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14</w:t>
            </w:r>
          </w:p>
        </w:tc>
        <w:tc>
          <w:tcPr>
            <w:tcW w:w="1038"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净收益覆盖融资成本倍数（14=6/8）</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1.18 </w:t>
            </w:r>
          </w:p>
        </w:tc>
      </w:tr>
    </w:tbl>
    <w:p>
      <w:p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numPr>
          <w:ilvl w:val="0"/>
          <w:numId w:val="0"/>
        </w:numPr>
        <w:spacing w:before="156" w:beforeLines="50" w:line="360" w:lineRule="auto"/>
        <w:ind w:left="420" w:leftChars="0"/>
        <w:outlineLvl w:val="0"/>
        <w:rPr>
          <w:rFonts w:ascii="仿宋" w:hAnsi="仿宋" w:eastAsia="仿宋" w:cs="Times New Roman"/>
          <w:b/>
          <w:color w:val="000000"/>
          <w:sz w:val="28"/>
          <w:szCs w:val="28"/>
        </w:rPr>
      </w:pPr>
      <w:r>
        <w:rPr>
          <w:rFonts w:hint="eastAsia" w:ascii="仿宋" w:hAnsi="仿宋" w:eastAsia="仿宋" w:cs="Times New Roman"/>
          <w:b/>
          <w:color w:val="000000"/>
          <w:sz w:val="28"/>
          <w:szCs w:val="28"/>
          <w:lang w:val="en-US" w:eastAsia="zh-CN"/>
        </w:rPr>
        <w:t>六、</w:t>
      </w:r>
      <w:r>
        <w:rPr>
          <w:rFonts w:hint="eastAsia" w:ascii="仿宋" w:hAnsi="仿宋" w:eastAsia="仿宋" w:cs="Times New Roman"/>
          <w:b/>
          <w:color w:val="000000"/>
          <w:sz w:val="28"/>
          <w:szCs w:val="28"/>
        </w:rPr>
        <w:t>偿债保障措施</w:t>
      </w:r>
    </w:p>
    <w:p>
      <w:pPr>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经测算，本项目实施完成后，预计可偿债资金与融资本息能够实现自求平衡。项目</w:t>
      </w:r>
      <w:r>
        <w:rPr>
          <w:rFonts w:hint="eastAsia" w:ascii="仿宋" w:hAnsi="仿宋" w:eastAsia="仿宋" w:cs="仿宋"/>
          <w:color w:val="000000"/>
          <w:kern w:val="0"/>
          <w:sz w:val="28"/>
          <w:szCs w:val="28"/>
        </w:rPr>
        <w:t>单位</w:t>
      </w:r>
      <w:r>
        <w:rPr>
          <w:rFonts w:hint="eastAsia" w:ascii="仿宋" w:hAnsi="仿宋" w:eastAsia="仿宋" w:cs="仿宋"/>
          <w:bCs/>
          <w:sz w:val="28"/>
          <w:szCs w:val="28"/>
        </w:rPr>
        <w:t>保证项目所产生的</w:t>
      </w:r>
      <w:r>
        <w:rPr>
          <w:rFonts w:hint="eastAsia" w:ascii="仿宋" w:hAnsi="仿宋" w:eastAsia="仿宋" w:cs="宋体"/>
          <w:sz w:val="28"/>
          <w:szCs w:val="28"/>
        </w:rPr>
        <w:t>经营收入</w:t>
      </w:r>
      <w:r>
        <w:rPr>
          <w:rFonts w:hint="eastAsia" w:ascii="仿宋" w:hAnsi="仿宋" w:eastAsia="仿宋" w:cs="仿宋"/>
          <w:kern w:val="0"/>
          <w:sz w:val="28"/>
          <w:szCs w:val="28"/>
        </w:rPr>
        <w:t>等</w:t>
      </w:r>
      <w:r>
        <w:rPr>
          <w:rFonts w:hint="eastAsia" w:ascii="仿宋" w:hAnsi="仿宋" w:eastAsia="仿宋" w:cs="仿宋"/>
          <w:bCs/>
          <w:sz w:val="28"/>
          <w:szCs w:val="28"/>
        </w:rPr>
        <w:t>优先用于专项债券的本息偿付，</w:t>
      </w:r>
      <w:r>
        <w:rPr>
          <w:rFonts w:hint="eastAsia" w:ascii="仿宋" w:hAnsi="仿宋" w:eastAsia="仿宋" w:cs="Times New Roman"/>
          <w:sz w:val="28"/>
          <w:szCs w:val="32"/>
        </w:rPr>
        <w:t>当专项债券还本付息资金来源出现缺口时，单位</w:t>
      </w:r>
      <w:r>
        <w:rPr>
          <w:rFonts w:hint="eastAsia" w:ascii="仿宋" w:hAnsi="仿宋" w:eastAsia="仿宋" w:cs="仿宋"/>
          <w:color w:val="000000"/>
          <w:kern w:val="0"/>
          <w:sz w:val="28"/>
          <w:szCs w:val="28"/>
        </w:rPr>
        <w:t>将积极筹措上级补助资金和其他渠道资金来弥补缺口</w:t>
      </w:r>
      <w:r>
        <w:rPr>
          <w:rFonts w:hint="eastAsia" w:ascii="仿宋" w:hAnsi="仿宋" w:eastAsia="仿宋" w:cs="仿宋"/>
          <w:bCs/>
          <w:sz w:val="28"/>
          <w:szCs w:val="28"/>
        </w:rPr>
        <w:t>。</w:t>
      </w:r>
    </w:p>
    <w:p>
      <w:pPr>
        <w:numPr>
          <w:ilvl w:val="0"/>
          <w:numId w:val="0"/>
        </w:numPr>
        <w:spacing w:before="156" w:beforeLines="50" w:line="360" w:lineRule="auto"/>
        <w:ind w:left="420" w:leftChars="0"/>
        <w:outlineLvl w:val="0"/>
        <w:rPr>
          <w:rFonts w:ascii="仿宋" w:hAnsi="仿宋" w:eastAsia="仿宋" w:cs="Times New Roman"/>
          <w:b/>
          <w:color w:val="000000"/>
          <w:sz w:val="28"/>
          <w:szCs w:val="28"/>
        </w:rPr>
      </w:pPr>
      <w:r>
        <w:rPr>
          <w:rFonts w:hint="eastAsia" w:ascii="仿宋" w:hAnsi="仿宋" w:eastAsia="仿宋" w:cs="Times New Roman"/>
          <w:b/>
          <w:color w:val="000000"/>
          <w:sz w:val="28"/>
          <w:szCs w:val="28"/>
          <w:lang w:val="en-US" w:eastAsia="zh-CN"/>
        </w:rPr>
        <w:t>七、</w:t>
      </w:r>
      <w:r>
        <w:rPr>
          <w:rFonts w:hint="eastAsia" w:ascii="仿宋" w:hAnsi="仿宋" w:eastAsia="仿宋" w:cs="Times New Roman"/>
          <w:b/>
          <w:color w:val="000000"/>
          <w:sz w:val="28"/>
          <w:szCs w:val="28"/>
        </w:rPr>
        <w:t>项目评估及债券信用评级</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项目对应的专项债券信用评级由山西省财政厅统一委托评定。</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本专项债券项目委托大华会计师事务所（特殊普通合伙）山西分所对项目情况及资金平衡方案进行专项评估，并出具专项评估报告。</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本专项债券项目委托山西华炬律师事务所对项目的合法合规性出具法律意见书。</w:t>
      </w:r>
    </w:p>
    <w:p>
      <w:pPr>
        <w:numPr>
          <w:ilvl w:val="0"/>
          <w:numId w:val="0"/>
        </w:numPr>
        <w:spacing w:before="156" w:beforeLines="50" w:line="360" w:lineRule="auto"/>
        <w:ind w:left="420" w:leftChars="0"/>
        <w:outlineLvl w:val="0"/>
        <w:rPr>
          <w:rFonts w:ascii="仿宋" w:hAnsi="仿宋" w:eastAsia="仿宋" w:cs="Times New Roman"/>
          <w:b/>
          <w:color w:val="000000"/>
          <w:sz w:val="28"/>
          <w:szCs w:val="28"/>
        </w:rPr>
      </w:pPr>
      <w:r>
        <w:rPr>
          <w:rFonts w:hint="eastAsia" w:ascii="仿宋" w:hAnsi="仿宋" w:eastAsia="仿宋" w:cs="Times New Roman"/>
          <w:b/>
          <w:color w:val="000000"/>
          <w:sz w:val="28"/>
          <w:szCs w:val="28"/>
          <w:lang w:val="en-US" w:eastAsia="zh-CN"/>
        </w:rPr>
        <w:t>八、</w:t>
      </w:r>
      <w:r>
        <w:rPr>
          <w:rFonts w:hint="eastAsia" w:ascii="仿宋" w:hAnsi="仿宋" w:eastAsia="仿宋" w:cs="Times New Roman"/>
          <w:b/>
          <w:color w:val="000000"/>
          <w:sz w:val="28"/>
          <w:szCs w:val="28"/>
        </w:rPr>
        <w:t>预见风险及防范措施</w:t>
      </w:r>
    </w:p>
    <w:p>
      <w:pPr>
        <w:widowControl w:val="0"/>
        <w:adjustRightInd w:val="0"/>
        <w:snapToGrid w:val="0"/>
        <w:spacing w:before="156" w:beforeLines="50" w:line="360" w:lineRule="auto"/>
        <w:ind w:firstLine="562" w:firstLineChars="200"/>
        <w:jc w:val="both"/>
        <w:outlineLvl w:val="1"/>
        <w:rPr>
          <w:rFonts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（一）债券限额不能满足项目需求风险及防控</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该项目资金来源为申请财政资金投入和申请债券资金安排，资金可能存在不能及时到位和债券限额不能满足项目需求风险。</w:t>
      </w:r>
    </w:p>
    <w:p>
      <w:pPr>
        <w:spacing w:line="360" w:lineRule="auto"/>
        <w:ind w:firstLine="560" w:firstLineChars="200"/>
        <w:rPr>
          <w:rFonts w:ascii="仿宋" w:hAnsi="仿宋" w:eastAsia="仿宋" w:cs="仿宋"/>
          <w:color w:val="000000"/>
          <w:kern w:val="0"/>
          <w:sz w:val="28"/>
          <w:szCs w:val="28"/>
        </w:rPr>
      </w:pPr>
      <w:r>
        <w:rPr>
          <w:rFonts w:ascii="仿宋" w:hAnsi="仿宋" w:eastAsia="仿宋" w:cs="仿宋"/>
          <w:color w:val="000000"/>
          <w:kern w:val="0"/>
          <w:sz w:val="28"/>
          <w:szCs w:val="28"/>
        </w:rPr>
        <w:t>控制措施：</w:t>
      </w:r>
      <w:r>
        <w:rPr>
          <w:rFonts w:hint="eastAsia" w:ascii="仿宋" w:hAnsi="仿宋" w:eastAsia="仿宋" w:cs="仿宋"/>
          <w:color w:val="000000"/>
          <w:kern w:val="0"/>
          <w:sz w:val="28"/>
          <w:szCs w:val="28"/>
        </w:rPr>
        <w:t>该项目若募集不到专项资金时，项目单位将充分争取上级部门资金支持或采取项目压缩投资、延长建设进度、调整资金来源等措施。</w:t>
      </w:r>
    </w:p>
    <w:p>
      <w:pPr>
        <w:widowControl w:val="0"/>
        <w:adjustRightInd w:val="0"/>
        <w:snapToGrid w:val="0"/>
        <w:spacing w:before="156" w:beforeLines="50" w:line="360" w:lineRule="auto"/>
        <w:ind w:firstLine="562" w:firstLineChars="200"/>
        <w:jc w:val="both"/>
        <w:outlineLvl w:val="1"/>
        <w:rPr>
          <w:rFonts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（二）影响项目施工进度的风险及防控措施</w:t>
      </w:r>
    </w:p>
    <w:p>
      <w:pPr>
        <w:spacing w:line="360" w:lineRule="auto"/>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拖延项目工期，此类因素主要包括设计方案的稳定、项目实施方组织管理水平、不可抗力或政策调整承建商的施工技术及管理水平等，会导致工期延期，工程质量差，施工成本增加。</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风险控制措施：项目管理单位严格按照要求做好设计工作，督促施工队伍加强施工安全管理，保证项目工期和质量；同时在成本方面加强施工预算管理，保证项目工期和质量，减少工期延期风险</w:t>
      </w:r>
      <w:r>
        <w:rPr>
          <w:rFonts w:hint="eastAsia" w:ascii="仿宋" w:hAnsi="仿宋" w:eastAsia="仿宋" w:cs="仿宋"/>
          <w:bCs/>
          <w:sz w:val="28"/>
          <w:szCs w:val="28"/>
        </w:rPr>
        <w:t>。</w:t>
      </w:r>
    </w:p>
    <w:p>
      <w:pPr>
        <w:widowControl w:val="0"/>
        <w:adjustRightInd w:val="0"/>
        <w:snapToGrid w:val="0"/>
        <w:spacing w:before="156" w:beforeLines="50" w:line="360" w:lineRule="auto"/>
        <w:ind w:firstLine="562" w:firstLineChars="200"/>
        <w:jc w:val="both"/>
        <w:outlineLvl w:val="1"/>
        <w:rPr>
          <w:rFonts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（三）影响项目收益的风险及防控措施</w:t>
      </w:r>
    </w:p>
    <w:p>
      <w:pPr>
        <w:spacing w:line="360" w:lineRule="auto"/>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若项目投入运营后的实际收入未能达到预测值，将影响项目整体收益。对债券还本付息产生影响，同时，项目日常经营性支出涉及人力成本、维修费用等变动因素，实际支出增加将降低偿债能力。若后</w:t>
      </w:r>
      <w:r>
        <w:rPr>
          <w:rFonts w:hint="eastAsia" w:ascii="仿宋" w:hAnsi="仿宋" w:eastAsia="仿宋" w:cs="仿宋"/>
          <w:kern w:val="0"/>
          <w:sz w:val="28"/>
          <w:szCs w:val="28"/>
        </w:rPr>
        <w:t>期项目运行困难，</w:t>
      </w:r>
      <w:r>
        <w:rPr>
          <w:rFonts w:hint="eastAsia" w:ascii="仿宋" w:hAnsi="仿宋" w:eastAsia="仿宋" w:cs="仿宋"/>
          <w:color w:val="000000"/>
          <w:kern w:val="0"/>
          <w:sz w:val="28"/>
          <w:szCs w:val="28"/>
        </w:rPr>
        <w:t>将影响项目整体偿债能力。</w:t>
      </w:r>
    </w:p>
    <w:p>
      <w:pPr>
        <w:spacing w:line="360" w:lineRule="auto"/>
        <w:ind w:firstLine="560" w:firstLineChars="200"/>
        <w:rPr>
          <w:rFonts w:ascii="仿宋" w:hAnsi="仿宋" w:eastAsia="仿宋" w:cs="仿宋"/>
          <w:bCs/>
          <w:sz w:val="28"/>
          <w:szCs w:val="28"/>
        </w:rPr>
      </w:pPr>
      <w:r>
        <w:rPr>
          <w:rFonts w:hint="eastAsia" w:ascii="仿宋" w:hAnsi="仿宋" w:eastAsia="仿宋" w:cs="仿宋"/>
          <w:color w:val="000000"/>
          <w:kern w:val="0"/>
          <w:sz w:val="28"/>
          <w:szCs w:val="28"/>
        </w:rPr>
        <w:t>风险控制措施：要求项目管理单位加强项目运营及资金管理，压缩不合理支出，提高资金使用效率，保证还本付息资金</w:t>
      </w:r>
      <w:r>
        <w:rPr>
          <w:rFonts w:hint="eastAsia" w:ascii="仿宋" w:hAnsi="仿宋" w:eastAsia="仿宋" w:cs="仿宋"/>
          <w:bCs/>
          <w:sz w:val="28"/>
          <w:szCs w:val="28"/>
        </w:rPr>
        <w:t>。</w:t>
      </w:r>
    </w:p>
    <w:p>
      <w:pPr>
        <w:widowControl w:val="0"/>
        <w:adjustRightInd w:val="0"/>
        <w:snapToGrid w:val="0"/>
        <w:spacing w:before="156" w:beforeLines="50" w:line="360" w:lineRule="auto"/>
        <w:ind w:firstLine="562" w:firstLineChars="200"/>
        <w:jc w:val="both"/>
        <w:outlineLvl w:val="1"/>
        <w:rPr>
          <w:rFonts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（四）其他可预期风险及防控措施项目</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建设资金除申请财政资金外，部分需要募投债券完成，在募投债券成功后，以后每年度需要面临还本付息支出的压力，因此在资金回笼方面要做到快速高效，保证后期各项费用支出的资金充足性。针对该项风险，项目管理单位将遵循满足需求、安全可靠的原则，采取积极措施控制项目成本、质量、实施进度，合理安排和使用。</w:t>
      </w:r>
    </w:p>
    <w:p>
      <w:pPr>
        <w:numPr>
          <w:ilvl w:val="0"/>
          <w:numId w:val="0"/>
        </w:numPr>
        <w:spacing w:before="156" w:beforeLines="50" w:line="360" w:lineRule="auto"/>
        <w:ind w:left="420" w:leftChars="0"/>
        <w:outlineLvl w:val="0"/>
        <w:rPr>
          <w:rFonts w:ascii="仿宋" w:hAnsi="仿宋" w:eastAsia="仿宋" w:cs="Times New Roman"/>
          <w:b/>
          <w:color w:val="000000"/>
          <w:sz w:val="28"/>
          <w:szCs w:val="28"/>
        </w:rPr>
      </w:pPr>
      <w:r>
        <w:rPr>
          <w:rFonts w:hint="eastAsia" w:ascii="仿宋" w:hAnsi="仿宋" w:eastAsia="仿宋" w:cs="Times New Roman"/>
          <w:b/>
          <w:color w:val="000000"/>
          <w:sz w:val="28"/>
          <w:szCs w:val="28"/>
          <w:lang w:val="en-US" w:eastAsia="zh-CN"/>
        </w:rPr>
        <w:t>九、</w:t>
      </w:r>
      <w:r>
        <w:rPr>
          <w:rFonts w:hint="eastAsia" w:ascii="仿宋" w:hAnsi="仿宋" w:eastAsia="仿宋" w:cs="Times New Roman"/>
          <w:b/>
          <w:color w:val="000000"/>
          <w:sz w:val="28"/>
          <w:szCs w:val="28"/>
        </w:rPr>
        <w:t>管理部门职责</w:t>
      </w:r>
    </w:p>
    <w:p>
      <w:pPr>
        <w:widowControl/>
        <w:spacing w:line="360" w:lineRule="auto"/>
        <w:ind w:firstLine="560" w:firstLineChars="200"/>
        <w:rPr>
          <w:rFonts w:ascii="仿宋" w:hAnsi="仿宋" w:eastAsia="仿宋" w:cs="仿宋"/>
          <w:bCs/>
          <w:color w:val="000000"/>
          <w:kern w:val="0"/>
          <w:sz w:val="28"/>
          <w:szCs w:val="28"/>
        </w:rPr>
      </w:pPr>
      <w:r>
        <w:rPr>
          <w:rFonts w:hint="eastAsia" w:ascii="仿宋" w:hAnsi="仿宋" w:eastAsia="仿宋" w:cs="仿宋"/>
          <w:color w:val="000000"/>
          <w:kern w:val="0"/>
          <w:sz w:val="28"/>
          <w:szCs w:val="28"/>
        </w:rPr>
        <w:t>主管单位全力配合做好本项目地方政府专项债券发行准备工作，认真审核该项目的资金需求，及时准确提供相关资料，配合做好信息披露等工作，保证对应专项债券资金依法合规用于本项目，资金下达后尽快拨付到项目建设单位。项目建设过程中加强对本项目的管理和监督，督促项目对应专项债券资金支出进度，形成实物工作量，推动项目早见成效。</w:t>
      </w:r>
      <w:r>
        <w:rPr>
          <w:rFonts w:hint="eastAsia" w:ascii="仿宋" w:hAnsi="仿宋" w:eastAsia="仿宋" w:cs="仿宋"/>
          <w:sz w:val="28"/>
          <w:szCs w:val="32"/>
        </w:rPr>
        <w:t>项目主管单位将同步设定专项债券项目绩效目标，设置考核指标，组织进行自评和考核，建立专项债券资金绩效跟踪监测机制，对绩效目标实现程度进行动态监控，确保绩效目标如期实现，主管单位在债券存续期内会客观公正地自主开展绩效自评，并将评价结果报送本级财政部门。</w:t>
      </w:r>
    </w:p>
    <w:p>
      <w:pPr>
        <w:widowControl/>
        <w:spacing w:line="360" w:lineRule="auto"/>
        <w:ind w:firstLine="560" w:firstLineChars="200"/>
        <w:rPr>
          <w:rFonts w:ascii="仿宋" w:hAnsi="仿宋" w:eastAsia="仿宋" w:cs="仿宋"/>
        </w:rPr>
      </w:pPr>
      <w:r>
        <w:rPr>
          <w:rFonts w:hint="eastAsia" w:ascii="仿宋" w:hAnsi="仿宋" w:eastAsia="仿宋" w:cs="仿宋"/>
          <w:color w:val="000000"/>
          <w:kern w:val="0"/>
          <w:sz w:val="28"/>
          <w:szCs w:val="28"/>
        </w:rPr>
        <w:t>项目建设运营实施单位</w:t>
      </w:r>
      <w:r>
        <w:rPr>
          <w:rFonts w:hint="eastAsia" w:ascii="仿宋" w:hAnsi="仿宋" w:eastAsia="仿宋" w:cs="仿宋"/>
          <w:bCs/>
          <w:color w:val="000000"/>
          <w:kern w:val="0"/>
          <w:sz w:val="28"/>
          <w:szCs w:val="28"/>
        </w:rPr>
        <w:t>保证对应专项债券资金依法合规用于</w:t>
      </w:r>
      <w:r>
        <w:rPr>
          <w:rFonts w:hint="eastAsia" w:ascii="仿宋" w:hAnsi="仿宋" w:eastAsia="仿宋" w:cs="仿宋"/>
          <w:color w:val="000000"/>
          <w:kern w:val="0"/>
          <w:sz w:val="28"/>
          <w:szCs w:val="28"/>
        </w:rPr>
        <w:t>本项目</w:t>
      </w:r>
      <w:r>
        <w:rPr>
          <w:rFonts w:hint="eastAsia" w:ascii="仿宋" w:hAnsi="仿宋" w:eastAsia="仿宋" w:cs="仿宋"/>
          <w:bCs/>
          <w:color w:val="000000"/>
          <w:kern w:val="0"/>
          <w:sz w:val="28"/>
          <w:szCs w:val="28"/>
        </w:rPr>
        <w:t>，尽早完成项目建设，</w:t>
      </w:r>
      <w:r>
        <w:rPr>
          <w:rFonts w:hint="eastAsia" w:ascii="仿宋" w:hAnsi="仿宋" w:eastAsia="仿宋" w:cs="仿宋"/>
          <w:sz w:val="28"/>
          <w:szCs w:val="32"/>
        </w:rPr>
        <w:t>并设置绩效考核指标，组织进行自评和考核，通过开展项目绩效评价，对工程项目实施效果进行检查，提高财政资金使用效益，</w:t>
      </w:r>
      <w:r>
        <w:rPr>
          <w:rFonts w:hint="eastAsia" w:ascii="仿宋" w:hAnsi="仿宋" w:eastAsia="仿宋" w:cs="仿宋"/>
          <w:bCs/>
          <w:color w:val="000000"/>
          <w:kern w:val="0"/>
          <w:sz w:val="28"/>
          <w:szCs w:val="28"/>
        </w:rPr>
        <w:t>同时在运营期间不断提高运营管理水平，加强成本控制和收益资金调度，及时足额度将还本付息资金缴入国库</w:t>
      </w:r>
      <w:r>
        <w:rPr>
          <w:rFonts w:hint="eastAsia" w:ascii="仿宋" w:hAnsi="仿宋" w:eastAsia="仿宋" w:cs="仿宋"/>
          <w:color w:val="000000"/>
          <w:kern w:val="0"/>
          <w:sz w:val="28"/>
          <w:szCs w:val="28"/>
        </w:rPr>
        <w:t>。</w:t>
      </w:r>
    </w:p>
    <w:p>
      <w:pPr>
        <w:ind w:firstLine="560" w:firstLineChars="200"/>
        <w:rPr>
          <w:rFonts w:ascii="仿宋" w:hAnsi="仿宋" w:eastAsia="仿宋" w:cs="仿宋"/>
          <w:color w:val="000000"/>
          <w:kern w:val="0"/>
          <w:sz w:val="28"/>
          <w:szCs w:val="28"/>
        </w:rPr>
      </w:pPr>
    </w:p>
    <w:p>
      <w:pPr>
        <w:pStyle w:val="2"/>
      </w:pPr>
    </w:p>
    <w:p>
      <w:pPr>
        <w:spacing w:line="360" w:lineRule="auto"/>
        <w:ind w:firstLine="281" w:firstLineChars="100"/>
        <w:rPr>
          <w:rFonts w:hint="eastAsia" w:ascii="仿宋" w:hAnsi="仿宋" w:eastAsia="仿宋" w:cs="仿宋"/>
          <w:b/>
          <w:bCs/>
          <w:color w:val="000000"/>
          <w:kern w:val="0"/>
          <w:sz w:val="28"/>
          <w:szCs w:val="28"/>
        </w:rPr>
      </w:pPr>
    </w:p>
    <w:p>
      <w:pPr>
        <w:pStyle w:val="2"/>
        <w:rPr>
          <w:rFonts w:hint="eastAsia"/>
        </w:rPr>
      </w:pPr>
    </w:p>
    <w:p>
      <w:pPr>
        <w:spacing w:line="360" w:lineRule="auto"/>
        <w:ind w:firstLine="281" w:firstLineChars="100"/>
        <w:jc w:val="right"/>
        <w:rPr>
          <w:rFonts w:hint="eastAsia" w:ascii="仿宋" w:hAnsi="仿宋" w:eastAsia="仿宋" w:cs="仿宋"/>
          <w:b/>
          <w:bCs/>
          <w:color w:val="000000"/>
          <w:kern w:val="0"/>
          <w:sz w:val="28"/>
          <w:szCs w:val="28"/>
          <w:lang w:val="en-US" w:eastAsia="zh-CN"/>
        </w:rPr>
      </w:pPr>
      <w:r>
        <w:rPr>
          <w:rFonts w:hint="eastAsia" w:ascii="仿宋" w:hAnsi="仿宋" w:eastAsia="仿宋" w:cs="仿宋"/>
          <w:b/>
          <w:bCs/>
          <w:color w:val="000000"/>
          <w:kern w:val="0"/>
          <w:sz w:val="28"/>
          <w:szCs w:val="28"/>
          <w:lang w:val="en-US" w:eastAsia="zh-CN"/>
        </w:rPr>
        <w:t>太原市杏花岭区教育局</w:t>
      </w:r>
    </w:p>
    <w:p>
      <w:pPr>
        <w:spacing w:line="360" w:lineRule="auto"/>
        <w:ind w:firstLine="281" w:firstLineChars="100"/>
        <w:jc w:val="right"/>
      </w:pPr>
      <w:r>
        <w:rPr>
          <w:rFonts w:hint="eastAsia" w:ascii="仿宋" w:hAnsi="仿宋" w:eastAsia="仿宋" w:cs="仿宋"/>
          <w:b/>
          <w:bCs/>
          <w:color w:val="000000"/>
          <w:kern w:val="0"/>
          <w:sz w:val="28"/>
          <w:szCs w:val="28"/>
          <w:lang w:val="en-US" w:eastAsia="zh-CN"/>
        </w:rPr>
        <w:t>2023</w:t>
      </w:r>
      <w:r>
        <w:rPr>
          <w:rFonts w:hint="eastAsia" w:ascii="仿宋" w:hAnsi="仿宋" w:eastAsia="仿宋" w:cs="仿宋"/>
          <w:b/>
          <w:bCs/>
          <w:color w:val="000000"/>
          <w:kern w:val="0"/>
          <w:sz w:val="28"/>
          <w:szCs w:val="28"/>
        </w:rPr>
        <w:t>年</w:t>
      </w:r>
      <w:r>
        <w:rPr>
          <w:rFonts w:hint="eastAsia" w:ascii="仿宋" w:hAnsi="仿宋" w:eastAsia="仿宋" w:cs="仿宋"/>
          <w:b/>
          <w:bCs/>
          <w:color w:val="000000"/>
          <w:kern w:val="0"/>
          <w:sz w:val="28"/>
          <w:szCs w:val="28"/>
          <w:lang w:val="en-US" w:eastAsia="zh-CN"/>
        </w:rPr>
        <w:t>11</w:t>
      </w:r>
      <w:r>
        <w:rPr>
          <w:rFonts w:hint="eastAsia" w:ascii="仿宋" w:hAnsi="仿宋" w:eastAsia="仿宋" w:cs="仿宋"/>
          <w:b/>
          <w:bCs/>
          <w:color w:val="000000"/>
          <w:kern w:val="0"/>
          <w:sz w:val="28"/>
          <w:szCs w:val="28"/>
        </w:rPr>
        <w:t>月</w:t>
      </w:r>
      <w:r>
        <w:rPr>
          <w:rFonts w:hint="eastAsia" w:ascii="仿宋" w:hAnsi="仿宋" w:eastAsia="仿宋" w:cs="仿宋"/>
          <w:b/>
          <w:bCs/>
          <w:color w:val="000000"/>
          <w:kern w:val="0"/>
          <w:sz w:val="28"/>
          <w:szCs w:val="28"/>
          <w:lang w:val="en-US" w:eastAsia="zh-CN"/>
        </w:rPr>
        <w:t>13</w:t>
      </w:r>
      <w:r>
        <w:rPr>
          <w:rFonts w:hint="eastAsia" w:ascii="仿宋" w:hAnsi="仿宋" w:eastAsia="仿宋" w:cs="仿宋"/>
          <w:b/>
          <w:bCs/>
          <w:color w:val="000000"/>
          <w:kern w:val="0"/>
          <w:sz w:val="28"/>
          <w:szCs w:val="28"/>
        </w:rPr>
        <w:t>日</w:t>
      </w:r>
    </w:p>
    <w:p>
      <w:pPr>
        <w:pStyle w:val="2"/>
        <w:jc w:val="right"/>
        <w:rPr>
          <w:rFonts w:ascii="仿宋" w:hAnsi="仿宋" w:eastAsia="仿宋" w:cs="仿宋"/>
          <w:b/>
          <w:bCs/>
          <w:kern w:val="0"/>
          <w:sz w:val="28"/>
          <w:szCs w:val="28"/>
          <w:highlight w:val="none"/>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7A"/>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Narrow">
    <w:panose1 w:val="020B0606020202030204"/>
    <w:charset w:val="00"/>
    <w:family w:val="swiss"/>
    <w:pitch w:val="default"/>
    <w:sig w:usb0="00000287" w:usb1="00000800" w:usb2="00000000" w:usb3="00000000" w:csb0="2000009F" w:csb1="DFD70000"/>
  </w:font>
  <w:font w:name="MingLiU">
    <w:altName w:val="宋体-繁"/>
    <w:panose1 w:val="02020509000000000000"/>
    <w:charset w:val="88"/>
    <w:family w:val="modern"/>
    <w:pitch w:val="default"/>
    <w:sig w:usb0="00000000" w:usb1="00000000" w:usb2="00000016" w:usb3="00000000" w:csb0="00100001"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15</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WAAAAZHJzL1BLAQIUABQAAAAIAIdO4kDOqXm5zwAAAAUBAAAPAAAAAAAA&#10;AAEAIAAAADgAAABkcnMvZG93bnJldi54bWxQSwECFAAUAAAACACHTuJAqJx02MwBAACcAwAADgAA&#10;AAAAAAABACAAAAA0AQAAZHJzL2Uyb0RvYy54bWxQSwUGAAAAAAYABgBZAQAAcgU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5</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0Q131ywEAAJwDAAAOAAAA&#10;AAAAAAEAIAAAADQBAABkcnMvZTJvRG9jLnhtbFBLBQYAAAAABgAGAFkBAABx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CABBB"/>
    <w:multiLevelType w:val="singleLevel"/>
    <w:tmpl w:val="883CABBB"/>
    <w:lvl w:ilvl="0" w:tentative="0">
      <w:start w:val="1"/>
      <w:numFmt w:val="chineseCounting"/>
      <w:suff w:val="nothing"/>
      <w:lvlText w:val="%1、"/>
      <w:lvlJc w:val="left"/>
      <w:pPr>
        <w:ind w:left="0" w:firstLine="420"/>
      </w:pPr>
      <w:rPr>
        <w:rFonts w:hint="eastAsia"/>
      </w:rPr>
    </w:lvl>
  </w:abstractNum>
  <w:abstractNum w:abstractNumId="1">
    <w:nsid w:val="2672F1E1"/>
    <w:multiLevelType w:val="singleLevel"/>
    <w:tmpl w:val="2672F1E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jMWIyMTYxOTVmNTU3YTliMDQ2ZDU0NmZlNDVhOTgifQ=="/>
  </w:docVars>
  <w:rsids>
    <w:rsidRoot w:val="00BE1CAA"/>
    <w:rsid w:val="000166F6"/>
    <w:rsid w:val="000211F3"/>
    <w:rsid w:val="0005581B"/>
    <w:rsid w:val="00070B05"/>
    <w:rsid w:val="00075540"/>
    <w:rsid w:val="000858A3"/>
    <w:rsid w:val="00085F72"/>
    <w:rsid w:val="000A5B7B"/>
    <w:rsid w:val="000B0286"/>
    <w:rsid w:val="000D6198"/>
    <w:rsid w:val="000E03BA"/>
    <w:rsid w:val="000F31F5"/>
    <w:rsid w:val="000F5B39"/>
    <w:rsid w:val="000F5CF1"/>
    <w:rsid w:val="00106491"/>
    <w:rsid w:val="00125903"/>
    <w:rsid w:val="00132AE5"/>
    <w:rsid w:val="00152C1C"/>
    <w:rsid w:val="001676B2"/>
    <w:rsid w:val="0016772E"/>
    <w:rsid w:val="001818F3"/>
    <w:rsid w:val="00183E62"/>
    <w:rsid w:val="00193F02"/>
    <w:rsid w:val="001A6C93"/>
    <w:rsid w:val="001D10FA"/>
    <w:rsid w:val="001D4F9A"/>
    <w:rsid w:val="00224126"/>
    <w:rsid w:val="0023598A"/>
    <w:rsid w:val="00254E29"/>
    <w:rsid w:val="0027690B"/>
    <w:rsid w:val="00276BD7"/>
    <w:rsid w:val="002B0CAD"/>
    <w:rsid w:val="002E5299"/>
    <w:rsid w:val="00323258"/>
    <w:rsid w:val="0032638B"/>
    <w:rsid w:val="003300C1"/>
    <w:rsid w:val="003323DE"/>
    <w:rsid w:val="0033705E"/>
    <w:rsid w:val="003404E3"/>
    <w:rsid w:val="003869AB"/>
    <w:rsid w:val="003B4A54"/>
    <w:rsid w:val="003E57F3"/>
    <w:rsid w:val="00402D76"/>
    <w:rsid w:val="00465EC7"/>
    <w:rsid w:val="004715CC"/>
    <w:rsid w:val="004839D4"/>
    <w:rsid w:val="00484861"/>
    <w:rsid w:val="004934CE"/>
    <w:rsid w:val="0049763F"/>
    <w:rsid w:val="004D035F"/>
    <w:rsid w:val="00502B6F"/>
    <w:rsid w:val="005A715C"/>
    <w:rsid w:val="005F7372"/>
    <w:rsid w:val="00625DFF"/>
    <w:rsid w:val="00636F1A"/>
    <w:rsid w:val="0068457E"/>
    <w:rsid w:val="00692A34"/>
    <w:rsid w:val="006A15A5"/>
    <w:rsid w:val="006B1850"/>
    <w:rsid w:val="006C0D7E"/>
    <w:rsid w:val="006D595F"/>
    <w:rsid w:val="0071324A"/>
    <w:rsid w:val="00751C70"/>
    <w:rsid w:val="007C7F31"/>
    <w:rsid w:val="007D4875"/>
    <w:rsid w:val="007E40E9"/>
    <w:rsid w:val="0082132F"/>
    <w:rsid w:val="00825ABF"/>
    <w:rsid w:val="00851662"/>
    <w:rsid w:val="008723CA"/>
    <w:rsid w:val="008908F3"/>
    <w:rsid w:val="008B096F"/>
    <w:rsid w:val="008B4D58"/>
    <w:rsid w:val="008C1403"/>
    <w:rsid w:val="008D1C9A"/>
    <w:rsid w:val="008D2F2C"/>
    <w:rsid w:val="00901124"/>
    <w:rsid w:val="009141E1"/>
    <w:rsid w:val="009421E0"/>
    <w:rsid w:val="00946744"/>
    <w:rsid w:val="00957ECD"/>
    <w:rsid w:val="009606DE"/>
    <w:rsid w:val="00980D68"/>
    <w:rsid w:val="0098186E"/>
    <w:rsid w:val="00981E65"/>
    <w:rsid w:val="0099095B"/>
    <w:rsid w:val="009C5250"/>
    <w:rsid w:val="009F7F29"/>
    <w:rsid w:val="00A029D6"/>
    <w:rsid w:val="00A127E1"/>
    <w:rsid w:val="00A200AE"/>
    <w:rsid w:val="00A42E21"/>
    <w:rsid w:val="00A53CC0"/>
    <w:rsid w:val="00A55D8D"/>
    <w:rsid w:val="00A66303"/>
    <w:rsid w:val="00AB2840"/>
    <w:rsid w:val="00AC1930"/>
    <w:rsid w:val="00AE13F6"/>
    <w:rsid w:val="00AF503F"/>
    <w:rsid w:val="00B03842"/>
    <w:rsid w:val="00B12B7B"/>
    <w:rsid w:val="00B1410F"/>
    <w:rsid w:val="00B20F9B"/>
    <w:rsid w:val="00B26DA6"/>
    <w:rsid w:val="00B41BDF"/>
    <w:rsid w:val="00B85935"/>
    <w:rsid w:val="00B958AD"/>
    <w:rsid w:val="00B96CB1"/>
    <w:rsid w:val="00B97DA6"/>
    <w:rsid w:val="00BA42EB"/>
    <w:rsid w:val="00BE1CAA"/>
    <w:rsid w:val="00BE42C5"/>
    <w:rsid w:val="00BF0335"/>
    <w:rsid w:val="00BF4DEA"/>
    <w:rsid w:val="00C070D4"/>
    <w:rsid w:val="00C26ADD"/>
    <w:rsid w:val="00C94560"/>
    <w:rsid w:val="00CC7DD4"/>
    <w:rsid w:val="00D052A8"/>
    <w:rsid w:val="00D05924"/>
    <w:rsid w:val="00D22817"/>
    <w:rsid w:val="00D25220"/>
    <w:rsid w:val="00D254EE"/>
    <w:rsid w:val="00D43B6C"/>
    <w:rsid w:val="00D44407"/>
    <w:rsid w:val="00D55293"/>
    <w:rsid w:val="00D8046F"/>
    <w:rsid w:val="00DB6174"/>
    <w:rsid w:val="00DC7392"/>
    <w:rsid w:val="00E05CA1"/>
    <w:rsid w:val="00E11605"/>
    <w:rsid w:val="00E24421"/>
    <w:rsid w:val="00E3158E"/>
    <w:rsid w:val="00E4290E"/>
    <w:rsid w:val="00E62E4C"/>
    <w:rsid w:val="00E85A00"/>
    <w:rsid w:val="00EB7E85"/>
    <w:rsid w:val="00EF2EB3"/>
    <w:rsid w:val="00EF6474"/>
    <w:rsid w:val="00F06A11"/>
    <w:rsid w:val="00F1183E"/>
    <w:rsid w:val="00F35A29"/>
    <w:rsid w:val="00F650B3"/>
    <w:rsid w:val="00F839DE"/>
    <w:rsid w:val="00FA1F78"/>
    <w:rsid w:val="00FB65B6"/>
    <w:rsid w:val="00FD7F99"/>
    <w:rsid w:val="00FE265C"/>
    <w:rsid w:val="00FE4DA6"/>
    <w:rsid w:val="01CD0F81"/>
    <w:rsid w:val="02591434"/>
    <w:rsid w:val="050E6C53"/>
    <w:rsid w:val="055208BD"/>
    <w:rsid w:val="073659F5"/>
    <w:rsid w:val="074847FE"/>
    <w:rsid w:val="098C1104"/>
    <w:rsid w:val="0A3E404C"/>
    <w:rsid w:val="0ABA0E93"/>
    <w:rsid w:val="0B0E27A3"/>
    <w:rsid w:val="0BC35C80"/>
    <w:rsid w:val="0BFF402A"/>
    <w:rsid w:val="0C795657"/>
    <w:rsid w:val="0CD26CC8"/>
    <w:rsid w:val="0CD5334D"/>
    <w:rsid w:val="0DA71E2C"/>
    <w:rsid w:val="0E280497"/>
    <w:rsid w:val="0E9017AB"/>
    <w:rsid w:val="0F2B38EC"/>
    <w:rsid w:val="0F82787F"/>
    <w:rsid w:val="0F9D4E82"/>
    <w:rsid w:val="0FBE108F"/>
    <w:rsid w:val="10C62AE2"/>
    <w:rsid w:val="10F91A75"/>
    <w:rsid w:val="11262449"/>
    <w:rsid w:val="122C5C62"/>
    <w:rsid w:val="12890869"/>
    <w:rsid w:val="13A247FD"/>
    <w:rsid w:val="162310D6"/>
    <w:rsid w:val="162F2961"/>
    <w:rsid w:val="165B1E09"/>
    <w:rsid w:val="16B85CE8"/>
    <w:rsid w:val="16FF6E13"/>
    <w:rsid w:val="171E4F3E"/>
    <w:rsid w:val="18773A7D"/>
    <w:rsid w:val="188A42D2"/>
    <w:rsid w:val="193D1CA0"/>
    <w:rsid w:val="19664ADC"/>
    <w:rsid w:val="1975003D"/>
    <w:rsid w:val="1C1E170D"/>
    <w:rsid w:val="1C3126E0"/>
    <w:rsid w:val="1C71438D"/>
    <w:rsid w:val="1C975DEA"/>
    <w:rsid w:val="1CD97B54"/>
    <w:rsid w:val="1D5403C9"/>
    <w:rsid w:val="1DF773C3"/>
    <w:rsid w:val="1E990AB8"/>
    <w:rsid w:val="1F4F0712"/>
    <w:rsid w:val="1FBA10F5"/>
    <w:rsid w:val="200B7587"/>
    <w:rsid w:val="20487A3C"/>
    <w:rsid w:val="21A34AEA"/>
    <w:rsid w:val="21AB4B41"/>
    <w:rsid w:val="22052C1E"/>
    <w:rsid w:val="22810F7B"/>
    <w:rsid w:val="22CD473A"/>
    <w:rsid w:val="24CC66C5"/>
    <w:rsid w:val="252D23C9"/>
    <w:rsid w:val="25573CFA"/>
    <w:rsid w:val="25DC7E96"/>
    <w:rsid w:val="262C4401"/>
    <w:rsid w:val="26F70A5D"/>
    <w:rsid w:val="2707747C"/>
    <w:rsid w:val="280D0DC2"/>
    <w:rsid w:val="293C33F4"/>
    <w:rsid w:val="29B43B60"/>
    <w:rsid w:val="2A1C4258"/>
    <w:rsid w:val="2AC609B3"/>
    <w:rsid w:val="2B6356B9"/>
    <w:rsid w:val="2C557E64"/>
    <w:rsid w:val="2CDD5E56"/>
    <w:rsid w:val="2D580227"/>
    <w:rsid w:val="2EEE6F05"/>
    <w:rsid w:val="2F4262AE"/>
    <w:rsid w:val="2F626231"/>
    <w:rsid w:val="2FAA3789"/>
    <w:rsid w:val="302C5575"/>
    <w:rsid w:val="30756DD5"/>
    <w:rsid w:val="30A3374A"/>
    <w:rsid w:val="31E609DB"/>
    <w:rsid w:val="31EA663C"/>
    <w:rsid w:val="326A75DC"/>
    <w:rsid w:val="33BF7F23"/>
    <w:rsid w:val="33CB0E60"/>
    <w:rsid w:val="33D869D5"/>
    <w:rsid w:val="3428343D"/>
    <w:rsid w:val="34830099"/>
    <w:rsid w:val="3491077F"/>
    <w:rsid w:val="34F6349B"/>
    <w:rsid w:val="36D76A1A"/>
    <w:rsid w:val="374B357F"/>
    <w:rsid w:val="38315266"/>
    <w:rsid w:val="39493DF0"/>
    <w:rsid w:val="3996117A"/>
    <w:rsid w:val="3A364118"/>
    <w:rsid w:val="3B1659ED"/>
    <w:rsid w:val="3B250451"/>
    <w:rsid w:val="3B4721FD"/>
    <w:rsid w:val="3B965F3F"/>
    <w:rsid w:val="3BF97230"/>
    <w:rsid w:val="3C9FD921"/>
    <w:rsid w:val="3CD679DD"/>
    <w:rsid w:val="3D0E03AC"/>
    <w:rsid w:val="3D6F0A73"/>
    <w:rsid w:val="3DD85A8E"/>
    <w:rsid w:val="3EB97FF6"/>
    <w:rsid w:val="3EDB1147"/>
    <w:rsid w:val="3F3A6296"/>
    <w:rsid w:val="3F3D0211"/>
    <w:rsid w:val="3FA17B1B"/>
    <w:rsid w:val="3FCA3711"/>
    <w:rsid w:val="3FDA5DE0"/>
    <w:rsid w:val="406F7082"/>
    <w:rsid w:val="408B2262"/>
    <w:rsid w:val="41003D42"/>
    <w:rsid w:val="411B0643"/>
    <w:rsid w:val="414A41C8"/>
    <w:rsid w:val="417414C3"/>
    <w:rsid w:val="4217341F"/>
    <w:rsid w:val="42241021"/>
    <w:rsid w:val="423346B5"/>
    <w:rsid w:val="42A82682"/>
    <w:rsid w:val="42ED40BB"/>
    <w:rsid w:val="432A5EA5"/>
    <w:rsid w:val="43395A88"/>
    <w:rsid w:val="43B10231"/>
    <w:rsid w:val="44545FF6"/>
    <w:rsid w:val="450C7315"/>
    <w:rsid w:val="462A6D97"/>
    <w:rsid w:val="469C517A"/>
    <w:rsid w:val="46B772BB"/>
    <w:rsid w:val="46CC1167"/>
    <w:rsid w:val="46FC35E9"/>
    <w:rsid w:val="48CF7EC3"/>
    <w:rsid w:val="4A4B7B26"/>
    <w:rsid w:val="4A570BA8"/>
    <w:rsid w:val="4A8370C9"/>
    <w:rsid w:val="4BFE0F21"/>
    <w:rsid w:val="4CBE058A"/>
    <w:rsid w:val="4E6A60C7"/>
    <w:rsid w:val="4E74100F"/>
    <w:rsid w:val="4E977552"/>
    <w:rsid w:val="4F123E54"/>
    <w:rsid w:val="4FFC24E0"/>
    <w:rsid w:val="51F412E7"/>
    <w:rsid w:val="52851D54"/>
    <w:rsid w:val="5298699B"/>
    <w:rsid w:val="53111EC3"/>
    <w:rsid w:val="54A77527"/>
    <w:rsid w:val="54F34D0E"/>
    <w:rsid w:val="55096D86"/>
    <w:rsid w:val="56850F86"/>
    <w:rsid w:val="56C81717"/>
    <w:rsid w:val="57DA1E5D"/>
    <w:rsid w:val="58093F0A"/>
    <w:rsid w:val="58CE38A3"/>
    <w:rsid w:val="5A1837FE"/>
    <w:rsid w:val="5B156BDC"/>
    <w:rsid w:val="5BA935A0"/>
    <w:rsid w:val="5C874B59"/>
    <w:rsid w:val="5D0C61EF"/>
    <w:rsid w:val="5F7F5239"/>
    <w:rsid w:val="5F95652D"/>
    <w:rsid w:val="60057275"/>
    <w:rsid w:val="60862B39"/>
    <w:rsid w:val="61080797"/>
    <w:rsid w:val="62B26491"/>
    <w:rsid w:val="64DB0A9B"/>
    <w:rsid w:val="64E8211F"/>
    <w:rsid w:val="651B4316"/>
    <w:rsid w:val="652467EE"/>
    <w:rsid w:val="66355397"/>
    <w:rsid w:val="67280542"/>
    <w:rsid w:val="685D0332"/>
    <w:rsid w:val="6B091A42"/>
    <w:rsid w:val="6B9E0215"/>
    <w:rsid w:val="6BD525D0"/>
    <w:rsid w:val="6BFD54F2"/>
    <w:rsid w:val="6C377513"/>
    <w:rsid w:val="6D1808BC"/>
    <w:rsid w:val="6DD96E60"/>
    <w:rsid w:val="6E5D06A4"/>
    <w:rsid w:val="6E7F79CF"/>
    <w:rsid w:val="6EAA4868"/>
    <w:rsid w:val="6F670692"/>
    <w:rsid w:val="6F7731DC"/>
    <w:rsid w:val="6F9964E4"/>
    <w:rsid w:val="6FDF74B5"/>
    <w:rsid w:val="71540E8F"/>
    <w:rsid w:val="7288310A"/>
    <w:rsid w:val="73AA7750"/>
    <w:rsid w:val="73FFBA32"/>
    <w:rsid w:val="748F2CEC"/>
    <w:rsid w:val="74CE4763"/>
    <w:rsid w:val="74E85E1E"/>
    <w:rsid w:val="752A4DA0"/>
    <w:rsid w:val="75742EE4"/>
    <w:rsid w:val="75A019CB"/>
    <w:rsid w:val="7728346D"/>
    <w:rsid w:val="776001B4"/>
    <w:rsid w:val="776F43BE"/>
    <w:rsid w:val="785201C1"/>
    <w:rsid w:val="79160762"/>
    <w:rsid w:val="7936493F"/>
    <w:rsid w:val="794B7229"/>
    <w:rsid w:val="7ADB198A"/>
    <w:rsid w:val="7ADC4D9E"/>
    <w:rsid w:val="7ADE06DD"/>
    <w:rsid w:val="7B1A6D9C"/>
    <w:rsid w:val="7B357B2C"/>
    <w:rsid w:val="7B6A6C88"/>
    <w:rsid w:val="7BBC4E05"/>
    <w:rsid w:val="7D327E0C"/>
    <w:rsid w:val="7EFD983A"/>
    <w:rsid w:val="7F784714"/>
    <w:rsid w:val="7FA037BC"/>
    <w:rsid w:val="7FF7022E"/>
    <w:rsid w:val="D0FFFC76"/>
    <w:rsid w:val="DC93C0D7"/>
    <w:rsid w:val="DD3FD8CA"/>
    <w:rsid w:val="DFD27A3B"/>
    <w:rsid w:val="F4F5AB38"/>
    <w:rsid w:val="FCF6A56A"/>
    <w:rsid w:val="FFC030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4"/>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link w:val="22"/>
    <w:qFormat/>
    <w:uiPriority w:val="99"/>
    <w:pPr>
      <w:adjustRightInd w:val="0"/>
      <w:snapToGrid w:val="0"/>
      <w:spacing w:beforeLines="100" w:line="360" w:lineRule="auto"/>
      <w:ind w:firstLine="50" w:firstLineChars="50"/>
      <w:jc w:val="left"/>
      <w:outlineLvl w:val="1"/>
    </w:pPr>
    <w:rPr>
      <w:rFonts w:ascii="Arial" w:hAnsi="Arial" w:eastAsia="黑体"/>
      <w:bCs/>
      <w:sz w:val="30"/>
      <w:szCs w:val="32"/>
    </w:rPr>
  </w:style>
  <w:style w:type="paragraph" w:styleId="5">
    <w:name w:val="heading 3"/>
    <w:basedOn w:val="1"/>
    <w:next w:val="1"/>
    <w:link w:val="45"/>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8"/>
    <w:qFormat/>
    <w:uiPriority w:val="0"/>
    <w:pPr>
      <w:spacing w:before="100" w:after="50" w:line="288" w:lineRule="auto"/>
      <w:ind w:firstLine="560" w:firstLineChars="200"/>
    </w:pPr>
    <w:rPr>
      <w:rFonts w:ascii="宋体" w:hAnsi="宋体"/>
    </w:rPr>
  </w:style>
  <w:style w:type="paragraph" w:styleId="6">
    <w:name w:val="Document Map"/>
    <w:basedOn w:val="1"/>
    <w:link w:val="24"/>
    <w:semiHidden/>
    <w:unhideWhenUsed/>
    <w:qFormat/>
    <w:uiPriority w:val="99"/>
    <w:rPr>
      <w:rFonts w:ascii="宋体"/>
      <w:sz w:val="18"/>
      <w:szCs w:val="18"/>
    </w:rPr>
  </w:style>
  <w:style w:type="paragraph" w:styleId="7">
    <w:name w:val="annotation text"/>
    <w:basedOn w:val="1"/>
    <w:semiHidden/>
    <w:unhideWhenUsed/>
    <w:qFormat/>
    <w:uiPriority w:val="99"/>
    <w:pPr>
      <w:jc w:val="left"/>
    </w:pPr>
  </w:style>
  <w:style w:type="paragraph" w:styleId="8">
    <w:name w:val="Body Text Indent"/>
    <w:basedOn w:val="1"/>
    <w:qFormat/>
    <w:uiPriority w:val="0"/>
    <w:pPr>
      <w:spacing w:after="120"/>
      <w:ind w:left="420" w:leftChars="200"/>
    </w:pPr>
  </w:style>
  <w:style w:type="paragraph" w:styleId="9">
    <w:name w:val="Balloon Text"/>
    <w:basedOn w:val="1"/>
    <w:link w:val="26"/>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3">
    <w:name w:val="Body Text First Indent"/>
    <w:basedOn w:val="2"/>
    <w:qFormat/>
    <w:uiPriority w:val="0"/>
    <w:pPr>
      <w:adjustRightInd/>
      <w:spacing w:after="120"/>
      <w:ind w:firstLine="420" w:firstLineChars="100"/>
      <w:textAlignment w:val="auto"/>
    </w:pPr>
    <w:rPr>
      <w:rFonts w:ascii="Times New Roman" w:hAnsi="Times New Roman"/>
      <w:kern w:val="2"/>
      <w:sz w:val="21"/>
    </w:rPr>
  </w:style>
  <w:style w:type="paragraph" w:styleId="14">
    <w:name w:val="Body Text First Indent 2"/>
    <w:basedOn w:val="8"/>
    <w:next w:val="15"/>
    <w:unhideWhenUsed/>
    <w:qFormat/>
    <w:uiPriority w:val="0"/>
    <w:pPr>
      <w:ind w:firstLine="420" w:firstLineChars="200"/>
    </w:p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styleId="18">
    <w:name w:val="Hyperlink"/>
    <w:basedOn w:val="17"/>
    <w:semiHidden/>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Char"/>
    <w:basedOn w:val="17"/>
    <w:link w:val="11"/>
    <w:qFormat/>
    <w:uiPriority w:val="99"/>
    <w:rPr>
      <w:sz w:val="18"/>
      <w:szCs w:val="18"/>
    </w:rPr>
  </w:style>
  <w:style w:type="character" w:customStyle="1" w:styleId="21">
    <w:name w:val="页脚 Char"/>
    <w:basedOn w:val="17"/>
    <w:link w:val="10"/>
    <w:qFormat/>
    <w:uiPriority w:val="99"/>
    <w:rPr>
      <w:sz w:val="18"/>
      <w:szCs w:val="18"/>
    </w:rPr>
  </w:style>
  <w:style w:type="character" w:customStyle="1" w:styleId="22">
    <w:name w:val="标题 2 Char"/>
    <w:basedOn w:val="17"/>
    <w:link w:val="4"/>
    <w:qFormat/>
    <w:uiPriority w:val="99"/>
    <w:rPr>
      <w:rFonts w:ascii="Arial" w:hAnsi="Arial" w:eastAsia="黑体" w:cs="Times New Roman"/>
      <w:bCs/>
      <w:sz w:val="30"/>
      <w:szCs w:val="32"/>
    </w:rPr>
  </w:style>
  <w:style w:type="paragraph" w:customStyle="1" w:styleId="23">
    <w:name w:val="附注二级正文"/>
    <w:basedOn w:val="1"/>
    <w:qFormat/>
    <w:uiPriority w:val="0"/>
    <w:pPr>
      <w:widowControl/>
      <w:adjustRightInd w:val="0"/>
      <w:snapToGrid w:val="0"/>
      <w:spacing w:line="400" w:lineRule="atLeast"/>
      <w:ind w:left="718" w:leftChars="342"/>
      <w:jc w:val="left"/>
    </w:pPr>
    <w:rPr>
      <w:rFonts w:ascii="宋体" w:hAnsi="宋体"/>
      <w:szCs w:val="21"/>
    </w:rPr>
  </w:style>
  <w:style w:type="character" w:customStyle="1" w:styleId="24">
    <w:name w:val="文档结构图 Char"/>
    <w:basedOn w:val="17"/>
    <w:link w:val="6"/>
    <w:semiHidden/>
    <w:qFormat/>
    <w:uiPriority w:val="99"/>
    <w:rPr>
      <w:rFonts w:ascii="宋体" w:hAnsi="Times New Roman" w:eastAsia="宋体" w:cs="Times New Roman"/>
      <w:sz w:val="18"/>
      <w:szCs w:val="18"/>
    </w:rPr>
  </w:style>
  <w:style w:type="paragraph" w:styleId="25">
    <w:name w:val="List Paragraph"/>
    <w:basedOn w:val="1"/>
    <w:qFormat/>
    <w:uiPriority w:val="34"/>
    <w:pPr>
      <w:ind w:firstLine="420" w:firstLineChars="200"/>
    </w:pPr>
  </w:style>
  <w:style w:type="character" w:customStyle="1" w:styleId="26">
    <w:name w:val="批注框文本 Char"/>
    <w:basedOn w:val="17"/>
    <w:link w:val="9"/>
    <w:semiHidden/>
    <w:qFormat/>
    <w:uiPriority w:val="99"/>
    <w:rPr>
      <w:rFonts w:ascii="Times New Roman" w:hAnsi="Times New Roman" w:eastAsia="宋体" w:cs="Times New Roman"/>
      <w:kern w:val="2"/>
      <w:sz w:val="18"/>
      <w:szCs w:val="18"/>
    </w:rPr>
  </w:style>
  <w:style w:type="character" w:customStyle="1" w:styleId="27">
    <w:name w:val="font101"/>
    <w:basedOn w:val="17"/>
    <w:qFormat/>
    <w:uiPriority w:val="0"/>
    <w:rPr>
      <w:rFonts w:ascii="Arial Narrow" w:hAnsi="Arial Narrow" w:eastAsia="Arial Narrow" w:cs="Arial Narrow"/>
      <w:b/>
      <w:color w:val="000000"/>
      <w:sz w:val="20"/>
      <w:szCs w:val="20"/>
      <w:u w:val="none"/>
    </w:rPr>
  </w:style>
  <w:style w:type="character" w:customStyle="1" w:styleId="28">
    <w:name w:val="font51"/>
    <w:basedOn w:val="17"/>
    <w:qFormat/>
    <w:uiPriority w:val="0"/>
    <w:rPr>
      <w:rFonts w:hint="eastAsia" w:ascii="宋体" w:hAnsi="宋体" w:eastAsia="宋体" w:cs="宋体"/>
      <w:b/>
      <w:color w:val="000000"/>
      <w:sz w:val="20"/>
      <w:szCs w:val="20"/>
      <w:u w:val="none"/>
    </w:rPr>
  </w:style>
  <w:style w:type="character" w:customStyle="1" w:styleId="29">
    <w:name w:val="font111"/>
    <w:basedOn w:val="17"/>
    <w:qFormat/>
    <w:uiPriority w:val="0"/>
    <w:rPr>
      <w:rFonts w:hint="eastAsia" w:ascii="宋体" w:hAnsi="宋体" w:eastAsia="宋体" w:cs="宋体"/>
      <w:color w:val="000000"/>
      <w:sz w:val="20"/>
      <w:szCs w:val="20"/>
      <w:u w:val="none"/>
    </w:rPr>
  </w:style>
  <w:style w:type="character" w:customStyle="1" w:styleId="30">
    <w:name w:val="font81"/>
    <w:basedOn w:val="17"/>
    <w:qFormat/>
    <w:uiPriority w:val="0"/>
    <w:rPr>
      <w:rFonts w:hint="default" w:ascii="Arial Narrow" w:hAnsi="Arial Narrow" w:eastAsia="Arial Narrow" w:cs="Arial Narrow"/>
      <w:color w:val="000000"/>
      <w:sz w:val="20"/>
      <w:szCs w:val="20"/>
      <w:u w:val="none"/>
    </w:rPr>
  </w:style>
  <w:style w:type="character" w:customStyle="1" w:styleId="31">
    <w:name w:val="font121"/>
    <w:basedOn w:val="17"/>
    <w:qFormat/>
    <w:uiPriority w:val="0"/>
    <w:rPr>
      <w:rFonts w:hint="default" w:ascii="Arial Narrow" w:hAnsi="Arial Narrow" w:eastAsia="Arial Narrow" w:cs="Arial Narrow"/>
      <w:color w:val="000000"/>
      <w:sz w:val="20"/>
      <w:szCs w:val="20"/>
      <w:u w:val="none"/>
    </w:rPr>
  </w:style>
  <w:style w:type="character" w:customStyle="1" w:styleId="32">
    <w:name w:val="font71"/>
    <w:basedOn w:val="17"/>
    <w:qFormat/>
    <w:uiPriority w:val="0"/>
    <w:rPr>
      <w:rFonts w:hint="eastAsia" w:ascii="宋体" w:hAnsi="宋体" w:eastAsia="宋体" w:cs="宋体"/>
      <w:color w:val="000000"/>
      <w:sz w:val="20"/>
      <w:szCs w:val="20"/>
      <w:u w:val="none"/>
    </w:rPr>
  </w:style>
  <w:style w:type="character" w:customStyle="1" w:styleId="33">
    <w:name w:val="font31"/>
    <w:basedOn w:val="17"/>
    <w:qFormat/>
    <w:uiPriority w:val="0"/>
    <w:rPr>
      <w:rFonts w:hint="eastAsia" w:ascii="宋体" w:hAnsi="宋体" w:eastAsia="宋体" w:cs="宋体"/>
      <w:b/>
      <w:color w:val="000000"/>
      <w:sz w:val="20"/>
      <w:szCs w:val="20"/>
      <w:u w:val="none"/>
    </w:rPr>
  </w:style>
  <w:style w:type="character" w:customStyle="1" w:styleId="34">
    <w:name w:val="font21"/>
    <w:basedOn w:val="17"/>
    <w:qFormat/>
    <w:uiPriority w:val="0"/>
    <w:rPr>
      <w:rFonts w:hint="default" w:ascii="Arial Narrow" w:hAnsi="Arial Narrow" w:eastAsia="Arial Narrow" w:cs="Arial Narrow"/>
      <w:b/>
      <w:color w:val="000000"/>
      <w:sz w:val="20"/>
      <w:szCs w:val="20"/>
      <w:u w:val="none"/>
    </w:rPr>
  </w:style>
  <w:style w:type="character" w:customStyle="1" w:styleId="35">
    <w:name w:val="font01"/>
    <w:basedOn w:val="17"/>
    <w:qFormat/>
    <w:uiPriority w:val="0"/>
    <w:rPr>
      <w:rFonts w:hint="eastAsia" w:ascii="宋体" w:hAnsi="宋体" w:eastAsia="宋体" w:cs="宋体"/>
      <w:color w:val="000000"/>
      <w:sz w:val="20"/>
      <w:szCs w:val="20"/>
      <w:u w:val="none"/>
    </w:rPr>
  </w:style>
  <w:style w:type="character" w:customStyle="1" w:styleId="36">
    <w:name w:val="font11"/>
    <w:basedOn w:val="17"/>
    <w:qFormat/>
    <w:uiPriority w:val="0"/>
    <w:rPr>
      <w:rFonts w:hint="default" w:ascii="Arial Narrow" w:hAnsi="Arial Narrow" w:eastAsia="Arial Narrow" w:cs="Arial Narrow"/>
      <w:color w:val="000000"/>
      <w:sz w:val="20"/>
      <w:szCs w:val="20"/>
      <w:u w:val="none"/>
    </w:rPr>
  </w:style>
  <w:style w:type="character" w:customStyle="1" w:styleId="37">
    <w:name w:val="font41"/>
    <w:basedOn w:val="17"/>
    <w:qFormat/>
    <w:uiPriority w:val="0"/>
    <w:rPr>
      <w:rFonts w:hint="eastAsia" w:ascii="宋体" w:hAnsi="宋体" w:eastAsia="宋体" w:cs="宋体"/>
      <w:b/>
      <w:color w:val="000000"/>
      <w:sz w:val="20"/>
      <w:szCs w:val="20"/>
      <w:u w:val="none"/>
    </w:rPr>
  </w:style>
  <w:style w:type="character" w:customStyle="1" w:styleId="38">
    <w:name w:val="正文文本 Char"/>
    <w:basedOn w:val="17"/>
    <w:link w:val="2"/>
    <w:qFormat/>
    <w:uiPriority w:val="0"/>
    <w:rPr>
      <w:rFonts w:ascii="宋体" w:hAnsi="宋体"/>
      <w:kern w:val="2"/>
      <w:sz w:val="21"/>
      <w:szCs w:val="24"/>
    </w:rPr>
  </w:style>
  <w:style w:type="paragraph" w:customStyle="1" w:styleId="39">
    <w:name w:val="正文文本 (3)"/>
    <w:basedOn w:val="1"/>
    <w:qFormat/>
    <w:uiPriority w:val="0"/>
    <w:pPr>
      <w:shd w:val="clear" w:color="auto" w:fill="FFFFFF"/>
      <w:spacing w:line="265" w:lineRule="exact"/>
      <w:ind w:firstLine="320"/>
      <w:jc w:val="distribute"/>
    </w:pPr>
    <w:rPr>
      <w:rFonts w:ascii="MingLiU" w:eastAsia="MingLiU"/>
      <w:kern w:val="0"/>
      <w:sz w:val="13"/>
      <w:szCs w:val="13"/>
    </w:rPr>
  </w:style>
  <w:style w:type="paragraph" w:customStyle="1" w:styleId="40">
    <w:name w:val="正文文本 (2)"/>
    <w:basedOn w:val="1"/>
    <w:qFormat/>
    <w:uiPriority w:val="0"/>
    <w:pPr>
      <w:shd w:val="clear" w:color="auto" w:fill="FFFFFF"/>
      <w:spacing w:line="252" w:lineRule="exact"/>
      <w:ind w:firstLine="300"/>
      <w:jc w:val="distribute"/>
    </w:pPr>
    <w:rPr>
      <w:rFonts w:ascii="MingLiU" w:eastAsia="MingLiU"/>
      <w:kern w:val="0"/>
      <w:sz w:val="13"/>
      <w:szCs w:val="13"/>
    </w:rPr>
  </w:style>
  <w:style w:type="paragraph" w:customStyle="1" w:styleId="41">
    <w:name w:val="样式3"/>
    <w:basedOn w:val="1"/>
    <w:qFormat/>
    <w:uiPriority w:val="0"/>
    <w:pPr>
      <w:widowControl/>
      <w:spacing w:beforeLines="50" w:afterLines="50"/>
      <w:ind w:firstLine="482" w:firstLineChars="200"/>
      <w:jc w:val="left"/>
    </w:pPr>
    <w:rPr>
      <w:b/>
      <w:kern w:val="0"/>
    </w:rPr>
  </w:style>
  <w:style w:type="paragraph" w:customStyle="1" w:styleId="42">
    <w:name w:val="正文一"/>
    <w:basedOn w:val="1"/>
    <w:qFormat/>
    <w:uiPriority w:val="0"/>
    <w:pPr>
      <w:spacing w:line="440" w:lineRule="exact"/>
      <w:ind w:firstLine="480" w:firstLineChars="200"/>
    </w:pPr>
    <w:rPr>
      <w:szCs w:val="24"/>
    </w:rPr>
  </w:style>
  <w:style w:type="paragraph" w:customStyle="1" w:styleId="43">
    <w:name w:val="！正文"/>
    <w:basedOn w:val="1"/>
    <w:qFormat/>
    <w:uiPriority w:val="0"/>
    <w:pPr>
      <w:spacing w:line="360" w:lineRule="auto"/>
      <w:ind w:firstLine="200" w:firstLineChars="200"/>
    </w:pPr>
    <w:rPr>
      <w:sz w:val="28"/>
    </w:rPr>
  </w:style>
  <w:style w:type="character" w:customStyle="1" w:styleId="44">
    <w:name w:val="标题 1 Char"/>
    <w:link w:val="3"/>
    <w:qFormat/>
    <w:uiPriority w:val="0"/>
    <w:rPr>
      <w:b/>
      <w:kern w:val="44"/>
      <w:sz w:val="44"/>
    </w:rPr>
  </w:style>
  <w:style w:type="character" w:customStyle="1" w:styleId="45">
    <w:name w:val="标题 3 Char"/>
    <w:link w:val="5"/>
    <w:qFormat/>
    <w:uiPriority w:val="0"/>
    <w:rPr>
      <w:b/>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4683</Words>
  <Characters>6884</Characters>
  <Lines>51</Lines>
  <Paragraphs>14</Paragraphs>
  <TotalTime>21</TotalTime>
  <ScaleCrop>false</ScaleCrop>
  <LinksUpToDate>false</LinksUpToDate>
  <CharactersWithSpaces>7543</CharactersWithSpaces>
  <Application>WPS Office_6.3.0.8471_F1E327BC-269C-435d-A152-05C5408002CA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2020-04-21T11:11:00Z</dcterms:created>
  <dc:creator>刘威宏</dc:creator>
  <cp:lastModifiedBy>Echo</cp:lastModifiedBy>
  <dcterms:modified xsi:type="dcterms:W3CDTF">2023-11-14T15:37:34Z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9B985EF9CD832B1128E8526581896FAC_43</vt:lpwstr>
  </property>
</Properties>
</file>