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92D686A">
      <w:pPr>
        <w:pStyle w:val="13"/>
        <w:pBdr>
          <w:bottom w:val="none" w:color="auto" w:sz="0" w:space="0"/>
        </w:pBdr>
        <w:tabs>
          <w:tab w:val="clear" w:pos="4153"/>
          <w:tab w:val="clear" w:pos="8306"/>
        </w:tabs>
        <w:snapToGrid/>
        <w:spacing w:line="20" w:lineRule="exact"/>
        <w:ind w:firstLine="360"/>
        <w:jc w:val="left"/>
      </w:pPr>
    </w:p>
    <w:p w14:paraId="1A8D4F36">
      <w:pPr>
        <w:pStyle w:val="5"/>
        <w:rPr>
          <w:rFonts w:hint="default"/>
          <w:spacing w:val="12"/>
          <w:szCs w:val="30"/>
        </w:rPr>
      </w:pPr>
      <w:bookmarkStart w:id="0" w:name="_Toc144380178"/>
      <w:r>
        <w:rPr>
          <w:spacing w:val="12"/>
          <w:szCs w:val="30"/>
        </w:rPr>
        <w:drawing>
          <wp:anchor distT="0" distB="0" distL="114300" distR="114300" simplePos="0" relativeHeight="251661312" behindDoc="0" locked="0" layoutInCell="1" allowOverlap="1">
            <wp:simplePos x="0" y="0"/>
            <wp:positionH relativeFrom="column">
              <wp:posOffset>1283970</wp:posOffset>
            </wp:positionH>
            <wp:positionV relativeFrom="paragraph">
              <wp:posOffset>278765</wp:posOffset>
            </wp:positionV>
            <wp:extent cx="2632075" cy="603885"/>
            <wp:effectExtent l="0" t="0" r="9525" b="5715"/>
            <wp:wrapSquare wrapText="bothSides"/>
            <wp:docPr id="1" name="图片 27" descr="C:/Users/Administrator/Desktop/律所logo-黑色.jpg律所logo-黑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7" descr="C:/Users/Administrator/Desktop/律所logo-黑色.jpg律所logo-黑色"/>
                    <pic:cNvPicPr>
                      <a:picLocks noChangeAspect="1"/>
                    </pic:cNvPicPr>
                  </pic:nvPicPr>
                  <pic:blipFill>
                    <a:blip r:embed="rId9"/>
                    <a:srcRect t="27327" b="27327"/>
                    <a:stretch>
                      <a:fillRect/>
                    </a:stretch>
                  </pic:blipFill>
                  <pic:spPr>
                    <a:xfrm>
                      <a:off x="0" y="0"/>
                      <a:ext cx="2632075" cy="603885"/>
                    </a:xfrm>
                    <a:prstGeom prst="rect">
                      <a:avLst/>
                    </a:prstGeom>
                    <a:noFill/>
                    <a:ln w="9525">
                      <a:noFill/>
                    </a:ln>
                  </pic:spPr>
                </pic:pic>
              </a:graphicData>
            </a:graphic>
          </wp:anchor>
        </w:drawing>
      </w:r>
      <w:r>
        <w:rPr>
          <w:spacing w:val="12"/>
          <w:szCs w:val="30"/>
        </w:rPr>
        <w:drawing>
          <wp:anchor distT="0" distB="0" distL="114300" distR="114300" simplePos="0" relativeHeight="251660288" behindDoc="0" locked="0" layoutInCell="1" allowOverlap="1">
            <wp:simplePos x="0" y="0"/>
            <wp:positionH relativeFrom="column">
              <wp:posOffset>1369695</wp:posOffset>
            </wp:positionH>
            <wp:positionV relativeFrom="paragraph">
              <wp:posOffset>250190</wp:posOffset>
            </wp:positionV>
            <wp:extent cx="2346960" cy="538480"/>
            <wp:effectExtent l="0" t="0" r="2540" b="7620"/>
            <wp:wrapSquare wrapText="bothSides"/>
            <wp:docPr id="2" name="图片 27" descr="C:\Users\LENOVO\Desktop\1633939184(1).jpg16339391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7" descr="C:\Users\LENOVO\Desktop\1633939184(1).jpg1633939184(1)"/>
                    <pic:cNvPicPr>
                      <a:picLocks noChangeAspect="1"/>
                    </pic:cNvPicPr>
                  </pic:nvPicPr>
                  <pic:blipFill>
                    <a:blip r:embed="rId10"/>
                    <a:stretch>
                      <a:fillRect/>
                    </a:stretch>
                  </pic:blipFill>
                  <pic:spPr>
                    <a:xfrm>
                      <a:off x="0" y="0"/>
                      <a:ext cx="2346960" cy="538480"/>
                    </a:xfrm>
                    <a:prstGeom prst="rect">
                      <a:avLst/>
                    </a:prstGeom>
                    <a:noFill/>
                    <a:ln w="9525">
                      <a:noFill/>
                    </a:ln>
                  </pic:spPr>
                </pic:pic>
              </a:graphicData>
            </a:graphic>
          </wp:anchor>
        </w:drawing>
      </w:r>
      <w:bookmarkEnd w:id="0"/>
    </w:p>
    <w:p w14:paraId="377C5225">
      <w:pPr>
        <w:spacing w:line="80" w:lineRule="exact"/>
        <w:ind w:firstLine="840" w:firstLineChars="400"/>
        <w:jc w:val="left"/>
        <w:rPr>
          <w:rFonts w:ascii="幼圆" w:eastAsia="幼圆"/>
        </w:rPr>
      </w:pPr>
      <w:r>
        <w:rPr>
          <w:rFonts w:ascii="幼圆" w:eastAsia="幼圆"/>
        </w:rPr>
        <w:t xml:space="preserve">             </w:t>
      </w:r>
    </w:p>
    <w:p w14:paraId="1AB68A24">
      <w:pPr>
        <w:spacing w:line="320" w:lineRule="exact"/>
        <w:ind w:firstLine="480"/>
        <w:jc w:val="left"/>
        <w:rPr>
          <w:rFonts w:eastAsia="黑体"/>
          <w:spacing w:val="-20"/>
        </w:rPr>
      </w:pPr>
      <w:r>
        <w:rPr>
          <w:rFonts w:eastAsia="黑体"/>
          <w:spacing w:val="-20"/>
        </w:rPr>
        <mc:AlternateContent>
          <mc:Choice Requires="wps">
            <w:drawing>
              <wp:anchor distT="0" distB="0" distL="0" distR="0" simplePos="0" relativeHeight="251659264" behindDoc="0" locked="0" layoutInCell="1" allowOverlap="1">
                <wp:simplePos x="0" y="0"/>
                <wp:positionH relativeFrom="column">
                  <wp:posOffset>1276985</wp:posOffset>
                </wp:positionH>
                <wp:positionV relativeFrom="paragraph">
                  <wp:posOffset>124460</wp:posOffset>
                </wp:positionV>
                <wp:extent cx="2731770" cy="635"/>
                <wp:effectExtent l="0" t="10795" r="11430" b="13970"/>
                <wp:wrapNone/>
                <wp:docPr id="1027" name="直接连接符 5"/>
                <wp:cNvGraphicFramePr/>
                <a:graphic xmlns:a="http://schemas.openxmlformats.org/drawingml/2006/main">
                  <a:graphicData uri="http://schemas.microsoft.com/office/word/2010/wordprocessingShape">
                    <wps:wsp>
                      <wps:cNvCnPr/>
                      <wps:spPr>
                        <a:xfrm>
                          <a:off x="0" y="0"/>
                          <a:ext cx="2731770" cy="635"/>
                        </a:xfrm>
                        <a:prstGeom prst="line">
                          <a:avLst/>
                        </a:prstGeom>
                        <a:ln w="22225" cap="flat" cmpd="sng">
                          <a:solidFill>
                            <a:srgbClr val="000000"/>
                          </a:solidFill>
                          <a:prstDash val="solid"/>
                          <a:round/>
                          <a:headEnd type="none" w="med" len="med"/>
                          <a:tailEnd type="none" w="med" len="med"/>
                        </a:ln>
                      </wps:spPr>
                      <wps:bodyPr/>
                    </wps:wsp>
                  </a:graphicData>
                </a:graphic>
              </wp:anchor>
            </w:drawing>
          </mc:Choice>
          <mc:Fallback>
            <w:pict>
              <v:line id="直接连接符 5" o:spid="_x0000_s1026" o:spt="20" style="position:absolute;left:0pt;margin-left:100.55pt;margin-top:9.8pt;height:0.05pt;width:215.1pt;z-index:251659264;mso-width-relative:page;mso-height-relative:page;" filled="f" stroked="t" coordsize="21600,21600" o:gfxdata="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7NFvo1wAAAAkBAAAPAAAAAAAAAAEAIAAAACIAAABkcnMvZG93bnJldi54bWxQSwEC&#10;FAAUAAAACACHTuJAOn0uBvUBAADoAwAADgAAAAAAAAABACAAAAAmAQAAZHJzL2Uyb0RvYy54bWxQ&#10;SwUGAAAAAAYABgBZAQAAjQUAAAAA&#10;">
                <v:fill on="f" focussize="0,0"/>
                <v:stroke weight="1.75pt" color="#000000" joinstyle="round"/>
                <v:imagedata o:title=""/>
                <o:lock v:ext="edit" aspectratio="f"/>
              </v:line>
            </w:pict>
          </mc:Fallback>
        </mc:AlternateContent>
      </w:r>
    </w:p>
    <w:p w14:paraId="29F327A1">
      <w:pPr>
        <w:autoSpaceDN w:val="0"/>
        <w:jc w:val="center"/>
        <w:rPr>
          <w:rFonts w:hint="eastAsia" w:eastAsia="黑体"/>
          <w:sz w:val="21"/>
          <w:szCs w:val="21"/>
        </w:rPr>
      </w:pPr>
      <w:r>
        <w:rPr>
          <w:rFonts w:hint="eastAsia" w:eastAsia="黑体"/>
          <w:sz w:val="21"/>
          <w:szCs w:val="21"/>
        </w:rPr>
        <w:t>Add:临汾市广奇财富中心</w:t>
      </w:r>
      <w:r>
        <w:rPr>
          <w:rFonts w:hint="eastAsia" w:eastAsia="黑体"/>
          <w:sz w:val="21"/>
          <w:szCs w:val="21"/>
          <w:lang w:val="en-US" w:eastAsia="zh-CN"/>
        </w:rPr>
        <w:t>B座</w:t>
      </w:r>
      <w:r>
        <w:rPr>
          <w:rFonts w:hint="eastAsia" w:eastAsia="黑体"/>
          <w:sz w:val="21"/>
          <w:szCs w:val="21"/>
        </w:rPr>
        <w:t>8层</w:t>
      </w:r>
    </w:p>
    <w:p w14:paraId="02EC4D42">
      <w:pPr>
        <w:autoSpaceDN w:val="0"/>
        <w:jc w:val="center"/>
        <w:rPr>
          <w:rFonts w:hint="eastAsia" w:eastAsia="黑体"/>
          <w:sz w:val="21"/>
          <w:szCs w:val="21"/>
        </w:rPr>
      </w:pPr>
      <w:r>
        <w:rPr>
          <w:rFonts w:hint="eastAsia" w:eastAsia="黑体"/>
          <w:sz w:val="21"/>
          <w:szCs w:val="21"/>
        </w:rPr>
        <w:t>Tel ：0357-2991314</w:t>
      </w:r>
    </w:p>
    <w:p w14:paraId="38314DEB">
      <w:pPr>
        <w:autoSpaceDN w:val="0"/>
        <w:jc w:val="center"/>
        <w:rPr>
          <w:rFonts w:ascii="仿宋_GB2312" w:hAnsi="仿宋_GB2312" w:eastAsia="仿宋_GB2312" w:cs="仿宋_GB2312"/>
          <w:b/>
          <w:bCs/>
          <w:sz w:val="21"/>
          <w:szCs w:val="21"/>
        </w:rPr>
      </w:pPr>
      <w:r>
        <w:rPr>
          <w:rFonts w:hint="eastAsia" w:eastAsia="黑体"/>
          <w:sz w:val="21"/>
          <w:szCs w:val="21"/>
        </w:rPr>
        <w:t>E-mail:zllslffs@163.com</w:t>
      </w:r>
    </w:p>
    <w:p w14:paraId="6277C9F1">
      <w:pPr>
        <w:autoSpaceDN w:val="0"/>
        <w:jc w:val="center"/>
        <w:rPr>
          <w:rFonts w:ascii="仿宋_GB2312" w:hAnsi="仿宋_GB2312" w:eastAsia="仿宋_GB2312" w:cs="仿宋_GB2312"/>
          <w:b/>
          <w:bCs/>
          <w:sz w:val="28"/>
        </w:rPr>
      </w:pPr>
    </w:p>
    <w:p w14:paraId="0B1AB44A">
      <w:pPr>
        <w:autoSpaceDN w:val="0"/>
        <w:spacing w:line="360" w:lineRule="auto"/>
        <w:jc w:val="center"/>
        <w:rPr>
          <w:rFonts w:ascii="仿宋_GB2312" w:hAnsi="仿宋_GB2312" w:eastAsia="仿宋_GB2312" w:cs="仿宋_GB2312"/>
          <w:b/>
          <w:bCs/>
          <w:sz w:val="28"/>
        </w:rPr>
      </w:pPr>
      <w:r>
        <w:rPr>
          <w:rFonts w:hint="eastAsia" w:ascii="仿宋_GB2312" w:hAnsi="仿宋_GB2312" w:eastAsia="仿宋_GB2312" w:cs="仿宋_GB2312"/>
          <w:b/>
          <w:bCs/>
          <w:sz w:val="28"/>
        </w:rPr>
        <w:t xml:space="preserve"> </w:t>
      </w:r>
    </w:p>
    <w:p w14:paraId="10AF189B">
      <w:pPr>
        <w:autoSpaceDN w:val="0"/>
        <w:spacing w:line="360" w:lineRule="auto"/>
        <w:jc w:val="center"/>
        <w:rPr>
          <w:rFonts w:ascii="仿宋_GB2312" w:hAnsi="仿宋_GB2312" w:eastAsia="仿宋_GB2312" w:cs="仿宋_GB2312"/>
          <w:b/>
          <w:bCs/>
          <w:sz w:val="28"/>
        </w:rPr>
      </w:pPr>
    </w:p>
    <w:p w14:paraId="75EA3310">
      <w:pPr>
        <w:autoSpaceDN w:val="0"/>
        <w:spacing w:line="360" w:lineRule="auto"/>
        <w:jc w:val="center"/>
        <w:rPr>
          <w:rFonts w:ascii="仿宋_GB2312" w:hAnsi="仿宋_GB2312" w:eastAsia="仿宋_GB2312" w:cs="仿宋_GB2312"/>
          <w:b/>
          <w:bCs/>
          <w:sz w:val="32"/>
          <w:szCs w:val="28"/>
        </w:rPr>
      </w:pPr>
      <w:r>
        <w:rPr>
          <w:rFonts w:hint="eastAsia" w:ascii="仿宋_GB2312" w:hAnsi="仿宋_GB2312" w:eastAsia="仿宋_GB2312" w:cs="仿宋_GB2312"/>
          <w:b/>
          <w:bCs/>
          <w:sz w:val="32"/>
          <w:szCs w:val="28"/>
        </w:rPr>
        <w:t>山西中吕</w:t>
      </w:r>
      <w:r>
        <w:rPr>
          <w:rFonts w:hint="eastAsia" w:ascii="仿宋_GB2312" w:hAnsi="仿宋_GB2312" w:eastAsia="仿宋_GB2312" w:cs="仿宋_GB2312"/>
          <w:b/>
          <w:bCs/>
          <w:sz w:val="32"/>
          <w:szCs w:val="28"/>
          <w:lang w:eastAsia="zh-CN"/>
        </w:rPr>
        <w:t>（</w:t>
      </w:r>
      <w:r>
        <w:rPr>
          <w:rFonts w:hint="eastAsia" w:ascii="仿宋_GB2312" w:hAnsi="仿宋_GB2312" w:eastAsia="仿宋_GB2312" w:cs="仿宋_GB2312"/>
          <w:b/>
          <w:bCs/>
          <w:sz w:val="32"/>
          <w:szCs w:val="28"/>
          <w:lang w:val="en-US" w:eastAsia="zh-CN"/>
        </w:rPr>
        <w:t>临汾</w:t>
      </w:r>
      <w:r>
        <w:rPr>
          <w:rFonts w:hint="eastAsia" w:ascii="仿宋_GB2312" w:hAnsi="仿宋_GB2312" w:eastAsia="仿宋_GB2312" w:cs="仿宋_GB2312"/>
          <w:b/>
          <w:bCs/>
          <w:sz w:val="32"/>
          <w:szCs w:val="28"/>
          <w:lang w:eastAsia="zh-CN"/>
        </w:rPr>
        <w:t>）</w:t>
      </w:r>
      <w:r>
        <w:rPr>
          <w:rFonts w:hint="eastAsia" w:ascii="仿宋_GB2312" w:hAnsi="仿宋_GB2312" w:eastAsia="仿宋_GB2312" w:cs="仿宋_GB2312"/>
          <w:b/>
          <w:bCs/>
          <w:sz w:val="32"/>
          <w:szCs w:val="28"/>
        </w:rPr>
        <w:t>律师事务所</w:t>
      </w:r>
    </w:p>
    <w:p w14:paraId="74717CFC">
      <w:pPr>
        <w:autoSpaceDN w:val="0"/>
        <w:jc w:val="center"/>
        <w:rPr>
          <w:rFonts w:hint="eastAsia" w:ascii="仿宋_GB2312" w:hAnsi="仿宋_GB2312" w:eastAsia="仿宋_GB2312" w:cs="仿宋_GB2312"/>
          <w:b/>
          <w:bCs/>
          <w:sz w:val="32"/>
          <w:szCs w:val="28"/>
        </w:rPr>
      </w:pPr>
      <w:r>
        <w:rPr>
          <w:rFonts w:hint="eastAsia" w:ascii="仿宋" w:hAnsi="仿宋" w:eastAsia="仿宋" w:cs="仿宋"/>
          <w:b/>
          <w:bCs/>
          <w:sz w:val="32"/>
          <w:szCs w:val="32"/>
        </w:rPr>
        <w:t>关</w:t>
      </w:r>
      <w:r>
        <w:rPr>
          <w:rFonts w:hint="eastAsia" w:ascii="仿宋_GB2312" w:hAnsi="仿宋_GB2312" w:eastAsia="仿宋_GB2312" w:cs="仿宋_GB2312"/>
          <w:b/>
          <w:bCs/>
          <w:sz w:val="32"/>
          <w:szCs w:val="28"/>
        </w:rPr>
        <w:t>于</w:t>
      </w:r>
      <w:r>
        <w:rPr>
          <w:rFonts w:hint="eastAsia" w:ascii="仿宋_GB2312" w:hAnsi="仿宋_GB2312" w:eastAsia="仿宋_GB2312" w:cs="仿宋_GB2312"/>
          <w:b/>
          <w:bCs/>
          <w:sz w:val="32"/>
          <w:szCs w:val="28"/>
          <w:lang w:val="en-US" w:eastAsia="zh-CN"/>
        </w:rPr>
        <w:t>蒲县智慧停车升级改造项目的</w:t>
      </w:r>
    </w:p>
    <w:p w14:paraId="0A381420">
      <w:pPr>
        <w:autoSpaceDN w:val="0"/>
        <w:jc w:val="center"/>
        <w:rPr>
          <w:rFonts w:ascii="仿宋" w:hAnsi="仿宋" w:eastAsia="仿宋" w:cs="仿宋"/>
          <w:b/>
          <w:bCs/>
          <w:sz w:val="32"/>
          <w:szCs w:val="32"/>
        </w:rPr>
      </w:pPr>
      <w:r>
        <w:rPr>
          <w:rFonts w:hint="eastAsia" w:ascii="仿宋" w:hAnsi="仿宋" w:eastAsia="仿宋" w:cs="仿宋"/>
          <w:b/>
          <w:bCs/>
          <w:sz w:val="32"/>
          <w:szCs w:val="32"/>
        </w:rPr>
        <w:t>法律意见书</w:t>
      </w:r>
    </w:p>
    <w:p w14:paraId="239C4769">
      <w:pPr>
        <w:autoSpaceDE w:val="0"/>
        <w:autoSpaceDN w:val="0"/>
        <w:adjustRightInd w:val="0"/>
        <w:spacing w:line="360" w:lineRule="auto"/>
        <w:ind w:firstLine="602"/>
        <w:jc w:val="center"/>
        <w:rPr>
          <w:rFonts w:ascii="楷体" w:hAnsi="楷体" w:eastAsia="楷体" w:cs="楷体"/>
          <w:sz w:val="28"/>
          <w:szCs w:val="28"/>
          <w:lang w:val="zh-CN"/>
        </w:rPr>
      </w:pPr>
      <w:r>
        <w:rPr>
          <w:rFonts w:hint="eastAsia" w:ascii="楷体" w:hAnsi="楷体" w:eastAsia="楷体" w:cs="楷体"/>
          <w:sz w:val="28"/>
          <w:szCs w:val="28"/>
          <w:lang w:val="zh-CN"/>
        </w:rPr>
        <w:t xml:space="preserve"> </w:t>
      </w:r>
    </w:p>
    <w:p w14:paraId="6E4C9E83">
      <w:pPr>
        <w:pStyle w:val="9"/>
        <w:ind w:firstLine="420"/>
        <w:rPr>
          <w:lang w:val="zh-CN"/>
        </w:rPr>
      </w:pPr>
    </w:p>
    <w:p w14:paraId="5C0C6C4F">
      <w:pPr>
        <w:autoSpaceDE w:val="0"/>
        <w:autoSpaceDN w:val="0"/>
        <w:adjustRightInd w:val="0"/>
        <w:spacing w:line="360" w:lineRule="auto"/>
        <w:ind w:firstLine="602"/>
        <w:jc w:val="center"/>
        <w:rPr>
          <w:rFonts w:ascii="楷体" w:hAnsi="楷体" w:eastAsia="楷体" w:cs="楷体"/>
          <w:b/>
          <w:bCs/>
          <w:sz w:val="28"/>
          <w:szCs w:val="28"/>
          <w:lang w:val="zh-CN"/>
        </w:rPr>
      </w:pPr>
    </w:p>
    <w:p w14:paraId="44476989">
      <w:pPr>
        <w:autoSpaceDE w:val="0"/>
        <w:autoSpaceDN w:val="0"/>
        <w:adjustRightInd w:val="0"/>
        <w:spacing w:line="360" w:lineRule="auto"/>
        <w:ind w:firstLine="602"/>
        <w:jc w:val="center"/>
        <w:rPr>
          <w:rFonts w:ascii="楷体" w:hAnsi="楷体" w:eastAsia="楷体" w:cs="楷体"/>
          <w:b/>
          <w:bCs/>
          <w:sz w:val="28"/>
          <w:szCs w:val="28"/>
          <w:lang w:val="zh-CN"/>
        </w:rPr>
      </w:pPr>
    </w:p>
    <w:p w14:paraId="4D711C58">
      <w:pPr>
        <w:autoSpaceDE w:val="0"/>
        <w:autoSpaceDN w:val="0"/>
        <w:adjustRightInd w:val="0"/>
        <w:spacing w:line="360" w:lineRule="auto"/>
        <w:ind w:firstLine="602"/>
        <w:rPr>
          <w:rFonts w:ascii="楷体" w:hAnsi="楷体" w:eastAsia="楷体" w:cs="楷体"/>
          <w:b/>
          <w:bCs/>
          <w:sz w:val="28"/>
          <w:szCs w:val="28"/>
          <w:lang w:val="zh-CN"/>
        </w:rPr>
      </w:pPr>
    </w:p>
    <w:p w14:paraId="7BC9F65F">
      <w:pPr>
        <w:autoSpaceDE w:val="0"/>
        <w:autoSpaceDN w:val="0"/>
        <w:adjustRightInd w:val="0"/>
        <w:spacing w:line="360" w:lineRule="auto"/>
        <w:ind w:firstLine="602"/>
        <w:rPr>
          <w:rFonts w:ascii="楷体" w:hAnsi="楷体" w:eastAsia="楷体" w:cs="楷体"/>
          <w:b/>
          <w:bCs/>
          <w:sz w:val="28"/>
          <w:szCs w:val="28"/>
          <w:lang w:val="zh-CN"/>
        </w:rPr>
      </w:pPr>
    </w:p>
    <w:p w14:paraId="1EC2EF4A">
      <w:pPr>
        <w:autoSpaceDE w:val="0"/>
        <w:autoSpaceDN w:val="0"/>
        <w:adjustRightInd w:val="0"/>
        <w:spacing w:line="360" w:lineRule="auto"/>
        <w:ind w:firstLine="602"/>
        <w:rPr>
          <w:rFonts w:ascii="楷体" w:hAnsi="楷体" w:eastAsia="楷体" w:cs="楷体"/>
          <w:b/>
          <w:bCs/>
          <w:sz w:val="28"/>
          <w:szCs w:val="28"/>
          <w:lang w:val="zh-CN"/>
        </w:rPr>
      </w:pPr>
    </w:p>
    <w:p w14:paraId="0A65923E">
      <w:pPr>
        <w:autoSpaceDE w:val="0"/>
        <w:autoSpaceDN w:val="0"/>
        <w:adjustRightInd w:val="0"/>
        <w:spacing w:line="360" w:lineRule="auto"/>
        <w:ind w:firstLine="602"/>
        <w:rPr>
          <w:rFonts w:ascii="楷体" w:hAnsi="楷体" w:eastAsia="楷体" w:cs="楷体"/>
          <w:b/>
          <w:bCs/>
          <w:sz w:val="28"/>
          <w:szCs w:val="28"/>
          <w:lang w:val="zh-CN"/>
        </w:rPr>
      </w:pPr>
    </w:p>
    <w:p w14:paraId="6B2F6ACC">
      <w:pPr>
        <w:autoSpaceDE w:val="0"/>
        <w:autoSpaceDN w:val="0"/>
        <w:adjustRightInd w:val="0"/>
        <w:spacing w:line="180" w:lineRule="auto"/>
        <w:jc w:val="center"/>
        <w:rPr>
          <w:rFonts w:ascii="仿宋" w:hAnsi="仿宋" w:eastAsia="仿宋" w:cs="仿宋"/>
          <w:b/>
          <w:bCs/>
          <w:sz w:val="28"/>
          <w:szCs w:val="28"/>
          <w:lang w:val="zh-CN"/>
        </w:rPr>
      </w:pPr>
      <w:r>
        <w:rPr>
          <w:rFonts w:hint="eastAsia" w:ascii="仿宋" w:hAnsi="仿宋" w:eastAsia="仿宋" w:cs="仿宋"/>
          <w:b/>
          <w:bCs/>
          <w:sz w:val="28"/>
          <w:szCs w:val="28"/>
          <w:lang w:val="zh-CN"/>
        </w:rPr>
        <w:t>二〇</w:t>
      </w:r>
      <w:r>
        <w:rPr>
          <w:rFonts w:hint="eastAsia" w:ascii="仿宋" w:hAnsi="仿宋" w:eastAsia="仿宋" w:cs="仿宋"/>
          <w:b/>
          <w:bCs/>
          <w:sz w:val="28"/>
          <w:szCs w:val="28"/>
        </w:rPr>
        <w:t>二</w:t>
      </w:r>
      <w:r>
        <w:rPr>
          <w:rFonts w:hint="eastAsia" w:ascii="仿宋" w:hAnsi="仿宋" w:eastAsia="仿宋" w:cs="仿宋"/>
          <w:b/>
          <w:bCs/>
          <w:sz w:val="28"/>
          <w:szCs w:val="28"/>
          <w:lang w:val="en-US" w:eastAsia="zh-CN"/>
        </w:rPr>
        <w:t>五</w:t>
      </w:r>
      <w:r>
        <w:rPr>
          <w:rFonts w:hint="eastAsia" w:ascii="仿宋" w:hAnsi="仿宋" w:eastAsia="仿宋" w:cs="仿宋"/>
          <w:b/>
          <w:bCs/>
          <w:sz w:val="28"/>
          <w:szCs w:val="28"/>
          <w:lang w:val="zh-CN"/>
        </w:rPr>
        <w:t>年</w:t>
      </w:r>
      <w:r>
        <w:rPr>
          <w:rFonts w:hint="eastAsia" w:ascii="仿宋" w:hAnsi="仿宋" w:eastAsia="仿宋" w:cs="仿宋"/>
          <w:b/>
          <w:bCs/>
          <w:sz w:val="28"/>
          <w:szCs w:val="28"/>
          <w:lang w:val="en-US" w:eastAsia="zh-CN"/>
        </w:rPr>
        <w:t>七</w:t>
      </w:r>
      <w:r>
        <w:rPr>
          <w:rFonts w:hint="eastAsia" w:ascii="仿宋" w:hAnsi="仿宋" w:eastAsia="仿宋" w:cs="仿宋"/>
          <w:b/>
          <w:bCs/>
          <w:sz w:val="28"/>
          <w:szCs w:val="28"/>
          <w:lang w:val="zh-CN"/>
        </w:rPr>
        <w:t>月</w:t>
      </w:r>
    </w:p>
    <w:p w14:paraId="673A5728">
      <w:pPr>
        <w:autoSpaceDE w:val="0"/>
        <w:autoSpaceDN w:val="0"/>
        <w:adjustRightInd w:val="0"/>
        <w:spacing w:line="360" w:lineRule="auto"/>
        <w:rPr>
          <w:rFonts w:ascii="仿宋" w:hAnsi="仿宋" w:eastAsia="仿宋" w:cs="仿宋"/>
          <w:b/>
          <w:bCs/>
          <w:sz w:val="28"/>
          <w:szCs w:val="28"/>
          <w:highlight w:val="cyan"/>
          <w:lang w:val="zh-CN"/>
        </w:rPr>
        <w:sectPr>
          <w:headerReference r:id="rId3" w:type="default"/>
          <w:footerReference r:id="rId4" w:type="even"/>
          <w:pgSz w:w="11906" w:h="16838"/>
          <w:pgMar w:top="1440" w:right="1800" w:bottom="1440" w:left="1800" w:header="851" w:footer="992" w:gutter="0"/>
          <w:cols w:space="425" w:num="1"/>
          <w:docGrid w:type="lines" w:linePitch="312" w:charSpace="0"/>
        </w:sectPr>
      </w:pPr>
    </w:p>
    <w:p w14:paraId="3951F38E">
      <w:pPr>
        <w:spacing w:line="360" w:lineRule="auto"/>
        <w:jc w:val="center"/>
        <w:rPr>
          <w:rFonts w:ascii="宋体" w:hAnsi="宋体"/>
          <w:b/>
          <w:kern w:val="44"/>
          <w:sz w:val="48"/>
          <w:szCs w:val="48"/>
        </w:rPr>
      </w:pPr>
      <w:r>
        <w:rPr>
          <w:rFonts w:hint="eastAsia" w:ascii="宋体" w:hAnsi="宋体"/>
          <w:b/>
          <w:kern w:val="44"/>
          <w:sz w:val="48"/>
          <w:szCs w:val="48"/>
        </w:rPr>
        <w:t xml:space="preserve">                     </w:t>
      </w:r>
    </w:p>
    <w:p w14:paraId="0613DA07">
      <w:pPr>
        <w:autoSpaceDE w:val="0"/>
        <w:autoSpaceDN w:val="0"/>
        <w:adjustRightInd w:val="0"/>
        <w:spacing w:line="360" w:lineRule="auto"/>
        <w:jc w:val="center"/>
        <w:rPr>
          <w:rFonts w:ascii="黑体" w:hAnsi="黑体" w:eastAsia="黑体" w:cs="仿宋"/>
          <w:b/>
          <w:bCs/>
          <w:sz w:val="28"/>
          <w:szCs w:val="28"/>
        </w:rPr>
      </w:pPr>
      <w:r>
        <w:rPr>
          <w:rFonts w:hint="eastAsia" w:ascii="黑体" w:hAnsi="黑体" w:eastAsia="黑体" w:cs="仿宋"/>
          <w:b/>
          <w:bCs/>
          <w:sz w:val="32"/>
          <w:szCs w:val="32"/>
        </w:rPr>
        <w:t>目   录</w:t>
      </w:r>
    </w:p>
    <w:sdt>
      <w:sdtPr>
        <w:rPr>
          <w:rFonts w:hint="eastAsia" w:ascii="宋体" w:hAnsi="宋体" w:cs="Times New Roman"/>
          <w:b/>
          <w:kern w:val="44"/>
          <w:sz w:val="48"/>
          <w:szCs w:val="48"/>
        </w:rPr>
        <w:id w:val="147460809"/>
        <w15:color w:val="DBDBDB"/>
      </w:sdtPr>
      <w:sdtEndPr>
        <w:rPr>
          <w:rFonts w:hint="default" w:ascii="Times New Roman" w:hAnsi="Times New Roman" w:cs="Times New Roman"/>
          <w:b w:val="0"/>
          <w:kern w:val="0"/>
          <w:sz w:val="20"/>
          <w:szCs w:val="32"/>
        </w:rPr>
      </w:sdtEndPr>
      <w:sdtContent>
        <w:p w14:paraId="6579FF9E">
          <w:pPr>
            <w:spacing w:line="360" w:lineRule="auto"/>
            <w:jc w:val="center"/>
            <w:rPr>
              <w:rFonts w:ascii="仿宋" w:hAnsi="仿宋" w:eastAsia="仿宋"/>
              <w:b/>
              <w:kern w:val="44"/>
              <w:sz w:val="28"/>
              <w:szCs w:val="28"/>
            </w:rPr>
          </w:pPr>
        </w:p>
        <w:p w14:paraId="5520A010">
          <w:pPr>
            <w:pStyle w:val="14"/>
            <w:tabs>
              <w:tab w:val="right" w:leader="dot" w:pos="8296"/>
            </w:tabs>
            <w:rPr>
              <w:rFonts w:ascii="仿宋" w:hAnsi="仿宋" w:eastAsia="仿宋" w:cstheme="minorBidi"/>
              <w:b/>
              <w:sz w:val="28"/>
              <w:szCs w:val="28"/>
              <w14:ligatures w14:val="standardContextual"/>
            </w:rPr>
          </w:pPr>
          <w:r>
            <w:rPr>
              <w:rFonts w:ascii="仿宋" w:hAnsi="仿宋" w:eastAsia="仿宋" w:cs="仿宋"/>
              <w:b/>
              <w:sz w:val="28"/>
              <w:szCs w:val="28"/>
            </w:rPr>
            <w:fldChar w:fldCharType="begin"/>
          </w:r>
          <w:r>
            <w:rPr>
              <w:rFonts w:hint="eastAsia" w:ascii="仿宋" w:hAnsi="仿宋" w:eastAsia="仿宋" w:cs="仿宋"/>
              <w:b/>
              <w:sz w:val="28"/>
              <w:szCs w:val="28"/>
            </w:rPr>
            <w:instrText xml:space="preserve">TOC \o "1-1" \h \u </w:instrText>
          </w:r>
          <w:r>
            <w:rPr>
              <w:rFonts w:ascii="仿宋" w:hAnsi="仿宋" w:eastAsia="仿宋" w:cs="仿宋"/>
              <w:b/>
              <w:sz w:val="28"/>
              <w:szCs w:val="28"/>
            </w:rPr>
            <w:fldChar w:fldCharType="separate"/>
          </w:r>
          <w:r>
            <w:fldChar w:fldCharType="begin"/>
          </w:r>
          <w:r>
            <w:instrText xml:space="preserve"> HYPERLINK \l "_Toc144380179" </w:instrText>
          </w:r>
          <w:r>
            <w:fldChar w:fldCharType="separate"/>
          </w:r>
          <w:r>
            <w:rPr>
              <w:rStyle w:val="23"/>
              <w:rFonts w:ascii="仿宋" w:hAnsi="仿宋" w:eastAsia="仿宋"/>
              <w:b/>
              <w:sz w:val="28"/>
              <w:szCs w:val="28"/>
            </w:rPr>
            <w:t>释  义</w:t>
          </w:r>
          <w:r>
            <w:rPr>
              <w:rFonts w:ascii="仿宋" w:hAnsi="仿宋" w:eastAsia="仿宋"/>
              <w:b/>
              <w:sz w:val="28"/>
              <w:szCs w:val="28"/>
            </w:rPr>
            <w:tab/>
          </w:r>
          <w:r>
            <w:rPr>
              <w:rFonts w:ascii="仿宋" w:hAnsi="仿宋" w:eastAsia="仿宋"/>
              <w:b/>
              <w:sz w:val="28"/>
              <w:szCs w:val="28"/>
            </w:rPr>
            <w:fldChar w:fldCharType="begin"/>
          </w:r>
          <w:r>
            <w:rPr>
              <w:rFonts w:ascii="仿宋" w:hAnsi="仿宋" w:eastAsia="仿宋"/>
              <w:b/>
              <w:sz w:val="28"/>
              <w:szCs w:val="28"/>
            </w:rPr>
            <w:instrText xml:space="preserve"> PAGEREF _Toc144380179 \h </w:instrText>
          </w:r>
          <w:r>
            <w:rPr>
              <w:rFonts w:ascii="仿宋" w:hAnsi="仿宋" w:eastAsia="仿宋"/>
              <w:b/>
              <w:sz w:val="28"/>
              <w:szCs w:val="28"/>
            </w:rPr>
            <w:fldChar w:fldCharType="separate"/>
          </w:r>
          <w:r>
            <w:rPr>
              <w:rFonts w:ascii="仿宋" w:hAnsi="仿宋" w:eastAsia="仿宋"/>
              <w:b/>
              <w:sz w:val="28"/>
              <w:szCs w:val="28"/>
            </w:rPr>
            <w:t>1</w:t>
          </w:r>
          <w:r>
            <w:rPr>
              <w:rFonts w:ascii="仿宋" w:hAnsi="仿宋" w:eastAsia="仿宋"/>
              <w:b/>
              <w:sz w:val="28"/>
              <w:szCs w:val="28"/>
            </w:rPr>
            <w:fldChar w:fldCharType="end"/>
          </w:r>
          <w:r>
            <w:rPr>
              <w:rFonts w:ascii="仿宋" w:hAnsi="仿宋" w:eastAsia="仿宋"/>
              <w:b/>
              <w:sz w:val="28"/>
              <w:szCs w:val="28"/>
            </w:rPr>
            <w:fldChar w:fldCharType="end"/>
          </w:r>
        </w:p>
        <w:p w14:paraId="40AFFEC6">
          <w:pPr>
            <w:pStyle w:val="14"/>
            <w:tabs>
              <w:tab w:val="right" w:leader="dot" w:pos="8296"/>
            </w:tabs>
            <w:rPr>
              <w:rFonts w:ascii="仿宋" w:hAnsi="仿宋" w:eastAsia="仿宋" w:cstheme="minorBidi"/>
              <w:b/>
              <w:sz w:val="28"/>
              <w:szCs w:val="28"/>
              <w14:ligatures w14:val="standardContextual"/>
            </w:rPr>
          </w:pPr>
          <w:r>
            <w:fldChar w:fldCharType="begin"/>
          </w:r>
          <w:r>
            <w:instrText xml:space="preserve"> HYPERLINK \l "_Toc144380180" </w:instrText>
          </w:r>
          <w:r>
            <w:fldChar w:fldCharType="separate"/>
          </w:r>
          <w:r>
            <w:rPr>
              <w:rStyle w:val="23"/>
              <w:rFonts w:ascii="仿宋" w:hAnsi="仿宋" w:eastAsia="仿宋" w:cs="黑体"/>
              <w:b/>
              <w:sz w:val="28"/>
              <w:szCs w:val="28"/>
            </w:rPr>
            <w:t>前  言</w:t>
          </w:r>
          <w:r>
            <w:rPr>
              <w:rFonts w:ascii="仿宋" w:hAnsi="仿宋" w:eastAsia="仿宋"/>
              <w:b/>
              <w:sz w:val="28"/>
              <w:szCs w:val="28"/>
            </w:rPr>
            <w:tab/>
          </w:r>
          <w:r>
            <w:rPr>
              <w:rFonts w:ascii="仿宋" w:hAnsi="仿宋" w:eastAsia="仿宋"/>
              <w:b/>
              <w:sz w:val="28"/>
              <w:szCs w:val="28"/>
            </w:rPr>
            <w:fldChar w:fldCharType="begin"/>
          </w:r>
          <w:r>
            <w:rPr>
              <w:rFonts w:ascii="仿宋" w:hAnsi="仿宋" w:eastAsia="仿宋"/>
              <w:b/>
              <w:sz w:val="28"/>
              <w:szCs w:val="28"/>
            </w:rPr>
            <w:instrText xml:space="preserve"> PAGEREF _Toc144380180 \h </w:instrText>
          </w:r>
          <w:r>
            <w:rPr>
              <w:rFonts w:ascii="仿宋" w:hAnsi="仿宋" w:eastAsia="仿宋"/>
              <w:b/>
              <w:sz w:val="28"/>
              <w:szCs w:val="28"/>
            </w:rPr>
            <w:fldChar w:fldCharType="separate"/>
          </w:r>
          <w:r>
            <w:rPr>
              <w:rFonts w:ascii="仿宋" w:hAnsi="仿宋" w:eastAsia="仿宋"/>
              <w:b/>
              <w:sz w:val="28"/>
              <w:szCs w:val="28"/>
            </w:rPr>
            <w:t>2</w:t>
          </w:r>
          <w:r>
            <w:rPr>
              <w:rFonts w:ascii="仿宋" w:hAnsi="仿宋" w:eastAsia="仿宋"/>
              <w:b/>
              <w:sz w:val="28"/>
              <w:szCs w:val="28"/>
            </w:rPr>
            <w:fldChar w:fldCharType="end"/>
          </w:r>
          <w:r>
            <w:rPr>
              <w:rFonts w:ascii="仿宋" w:hAnsi="仿宋" w:eastAsia="仿宋"/>
              <w:b/>
              <w:sz w:val="28"/>
              <w:szCs w:val="28"/>
            </w:rPr>
            <w:fldChar w:fldCharType="end"/>
          </w:r>
        </w:p>
        <w:p w14:paraId="4AE8F806">
          <w:pPr>
            <w:pStyle w:val="14"/>
            <w:tabs>
              <w:tab w:val="right" w:leader="dot" w:pos="8296"/>
            </w:tabs>
            <w:rPr>
              <w:rFonts w:ascii="仿宋" w:hAnsi="仿宋" w:eastAsia="仿宋" w:cstheme="minorBidi"/>
              <w:b/>
              <w:sz w:val="28"/>
              <w:szCs w:val="28"/>
              <w14:ligatures w14:val="standardContextual"/>
            </w:rPr>
          </w:pPr>
          <w:r>
            <w:fldChar w:fldCharType="begin"/>
          </w:r>
          <w:r>
            <w:instrText xml:space="preserve"> HYPERLINK \l "_Toc144380181" </w:instrText>
          </w:r>
          <w:r>
            <w:fldChar w:fldCharType="separate"/>
          </w:r>
          <w:r>
            <w:rPr>
              <w:rStyle w:val="23"/>
              <w:rFonts w:ascii="仿宋" w:hAnsi="仿宋" w:eastAsia="仿宋" w:cs="黑体"/>
              <w:b/>
              <w:sz w:val="28"/>
              <w:szCs w:val="28"/>
            </w:rPr>
            <w:t>一、本法律意见书的依据</w:t>
          </w:r>
          <w:r>
            <w:rPr>
              <w:rFonts w:ascii="仿宋" w:hAnsi="仿宋" w:eastAsia="仿宋"/>
              <w:b/>
              <w:sz w:val="28"/>
              <w:szCs w:val="28"/>
            </w:rPr>
            <w:tab/>
          </w:r>
          <w:r>
            <w:rPr>
              <w:rFonts w:ascii="仿宋" w:hAnsi="仿宋" w:eastAsia="仿宋"/>
              <w:b/>
              <w:sz w:val="28"/>
              <w:szCs w:val="28"/>
            </w:rPr>
            <w:fldChar w:fldCharType="begin"/>
          </w:r>
          <w:r>
            <w:rPr>
              <w:rFonts w:ascii="仿宋" w:hAnsi="仿宋" w:eastAsia="仿宋"/>
              <w:b/>
              <w:sz w:val="28"/>
              <w:szCs w:val="28"/>
            </w:rPr>
            <w:instrText xml:space="preserve"> PAGEREF _Toc144380181 \h </w:instrText>
          </w:r>
          <w:r>
            <w:rPr>
              <w:rFonts w:ascii="仿宋" w:hAnsi="仿宋" w:eastAsia="仿宋"/>
              <w:b/>
              <w:sz w:val="28"/>
              <w:szCs w:val="28"/>
            </w:rPr>
            <w:fldChar w:fldCharType="separate"/>
          </w:r>
          <w:r>
            <w:rPr>
              <w:rFonts w:ascii="仿宋" w:hAnsi="仿宋" w:eastAsia="仿宋"/>
              <w:b/>
              <w:sz w:val="28"/>
              <w:szCs w:val="28"/>
            </w:rPr>
            <w:t>2</w:t>
          </w:r>
          <w:r>
            <w:rPr>
              <w:rFonts w:ascii="仿宋" w:hAnsi="仿宋" w:eastAsia="仿宋"/>
              <w:b/>
              <w:sz w:val="28"/>
              <w:szCs w:val="28"/>
            </w:rPr>
            <w:fldChar w:fldCharType="end"/>
          </w:r>
          <w:r>
            <w:rPr>
              <w:rFonts w:ascii="仿宋" w:hAnsi="仿宋" w:eastAsia="仿宋"/>
              <w:b/>
              <w:sz w:val="28"/>
              <w:szCs w:val="28"/>
            </w:rPr>
            <w:fldChar w:fldCharType="end"/>
          </w:r>
        </w:p>
        <w:p w14:paraId="7F84C600">
          <w:pPr>
            <w:pStyle w:val="14"/>
            <w:tabs>
              <w:tab w:val="right" w:leader="dot" w:pos="8296"/>
            </w:tabs>
            <w:rPr>
              <w:rFonts w:ascii="仿宋" w:hAnsi="仿宋" w:eastAsia="仿宋" w:cstheme="minorBidi"/>
              <w:b/>
              <w:sz w:val="28"/>
              <w:szCs w:val="28"/>
              <w14:ligatures w14:val="standardContextual"/>
            </w:rPr>
          </w:pPr>
          <w:r>
            <w:fldChar w:fldCharType="begin"/>
          </w:r>
          <w:r>
            <w:instrText xml:space="preserve"> HYPERLINK \l "_Toc144380182" </w:instrText>
          </w:r>
          <w:r>
            <w:fldChar w:fldCharType="separate"/>
          </w:r>
          <w:r>
            <w:rPr>
              <w:rStyle w:val="23"/>
              <w:rFonts w:ascii="仿宋" w:hAnsi="仿宋" w:eastAsia="仿宋" w:cs="黑体"/>
              <w:b/>
              <w:sz w:val="28"/>
              <w:szCs w:val="28"/>
            </w:rPr>
            <w:t>二、方法与限制</w:t>
          </w:r>
          <w:r>
            <w:rPr>
              <w:rFonts w:ascii="仿宋" w:hAnsi="仿宋" w:eastAsia="仿宋"/>
              <w:b/>
              <w:sz w:val="28"/>
              <w:szCs w:val="28"/>
            </w:rPr>
            <w:tab/>
          </w:r>
          <w:r>
            <w:rPr>
              <w:rFonts w:ascii="仿宋" w:hAnsi="仿宋" w:eastAsia="仿宋"/>
              <w:b/>
              <w:sz w:val="28"/>
              <w:szCs w:val="28"/>
            </w:rPr>
            <w:fldChar w:fldCharType="begin"/>
          </w:r>
          <w:r>
            <w:rPr>
              <w:rFonts w:ascii="仿宋" w:hAnsi="仿宋" w:eastAsia="仿宋"/>
              <w:b/>
              <w:sz w:val="28"/>
              <w:szCs w:val="28"/>
            </w:rPr>
            <w:instrText xml:space="preserve"> PAGEREF _Toc144380182 \h </w:instrText>
          </w:r>
          <w:r>
            <w:rPr>
              <w:rFonts w:ascii="仿宋" w:hAnsi="仿宋" w:eastAsia="仿宋"/>
              <w:b/>
              <w:sz w:val="28"/>
              <w:szCs w:val="28"/>
            </w:rPr>
            <w:fldChar w:fldCharType="separate"/>
          </w:r>
          <w:r>
            <w:rPr>
              <w:rFonts w:ascii="仿宋" w:hAnsi="仿宋" w:eastAsia="仿宋"/>
              <w:b/>
              <w:sz w:val="28"/>
              <w:szCs w:val="28"/>
            </w:rPr>
            <w:t>4</w:t>
          </w:r>
          <w:r>
            <w:rPr>
              <w:rFonts w:ascii="仿宋" w:hAnsi="仿宋" w:eastAsia="仿宋"/>
              <w:b/>
              <w:sz w:val="28"/>
              <w:szCs w:val="28"/>
            </w:rPr>
            <w:fldChar w:fldCharType="end"/>
          </w:r>
          <w:r>
            <w:rPr>
              <w:rFonts w:ascii="仿宋" w:hAnsi="仿宋" w:eastAsia="仿宋"/>
              <w:b/>
              <w:sz w:val="28"/>
              <w:szCs w:val="28"/>
            </w:rPr>
            <w:fldChar w:fldCharType="end"/>
          </w:r>
        </w:p>
        <w:p w14:paraId="0EE8E5E9">
          <w:pPr>
            <w:pStyle w:val="14"/>
            <w:tabs>
              <w:tab w:val="right" w:leader="dot" w:pos="8296"/>
            </w:tabs>
            <w:rPr>
              <w:rFonts w:ascii="仿宋" w:hAnsi="仿宋" w:eastAsia="仿宋" w:cstheme="minorBidi"/>
              <w:b/>
              <w:sz w:val="28"/>
              <w:szCs w:val="28"/>
              <w14:ligatures w14:val="standardContextual"/>
            </w:rPr>
          </w:pPr>
          <w:r>
            <w:fldChar w:fldCharType="begin"/>
          </w:r>
          <w:r>
            <w:instrText xml:space="preserve"> HYPERLINK \l "_Toc144380183" </w:instrText>
          </w:r>
          <w:r>
            <w:fldChar w:fldCharType="separate"/>
          </w:r>
          <w:r>
            <w:rPr>
              <w:rStyle w:val="23"/>
              <w:rFonts w:ascii="仿宋" w:hAnsi="仿宋" w:eastAsia="仿宋" w:cs="黑体"/>
              <w:b/>
              <w:sz w:val="28"/>
              <w:szCs w:val="28"/>
            </w:rPr>
            <w:t>三、声明事项</w:t>
          </w:r>
          <w:r>
            <w:rPr>
              <w:rFonts w:ascii="仿宋" w:hAnsi="仿宋" w:eastAsia="仿宋"/>
              <w:b/>
              <w:sz w:val="28"/>
              <w:szCs w:val="28"/>
            </w:rPr>
            <w:tab/>
          </w:r>
          <w:r>
            <w:rPr>
              <w:rFonts w:ascii="仿宋" w:hAnsi="仿宋" w:eastAsia="仿宋"/>
              <w:b/>
              <w:sz w:val="28"/>
              <w:szCs w:val="28"/>
            </w:rPr>
            <w:fldChar w:fldCharType="begin"/>
          </w:r>
          <w:r>
            <w:rPr>
              <w:rFonts w:ascii="仿宋" w:hAnsi="仿宋" w:eastAsia="仿宋"/>
              <w:b/>
              <w:sz w:val="28"/>
              <w:szCs w:val="28"/>
            </w:rPr>
            <w:instrText xml:space="preserve"> PAGEREF _Toc144380183 \h </w:instrText>
          </w:r>
          <w:r>
            <w:rPr>
              <w:rFonts w:ascii="仿宋" w:hAnsi="仿宋" w:eastAsia="仿宋"/>
              <w:b/>
              <w:sz w:val="28"/>
              <w:szCs w:val="28"/>
            </w:rPr>
            <w:fldChar w:fldCharType="separate"/>
          </w:r>
          <w:r>
            <w:rPr>
              <w:rFonts w:ascii="仿宋" w:hAnsi="仿宋" w:eastAsia="仿宋"/>
              <w:b/>
              <w:sz w:val="28"/>
              <w:szCs w:val="28"/>
            </w:rPr>
            <w:t>5</w:t>
          </w:r>
          <w:r>
            <w:rPr>
              <w:rFonts w:ascii="仿宋" w:hAnsi="仿宋" w:eastAsia="仿宋"/>
              <w:b/>
              <w:sz w:val="28"/>
              <w:szCs w:val="28"/>
            </w:rPr>
            <w:fldChar w:fldCharType="end"/>
          </w:r>
          <w:r>
            <w:rPr>
              <w:rFonts w:ascii="仿宋" w:hAnsi="仿宋" w:eastAsia="仿宋"/>
              <w:b/>
              <w:sz w:val="28"/>
              <w:szCs w:val="28"/>
            </w:rPr>
            <w:fldChar w:fldCharType="end"/>
          </w:r>
        </w:p>
        <w:p w14:paraId="55CA0760">
          <w:pPr>
            <w:pStyle w:val="14"/>
            <w:tabs>
              <w:tab w:val="right" w:leader="dot" w:pos="8296"/>
            </w:tabs>
            <w:rPr>
              <w:rFonts w:ascii="仿宋" w:hAnsi="仿宋" w:eastAsia="仿宋" w:cstheme="minorBidi"/>
              <w:b/>
              <w:sz w:val="28"/>
              <w:szCs w:val="28"/>
              <w14:ligatures w14:val="standardContextual"/>
            </w:rPr>
          </w:pPr>
          <w:r>
            <w:fldChar w:fldCharType="begin"/>
          </w:r>
          <w:r>
            <w:instrText xml:space="preserve"> HYPERLINK \l "_Toc144380184" </w:instrText>
          </w:r>
          <w:r>
            <w:fldChar w:fldCharType="separate"/>
          </w:r>
          <w:r>
            <w:rPr>
              <w:rStyle w:val="23"/>
              <w:rFonts w:ascii="仿宋" w:hAnsi="仿宋" w:eastAsia="仿宋" w:cs="黑体"/>
              <w:b/>
              <w:sz w:val="28"/>
              <w:szCs w:val="28"/>
            </w:rPr>
            <w:t>正  文</w:t>
          </w:r>
          <w:r>
            <w:rPr>
              <w:rFonts w:ascii="仿宋" w:hAnsi="仿宋" w:eastAsia="仿宋"/>
              <w:b/>
              <w:sz w:val="28"/>
              <w:szCs w:val="28"/>
            </w:rPr>
            <w:tab/>
          </w:r>
          <w:r>
            <w:rPr>
              <w:rFonts w:ascii="仿宋" w:hAnsi="仿宋" w:eastAsia="仿宋"/>
              <w:b/>
              <w:sz w:val="28"/>
              <w:szCs w:val="28"/>
            </w:rPr>
            <w:fldChar w:fldCharType="begin"/>
          </w:r>
          <w:r>
            <w:rPr>
              <w:rFonts w:ascii="仿宋" w:hAnsi="仿宋" w:eastAsia="仿宋"/>
              <w:b/>
              <w:sz w:val="28"/>
              <w:szCs w:val="28"/>
            </w:rPr>
            <w:instrText xml:space="preserve"> PAGEREF _Toc144380184 \h </w:instrText>
          </w:r>
          <w:r>
            <w:rPr>
              <w:rFonts w:ascii="仿宋" w:hAnsi="仿宋" w:eastAsia="仿宋"/>
              <w:b/>
              <w:sz w:val="28"/>
              <w:szCs w:val="28"/>
            </w:rPr>
            <w:fldChar w:fldCharType="separate"/>
          </w:r>
          <w:r>
            <w:rPr>
              <w:rFonts w:ascii="仿宋" w:hAnsi="仿宋" w:eastAsia="仿宋"/>
              <w:b/>
              <w:sz w:val="28"/>
              <w:szCs w:val="28"/>
            </w:rPr>
            <w:t>5</w:t>
          </w:r>
          <w:r>
            <w:rPr>
              <w:rFonts w:ascii="仿宋" w:hAnsi="仿宋" w:eastAsia="仿宋"/>
              <w:b/>
              <w:sz w:val="28"/>
              <w:szCs w:val="28"/>
            </w:rPr>
            <w:fldChar w:fldCharType="end"/>
          </w:r>
          <w:r>
            <w:rPr>
              <w:rFonts w:ascii="仿宋" w:hAnsi="仿宋" w:eastAsia="仿宋"/>
              <w:b/>
              <w:sz w:val="28"/>
              <w:szCs w:val="28"/>
            </w:rPr>
            <w:fldChar w:fldCharType="end"/>
          </w:r>
        </w:p>
        <w:p w14:paraId="5555E7DA">
          <w:pPr>
            <w:pStyle w:val="14"/>
            <w:tabs>
              <w:tab w:val="right" w:leader="dot" w:pos="8296"/>
            </w:tabs>
            <w:rPr>
              <w:rFonts w:ascii="仿宋" w:hAnsi="仿宋" w:eastAsia="仿宋" w:cstheme="minorBidi"/>
              <w:b/>
              <w:sz w:val="28"/>
              <w:szCs w:val="28"/>
              <w14:ligatures w14:val="standardContextual"/>
            </w:rPr>
          </w:pPr>
          <w:r>
            <w:fldChar w:fldCharType="begin"/>
          </w:r>
          <w:r>
            <w:instrText xml:space="preserve"> HYPERLINK \l "_Toc144380185" </w:instrText>
          </w:r>
          <w:r>
            <w:fldChar w:fldCharType="separate"/>
          </w:r>
          <w:r>
            <w:rPr>
              <w:rStyle w:val="23"/>
              <w:rFonts w:ascii="仿宋" w:hAnsi="仿宋" w:eastAsia="仿宋" w:cs="黑体"/>
              <w:b/>
              <w:sz w:val="28"/>
              <w:szCs w:val="28"/>
            </w:rPr>
            <w:t>一、项目实施主体资格</w:t>
          </w:r>
          <w:r>
            <w:rPr>
              <w:rFonts w:ascii="仿宋" w:hAnsi="仿宋" w:eastAsia="仿宋"/>
              <w:b/>
              <w:sz w:val="28"/>
              <w:szCs w:val="28"/>
            </w:rPr>
            <w:tab/>
          </w:r>
          <w:r>
            <w:rPr>
              <w:rFonts w:ascii="仿宋" w:hAnsi="仿宋" w:eastAsia="仿宋"/>
              <w:b/>
              <w:sz w:val="28"/>
              <w:szCs w:val="28"/>
            </w:rPr>
            <w:fldChar w:fldCharType="begin"/>
          </w:r>
          <w:r>
            <w:rPr>
              <w:rFonts w:ascii="仿宋" w:hAnsi="仿宋" w:eastAsia="仿宋"/>
              <w:b/>
              <w:sz w:val="28"/>
              <w:szCs w:val="28"/>
            </w:rPr>
            <w:instrText xml:space="preserve"> PAGEREF _Toc144380185 \h </w:instrText>
          </w:r>
          <w:r>
            <w:rPr>
              <w:rFonts w:ascii="仿宋" w:hAnsi="仿宋" w:eastAsia="仿宋"/>
              <w:b/>
              <w:sz w:val="28"/>
              <w:szCs w:val="28"/>
            </w:rPr>
            <w:fldChar w:fldCharType="separate"/>
          </w:r>
          <w:r>
            <w:rPr>
              <w:rFonts w:ascii="仿宋" w:hAnsi="仿宋" w:eastAsia="仿宋"/>
              <w:b/>
              <w:sz w:val="28"/>
              <w:szCs w:val="28"/>
            </w:rPr>
            <w:t>6</w:t>
          </w:r>
          <w:r>
            <w:rPr>
              <w:rFonts w:ascii="仿宋" w:hAnsi="仿宋" w:eastAsia="仿宋"/>
              <w:b/>
              <w:sz w:val="28"/>
              <w:szCs w:val="28"/>
            </w:rPr>
            <w:fldChar w:fldCharType="end"/>
          </w:r>
          <w:r>
            <w:rPr>
              <w:rFonts w:ascii="仿宋" w:hAnsi="仿宋" w:eastAsia="仿宋"/>
              <w:b/>
              <w:sz w:val="28"/>
              <w:szCs w:val="28"/>
            </w:rPr>
            <w:fldChar w:fldCharType="end"/>
          </w:r>
        </w:p>
        <w:p w14:paraId="3B9414FF">
          <w:pPr>
            <w:pStyle w:val="14"/>
            <w:tabs>
              <w:tab w:val="right" w:leader="dot" w:pos="8296"/>
            </w:tabs>
            <w:rPr>
              <w:rFonts w:ascii="仿宋" w:hAnsi="仿宋" w:eastAsia="仿宋" w:cstheme="minorBidi"/>
              <w:b/>
              <w:sz w:val="28"/>
              <w:szCs w:val="28"/>
              <w14:ligatures w14:val="standardContextual"/>
            </w:rPr>
          </w:pPr>
          <w:r>
            <w:fldChar w:fldCharType="begin"/>
          </w:r>
          <w:r>
            <w:instrText xml:space="preserve"> HYPERLINK \l "_Toc144380186" </w:instrText>
          </w:r>
          <w:r>
            <w:fldChar w:fldCharType="separate"/>
          </w:r>
          <w:r>
            <w:rPr>
              <w:rStyle w:val="23"/>
              <w:rFonts w:ascii="仿宋" w:hAnsi="仿宋" w:eastAsia="仿宋" w:cs="黑体"/>
              <w:b/>
              <w:sz w:val="28"/>
              <w:szCs w:val="28"/>
            </w:rPr>
            <w:t>二、项目基本情况</w:t>
          </w:r>
          <w:r>
            <w:rPr>
              <w:rFonts w:ascii="仿宋" w:hAnsi="仿宋" w:eastAsia="仿宋"/>
              <w:b/>
              <w:sz w:val="28"/>
              <w:szCs w:val="28"/>
            </w:rPr>
            <w:tab/>
          </w:r>
          <w:r>
            <w:rPr>
              <w:rFonts w:ascii="仿宋" w:hAnsi="仿宋" w:eastAsia="仿宋"/>
              <w:b/>
              <w:sz w:val="28"/>
              <w:szCs w:val="28"/>
            </w:rPr>
            <w:fldChar w:fldCharType="begin"/>
          </w:r>
          <w:r>
            <w:rPr>
              <w:rFonts w:ascii="仿宋" w:hAnsi="仿宋" w:eastAsia="仿宋"/>
              <w:b/>
              <w:sz w:val="28"/>
              <w:szCs w:val="28"/>
            </w:rPr>
            <w:instrText xml:space="preserve"> PAGEREF _Toc144380186 \h </w:instrText>
          </w:r>
          <w:r>
            <w:rPr>
              <w:rFonts w:ascii="仿宋" w:hAnsi="仿宋" w:eastAsia="仿宋"/>
              <w:b/>
              <w:sz w:val="28"/>
              <w:szCs w:val="28"/>
            </w:rPr>
            <w:fldChar w:fldCharType="separate"/>
          </w:r>
          <w:r>
            <w:rPr>
              <w:rFonts w:ascii="仿宋" w:hAnsi="仿宋" w:eastAsia="仿宋"/>
              <w:b/>
              <w:sz w:val="28"/>
              <w:szCs w:val="28"/>
            </w:rPr>
            <w:t>7</w:t>
          </w:r>
          <w:r>
            <w:rPr>
              <w:rFonts w:ascii="仿宋" w:hAnsi="仿宋" w:eastAsia="仿宋"/>
              <w:b/>
              <w:sz w:val="28"/>
              <w:szCs w:val="28"/>
            </w:rPr>
            <w:fldChar w:fldCharType="end"/>
          </w:r>
          <w:r>
            <w:rPr>
              <w:rFonts w:ascii="仿宋" w:hAnsi="仿宋" w:eastAsia="仿宋"/>
              <w:b/>
              <w:sz w:val="28"/>
              <w:szCs w:val="28"/>
            </w:rPr>
            <w:fldChar w:fldCharType="end"/>
          </w:r>
        </w:p>
        <w:p w14:paraId="73EFD189">
          <w:pPr>
            <w:pStyle w:val="14"/>
            <w:tabs>
              <w:tab w:val="right" w:leader="dot" w:pos="8296"/>
            </w:tabs>
            <w:rPr>
              <w:rFonts w:ascii="仿宋" w:hAnsi="仿宋" w:eastAsia="仿宋" w:cstheme="minorBidi"/>
              <w:b/>
              <w:sz w:val="28"/>
              <w:szCs w:val="28"/>
              <w14:ligatures w14:val="standardContextual"/>
            </w:rPr>
          </w:pPr>
          <w:r>
            <w:fldChar w:fldCharType="begin"/>
          </w:r>
          <w:r>
            <w:instrText xml:space="preserve"> HYPERLINK \l "_Toc144380187" </w:instrText>
          </w:r>
          <w:r>
            <w:fldChar w:fldCharType="separate"/>
          </w:r>
          <w:r>
            <w:rPr>
              <w:rStyle w:val="23"/>
              <w:rFonts w:ascii="仿宋" w:hAnsi="仿宋" w:eastAsia="仿宋" w:cs="黑体"/>
              <w:b/>
              <w:sz w:val="28"/>
              <w:szCs w:val="28"/>
            </w:rPr>
            <w:t>三、项目资金情况</w:t>
          </w:r>
          <w:r>
            <w:rPr>
              <w:rFonts w:ascii="仿宋" w:hAnsi="仿宋" w:eastAsia="仿宋"/>
              <w:b/>
              <w:sz w:val="28"/>
              <w:szCs w:val="28"/>
            </w:rPr>
            <w:tab/>
          </w:r>
          <w:r>
            <w:rPr>
              <w:rFonts w:ascii="仿宋" w:hAnsi="仿宋" w:eastAsia="仿宋"/>
              <w:b/>
              <w:sz w:val="28"/>
              <w:szCs w:val="28"/>
            </w:rPr>
            <w:fldChar w:fldCharType="begin"/>
          </w:r>
          <w:r>
            <w:rPr>
              <w:rFonts w:ascii="仿宋" w:hAnsi="仿宋" w:eastAsia="仿宋"/>
              <w:b/>
              <w:sz w:val="28"/>
              <w:szCs w:val="28"/>
            </w:rPr>
            <w:instrText xml:space="preserve"> PAGEREF _Toc144380187 \h </w:instrText>
          </w:r>
          <w:r>
            <w:rPr>
              <w:rFonts w:ascii="仿宋" w:hAnsi="仿宋" w:eastAsia="仿宋"/>
              <w:b/>
              <w:sz w:val="28"/>
              <w:szCs w:val="28"/>
            </w:rPr>
            <w:fldChar w:fldCharType="separate"/>
          </w:r>
          <w:r>
            <w:rPr>
              <w:rFonts w:ascii="仿宋" w:hAnsi="仿宋" w:eastAsia="仿宋"/>
              <w:b/>
              <w:sz w:val="28"/>
              <w:szCs w:val="28"/>
            </w:rPr>
            <w:t>10</w:t>
          </w:r>
          <w:r>
            <w:rPr>
              <w:rFonts w:ascii="仿宋" w:hAnsi="仿宋" w:eastAsia="仿宋"/>
              <w:b/>
              <w:sz w:val="28"/>
              <w:szCs w:val="28"/>
            </w:rPr>
            <w:fldChar w:fldCharType="end"/>
          </w:r>
          <w:r>
            <w:rPr>
              <w:rFonts w:ascii="仿宋" w:hAnsi="仿宋" w:eastAsia="仿宋"/>
              <w:b/>
              <w:sz w:val="28"/>
              <w:szCs w:val="28"/>
            </w:rPr>
            <w:fldChar w:fldCharType="end"/>
          </w:r>
        </w:p>
        <w:p w14:paraId="6C93BD63">
          <w:pPr>
            <w:pStyle w:val="14"/>
            <w:tabs>
              <w:tab w:val="right" w:leader="dot" w:pos="8296"/>
            </w:tabs>
            <w:rPr>
              <w:rFonts w:ascii="仿宋" w:hAnsi="仿宋" w:eastAsia="仿宋" w:cstheme="minorBidi"/>
              <w:b/>
              <w:sz w:val="28"/>
              <w:szCs w:val="28"/>
              <w14:ligatures w14:val="standardContextual"/>
            </w:rPr>
          </w:pPr>
          <w:r>
            <w:fldChar w:fldCharType="begin"/>
          </w:r>
          <w:r>
            <w:instrText xml:space="preserve"> HYPERLINK \l "_Toc144380188" </w:instrText>
          </w:r>
          <w:r>
            <w:fldChar w:fldCharType="separate"/>
          </w:r>
          <w:r>
            <w:rPr>
              <w:rStyle w:val="23"/>
              <w:rFonts w:ascii="仿宋" w:hAnsi="仿宋" w:eastAsia="仿宋" w:cs="黑体"/>
              <w:b/>
              <w:sz w:val="28"/>
              <w:szCs w:val="28"/>
            </w:rPr>
            <w:t>四、中介服务机构</w:t>
          </w:r>
          <w:r>
            <w:rPr>
              <w:rFonts w:ascii="仿宋" w:hAnsi="仿宋" w:eastAsia="仿宋"/>
              <w:b/>
              <w:sz w:val="28"/>
              <w:szCs w:val="28"/>
            </w:rPr>
            <w:tab/>
          </w:r>
          <w:r>
            <w:rPr>
              <w:rFonts w:ascii="仿宋" w:hAnsi="仿宋" w:eastAsia="仿宋"/>
              <w:b/>
              <w:sz w:val="28"/>
              <w:szCs w:val="28"/>
            </w:rPr>
            <w:fldChar w:fldCharType="begin"/>
          </w:r>
          <w:r>
            <w:rPr>
              <w:rFonts w:ascii="仿宋" w:hAnsi="仿宋" w:eastAsia="仿宋"/>
              <w:b/>
              <w:sz w:val="28"/>
              <w:szCs w:val="28"/>
            </w:rPr>
            <w:instrText xml:space="preserve"> PAGEREF _Toc144380188 \h </w:instrText>
          </w:r>
          <w:r>
            <w:rPr>
              <w:rFonts w:ascii="仿宋" w:hAnsi="仿宋" w:eastAsia="仿宋"/>
              <w:b/>
              <w:sz w:val="28"/>
              <w:szCs w:val="28"/>
            </w:rPr>
            <w:fldChar w:fldCharType="separate"/>
          </w:r>
          <w:r>
            <w:rPr>
              <w:rFonts w:ascii="仿宋" w:hAnsi="仿宋" w:eastAsia="仿宋"/>
              <w:b/>
              <w:sz w:val="28"/>
              <w:szCs w:val="28"/>
            </w:rPr>
            <w:t>11</w:t>
          </w:r>
          <w:r>
            <w:rPr>
              <w:rFonts w:ascii="仿宋" w:hAnsi="仿宋" w:eastAsia="仿宋"/>
              <w:b/>
              <w:sz w:val="28"/>
              <w:szCs w:val="28"/>
            </w:rPr>
            <w:fldChar w:fldCharType="end"/>
          </w:r>
          <w:r>
            <w:rPr>
              <w:rFonts w:ascii="仿宋" w:hAnsi="仿宋" w:eastAsia="仿宋"/>
              <w:b/>
              <w:sz w:val="28"/>
              <w:szCs w:val="28"/>
            </w:rPr>
            <w:fldChar w:fldCharType="end"/>
          </w:r>
        </w:p>
        <w:p w14:paraId="18504CE6">
          <w:pPr>
            <w:pStyle w:val="14"/>
            <w:tabs>
              <w:tab w:val="right" w:leader="dot" w:pos="8296"/>
            </w:tabs>
            <w:rPr>
              <w:rFonts w:ascii="仿宋" w:hAnsi="仿宋" w:eastAsia="仿宋" w:cstheme="minorBidi"/>
              <w:b/>
              <w:sz w:val="28"/>
              <w:szCs w:val="28"/>
              <w14:ligatures w14:val="standardContextual"/>
            </w:rPr>
          </w:pPr>
          <w:r>
            <w:fldChar w:fldCharType="begin"/>
          </w:r>
          <w:r>
            <w:instrText xml:space="preserve"> HYPERLINK \l "_Toc144380189" </w:instrText>
          </w:r>
          <w:r>
            <w:fldChar w:fldCharType="separate"/>
          </w:r>
          <w:r>
            <w:rPr>
              <w:rStyle w:val="23"/>
              <w:rFonts w:ascii="仿宋" w:hAnsi="仿宋" w:eastAsia="仿宋" w:cs="黑体"/>
              <w:b/>
              <w:sz w:val="28"/>
              <w:szCs w:val="28"/>
            </w:rPr>
            <w:t>五、结论性意见</w:t>
          </w:r>
          <w:r>
            <w:rPr>
              <w:rFonts w:ascii="仿宋" w:hAnsi="仿宋" w:eastAsia="仿宋"/>
              <w:b/>
              <w:sz w:val="28"/>
              <w:szCs w:val="28"/>
            </w:rPr>
            <w:tab/>
          </w:r>
          <w:r>
            <w:rPr>
              <w:rFonts w:ascii="仿宋" w:hAnsi="仿宋" w:eastAsia="仿宋"/>
              <w:b/>
              <w:sz w:val="28"/>
              <w:szCs w:val="28"/>
            </w:rPr>
            <w:fldChar w:fldCharType="begin"/>
          </w:r>
          <w:r>
            <w:rPr>
              <w:rFonts w:ascii="仿宋" w:hAnsi="仿宋" w:eastAsia="仿宋"/>
              <w:b/>
              <w:sz w:val="28"/>
              <w:szCs w:val="28"/>
            </w:rPr>
            <w:instrText xml:space="preserve"> PAGEREF _Toc144380189 \h </w:instrText>
          </w:r>
          <w:r>
            <w:rPr>
              <w:rFonts w:ascii="仿宋" w:hAnsi="仿宋" w:eastAsia="仿宋"/>
              <w:b/>
              <w:sz w:val="28"/>
              <w:szCs w:val="28"/>
            </w:rPr>
            <w:fldChar w:fldCharType="separate"/>
          </w:r>
          <w:r>
            <w:rPr>
              <w:rFonts w:ascii="仿宋" w:hAnsi="仿宋" w:eastAsia="仿宋"/>
              <w:b/>
              <w:sz w:val="28"/>
              <w:szCs w:val="28"/>
            </w:rPr>
            <w:t>12</w:t>
          </w:r>
          <w:r>
            <w:rPr>
              <w:rFonts w:ascii="仿宋" w:hAnsi="仿宋" w:eastAsia="仿宋"/>
              <w:b/>
              <w:sz w:val="28"/>
              <w:szCs w:val="28"/>
            </w:rPr>
            <w:fldChar w:fldCharType="end"/>
          </w:r>
          <w:r>
            <w:rPr>
              <w:rFonts w:ascii="仿宋" w:hAnsi="仿宋" w:eastAsia="仿宋"/>
              <w:b/>
              <w:sz w:val="28"/>
              <w:szCs w:val="28"/>
            </w:rPr>
            <w:fldChar w:fldCharType="end"/>
          </w:r>
        </w:p>
        <w:p w14:paraId="5578146D">
          <w:pPr>
            <w:pStyle w:val="14"/>
            <w:tabs>
              <w:tab w:val="right" w:leader="dot" w:pos="8296"/>
            </w:tabs>
            <w:rPr>
              <w:rFonts w:ascii="仿宋" w:hAnsi="仿宋" w:eastAsia="仿宋" w:cstheme="minorBidi"/>
              <w:b/>
              <w:sz w:val="28"/>
              <w:szCs w:val="28"/>
              <w14:ligatures w14:val="standardContextual"/>
            </w:rPr>
          </w:pPr>
          <w:r>
            <w:fldChar w:fldCharType="begin"/>
          </w:r>
          <w:r>
            <w:instrText xml:space="preserve"> HYPERLINK \l "_Toc144380190" </w:instrText>
          </w:r>
          <w:r>
            <w:fldChar w:fldCharType="separate"/>
          </w:r>
          <w:r>
            <w:rPr>
              <w:rStyle w:val="23"/>
              <w:rFonts w:ascii="仿宋" w:hAnsi="仿宋" w:eastAsia="仿宋" w:cs="仿宋"/>
              <w:b/>
              <w:sz w:val="28"/>
              <w:szCs w:val="28"/>
              <w:shd w:val="clear" w:color="auto" w:fill="FFFFFF"/>
            </w:rPr>
            <w:t>附件一：律师事务所执业许可证</w:t>
          </w:r>
          <w:r>
            <w:rPr>
              <w:rFonts w:ascii="仿宋" w:hAnsi="仿宋" w:eastAsia="仿宋"/>
              <w:b/>
              <w:sz w:val="28"/>
              <w:szCs w:val="28"/>
            </w:rPr>
            <w:tab/>
          </w:r>
          <w:r>
            <w:rPr>
              <w:rFonts w:ascii="仿宋" w:hAnsi="仿宋" w:eastAsia="仿宋"/>
              <w:b/>
              <w:sz w:val="28"/>
              <w:szCs w:val="28"/>
            </w:rPr>
            <w:fldChar w:fldCharType="begin"/>
          </w:r>
          <w:r>
            <w:rPr>
              <w:rFonts w:ascii="仿宋" w:hAnsi="仿宋" w:eastAsia="仿宋"/>
              <w:b/>
              <w:sz w:val="28"/>
              <w:szCs w:val="28"/>
            </w:rPr>
            <w:instrText xml:space="preserve"> PAGEREF _Toc144380190 \h </w:instrText>
          </w:r>
          <w:r>
            <w:rPr>
              <w:rFonts w:ascii="仿宋" w:hAnsi="仿宋" w:eastAsia="仿宋"/>
              <w:b/>
              <w:sz w:val="28"/>
              <w:szCs w:val="28"/>
            </w:rPr>
            <w:fldChar w:fldCharType="separate"/>
          </w:r>
          <w:r>
            <w:rPr>
              <w:rFonts w:ascii="仿宋" w:hAnsi="仿宋" w:eastAsia="仿宋"/>
              <w:b/>
              <w:sz w:val="28"/>
              <w:szCs w:val="28"/>
            </w:rPr>
            <w:t>15</w:t>
          </w:r>
          <w:r>
            <w:rPr>
              <w:rFonts w:ascii="仿宋" w:hAnsi="仿宋" w:eastAsia="仿宋"/>
              <w:b/>
              <w:sz w:val="28"/>
              <w:szCs w:val="28"/>
            </w:rPr>
            <w:fldChar w:fldCharType="end"/>
          </w:r>
          <w:r>
            <w:rPr>
              <w:rFonts w:ascii="仿宋" w:hAnsi="仿宋" w:eastAsia="仿宋"/>
              <w:b/>
              <w:sz w:val="28"/>
              <w:szCs w:val="28"/>
            </w:rPr>
            <w:fldChar w:fldCharType="end"/>
          </w:r>
        </w:p>
        <w:p w14:paraId="6B9B4751">
          <w:pPr>
            <w:pStyle w:val="14"/>
            <w:tabs>
              <w:tab w:val="right" w:leader="dot" w:pos="8296"/>
            </w:tabs>
            <w:rPr>
              <w:rFonts w:ascii="仿宋" w:hAnsi="仿宋" w:eastAsia="仿宋" w:cstheme="minorBidi"/>
              <w:b/>
              <w:sz w:val="28"/>
              <w:szCs w:val="28"/>
              <w14:ligatures w14:val="standardContextual"/>
            </w:rPr>
          </w:pPr>
          <w:r>
            <w:fldChar w:fldCharType="begin"/>
          </w:r>
          <w:r>
            <w:instrText xml:space="preserve"> HYPERLINK \l "_Toc144380191" </w:instrText>
          </w:r>
          <w:r>
            <w:fldChar w:fldCharType="separate"/>
          </w:r>
          <w:r>
            <w:rPr>
              <w:rStyle w:val="23"/>
              <w:rFonts w:ascii="仿宋" w:hAnsi="仿宋" w:eastAsia="仿宋" w:cs="仿宋"/>
              <w:b/>
              <w:sz w:val="28"/>
              <w:szCs w:val="28"/>
              <w:shd w:val="clear" w:color="auto" w:fill="FFFFFF"/>
            </w:rPr>
            <w:t>附件二：经办律师执业证</w:t>
          </w:r>
          <w:r>
            <w:rPr>
              <w:rFonts w:ascii="仿宋" w:hAnsi="仿宋" w:eastAsia="仿宋"/>
              <w:b/>
              <w:sz w:val="28"/>
              <w:szCs w:val="28"/>
            </w:rPr>
            <w:tab/>
          </w:r>
          <w:r>
            <w:rPr>
              <w:rFonts w:ascii="仿宋" w:hAnsi="仿宋" w:eastAsia="仿宋"/>
              <w:b/>
              <w:sz w:val="28"/>
              <w:szCs w:val="28"/>
            </w:rPr>
            <w:fldChar w:fldCharType="begin"/>
          </w:r>
          <w:r>
            <w:rPr>
              <w:rFonts w:ascii="仿宋" w:hAnsi="仿宋" w:eastAsia="仿宋"/>
              <w:b/>
              <w:sz w:val="28"/>
              <w:szCs w:val="28"/>
            </w:rPr>
            <w:instrText xml:space="preserve"> PAGEREF _Toc144380191 \h </w:instrText>
          </w:r>
          <w:r>
            <w:rPr>
              <w:rFonts w:ascii="仿宋" w:hAnsi="仿宋" w:eastAsia="仿宋"/>
              <w:b/>
              <w:sz w:val="28"/>
              <w:szCs w:val="28"/>
            </w:rPr>
            <w:fldChar w:fldCharType="separate"/>
          </w:r>
          <w:r>
            <w:rPr>
              <w:rFonts w:ascii="仿宋" w:hAnsi="仿宋" w:eastAsia="仿宋"/>
              <w:b/>
              <w:sz w:val="28"/>
              <w:szCs w:val="28"/>
            </w:rPr>
            <w:t>16</w:t>
          </w:r>
          <w:r>
            <w:rPr>
              <w:rFonts w:ascii="仿宋" w:hAnsi="仿宋" w:eastAsia="仿宋"/>
              <w:b/>
              <w:sz w:val="28"/>
              <w:szCs w:val="28"/>
            </w:rPr>
            <w:fldChar w:fldCharType="end"/>
          </w:r>
          <w:r>
            <w:rPr>
              <w:rFonts w:ascii="仿宋" w:hAnsi="仿宋" w:eastAsia="仿宋"/>
              <w:b/>
              <w:sz w:val="28"/>
              <w:szCs w:val="28"/>
            </w:rPr>
            <w:fldChar w:fldCharType="end"/>
          </w:r>
        </w:p>
        <w:p w14:paraId="2F5782A1">
          <w:pPr>
            <w:pStyle w:val="31"/>
            <w:tabs>
              <w:tab w:val="right" w:leader="dot" w:pos="8306"/>
            </w:tabs>
            <w:rPr>
              <w:sz w:val="32"/>
              <w:szCs w:val="32"/>
            </w:rPr>
            <w:sectPr>
              <w:footerReference r:id="rId5" w:type="default"/>
              <w:pgSz w:w="11906" w:h="16838"/>
              <w:pgMar w:top="1440" w:right="1800" w:bottom="1440" w:left="1800" w:header="851" w:footer="992" w:gutter="0"/>
              <w:pgNumType w:start="1"/>
              <w:cols w:space="425" w:num="1"/>
              <w:docGrid w:type="lines" w:linePitch="312" w:charSpace="0"/>
            </w:sectPr>
          </w:pPr>
          <w:r>
            <w:rPr>
              <w:rFonts w:ascii="仿宋" w:hAnsi="仿宋" w:eastAsia="仿宋" w:cs="仿宋"/>
              <w:b/>
              <w:sz w:val="28"/>
              <w:szCs w:val="28"/>
            </w:rPr>
            <w:fldChar w:fldCharType="end"/>
          </w:r>
        </w:p>
      </w:sdtContent>
    </w:sdt>
    <w:p w14:paraId="21CB6CE0">
      <w:pPr>
        <w:pStyle w:val="5"/>
        <w:spacing w:line="360" w:lineRule="auto"/>
        <w:jc w:val="center"/>
        <w:rPr>
          <w:rFonts w:hint="default" w:ascii="黑体" w:hAnsi="黑体" w:eastAsia="黑体" w:cs="仿宋"/>
          <w:sz w:val="28"/>
          <w:szCs w:val="28"/>
        </w:rPr>
      </w:pPr>
      <w:bookmarkStart w:id="1" w:name="_Toc144380179"/>
      <w:r>
        <w:rPr>
          <w:rFonts w:ascii="黑体" w:hAnsi="黑体" w:eastAsia="黑体"/>
          <w:sz w:val="32"/>
          <w:szCs w:val="32"/>
        </w:rPr>
        <w:t>释   义</w:t>
      </w:r>
      <w:bookmarkEnd w:id="1"/>
    </w:p>
    <w:p w14:paraId="01C03464">
      <w:pPr>
        <w:autoSpaceDE w:val="0"/>
        <w:autoSpaceDN w:val="0"/>
        <w:adjustRightInd w:val="0"/>
        <w:spacing w:line="360" w:lineRule="auto"/>
        <w:ind w:firstLine="482"/>
        <w:jc w:val="left"/>
        <w:rPr>
          <w:rFonts w:ascii="仿宋" w:hAnsi="仿宋" w:eastAsia="仿宋" w:cs="仿宋"/>
          <w:sz w:val="28"/>
          <w:szCs w:val="28"/>
        </w:rPr>
      </w:pPr>
      <w:r>
        <w:rPr>
          <w:rFonts w:hint="eastAsia" w:ascii="仿宋" w:hAnsi="仿宋" w:eastAsia="仿宋" w:cs="仿宋"/>
          <w:sz w:val="28"/>
          <w:szCs w:val="28"/>
        </w:rPr>
        <w:t xml:space="preserve"> 在本法律意见书中，除非文意另有所指，下列简称/术语具有如下含义：</w:t>
      </w:r>
    </w:p>
    <w:tbl>
      <w:tblPr>
        <w:tblStyle w:val="18"/>
        <w:tblW w:w="90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72"/>
        <w:gridCol w:w="523"/>
        <w:gridCol w:w="6108"/>
      </w:tblGrid>
      <w:tr w14:paraId="7EF3D4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6" w:hRule="atLeast"/>
          <w:jc w:val="center"/>
        </w:trPr>
        <w:tc>
          <w:tcPr>
            <w:tcW w:w="2372" w:type="dxa"/>
            <w:vAlign w:val="center"/>
          </w:tcPr>
          <w:p w14:paraId="35109348">
            <w:pPr>
              <w:autoSpaceDE w:val="0"/>
              <w:autoSpaceDN w:val="0"/>
              <w:adjustRightInd w:val="0"/>
              <w:spacing w:line="360" w:lineRule="auto"/>
              <w:jc w:val="center"/>
              <w:rPr>
                <w:rFonts w:ascii="仿宋" w:hAnsi="仿宋" w:eastAsia="仿宋" w:cs="仿宋"/>
                <w:b/>
                <w:bCs/>
                <w:sz w:val="28"/>
                <w:szCs w:val="28"/>
              </w:rPr>
            </w:pPr>
            <w:r>
              <w:rPr>
                <w:rFonts w:hint="eastAsia" w:ascii="仿宋" w:hAnsi="仿宋" w:eastAsia="仿宋" w:cs="仿宋"/>
                <w:b/>
                <w:bCs/>
                <w:sz w:val="28"/>
                <w:szCs w:val="28"/>
              </w:rPr>
              <w:t>简称</w:t>
            </w:r>
          </w:p>
        </w:tc>
        <w:tc>
          <w:tcPr>
            <w:tcW w:w="523" w:type="dxa"/>
            <w:vAlign w:val="center"/>
          </w:tcPr>
          <w:p w14:paraId="5B79198B">
            <w:pPr>
              <w:autoSpaceDE w:val="0"/>
              <w:autoSpaceDN w:val="0"/>
              <w:adjustRightInd w:val="0"/>
              <w:spacing w:line="360" w:lineRule="auto"/>
              <w:jc w:val="center"/>
              <w:rPr>
                <w:rFonts w:ascii="仿宋" w:hAnsi="仿宋" w:eastAsia="仿宋" w:cs="仿宋"/>
                <w:b/>
                <w:bCs/>
                <w:sz w:val="28"/>
                <w:szCs w:val="28"/>
              </w:rPr>
            </w:pPr>
            <w:r>
              <w:rPr>
                <w:rFonts w:hint="eastAsia" w:ascii="仿宋" w:hAnsi="仿宋" w:eastAsia="仿宋" w:cs="仿宋"/>
                <w:b/>
                <w:bCs/>
                <w:sz w:val="28"/>
                <w:szCs w:val="28"/>
              </w:rPr>
              <w:t>指</w:t>
            </w:r>
          </w:p>
        </w:tc>
        <w:tc>
          <w:tcPr>
            <w:tcW w:w="6108" w:type="dxa"/>
            <w:vAlign w:val="center"/>
          </w:tcPr>
          <w:p w14:paraId="6DBF4383">
            <w:pPr>
              <w:autoSpaceDE w:val="0"/>
              <w:autoSpaceDN w:val="0"/>
              <w:adjustRightInd w:val="0"/>
              <w:spacing w:line="360" w:lineRule="auto"/>
              <w:jc w:val="center"/>
              <w:rPr>
                <w:rFonts w:ascii="仿宋" w:hAnsi="仿宋" w:eastAsia="仿宋" w:cs="仿宋"/>
                <w:b/>
                <w:bCs/>
                <w:sz w:val="28"/>
                <w:szCs w:val="28"/>
              </w:rPr>
            </w:pPr>
            <w:r>
              <w:rPr>
                <w:rFonts w:hint="eastAsia" w:ascii="仿宋" w:hAnsi="仿宋" w:eastAsia="仿宋" w:cs="仿宋"/>
                <w:b/>
                <w:bCs/>
                <w:sz w:val="28"/>
                <w:szCs w:val="28"/>
              </w:rPr>
              <w:t>对应全称或含义</w:t>
            </w:r>
          </w:p>
        </w:tc>
      </w:tr>
      <w:tr w14:paraId="79D92A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72" w:type="dxa"/>
            <w:vAlign w:val="center"/>
          </w:tcPr>
          <w:p w14:paraId="28C55B2C">
            <w:pPr>
              <w:autoSpaceDE w:val="0"/>
              <w:autoSpaceDN w:val="0"/>
              <w:adjustRightInd w:val="0"/>
              <w:spacing w:line="360" w:lineRule="auto"/>
              <w:jc w:val="center"/>
              <w:rPr>
                <w:rFonts w:ascii="仿宋" w:hAnsi="仿宋" w:eastAsia="仿宋" w:cs="仿宋"/>
                <w:sz w:val="28"/>
                <w:szCs w:val="28"/>
              </w:rPr>
            </w:pPr>
            <w:r>
              <w:rPr>
                <w:rFonts w:hint="eastAsia" w:ascii="仿宋" w:hAnsi="仿宋" w:eastAsia="仿宋" w:cs="仿宋"/>
                <w:sz w:val="28"/>
                <w:szCs w:val="28"/>
              </w:rPr>
              <w:t>项目/本项目</w:t>
            </w:r>
          </w:p>
        </w:tc>
        <w:tc>
          <w:tcPr>
            <w:tcW w:w="523" w:type="dxa"/>
            <w:vAlign w:val="center"/>
          </w:tcPr>
          <w:p w14:paraId="09F02F7D">
            <w:pPr>
              <w:autoSpaceDE w:val="0"/>
              <w:autoSpaceDN w:val="0"/>
              <w:adjustRightInd w:val="0"/>
              <w:spacing w:line="360" w:lineRule="auto"/>
              <w:jc w:val="center"/>
              <w:rPr>
                <w:rFonts w:ascii="仿宋" w:hAnsi="仿宋" w:eastAsia="仿宋" w:cs="仿宋"/>
                <w:sz w:val="28"/>
                <w:szCs w:val="28"/>
              </w:rPr>
            </w:pPr>
            <w:r>
              <w:rPr>
                <w:rFonts w:hint="eastAsia" w:ascii="仿宋" w:hAnsi="仿宋" w:eastAsia="仿宋" w:cs="仿宋"/>
                <w:sz w:val="28"/>
                <w:szCs w:val="28"/>
              </w:rPr>
              <w:t>指</w:t>
            </w:r>
          </w:p>
        </w:tc>
        <w:tc>
          <w:tcPr>
            <w:tcW w:w="6108" w:type="dxa"/>
            <w:vAlign w:val="center"/>
          </w:tcPr>
          <w:p w14:paraId="67A85606">
            <w:pPr>
              <w:jc w:val="center"/>
              <w:textAlignment w:val="baseline"/>
              <w:rPr>
                <w:rFonts w:ascii="仿宋" w:hAnsi="仿宋" w:eastAsia="仿宋" w:cs="仿宋"/>
                <w:sz w:val="28"/>
                <w:szCs w:val="28"/>
              </w:rPr>
            </w:pPr>
            <w:r>
              <w:rPr>
                <w:rFonts w:hint="eastAsia" w:ascii="仿宋" w:hAnsi="仿宋" w:eastAsia="仿宋" w:cs="仿宋"/>
                <w:kern w:val="2"/>
                <w:sz w:val="28"/>
                <w:szCs w:val="28"/>
                <w:lang w:val="en-US" w:eastAsia="zh-CN" w:bidi="ar-SA"/>
              </w:rPr>
              <w:t>蒲县智慧停车升级改造项目</w:t>
            </w:r>
          </w:p>
        </w:tc>
      </w:tr>
      <w:tr w14:paraId="7F50FC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72" w:type="dxa"/>
            <w:vAlign w:val="center"/>
          </w:tcPr>
          <w:p w14:paraId="7A215A94">
            <w:pPr>
              <w:autoSpaceDE w:val="0"/>
              <w:autoSpaceDN w:val="0"/>
              <w:adjustRightInd w:val="0"/>
              <w:spacing w:line="360" w:lineRule="auto"/>
              <w:jc w:val="center"/>
              <w:rPr>
                <w:rFonts w:ascii="仿宋" w:hAnsi="仿宋" w:eastAsia="仿宋" w:cs="仿宋"/>
                <w:sz w:val="28"/>
                <w:szCs w:val="28"/>
              </w:rPr>
            </w:pPr>
            <w:r>
              <w:rPr>
                <w:rFonts w:hint="eastAsia" w:ascii="仿宋" w:hAnsi="仿宋" w:eastAsia="仿宋" w:cs="仿宋"/>
                <w:sz w:val="28"/>
                <w:szCs w:val="28"/>
              </w:rPr>
              <w:t>贵局</w:t>
            </w:r>
          </w:p>
        </w:tc>
        <w:tc>
          <w:tcPr>
            <w:tcW w:w="523" w:type="dxa"/>
            <w:vAlign w:val="center"/>
          </w:tcPr>
          <w:p w14:paraId="14F645B8">
            <w:pPr>
              <w:autoSpaceDE w:val="0"/>
              <w:autoSpaceDN w:val="0"/>
              <w:adjustRightInd w:val="0"/>
              <w:spacing w:line="360" w:lineRule="auto"/>
              <w:jc w:val="center"/>
              <w:rPr>
                <w:rFonts w:ascii="仿宋" w:hAnsi="仿宋" w:eastAsia="仿宋" w:cs="仿宋"/>
                <w:sz w:val="28"/>
                <w:szCs w:val="28"/>
              </w:rPr>
            </w:pPr>
            <w:r>
              <w:rPr>
                <w:rFonts w:hint="eastAsia" w:ascii="仿宋" w:hAnsi="仿宋" w:eastAsia="仿宋" w:cs="仿宋"/>
                <w:sz w:val="28"/>
                <w:szCs w:val="28"/>
              </w:rPr>
              <w:t>指</w:t>
            </w:r>
          </w:p>
        </w:tc>
        <w:tc>
          <w:tcPr>
            <w:tcW w:w="6108" w:type="dxa"/>
            <w:vAlign w:val="center"/>
          </w:tcPr>
          <w:p w14:paraId="623D2D77">
            <w:pPr>
              <w:pStyle w:val="33"/>
              <w:pBdr>
                <w:top w:val="none" w:color="auto" w:sz="0" w:space="1"/>
                <w:left w:val="none" w:color="auto" w:sz="0" w:space="4"/>
                <w:bottom w:val="none" w:color="auto" w:sz="0" w:space="1"/>
                <w:right w:val="none" w:color="auto" w:sz="0" w:space="4"/>
              </w:pBdr>
              <w:shd w:val="clear" w:color="auto" w:fill="auto"/>
              <w:spacing w:before="0" w:after="0" w:line="360" w:lineRule="auto"/>
              <w:rPr>
                <w:rFonts w:ascii="仿宋" w:hAnsi="仿宋" w:cs="仿宋" w:eastAsiaTheme="minorEastAsia"/>
                <w:sz w:val="28"/>
                <w:szCs w:val="28"/>
                <w:lang w:eastAsia="zh-Hans"/>
              </w:rPr>
            </w:pPr>
            <w:r>
              <w:rPr>
                <w:rFonts w:hint="eastAsia" w:ascii="仿宋" w:hAnsi="仿宋" w:eastAsia="仿宋" w:cs="仿宋"/>
                <w:sz w:val="28"/>
                <w:szCs w:val="28"/>
                <w:lang w:val="en-US" w:eastAsia="zh-CN"/>
              </w:rPr>
              <w:t>蒲县住房和城乡建设管理</w:t>
            </w:r>
            <w:r>
              <w:rPr>
                <w:rFonts w:hint="eastAsia" w:ascii="仿宋" w:hAnsi="仿宋" w:eastAsia="仿宋" w:cs="仿宋"/>
                <w:sz w:val="28"/>
                <w:szCs w:val="28"/>
                <w:lang w:eastAsia="zh-Hans"/>
              </w:rPr>
              <w:t>局</w:t>
            </w:r>
          </w:p>
        </w:tc>
      </w:tr>
      <w:tr w14:paraId="03CD7A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72" w:type="dxa"/>
            <w:vAlign w:val="center"/>
          </w:tcPr>
          <w:p w14:paraId="3C00D0BE">
            <w:pPr>
              <w:autoSpaceDE w:val="0"/>
              <w:autoSpaceDN w:val="0"/>
              <w:adjustRightInd w:val="0"/>
              <w:spacing w:line="360" w:lineRule="auto"/>
              <w:jc w:val="center"/>
              <w:rPr>
                <w:rFonts w:ascii="仿宋" w:hAnsi="仿宋" w:eastAsia="仿宋" w:cs="仿宋"/>
                <w:color w:val="000000" w:themeColor="text1"/>
                <w:sz w:val="28"/>
                <w:szCs w:val="28"/>
                <w14:textFill>
                  <w14:solidFill>
                    <w14:schemeClr w14:val="tx1"/>
                  </w14:solidFill>
                </w14:textFill>
              </w:rPr>
            </w:pPr>
            <w:r>
              <w:rPr>
                <w:rFonts w:hint="eastAsia" w:ascii="仿宋" w:hAnsi="仿宋" w:eastAsia="仿宋" w:cs="仿宋"/>
                <w:color w:val="000000" w:themeColor="text1"/>
                <w:sz w:val="28"/>
                <w:szCs w:val="28"/>
                <w14:textFill>
                  <w14:solidFill>
                    <w14:schemeClr w14:val="tx1"/>
                  </w14:solidFill>
                </w14:textFill>
              </w:rPr>
              <w:t>《资金平衡方案》</w:t>
            </w:r>
          </w:p>
        </w:tc>
        <w:tc>
          <w:tcPr>
            <w:tcW w:w="523" w:type="dxa"/>
            <w:vAlign w:val="center"/>
          </w:tcPr>
          <w:p w14:paraId="23C87D74">
            <w:pPr>
              <w:autoSpaceDE w:val="0"/>
              <w:autoSpaceDN w:val="0"/>
              <w:adjustRightInd w:val="0"/>
              <w:spacing w:line="360" w:lineRule="auto"/>
              <w:jc w:val="center"/>
              <w:rPr>
                <w:rFonts w:ascii="仿宋" w:hAnsi="仿宋" w:eastAsia="仿宋" w:cs="仿宋"/>
                <w:color w:val="000000" w:themeColor="text1"/>
                <w:sz w:val="28"/>
                <w:szCs w:val="28"/>
                <w14:textFill>
                  <w14:solidFill>
                    <w14:schemeClr w14:val="tx1"/>
                  </w14:solidFill>
                </w14:textFill>
              </w:rPr>
            </w:pPr>
            <w:r>
              <w:rPr>
                <w:rFonts w:hint="eastAsia" w:ascii="仿宋" w:hAnsi="仿宋" w:eastAsia="仿宋" w:cs="仿宋"/>
                <w:color w:val="000000" w:themeColor="text1"/>
                <w:sz w:val="28"/>
                <w:szCs w:val="28"/>
                <w14:textFill>
                  <w14:solidFill>
                    <w14:schemeClr w14:val="tx1"/>
                  </w14:solidFill>
                </w14:textFill>
              </w:rPr>
              <w:t>指</w:t>
            </w:r>
          </w:p>
        </w:tc>
        <w:tc>
          <w:tcPr>
            <w:tcW w:w="6108" w:type="dxa"/>
            <w:vAlign w:val="center"/>
          </w:tcPr>
          <w:p w14:paraId="00B61958">
            <w:pPr>
              <w:pStyle w:val="33"/>
              <w:pBdr>
                <w:top w:val="none" w:color="auto" w:sz="0" w:space="1"/>
                <w:left w:val="none" w:color="auto" w:sz="0" w:space="4"/>
                <w:bottom w:val="none" w:color="auto" w:sz="0" w:space="1"/>
                <w:right w:val="none" w:color="auto" w:sz="0" w:space="4"/>
              </w:pBdr>
              <w:shd w:val="clear" w:color="auto" w:fill="auto"/>
              <w:spacing w:before="0" w:after="0" w:line="360" w:lineRule="auto"/>
              <w:rPr>
                <w:rFonts w:hint="eastAsia" w:ascii="仿宋" w:hAnsi="仿宋" w:eastAsia="仿宋" w:cs="仿宋"/>
                <w:sz w:val="28"/>
                <w:szCs w:val="28"/>
                <w:lang w:val="en-US" w:eastAsia="zh-CN"/>
              </w:rPr>
            </w:pPr>
            <w:r>
              <w:rPr>
                <w:rFonts w:hint="eastAsia" w:ascii="仿宋" w:hAnsi="仿宋" w:eastAsia="仿宋" w:cs="仿宋"/>
                <w:kern w:val="2"/>
                <w:sz w:val="28"/>
                <w:szCs w:val="28"/>
                <w:lang w:val="en-US" w:eastAsia="zh-CN" w:bidi="ar-SA"/>
              </w:rPr>
              <w:t>《</w:t>
            </w:r>
            <w:r>
              <w:rPr>
                <w:rFonts w:hint="eastAsia" w:ascii="仿宋" w:hAnsi="仿宋" w:eastAsia="仿宋" w:cs="仿宋"/>
                <w:sz w:val="28"/>
                <w:szCs w:val="28"/>
                <w:lang w:val="en-US" w:eastAsia="zh-CN"/>
              </w:rPr>
              <w:t>2024年至2025年临汾市蒲县智慧停车升级改造项目专项债券项目情况及资金平衡方案》</w:t>
            </w:r>
          </w:p>
        </w:tc>
      </w:tr>
      <w:tr w14:paraId="61971D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72" w:type="dxa"/>
            <w:vAlign w:val="center"/>
          </w:tcPr>
          <w:p w14:paraId="13AEDBFB">
            <w:pPr>
              <w:autoSpaceDE w:val="0"/>
              <w:autoSpaceDN w:val="0"/>
              <w:adjustRightInd w:val="0"/>
              <w:spacing w:line="360" w:lineRule="auto"/>
              <w:jc w:val="center"/>
              <w:rPr>
                <w:rFonts w:ascii="仿宋" w:hAnsi="仿宋" w:eastAsia="仿宋" w:cs="仿宋"/>
                <w:color w:val="000000" w:themeColor="text1"/>
                <w:sz w:val="28"/>
                <w:szCs w:val="28"/>
                <w14:textFill>
                  <w14:solidFill>
                    <w14:schemeClr w14:val="tx1"/>
                  </w14:solidFill>
                </w14:textFill>
              </w:rPr>
            </w:pPr>
            <w:r>
              <w:rPr>
                <w:rFonts w:hint="eastAsia" w:ascii="仿宋" w:hAnsi="仿宋" w:eastAsia="仿宋" w:cs="仿宋"/>
                <w:color w:val="000000" w:themeColor="text1"/>
                <w:sz w:val="28"/>
                <w:szCs w:val="28"/>
                <w14:textFill>
                  <w14:solidFill>
                    <w14:schemeClr w14:val="tx1"/>
                  </w14:solidFill>
                </w14:textFill>
              </w:rPr>
              <w:t>《评估报告》</w:t>
            </w:r>
          </w:p>
        </w:tc>
        <w:tc>
          <w:tcPr>
            <w:tcW w:w="523" w:type="dxa"/>
            <w:vAlign w:val="center"/>
          </w:tcPr>
          <w:p w14:paraId="1B66D4B0">
            <w:pPr>
              <w:jc w:val="center"/>
              <w:textAlignment w:val="baseline"/>
              <w:rPr>
                <w:rFonts w:hint="eastAsia" w:ascii="仿宋" w:hAnsi="仿宋" w:eastAsia="仿宋" w:cs="仿宋"/>
                <w:kern w:val="2"/>
                <w:sz w:val="28"/>
                <w:szCs w:val="28"/>
                <w:lang w:val="en-US" w:eastAsia="zh-CN" w:bidi="ar-SA"/>
              </w:rPr>
            </w:pPr>
            <w:r>
              <w:rPr>
                <w:rFonts w:hint="eastAsia" w:ascii="仿宋" w:hAnsi="仿宋" w:eastAsia="仿宋" w:cs="仿宋"/>
                <w:kern w:val="2"/>
                <w:sz w:val="28"/>
                <w:szCs w:val="28"/>
                <w:lang w:val="en-US" w:eastAsia="zh-CN" w:bidi="ar-SA"/>
              </w:rPr>
              <w:t>指</w:t>
            </w:r>
          </w:p>
        </w:tc>
        <w:tc>
          <w:tcPr>
            <w:tcW w:w="6108" w:type="dxa"/>
            <w:vAlign w:val="center"/>
          </w:tcPr>
          <w:p w14:paraId="28DCAC57">
            <w:pPr>
              <w:pStyle w:val="33"/>
              <w:pBdr>
                <w:top w:val="none" w:color="auto" w:sz="0" w:space="1"/>
                <w:left w:val="none" w:color="auto" w:sz="0" w:space="4"/>
                <w:bottom w:val="none" w:color="auto" w:sz="0" w:space="1"/>
                <w:right w:val="none" w:color="auto" w:sz="0" w:space="4"/>
              </w:pBdr>
              <w:shd w:val="clear" w:color="auto" w:fill="auto"/>
              <w:spacing w:before="0" w:after="0" w:line="360" w:lineRule="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《2024年至2025年临汾市蒲县智慧停车升级改造项目专项债券项目收益与融资平衡方案</w:t>
            </w:r>
          </w:p>
          <w:p w14:paraId="45E21787">
            <w:pPr>
              <w:pStyle w:val="33"/>
              <w:pBdr>
                <w:top w:val="none" w:color="auto" w:sz="0" w:space="1"/>
                <w:left w:val="none" w:color="auto" w:sz="0" w:space="4"/>
                <w:bottom w:val="none" w:color="auto" w:sz="0" w:space="1"/>
                <w:right w:val="none" w:color="auto" w:sz="0" w:space="4"/>
              </w:pBdr>
              <w:shd w:val="clear" w:color="auto" w:fill="auto"/>
              <w:spacing w:before="0" w:after="0" w:line="360" w:lineRule="auto"/>
              <w:rPr>
                <w:rFonts w:hint="eastAsia" w:ascii="宋体" w:hAnsi="宋体" w:eastAsia="宋体" w:cs="宋体"/>
                <w:color w:val="auto"/>
                <w:kern w:val="2"/>
                <w:sz w:val="32"/>
                <w:szCs w:val="32"/>
                <w:lang w:val="en-US" w:eastAsia="zh-CN" w:bidi="ar-SA"/>
              </w:rPr>
            </w:pPr>
            <w:r>
              <w:rPr>
                <w:rFonts w:hint="eastAsia" w:ascii="仿宋" w:hAnsi="仿宋" w:eastAsia="仿宋" w:cs="仿宋"/>
                <w:sz w:val="28"/>
                <w:szCs w:val="28"/>
                <w:lang w:val="en-US" w:eastAsia="zh-CN"/>
              </w:rPr>
              <w:t>财务咨询评估报告》</w:t>
            </w:r>
          </w:p>
        </w:tc>
      </w:tr>
      <w:tr w14:paraId="656612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72" w:type="dxa"/>
            <w:vAlign w:val="center"/>
          </w:tcPr>
          <w:p w14:paraId="214FA52A">
            <w:pPr>
              <w:autoSpaceDE w:val="0"/>
              <w:autoSpaceDN w:val="0"/>
              <w:adjustRightInd w:val="0"/>
              <w:spacing w:line="360" w:lineRule="auto"/>
              <w:jc w:val="center"/>
              <w:rPr>
                <w:rFonts w:ascii="仿宋" w:hAnsi="仿宋" w:eastAsia="仿宋" w:cs="仿宋"/>
                <w:sz w:val="28"/>
                <w:szCs w:val="28"/>
              </w:rPr>
            </w:pPr>
            <w:r>
              <w:rPr>
                <w:rFonts w:hint="eastAsia" w:ascii="仿宋" w:hAnsi="仿宋" w:eastAsia="仿宋" w:cs="仿宋"/>
                <w:sz w:val="28"/>
                <w:szCs w:val="28"/>
              </w:rPr>
              <w:t>本所</w:t>
            </w:r>
          </w:p>
        </w:tc>
        <w:tc>
          <w:tcPr>
            <w:tcW w:w="523" w:type="dxa"/>
            <w:vAlign w:val="center"/>
          </w:tcPr>
          <w:p w14:paraId="0E8D5264">
            <w:pPr>
              <w:autoSpaceDE w:val="0"/>
              <w:autoSpaceDN w:val="0"/>
              <w:adjustRightInd w:val="0"/>
              <w:spacing w:line="360" w:lineRule="auto"/>
              <w:jc w:val="center"/>
              <w:rPr>
                <w:rFonts w:ascii="仿宋" w:hAnsi="仿宋" w:eastAsia="仿宋" w:cs="仿宋"/>
                <w:sz w:val="28"/>
                <w:szCs w:val="28"/>
              </w:rPr>
            </w:pPr>
            <w:r>
              <w:rPr>
                <w:rFonts w:hint="eastAsia" w:ascii="仿宋" w:hAnsi="仿宋" w:eastAsia="仿宋" w:cs="仿宋"/>
                <w:sz w:val="28"/>
                <w:szCs w:val="28"/>
              </w:rPr>
              <w:t>指</w:t>
            </w:r>
          </w:p>
        </w:tc>
        <w:tc>
          <w:tcPr>
            <w:tcW w:w="6108" w:type="dxa"/>
            <w:vAlign w:val="center"/>
          </w:tcPr>
          <w:p w14:paraId="6A4E1A5C">
            <w:pPr>
              <w:widowControl/>
              <w:spacing w:line="360" w:lineRule="auto"/>
              <w:jc w:val="center"/>
              <w:rPr>
                <w:rFonts w:hint="default" w:ascii="宋体" w:hAnsi="宋体" w:eastAsia="宋体" w:cs="宋体"/>
                <w:b/>
                <w:bCs/>
                <w:color w:val="auto"/>
                <w:kern w:val="0"/>
                <w:sz w:val="21"/>
                <w:szCs w:val="24"/>
                <w:lang w:val="en-US" w:eastAsia="zh-CN" w:bidi="ar-SA"/>
              </w:rPr>
            </w:pPr>
            <w:r>
              <w:rPr>
                <w:rFonts w:hint="eastAsia" w:ascii="仿宋" w:hAnsi="仿宋" w:eastAsia="仿宋" w:cs="仿宋"/>
                <w:kern w:val="2"/>
                <w:sz w:val="28"/>
                <w:szCs w:val="28"/>
                <w:lang w:val="en-US" w:eastAsia="zh-CN" w:bidi="ar-SA"/>
              </w:rPr>
              <w:t>山西中吕（临汾）律师事务所</w:t>
            </w:r>
          </w:p>
        </w:tc>
      </w:tr>
      <w:tr w14:paraId="65935D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72" w:type="dxa"/>
            <w:vAlign w:val="center"/>
          </w:tcPr>
          <w:p w14:paraId="00DE6CFC">
            <w:pPr>
              <w:autoSpaceDE w:val="0"/>
              <w:autoSpaceDN w:val="0"/>
              <w:adjustRightInd w:val="0"/>
              <w:spacing w:line="360" w:lineRule="auto"/>
              <w:jc w:val="center"/>
              <w:rPr>
                <w:rFonts w:ascii="仿宋" w:hAnsi="仿宋" w:eastAsia="仿宋" w:cs="仿宋"/>
                <w:color w:val="000000" w:themeColor="text1"/>
                <w:sz w:val="28"/>
                <w:szCs w:val="28"/>
                <w14:textFill>
                  <w14:solidFill>
                    <w14:schemeClr w14:val="tx1"/>
                  </w14:solidFill>
                </w14:textFill>
              </w:rPr>
            </w:pPr>
            <w:r>
              <w:rPr>
                <w:rFonts w:hint="eastAsia" w:ascii="仿宋" w:hAnsi="仿宋" w:eastAsia="仿宋" w:cs="仿宋"/>
                <w:color w:val="000000" w:themeColor="text1"/>
                <w:sz w:val="28"/>
                <w:szCs w:val="28"/>
                <w14:textFill>
                  <w14:solidFill>
                    <w14:schemeClr w14:val="tx1"/>
                  </w14:solidFill>
                </w14:textFill>
              </w:rPr>
              <w:t>大华会所</w:t>
            </w:r>
          </w:p>
        </w:tc>
        <w:tc>
          <w:tcPr>
            <w:tcW w:w="523" w:type="dxa"/>
            <w:vAlign w:val="center"/>
          </w:tcPr>
          <w:p w14:paraId="156C9D64">
            <w:pPr>
              <w:autoSpaceDE w:val="0"/>
              <w:autoSpaceDN w:val="0"/>
              <w:adjustRightInd w:val="0"/>
              <w:spacing w:line="360" w:lineRule="auto"/>
              <w:jc w:val="center"/>
              <w:rPr>
                <w:rFonts w:ascii="仿宋" w:hAnsi="仿宋" w:eastAsia="仿宋" w:cs="仿宋"/>
                <w:color w:val="000000" w:themeColor="text1"/>
                <w:sz w:val="28"/>
                <w:szCs w:val="28"/>
                <w14:textFill>
                  <w14:solidFill>
                    <w14:schemeClr w14:val="tx1"/>
                  </w14:solidFill>
                </w14:textFill>
              </w:rPr>
            </w:pPr>
            <w:r>
              <w:rPr>
                <w:rFonts w:hint="eastAsia" w:ascii="仿宋" w:hAnsi="仿宋" w:eastAsia="仿宋" w:cs="仿宋"/>
                <w:color w:val="000000" w:themeColor="text1"/>
                <w:sz w:val="28"/>
                <w:szCs w:val="28"/>
                <w14:textFill>
                  <w14:solidFill>
                    <w14:schemeClr w14:val="tx1"/>
                  </w14:solidFill>
                </w14:textFill>
              </w:rPr>
              <w:t>指</w:t>
            </w:r>
          </w:p>
        </w:tc>
        <w:tc>
          <w:tcPr>
            <w:tcW w:w="6108" w:type="dxa"/>
            <w:vAlign w:val="center"/>
          </w:tcPr>
          <w:p w14:paraId="41FB63FB">
            <w:pPr>
              <w:autoSpaceDE w:val="0"/>
              <w:autoSpaceDN w:val="0"/>
              <w:adjustRightInd w:val="0"/>
              <w:spacing w:line="360" w:lineRule="auto"/>
              <w:jc w:val="center"/>
              <w:rPr>
                <w:rFonts w:ascii="仿宋" w:hAnsi="仿宋" w:eastAsia="仿宋" w:cs="仿宋"/>
                <w:color w:val="000000" w:themeColor="text1"/>
                <w:sz w:val="28"/>
                <w:szCs w:val="28"/>
                <w14:textFill>
                  <w14:solidFill>
                    <w14:schemeClr w14:val="tx1"/>
                  </w14:solidFill>
                </w14:textFill>
              </w:rPr>
            </w:pPr>
            <w:r>
              <w:rPr>
                <w:rFonts w:hint="eastAsia" w:ascii="仿宋" w:hAnsi="仿宋" w:eastAsia="仿宋" w:cs="仿宋"/>
                <w:color w:val="000000" w:themeColor="text1"/>
                <w:sz w:val="28"/>
                <w:szCs w:val="28"/>
                <w14:textFill>
                  <w14:solidFill>
                    <w14:schemeClr w14:val="tx1"/>
                  </w14:solidFill>
                </w14:textFill>
              </w:rPr>
              <w:t>大华会计师事务所（特殊普通合伙）山西分所</w:t>
            </w:r>
          </w:p>
        </w:tc>
      </w:tr>
      <w:tr w14:paraId="4CB1BC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72" w:type="dxa"/>
            <w:vAlign w:val="center"/>
          </w:tcPr>
          <w:p w14:paraId="62C1618B">
            <w:pPr>
              <w:autoSpaceDE w:val="0"/>
              <w:autoSpaceDN w:val="0"/>
              <w:adjustRightInd w:val="0"/>
              <w:spacing w:line="360" w:lineRule="auto"/>
              <w:jc w:val="center"/>
              <w:rPr>
                <w:rFonts w:ascii="仿宋" w:hAnsi="仿宋" w:eastAsia="仿宋" w:cs="仿宋"/>
                <w:sz w:val="28"/>
                <w:szCs w:val="28"/>
              </w:rPr>
            </w:pPr>
            <w:r>
              <w:rPr>
                <w:rFonts w:hint="eastAsia" w:ascii="仿宋" w:hAnsi="仿宋" w:eastAsia="仿宋" w:cs="仿宋"/>
                <w:sz w:val="28"/>
                <w:szCs w:val="28"/>
              </w:rPr>
              <w:t>元、万元、亿元</w:t>
            </w:r>
          </w:p>
        </w:tc>
        <w:tc>
          <w:tcPr>
            <w:tcW w:w="523" w:type="dxa"/>
            <w:vAlign w:val="center"/>
          </w:tcPr>
          <w:p w14:paraId="4257D7BD">
            <w:pPr>
              <w:autoSpaceDE w:val="0"/>
              <w:autoSpaceDN w:val="0"/>
              <w:adjustRightInd w:val="0"/>
              <w:spacing w:line="360" w:lineRule="auto"/>
              <w:jc w:val="center"/>
              <w:rPr>
                <w:rFonts w:ascii="仿宋" w:hAnsi="仿宋" w:eastAsia="仿宋" w:cs="仿宋"/>
                <w:sz w:val="28"/>
                <w:szCs w:val="28"/>
              </w:rPr>
            </w:pPr>
            <w:r>
              <w:rPr>
                <w:rFonts w:hint="eastAsia" w:ascii="仿宋" w:hAnsi="仿宋" w:eastAsia="仿宋" w:cs="仿宋"/>
                <w:sz w:val="28"/>
                <w:szCs w:val="28"/>
              </w:rPr>
              <w:t>指</w:t>
            </w:r>
          </w:p>
        </w:tc>
        <w:tc>
          <w:tcPr>
            <w:tcW w:w="6108" w:type="dxa"/>
            <w:vAlign w:val="center"/>
          </w:tcPr>
          <w:p w14:paraId="013D036A">
            <w:pPr>
              <w:autoSpaceDE w:val="0"/>
              <w:autoSpaceDN w:val="0"/>
              <w:adjustRightInd w:val="0"/>
              <w:spacing w:line="360" w:lineRule="auto"/>
              <w:jc w:val="center"/>
              <w:rPr>
                <w:rFonts w:ascii="仿宋" w:hAnsi="仿宋" w:eastAsia="仿宋" w:cs="仿宋"/>
                <w:sz w:val="28"/>
                <w:szCs w:val="28"/>
              </w:rPr>
            </w:pPr>
            <w:r>
              <w:rPr>
                <w:rFonts w:hint="eastAsia" w:ascii="仿宋" w:hAnsi="仿宋" w:eastAsia="仿宋" w:cs="仿宋"/>
                <w:sz w:val="28"/>
                <w:szCs w:val="28"/>
              </w:rPr>
              <w:t>中国法定货币人民币元、万元、亿元</w:t>
            </w:r>
          </w:p>
        </w:tc>
      </w:tr>
    </w:tbl>
    <w:p w14:paraId="03241265">
      <w:pPr>
        <w:rPr>
          <w:rFonts w:ascii="仿宋" w:hAnsi="仿宋" w:eastAsia="仿宋" w:cs="仿宋"/>
          <w:b/>
          <w:bCs/>
          <w:sz w:val="32"/>
          <w:szCs w:val="32"/>
          <w:lang w:val="zh-CN"/>
        </w:rPr>
      </w:pPr>
      <w:bookmarkStart w:id="2" w:name="_Toc2964_WPSOffice_Level1"/>
      <w:bookmarkStart w:id="3" w:name="_Toc6038_WPSOffice_Level1"/>
      <w:bookmarkStart w:id="4" w:name="_Toc16487"/>
      <w:bookmarkStart w:id="5" w:name="_Toc24480"/>
      <w:bookmarkStart w:id="6" w:name="_Toc21686_WPSOffice_Level1"/>
      <w:bookmarkStart w:id="7" w:name="_Toc24116"/>
      <w:r>
        <w:rPr>
          <w:rFonts w:hint="eastAsia" w:ascii="仿宋" w:hAnsi="仿宋" w:eastAsia="仿宋" w:cs="仿宋"/>
          <w:b/>
          <w:bCs/>
          <w:sz w:val="32"/>
          <w:szCs w:val="32"/>
          <w:lang w:val="zh-CN"/>
        </w:rPr>
        <w:br w:type="page"/>
      </w:r>
    </w:p>
    <w:p w14:paraId="73A45DFD">
      <w:pPr>
        <w:jc w:val="center"/>
        <w:rPr>
          <w:rFonts w:ascii="仿宋" w:hAnsi="仿宋" w:eastAsia="仿宋" w:cs="仿宋"/>
          <w:b/>
          <w:bCs/>
          <w:sz w:val="32"/>
          <w:szCs w:val="32"/>
          <w:lang w:val="zh-CN"/>
        </w:rPr>
      </w:pPr>
      <w:r>
        <w:rPr>
          <w:rFonts w:hint="eastAsia" w:ascii="仿宋" w:hAnsi="仿宋" w:eastAsia="仿宋" w:cs="仿宋"/>
          <w:b/>
          <w:bCs/>
          <w:sz w:val="32"/>
          <w:szCs w:val="32"/>
          <w:lang w:val="zh-CN"/>
        </w:rPr>
        <w:t>山西中吕（</w:t>
      </w:r>
      <w:r>
        <w:rPr>
          <w:rFonts w:hint="eastAsia" w:ascii="仿宋" w:hAnsi="仿宋" w:eastAsia="仿宋" w:cs="仿宋"/>
          <w:b/>
          <w:bCs/>
          <w:sz w:val="32"/>
          <w:szCs w:val="32"/>
          <w:lang w:val="en-US" w:eastAsia="zh-CN"/>
        </w:rPr>
        <w:t>临汾</w:t>
      </w:r>
      <w:r>
        <w:rPr>
          <w:rFonts w:hint="eastAsia" w:ascii="仿宋" w:hAnsi="仿宋" w:eastAsia="仿宋" w:cs="仿宋"/>
          <w:b/>
          <w:bCs/>
          <w:sz w:val="32"/>
          <w:szCs w:val="32"/>
          <w:lang w:val="zh-CN"/>
        </w:rPr>
        <w:t>）律师事务所</w:t>
      </w:r>
      <w:bookmarkEnd w:id="2"/>
      <w:bookmarkEnd w:id="3"/>
      <w:bookmarkEnd w:id="4"/>
      <w:bookmarkEnd w:id="5"/>
      <w:bookmarkEnd w:id="6"/>
      <w:bookmarkEnd w:id="7"/>
    </w:p>
    <w:p w14:paraId="4425BA6F">
      <w:pPr>
        <w:jc w:val="center"/>
        <w:rPr>
          <w:rFonts w:hint="eastAsia" w:ascii="仿宋" w:hAnsi="仿宋" w:eastAsia="仿宋" w:cs="仿宋"/>
          <w:b/>
          <w:bCs/>
          <w:sz w:val="32"/>
          <w:szCs w:val="32"/>
          <w:lang w:val="zh-CN"/>
        </w:rPr>
      </w:pPr>
      <w:bookmarkStart w:id="8" w:name="_Hlk105333467"/>
      <w:bookmarkStart w:id="9" w:name="_Toc28167"/>
      <w:bookmarkStart w:id="10" w:name="_Toc31588_WPSOffice_Level1"/>
      <w:bookmarkStart w:id="11" w:name="_Toc17144"/>
      <w:bookmarkStart w:id="12" w:name="_Toc32002_WPSOffice_Level1"/>
      <w:bookmarkStart w:id="13" w:name="_Toc12622"/>
      <w:bookmarkStart w:id="14" w:name="_Toc3782_WPSOffice_Level1"/>
      <w:r>
        <w:rPr>
          <w:rFonts w:hint="eastAsia" w:ascii="仿宋" w:hAnsi="仿宋" w:eastAsia="仿宋" w:cs="仿宋"/>
          <w:b/>
          <w:bCs/>
          <w:sz w:val="32"/>
          <w:szCs w:val="32"/>
          <w:lang w:val="zh-CN"/>
        </w:rPr>
        <w:t>关于</w:t>
      </w:r>
      <w:r>
        <w:rPr>
          <w:rFonts w:hint="eastAsia" w:ascii="仿宋" w:hAnsi="仿宋" w:eastAsia="仿宋" w:cs="仿宋"/>
          <w:b/>
          <w:bCs/>
          <w:sz w:val="32"/>
          <w:szCs w:val="32"/>
          <w:lang w:val="en-US" w:eastAsia="zh-CN"/>
        </w:rPr>
        <w:t>蒲县智慧停车升级改造项目</w:t>
      </w:r>
      <w:r>
        <w:rPr>
          <w:rFonts w:hint="eastAsia" w:ascii="仿宋" w:hAnsi="仿宋" w:eastAsia="仿宋" w:cs="仿宋"/>
          <w:b/>
          <w:bCs/>
          <w:sz w:val="32"/>
          <w:szCs w:val="32"/>
          <w:lang w:val="zh-CN"/>
        </w:rPr>
        <w:t>的</w:t>
      </w:r>
      <w:bookmarkEnd w:id="8"/>
    </w:p>
    <w:p w14:paraId="526EBF37">
      <w:pPr>
        <w:jc w:val="center"/>
        <w:rPr>
          <w:rFonts w:ascii="仿宋" w:hAnsi="仿宋" w:eastAsia="仿宋" w:cs="仿宋"/>
          <w:b/>
          <w:bCs/>
          <w:sz w:val="32"/>
          <w:szCs w:val="32"/>
        </w:rPr>
      </w:pPr>
      <w:r>
        <w:rPr>
          <w:rFonts w:hint="eastAsia" w:ascii="仿宋" w:hAnsi="仿宋" w:eastAsia="仿宋" w:cs="仿宋"/>
          <w:b/>
          <w:bCs/>
          <w:sz w:val="32"/>
          <w:szCs w:val="32"/>
          <w:lang w:val="zh-CN"/>
        </w:rPr>
        <w:t>法律意见书</w:t>
      </w:r>
      <w:bookmarkEnd w:id="9"/>
      <w:bookmarkEnd w:id="10"/>
      <w:bookmarkEnd w:id="11"/>
      <w:bookmarkEnd w:id="12"/>
      <w:bookmarkEnd w:id="13"/>
      <w:bookmarkEnd w:id="14"/>
    </w:p>
    <w:p w14:paraId="72A3DB8F">
      <w:pPr>
        <w:wordWrap w:val="0"/>
        <w:autoSpaceDE w:val="0"/>
        <w:autoSpaceDN w:val="0"/>
        <w:adjustRightInd w:val="0"/>
        <w:spacing w:line="360" w:lineRule="auto"/>
        <w:ind w:right="240" w:firstLine="480"/>
        <w:jc w:val="center"/>
        <w:rPr>
          <w:rFonts w:ascii="仿宋" w:hAnsi="仿宋" w:eastAsia="仿宋" w:cs="仿宋"/>
          <w:sz w:val="28"/>
          <w:szCs w:val="28"/>
          <w:lang w:val="zh-CN"/>
        </w:rPr>
      </w:pPr>
      <w:r>
        <w:rPr>
          <w:rFonts w:hint="eastAsia" w:ascii="仿宋" w:hAnsi="仿宋" w:eastAsia="仿宋" w:cs="仿宋"/>
          <w:sz w:val="28"/>
          <w:szCs w:val="28"/>
          <w:lang w:val="en-US" w:eastAsia="zh-CN"/>
        </w:rPr>
        <w:t xml:space="preserve">                          </w:t>
      </w:r>
      <w:r>
        <w:rPr>
          <w:rFonts w:hint="eastAsia" w:ascii="仿宋" w:hAnsi="仿宋" w:eastAsia="仿宋" w:cs="仿宋"/>
          <w:sz w:val="28"/>
          <w:szCs w:val="28"/>
          <w:lang w:val="zh-CN"/>
        </w:rPr>
        <w:t>[20</w:t>
      </w:r>
      <w:r>
        <w:rPr>
          <w:rFonts w:hint="eastAsia" w:ascii="仿宋" w:hAnsi="仿宋" w:eastAsia="仿宋" w:cs="仿宋"/>
          <w:sz w:val="28"/>
          <w:szCs w:val="28"/>
        </w:rPr>
        <w:t>2</w:t>
      </w:r>
      <w:r>
        <w:rPr>
          <w:rFonts w:hint="eastAsia" w:ascii="仿宋" w:hAnsi="仿宋" w:eastAsia="仿宋" w:cs="仿宋"/>
          <w:sz w:val="28"/>
          <w:szCs w:val="28"/>
          <w:lang w:val="en-US" w:eastAsia="zh-CN"/>
        </w:rPr>
        <w:t>5</w:t>
      </w:r>
      <w:r>
        <w:rPr>
          <w:rFonts w:hint="eastAsia" w:ascii="仿宋" w:hAnsi="仿宋" w:eastAsia="仿宋" w:cs="仿宋"/>
          <w:sz w:val="28"/>
          <w:szCs w:val="28"/>
          <w:lang w:val="zh-CN"/>
        </w:rPr>
        <w:t>]中吕</w:t>
      </w:r>
      <w:r>
        <w:rPr>
          <w:rFonts w:hint="eastAsia" w:ascii="仿宋" w:hAnsi="仿宋" w:eastAsia="仿宋" w:cs="仿宋"/>
          <w:sz w:val="28"/>
          <w:szCs w:val="28"/>
          <w:lang w:val="en-US" w:eastAsia="zh-CN"/>
        </w:rPr>
        <w:t>临</w:t>
      </w:r>
      <w:r>
        <w:rPr>
          <w:rFonts w:hint="eastAsia" w:ascii="仿宋" w:hAnsi="仿宋" w:eastAsia="仿宋" w:cs="仿宋"/>
          <w:sz w:val="28"/>
          <w:szCs w:val="28"/>
          <w:lang w:val="zh-CN"/>
        </w:rPr>
        <w:t>意字第</w:t>
      </w:r>
      <w:r>
        <w:rPr>
          <w:rFonts w:hint="eastAsia" w:ascii="仿宋" w:hAnsi="仿宋" w:eastAsia="仿宋" w:cs="仿宋"/>
          <w:sz w:val="28"/>
          <w:szCs w:val="28"/>
          <w:lang w:val="en-US" w:eastAsia="zh-CN"/>
        </w:rPr>
        <w:t>0713</w:t>
      </w:r>
      <w:r>
        <w:rPr>
          <w:rFonts w:ascii="仿宋" w:hAnsi="仿宋" w:eastAsia="仿宋" w:cs="仿宋"/>
          <w:sz w:val="28"/>
          <w:szCs w:val="28"/>
        </w:rPr>
        <w:t>号</w:t>
      </w:r>
    </w:p>
    <w:p w14:paraId="0FDEEC13">
      <w:pPr>
        <w:autoSpaceDE w:val="0"/>
        <w:autoSpaceDN w:val="0"/>
        <w:adjustRightInd w:val="0"/>
        <w:spacing w:line="360" w:lineRule="auto"/>
        <w:rPr>
          <w:rFonts w:ascii="仿宋" w:hAnsi="仿宋" w:eastAsia="仿宋" w:cs="仿宋"/>
          <w:b/>
          <w:sz w:val="32"/>
          <w:szCs w:val="32"/>
          <w:lang w:val="zh-CN"/>
        </w:rPr>
      </w:pPr>
      <w:bookmarkStart w:id="15" w:name="_Toc11277"/>
      <w:bookmarkStart w:id="16" w:name="_Toc17199"/>
      <w:r>
        <w:rPr>
          <w:rFonts w:hint="eastAsia" w:ascii="仿宋" w:hAnsi="仿宋" w:eastAsia="仿宋" w:cs="仿宋"/>
          <w:b/>
          <w:sz w:val="32"/>
          <w:szCs w:val="32"/>
          <w:lang w:val="zh-CN"/>
        </w:rPr>
        <w:t>致：</w:t>
      </w:r>
      <w:bookmarkEnd w:id="15"/>
      <w:bookmarkEnd w:id="16"/>
      <w:r>
        <w:rPr>
          <w:rFonts w:hint="eastAsia" w:ascii="仿宋" w:hAnsi="仿宋" w:eastAsia="仿宋" w:cs="仿宋"/>
          <w:b/>
          <w:sz w:val="32"/>
          <w:szCs w:val="32"/>
          <w:lang w:val="en-US" w:eastAsia="zh-CN"/>
        </w:rPr>
        <w:t>蒲县住房和城乡建设管理局</w:t>
      </w:r>
    </w:p>
    <w:p w14:paraId="683D354C">
      <w:pPr>
        <w:autoSpaceDE w:val="0"/>
        <w:autoSpaceDN w:val="0"/>
        <w:adjustRightInd w:val="0"/>
        <w:spacing w:line="360" w:lineRule="auto"/>
        <w:ind w:firstLine="560" w:firstLineChars="200"/>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本所接受</w:t>
      </w:r>
      <w:r>
        <w:rPr>
          <w:rFonts w:hint="eastAsia" w:ascii="仿宋" w:hAnsi="仿宋" w:eastAsia="仿宋" w:cs="仿宋"/>
          <w:color w:val="000000"/>
          <w:sz w:val="28"/>
          <w:szCs w:val="28"/>
          <w:shd w:val="clear" w:color="auto" w:fill="FFFFFF"/>
          <w:lang w:val="en-US" w:eastAsia="zh-CN"/>
        </w:rPr>
        <w:t>贵</w:t>
      </w:r>
      <w:r>
        <w:rPr>
          <w:rFonts w:hint="eastAsia" w:ascii="仿宋" w:hAnsi="仿宋" w:eastAsia="仿宋" w:cs="仿宋"/>
          <w:color w:val="000000"/>
          <w:sz w:val="28"/>
          <w:szCs w:val="28"/>
          <w:shd w:val="clear" w:color="auto" w:fill="FFFFFF"/>
          <w:lang w:val="zh-CN" w:eastAsia="zh-Hans"/>
        </w:rPr>
        <w:t>局</w:t>
      </w:r>
      <w:r>
        <w:rPr>
          <w:rFonts w:hint="eastAsia" w:ascii="仿宋" w:hAnsi="仿宋" w:eastAsia="仿宋" w:cs="仿宋"/>
          <w:color w:val="000000"/>
          <w:sz w:val="28"/>
          <w:szCs w:val="28"/>
          <w:shd w:val="clear" w:color="auto" w:fill="FFFFFF"/>
        </w:rPr>
        <w:t>的委托，指派本所律师作为</w:t>
      </w:r>
      <w:r>
        <w:rPr>
          <w:rFonts w:hint="eastAsia" w:ascii="仿宋" w:hAnsi="仿宋" w:eastAsia="仿宋" w:cs="仿宋"/>
          <w:kern w:val="2"/>
          <w:sz w:val="28"/>
          <w:szCs w:val="28"/>
          <w:lang w:val="en-US" w:eastAsia="zh-CN" w:bidi="ar-SA"/>
        </w:rPr>
        <w:t>蒲县智慧停车升级改造项目</w:t>
      </w:r>
      <w:r>
        <w:rPr>
          <w:rFonts w:hint="eastAsia" w:ascii="仿宋" w:hAnsi="仿宋" w:eastAsia="仿宋" w:cs="仿宋"/>
          <w:color w:val="000000"/>
          <w:sz w:val="28"/>
          <w:szCs w:val="28"/>
          <w:shd w:val="clear" w:color="auto" w:fill="FFFFFF"/>
        </w:rPr>
        <w:t>的专项法律顾问，就本项目拟募投地方政府专项债券的相关事宜，出具法律意见书。</w:t>
      </w:r>
    </w:p>
    <w:p w14:paraId="04C8B92F">
      <w:pPr>
        <w:pStyle w:val="5"/>
        <w:spacing w:before="156" w:beforeLines="50" w:beforeAutospacing="0" w:afterAutospacing="0" w:line="360" w:lineRule="auto"/>
        <w:jc w:val="center"/>
        <w:rPr>
          <w:rFonts w:hint="default" w:ascii="黑体" w:hAnsi="黑体" w:eastAsia="黑体" w:cs="黑体"/>
          <w:b w:val="0"/>
          <w:sz w:val="32"/>
          <w:szCs w:val="32"/>
        </w:rPr>
      </w:pPr>
      <w:bookmarkStart w:id="17" w:name="_Toc144380180"/>
      <w:r>
        <w:rPr>
          <w:rFonts w:ascii="黑体" w:hAnsi="黑体" w:eastAsia="黑体" w:cs="黑体"/>
          <w:bCs/>
          <w:sz w:val="32"/>
          <w:szCs w:val="32"/>
        </w:rPr>
        <w:t>前  言</w:t>
      </w:r>
      <w:bookmarkEnd w:id="17"/>
    </w:p>
    <w:p w14:paraId="3FFF11B5">
      <w:pPr>
        <w:pStyle w:val="5"/>
        <w:ind w:firstLine="643" w:firstLineChars="200"/>
        <w:rPr>
          <w:rFonts w:hint="default" w:ascii="黑体" w:hAnsi="黑体" w:eastAsia="黑体" w:cs="黑体"/>
          <w:sz w:val="32"/>
          <w:szCs w:val="32"/>
        </w:rPr>
      </w:pPr>
      <w:bookmarkStart w:id="18" w:name="_Toc144380181"/>
      <w:r>
        <w:rPr>
          <w:rFonts w:ascii="黑体" w:hAnsi="黑体" w:eastAsia="黑体" w:cs="黑体"/>
          <w:sz w:val="32"/>
          <w:szCs w:val="32"/>
        </w:rPr>
        <w:t>一、本法律意见书的依据</w:t>
      </w:r>
      <w:bookmarkEnd w:id="18"/>
    </w:p>
    <w:p w14:paraId="160E4466">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本法律意见书所依据的我国现行有效的法律、行政法规和有关规定，包括但不限于如下文件:</w:t>
      </w:r>
    </w:p>
    <w:p w14:paraId="70F0BA1C">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19" w:name="_Toc10691"/>
      <w:r>
        <w:rPr>
          <w:rFonts w:hint="eastAsia" w:ascii="仿宋" w:hAnsi="仿宋" w:eastAsia="仿宋" w:cs="仿宋"/>
          <w:color w:val="000000"/>
          <w:sz w:val="28"/>
          <w:szCs w:val="28"/>
          <w:shd w:val="clear" w:color="auto" w:fill="FFFFFF"/>
        </w:rPr>
        <w:t>1、《中华人民共和国预算法》；</w:t>
      </w:r>
      <w:bookmarkEnd w:id="19"/>
    </w:p>
    <w:p w14:paraId="7F0F8D39">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20" w:name="_Toc10473"/>
      <w:r>
        <w:rPr>
          <w:rFonts w:hint="eastAsia" w:ascii="仿宋" w:hAnsi="仿宋" w:eastAsia="仿宋" w:cs="仿宋"/>
          <w:color w:val="000000"/>
          <w:sz w:val="28"/>
          <w:szCs w:val="28"/>
          <w:shd w:val="clear" w:color="auto" w:fill="FFFFFF"/>
        </w:rPr>
        <w:t>2、《国务院关于加强地方政府性债务管理的意见》（国发〔2014〕43号）；</w:t>
      </w:r>
      <w:bookmarkEnd w:id="20"/>
    </w:p>
    <w:p w14:paraId="5D5E77AC">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21" w:name="_Toc2283"/>
      <w:r>
        <w:rPr>
          <w:rFonts w:hint="eastAsia" w:ascii="仿宋" w:hAnsi="仿宋" w:eastAsia="仿宋" w:cs="仿宋"/>
          <w:color w:val="000000"/>
          <w:sz w:val="28"/>
          <w:szCs w:val="28"/>
          <w:shd w:val="clear" w:color="auto" w:fill="FFFFFF"/>
        </w:rPr>
        <w:t>3、《财政部关于对地方政府债务实行限额管理的实施意见》（财预〔2015〕225号）；</w:t>
      </w:r>
      <w:bookmarkEnd w:id="21"/>
    </w:p>
    <w:p w14:paraId="1A620356">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22" w:name="_Toc5963"/>
      <w:r>
        <w:rPr>
          <w:rFonts w:hint="eastAsia" w:ascii="仿宋" w:hAnsi="仿宋" w:eastAsia="仿宋" w:cs="仿宋"/>
          <w:color w:val="000000"/>
          <w:sz w:val="28"/>
          <w:szCs w:val="28"/>
          <w:shd w:val="clear" w:color="auto" w:fill="FFFFFF"/>
        </w:rPr>
        <w:t>4、关于印发《地方政府专项债务预算管理办法》的通知（财预〔2016〕155号）；</w:t>
      </w:r>
      <w:bookmarkEnd w:id="22"/>
    </w:p>
    <w:p w14:paraId="41C57590">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23" w:name="_Toc15059"/>
      <w:r>
        <w:rPr>
          <w:rFonts w:hint="eastAsia" w:ascii="仿宋" w:hAnsi="仿宋" w:eastAsia="仿宋" w:cs="仿宋"/>
          <w:color w:val="000000"/>
          <w:sz w:val="28"/>
          <w:szCs w:val="28"/>
          <w:shd w:val="clear" w:color="auto" w:fill="FFFFFF"/>
        </w:rPr>
        <w:t>5、《关于试点发展项目收益与融资自求平衡的地方政府专项债券品种的通知》（财预〔2017〕89号）；</w:t>
      </w:r>
      <w:bookmarkEnd w:id="23"/>
    </w:p>
    <w:p w14:paraId="5E9EE5CC">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24" w:name="_Toc14050"/>
      <w:r>
        <w:rPr>
          <w:rFonts w:hint="eastAsia" w:ascii="仿宋" w:hAnsi="仿宋" w:eastAsia="仿宋" w:cs="仿宋"/>
          <w:color w:val="000000"/>
          <w:sz w:val="28"/>
          <w:szCs w:val="28"/>
          <w:shd w:val="clear" w:color="auto" w:fill="FFFFFF"/>
        </w:rPr>
        <w:t>6、财政部《关于做好2018年地方政府债券发行工作的意见》（财库〔2018〕61 号）；</w:t>
      </w:r>
      <w:bookmarkEnd w:id="24"/>
    </w:p>
    <w:p w14:paraId="22276E70">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25" w:name="_Toc3892"/>
      <w:r>
        <w:rPr>
          <w:rFonts w:hint="eastAsia" w:ascii="仿宋" w:hAnsi="仿宋" w:eastAsia="仿宋" w:cs="仿宋"/>
          <w:color w:val="000000"/>
          <w:sz w:val="28"/>
          <w:szCs w:val="28"/>
          <w:shd w:val="clear" w:color="auto" w:fill="FFFFFF"/>
        </w:rPr>
        <w:t>7、《关于做好地方政府专项债券发行工作的意见》(财库〔2018〕72号)；</w:t>
      </w:r>
      <w:bookmarkEnd w:id="25"/>
    </w:p>
    <w:p w14:paraId="3C465A73">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26" w:name="_Toc24431"/>
      <w:r>
        <w:rPr>
          <w:rFonts w:hint="eastAsia" w:ascii="仿宋" w:hAnsi="仿宋" w:eastAsia="仿宋" w:cs="仿宋"/>
          <w:color w:val="000000"/>
          <w:sz w:val="28"/>
          <w:szCs w:val="28"/>
          <w:shd w:val="clear" w:color="auto" w:fill="FFFFFF"/>
        </w:rPr>
        <w:t>8、《财政部关于支持做好地方政府专项债券发行使用管理工作的通知》（财预[2018]161号）；</w:t>
      </w:r>
    </w:p>
    <w:p w14:paraId="74F9D9C4">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9、关于印发《地方政府债务信息公开办法（试行）》的通知（财预〔2018〕209号）；</w:t>
      </w:r>
    </w:p>
    <w:p w14:paraId="2981ED59">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10、《财政部关于做好地方政府债券发行工作的意见》（财库〔2019〕23号）；</w:t>
      </w:r>
      <w:bookmarkEnd w:id="26"/>
    </w:p>
    <w:p w14:paraId="1FFD2939">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27" w:name="_Toc26397"/>
      <w:r>
        <w:rPr>
          <w:rFonts w:hint="eastAsia" w:ascii="仿宋" w:hAnsi="仿宋" w:eastAsia="仿宋" w:cs="仿宋"/>
          <w:color w:val="000000"/>
          <w:sz w:val="28"/>
          <w:szCs w:val="28"/>
          <w:shd w:val="clear" w:color="auto" w:fill="FFFFFF"/>
        </w:rPr>
        <w:t>11、《关于做好地方政府专项债券发行及项目配套融资工作的通知》；</w:t>
      </w:r>
      <w:bookmarkEnd w:id="27"/>
    </w:p>
    <w:p w14:paraId="197666C6">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28" w:name="_Toc6949"/>
      <w:r>
        <w:rPr>
          <w:rFonts w:hint="eastAsia" w:ascii="仿宋" w:hAnsi="仿宋" w:eastAsia="仿宋" w:cs="仿宋"/>
          <w:color w:val="000000"/>
          <w:sz w:val="28"/>
          <w:szCs w:val="28"/>
          <w:shd w:val="clear" w:color="auto" w:fill="FFFFFF"/>
        </w:rPr>
        <w:t>12、《关于进一步做好地方政府债券发行工作的意见》（财库〔2020〕36号）；</w:t>
      </w:r>
    </w:p>
    <w:p w14:paraId="7C220B4D">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13、《</w:t>
      </w:r>
      <w:r>
        <w:fldChar w:fldCharType="begin"/>
      </w:r>
      <w:r>
        <w:instrText xml:space="preserve"> HYPERLINK "https://www.waizi.org.cn/doc/95918.html" \t "https://www.waizi.org.cn/law/_blank" \o "财库〔2020〕43号《财政部关于印发〈地方政府债券发行管理办法〉的通知》" </w:instrText>
      </w:r>
      <w:r>
        <w:fldChar w:fldCharType="separate"/>
      </w:r>
      <w:r>
        <w:rPr>
          <w:rFonts w:hint="eastAsia" w:ascii="仿宋" w:hAnsi="仿宋" w:eastAsia="仿宋" w:cs="仿宋"/>
          <w:color w:val="000000"/>
          <w:sz w:val="28"/>
          <w:szCs w:val="28"/>
          <w:shd w:val="clear" w:color="auto" w:fill="FFFFFF"/>
        </w:rPr>
        <w:t>财政部关于印发〈地方政府债券发行管理办法〉的通知</w:t>
      </w:r>
      <w:r>
        <w:rPr>
          <w:rFonts w:hint="eastAsia" w:ascii="仿宋" w:hAnsi="仿宋" w:eastAsia="仿宋" w:cs="仿宋"/>
          <w:color w:val="000000"/>
          <w:sz w:val="28"/>
          <w:szCs w:val="28"/>
          <w:shd w:val="clear" w:color="auto" w:fill="FFFFFF"/>
        </w:rPr>
        <w:fldChar w:fldCharType="end"/>
      </w:r>
      <w:r>
        <w:rPr>
          <w:rFonts w:ascii="仿宋" w:hAnsi="仿宋" w:eastAsia="仿宋" w:cs="仿宋"/>
          <w:color w:val="000000"/>
          <w:sz w:val="28"/>
          <w:szCs w:val="28"/>
          <w:shd w:val="clear" w:color="auto" w:fill="FFFFFF"/>
        </w:rPr>
        <w:t>》（</w:t>
      </w:r>
      <w:r>
        <w:fldChar w:fldCharType="begin"/>
      </w:r>
      <w:r>
        <w:instrText xml:space="preserve"> HYPERLINK "https://www.waizi.org.cn/law/%E8%B4%A2%E6%94%BF%E9%83%A8%E5%85%B3%E4%BA%8E%E5%8D%B0%E5%8F%91%E3%80%88%E5%9C%B0%E6%96%B9%E6%94%BF%E5%BA%9C%E5%80%BA%E5%88%B8%E5%8F%91%E8%A1%8C%E7%AE%A1%E7%90%86%E5%8A%9E%E6%B3%95%E3%80%89%E7%9A%84%E9%80%9A%E7%9F%A5" \t "https://www.waizi.org.cn/law/_blank" \o "财库〔2020〕43号《财政部关于印发〈地方政府债券发行管理办法〉的通知》" </w:instrText>
      </w:r>
      <w:r>
        <w:fldChar w:fldCharType="separate"/>
      </w:r>
      <w:r>
        <w:rPr>
          <w:rFonts w:hint="eastAsia" w:ascii="仿宋" w:hAnsi="仿宋" w:eastAsia="仿宋" w:cs="仿宋"/>
          <w:color w:val="000000"/>
          <w:sz w:val="28"/>
          <w:szCs w:val="28"/>
          <w:shd w:val="clear" w:color="auto" w:fill="FFFFFF"/>
        </w:rPr>
        <w:t>财库〔2020〕43号</w:t>
      </w:r>
      <w:r>
        <w:rPr>
          <w:rFonts w:hint="eastAsia" w:ascii="仿宋" w:hAnsi="仿宋" w:eastAsia="仿宋" w:cs="仿宋"/>
          <w:color w:val="000000"/>
          <w:sz w:val="28"/>
          <w:szCs w:val="28"/>
          <w:shd w:val="clear" w:color="auto" w:fill="FFFFFF"/>
        </w:rPr>
        <w:fldChar w:fldCharType="end"/>
      </w:r>
      <w:r>
        <w:rPr>
          <w:rFonts w:ascii="仿宋" w:hAnsi="仿宋" w:eastAsia="仿宋" w:cs="仿宋"/>
          <w:color w:val="000000"/>
          <w:sz w:val="28"/>
          <w:szCs w:val="28"/>
          <w:shd w:val="clear" w:color="auto" w:fill="FFFFFF"/>
        </w:rPr>
        <w:t>）</w:t>
      </w:r>
      <w:r>
        <w:rPr>
          <w:rFonts w:hint="eastAsia" w:ascii="仿宋" w:hAnsi="仿宋" w:eastAsia="仿宋" w:cs="仿宋"/>
          <w:color w:val="000000"/>
          <w:sz w:val="28"/>
          <w:szCs w:val="28"/>
          <w:shd w:val="clear" w:color="auto" w:fill="FFFFFF"/>
        </w:rPr>
        <w:t>；</w:t>
      </w:r>
    </w:p>
    <w:p w14:paraId="30A7EF21">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14、《关于加快地方政府专项债券发行使用有关工作的通知》（财预〔2020〕94 号）；</w:t>
      </w:r>
    </w:p>
    <w:bookmarkEnd w:id="28"/>
    <w:p w14:paraId="0D314324">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1</w:t>
      </w:r>
      <w:r>
        <w:rPr>
          <w:rFonts w:hint="eastAsia" w:ascii="仿宋" w:hAnsi="仿宋" w:eastAsia="仿宋" w:cs="仿宋"/>
          <w:color w:val="000000"/>
          <w:sz w:val="28"/>
          <w:szCs w:val="28"/>
          <w:shd w:val="clear" w:color="auto" w:fill="FFFFFF"/>
          <w:lang w:val="en-US" w:eastAsia="zh-CN"/>
        </w:rPr>
        <w:t>5</w:t>
      </w:r>
      <w:r>
        <w:rPr>
          <w:rFonts w:hint="eastAsia" w:ascii="仿宋" w:hAnsi="仿宋" w:eastAsia="仿宋" w:cs="仿宋"/>
          <w:color w:val="000000"/>
          <w:sz w:val="28"/>
          <w:szCs w:val="28"/>
          <w:shd w:val="clear" w:color="auto" w:fill="FFFFFF"/>
        </w:rPr>
        <w:t>、《山西省人民政府关于印发&lt;山西省政府专项债券管理暂行办法&gt;的通知》（晋政发〔2020〕23号）；</w:t>
      </w:r>
    </w:p>
    <w:p w14:paraId="107E2641">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1</w:t>
      </w:r>
      <w:r>
        <w:rPr>
          <w:rFonts w:hint="eastAsia" w:ascii="仿宋" w:hAnsi="仿宋" w:eastAsia="仿宋" w:cs="仿宋"/>
          <w:color w:val="000000"/>
          <w:sz w:val="28"/>
          <w:szCs w:val="28"/>
          <w:shd w:val="clear" w:color="auto" w:fill="FFFFFF"/>
          <w:lang w:val="en-US" w:eastAsia="zh-CN"/>
        </w:rPr>
        <w:t>6</w:t>
      </w:r>
      <w:r>
        <w:rPr>
          <w:rFonts w:hint="eastAsia" w:ascii="仿宋" w:hAnsi="仿宋" w:eastAsia="仿宋" w:cs="仿宋"/>
          <w:color w:val="000000"/>
          <w:sz w:val="28"/>
          <w:szCs w:val="28"/>
          <w:shd w:val="clear" w:color="auto" w:fill="FFFFFF"/>
        </w:rPr>
        <w:t>、《山西省财政厅关于进一步规范政府专项债券发行前期工作的通知》（晋财债〔2020〕74号)；</w:t>
      </w:r>
    </w:p>
    <w:p w14:paraId="3B79B007">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1</w:t>
      </w:r>
      <w:r>
        <w:rPr>
          <w:rFonts w:hint="eastAsia" w:ascii="仿宋" w:hAnsi="仿宋" w:eastAsia="仿宋" w:cs="仿宋"/>
          <w:color w:val="000000"/>
          <w:sz w:val="28"/>
          <w:szCs w:val="28"/>
          <w:shd w:val="clear" w:color="auto" w:fill="FFFFFF"/>
          <w:lang w:val="en-US" w:eastAsia="zh-CN"/>
        </w:rPr>
        <w:t>7</w:t>
      </w:r>
      <w:r>
        <w:rPr>
          <w:rFonts w:hint="eastAsia" w:ascii="仿宋" w:hAnsi="仿宋" w:eastAsia="仿宋" w:cs="仿宋"/>
          <w:color w:val="000000"/>
          <w:sz w:val="28"/>
          <w:szCs w:val="28"/>
          <w:shd w:val="clear" w:color="auto" w:fill="FFFFFF"/>
        </w:rPr>
        <w:t>、国家、山西省关于地方政府债券的政策法规等相关文件。</w:t>
      </w:r>
    </w:p>
    <w:p w14:paraId="7BA5C5A4">
      <w:pPr>
        <w:pStyle w:val="5"/>
        <w:ind w:firstLine="643" w:firstLineChars="200"/>
        <w:rPr>
          <w:rFonts w:hint="default" w:ascii="黑体" w:hAnsi="黑体" w:eastAsia="黑体" w:cs="黑体"/>
          <w:sz w:val="32"/>
          <w:szCs w:val="32"/>
        </w:rPr>
      </w:pPr>
      <w:bookmarkStart w:id="29" w:name="_Toc144380182"/>
      <w:r>
        <w:rPr>
          <w:rFonts w:ascii="黑体" w:hAnsi="黑体" w:eastAsia="黑体" w:cs="黑体"/>
          <w:sz w:val="32"/>
          <w:szCs w:val="32"/>
        </w:rPr>
        <w:t>二、方法与限制</w:t>
      </w:r>
      <w:bookmarkEnd w:id="29"/>
    </w:p>
    <w:p w14:paraId="14106CF4">
      <w:pPr>
        <w:ind w:firstLine="640" w:firstLineChars="200"/>
        <w:rPr>
          <w:rFonts w:ascii="楷体" w:hAnsi="楷体" w:eastAsia="楷体" w:cs="楷体"/>
          <w:color w:val="000000"/>
          <w:sz w:val="32"/>
          <w:szCs w:val="32"/>
          <w:shd w:val="clear" w:color="auto" w:fill="FFFFFF"/>
        </w:rPr>
      </w:pPr>
      <w:bookmarkStart w:id="30" w:name="_Toc24037"/>
      <w:bookmarkStart w:id="31" w:name="_Toc6038_WPSOffice_Level2"/>
      <w:bookmarkStart w:id="32" w:name="bookmark6"/>
      <w:bookmarkStart w:id="33" w:name="_Toc2964_WPSOffice_Level2"/>
      <w:r>
        <w:rPr>
          <w:rFonts w:hint="eastAsia" w:ascii="楷体" w:hAnsi="楷体" w:eastAsia="楷体" w:cs="楷体"/>
          <w:color w:val="000000"/>
          <w:sz w:val="32"/>
          <w:szCs w:val="32"/>
          <w:shd w:val="clear" w:color="auto" w:fill="FFFFFF"/>
        </w:rPr>
        <w:t>（一）本法律意见书釆用的调查方法</w:t>
      </w:r>
      <w:bookmarkEnd w:id="30"/>
      <w:bookmarkEnd w:id="31"/>
      <w:bookmarkEnd w:id="32"/>
      <w:bookmarkEnd w:id="33"/>
    </w:p>
    <w:p w14:paraId="1BCE2972">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34" w:name="_Toc6641"/>
      <w:r>
        <w:rPr>
          <w:rFonts w:hint="eastAsia" w:ascii="仿宋" w:hAnsi="仿宋" w:eastAsia="仿宋" w:cs="仿宋"/>
          <w:color w:val="000000"/>
          <w:sz w:val="28"/>
          <w:szCs w:val="28"/>
          <w:shd w:val="clear" w:color="auto" w:fill="FFFFFF"/>
        </w:rPr>
        <w:t>1、审阅相关主体提供的资料、信息与文件；</w:t>
      </w:r>
      <w:bookmarkEnd w:id="34"/>
    </w:p>
    <w:p w14:paraId="364170AA">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35" w:name="_Toc13128"/>
      <w:r>
        <w:rPr>
          <w:rFonts w:hint="eastAsia" w:ascii="仿宋" w:hAnsi="仿宋" w:eastAsia="仿宋" w:cs="仿宋"/>
          <w:color w:val="000000"/>
          <w:sz w:val="28"/>
          <w:szCs w:val="28"/>
          <w:shd w:val="clear" w:color="auto" w:fill="FFFFFF"/>
        </w:rPr>
        <w:t>2、核查相关主体官方网站或提供专项债券项目的其他网络渠道相关资料、信息与文件；</w:t>
      </w:r>
      <w:bookmarkEnd w:id="35"/>
    </w:p>
    <w:p w14:paraId="28728012">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36" w:name="_Toc13635"/>
      <w:r>
        <w:rPr>
          <w:rFonts w:hint="eastAsia" w:ascii="仿宋" w:hAnsi="仿宋" w:eastAsia="仿宋" w:cs="仿宋"/>
          <w:color w:val="000000"/>
          <w:sz w:val="28"/>
          <w:szCs w:val="28"/>
          <w:shd w:val="clear" w:color="auto" w:fill="FFFFFF"/>
        </w:rPr>
        <w:t>3、查阅截至本法律意见书出具日前委托方提供的由其他中介机构出具的专业报告；</w:t>
      </w:r>
      <w:bookmarkEnd w:id="36"/>
    </w:p>
    <w:p w14:paraId="7EA1D843">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37" w:name="_Toc25091"/>
      <w:r>
        <w:rPr>
          <w:rFonts w:hint="eastAsia" w:ascii="仿宋" w:hAnsi="仿宋" w:eastAsia="仿宋" w:cs="仿宋"/>
          <w:color w:val="000000"/>
          <w:sz w:val="28"/>
          <w:szCs w:val="28"/>
          <w:shd w:val="clear" w:color="auto" w:fill="FFFFFF"/>
        </w:rPr>
        <w:t>4、依据相关法律、政策、程序及实际操作惯例做出法律判断。</w:t>
      </w:r>
      <w:bookmarkEnd w:id="37"/>
    </w:p>
    <w:p w14:paraId="557CF9BB">
      <w:pPr>
        <w:ind w:firstLine="640" w:firstLineChars="200"/>
        <w:rPr>
          <w:rFonts w:ascii="楷体" w:hAnsi="楷体" w:eastAsia="楷体" w:cs="楷体"/>
          <w:color w:val="000000"/>
          <w:sz w:val="32"/>
          <w:szCs w:val="32"/>
          <w:shd w:val="clear" w:color="auto" w:fill="FFFFFF"/>
        </w:rPr>
      </w:pPr>
      <w:bookmarkStart w:id="38" w:name="_Toc18320_WPSOffice_Level2"/>
      <w:bookmarkStart w:id="39" w:name="_Toc11677"/>
      <w:bookmarkStart w:id="40" w:name="bookmark7"/>
      <w:bookmarkStart w:id="41" w:name="_Toc19648_WPSOffice_Level2"/>
      <w:r>
        <w:rPr>
          <w:rFonts w:hint="eastAsia" w:ascii="楷体" w:hAnsi="楷体" w:eastAsia="楷体" w:cs="楷体"/>
          <w:color w:val="000000"/>
          <w:sz w:val="32"/>
          <w:szCs w:val="32"/>
          <w:shd w:val="clear" w:color="auto" w:fill="FFFFFF"/>
        </w:rPr>
        <w:t>（二）本法律意见书基于下述假设及限制：</w:t>
      </w:r>
      <w:bookmarkEnd w:id="38"/>
      <w:bookmarkEnd w:id="39"/>
      <w:bookmarkEnd w:id="40"/>
      <w:bookmarkEnd w:id="41"/>
    </w:p>
    <w:p w14:paraId="62C1FB75">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42" w:name="_Toc22382"/>
      <w:r>
        <w:rPr>
          <w:rFonts w:hint="eastAsia" w:ascii="仿宋" w:hAnsi="仿宋" w:eastAsia="仿宋" w:cs="仿宋"/>
          <w:color w:val="000000"/>
          <w:sz w:val="28"/>
          <w:szCs w:val="28"/>
          <w:shd w:val="clear" w:color="auto" w:fill="FFFFFF"/>
        </w:rPr>
        <w:t>1、所有相关主体已提供了出具本法律意见书所必须的、真实的原始书面材料、副本材料、相关决议、口头证言或证明，不存在任何遗漏或隐瞒；有关副本材料或者复印件与原件一致，且一切足以影响法律意见书的事实和文件均已向本所披露；</w:t>
      </w:r>
      <w:bookmarkEnd w:id="42"/>
    </w:p>
    <w:p w14:paraId="22DBB00E">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43" w:name="_Toc28043"/>
      <w:r>
        <w:rPr>
          <w:rFonts w:hint="eastAsia" w:ascii="仿宋" w:hAnsi="仿宋" w:eastAsia="仿宋" w:cs="仿宋"/>
          <w:color w:val="000000"/>
          <w:sz w:val="28"/>
          <w:szCs w:val="28"/>
          <w:shd w:val="clear" w:color="auto" w:fill="FFFFFF"/>
        </w:rPr>
        <w:t>2、所有相关主体提交给本所的文件均由相关当事方合法授权、签订和递交；</w:t>
      </w:r>
      <w:bookmarkEnd w:id="43"/>
    </w:p>
    <w:p w14:paraId="5DDEBB7E">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44" w:name="_Toc1073"/>
      <w:r>
        <w:rPr>
          <w:rFonts w:hint="eastAsia" w:ascii="仿宋" w:hAnsi="仿宋" w:eastAsia="仿宋" w:cs="仿宋"/>
          <w:color w:val="000000"/>
          <w:sz w:val="28"/>
          <w:szCs w:val="28"/>
          <w:shd w:val="clear" w:color="auto" w:fill="FFFFFF"/>
        </w:rPr>
        <w:t>3、所有相关主体提交给本所文件上的签名、盖章均是真实的，签署的人员具备完全的法律行为能力及适当授权，并且所有文件的作出均履行了必要的法律程序；</w:t>
      </w:r>
      <w:bookmarkEnd w:id="44"/>
    </w:p>
    <w:p w14:paraId="025535D7">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45" w:name="_Toc14905"/>
      <w:r>
        <w:rPr>
          <w:rFonts w:hint="eastAsia" w:ascii="仿宋" w:hAnsi="仿宋" w:eastAsia="仿宋" w:cs="仿宋"/>
          <w:color w:val="000000"/>
          <w:sz w:val="28"/>
          <w:szCs w:val="28"/>
          <w:shd w:val="clear" w:color="auto" w:fill="FFFFFF"/>
        </w:rPr>
        <w:t>4、所有相关主体对本所做出的有关事实的阐述、声明、保证（无论是书面的还是口头做出的）均为真实、准确、完整和可靠的；</w:t>
      </w:r>
      <w:bookmarkEnd w:id="45"/>
    </w:p>
    <w:p w14:paraId="264FBC47">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46" w:name="_Toc23394"/>
      <w:r>
        <w:rPr>
          <w:rFonts w:hint="eastAsia" w:ascii="仿宋" w:hAnsi="仿宋" w:eastAsia="仿宋" w:cs="仿宋"/>
          <w:color w:val="000000"/>
          <w:sz w:val="28"/>
          <w:szCs w:val="28"/>
          <w:shd w:val="clear" w:color="auto" w:fill="FFFFFF"/>
        </w:rPr>
        <w:t>5、所有文件是真实的、完整的和准确的，在截至该等文件提供给本所之日和其后至本法律意见书出具之日，未发生任何变化、变更、删除或失效的情况；</w:t>
      </w:r>
      <w:bookmarkEnd w:id="46"/>
    </w:p>
    <w:p w14:paraId="4B5FA3F3">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47" w:name="_Toc23190"/>
      <w:r>
        <w:rPr>
          <w:rFonts w:hint="eastAsia" w:ascii="仿宋" w:hAnsi="仿宋" w:eastAsia="仿宋" w:cs="仿宋"/>
          <w:color w:val="000000"/>
          <w:sz w:val="28"/>
          <w:szCs w:val="28"/>
          <w:shd w:val="clear" w:color="auto" w:fill="FFFFFF"/>
        </w:rPr>
        <w:t>6、描述或引用法律问题时涉及的事实、信息和数据均是截至本法律意见书出具之日相关主体提供给本所的受限于前述规定的有效事实和数据。</w:t>
      </w:r>
      <w:bookmarkEnd w:id="47"/>
    </w:p>
    <w:p w14:paraId="5CF6AC55">
      <w:pPr>
        <w:pStyle w:val="5"/>
        <w:ind w:firstLine="643" w:firstLineChars="200"/>
        <w:rPr>
          <w:rFonts w:hint="default" w:ascii="黑体" w:hAnsi="黑体" w:eastAsia="黑体" w:cs="黑体"/>
          <w:sz w:val="32"/>
          <w:szCs w:val="32"/>
        </w:rPr>
      </w:pPr>
      <w:bookmarkStart w:id="48" w:name="_Toc144380183"/>
      <w:r>
        <w:rPr>
          <w:rFonts w:ascii="黑体" w:hAnsi="黑体" w:eastAsia="黑体" w:cs="黑体"/>
          <w:sz w:val="32"/>
          <w:szCs w:val="32"/>
        </w:rPr>
        <w:t>三、声明事项</w:t>
      </w:r>
      <w:bookmarkEnd w:id="48"/>
    </w:p>
    <w:p w14:paraId="7626C0FD">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49" w:name="_Toc2186"/>
      <w:r>
        <w:rPr>
          <w:rFonts w:ascii="仿宋" w:hAnsi="仿宋" w:eastAsia="仿宋" w:cs="仿宋"/>
          <w:color w:val="000000"/>
          <w:sz w:val="28"/>
          <w:szCs w:val="28"/>
          <w:shd w:val="clear" w:color="auto" w:fill="FFFFFF"/>
        </w:rPr>
        <w:t>1</w:t>
      </w:r>
      <w:r>
        <w:rPr>
          <w:rFonts w:hint="eastAsia" w:ascii="仿宋" w:hAnsi="仿宋" w:eastAsia="仿宋" w:cs="仿宋"/>
          <w:color w:val="000000"/>
          <w:sz w:val="28"/>
          <w:szCs w:val="28"/>
          <w:shd w:val="clear" w:color="auto" w:fill="FFFFFF"/>
        </w:rPr>
        <w:t>、</w:t>
      </w:r>
      <w:r>
        <w:rPr>
          <w:rFonts w:ascii="仿宋" w:hAnsi="仿宋" w:eastAsia="仿宋" w:cs="仿宋"/>
          <w:color w:val="000000"/>
          <w:sz w:val="28"/>
          <w:szCs w:val="28"/>
          <w:shd w:val="clear" w:color="auto" w:fill="FFFFFF"/>
        </w:rPr>
        <w:t>本所律师依据法律意见书出具日以前</w:t>
      </w:r>
      <w:r>
        <w:rPr>
          <w:rFonts w:hint="eastAsia" w:ascii="仿宋" w:hAnsi="仿宋" w:eastAsia="仿宋" w:cs="仿宋"/>
          <w:color w:val="000000"/>
          <w:sz w:val="28"/>
          <w:szCs w:val="28"/>
          <w:shd w:val="clear" w:color="auto" w:fill="FFFFFF"/>
        </w:rPr>
        <w:t>已</w:t>
      </w:r>
      <w:r>
        <w:rPr>
          <w:rFonts w:ascii="仿宋" w:hAnsi="仿宋" w:eastAsia="仿宋" w:cs="仿宋"/>
          <w:color w:val="000000"/>
          <w:sz w:val="28"/>
          <w:szCs w:val="28"/>
          <w:shd w:val="clear" w:color="auto" w:fill="FFFFFF"/>
        </w:rPr>
        <w:t>发生的事实和我国现行法律、法规和相关行政部门的有关规定</w:t>
      </w:r>
      <w:r>
        <w:rPr>
          <w:rFonts w:hint="eastAsia" w:ascii="仿宋" w:hAnsi="仿宋" w:eastAsia="仿宋" w:cs="仿宋"/>
          <w:color w:val="000000"/>
          <w:sz w:val="28"/>
          <w:szCs w:val="28"/>
          <w:shd w:val="clear" w:color="auto" w:fill="FFFFFF"/>
        </w:rPr>
        <w:t>，并基于本所律师对有关事实的了解和对有关法律、法规和规范性文件规定的理解的基础上</w:t>
      </w:r>
      <w:r>
        <w:rPr>
          <w:rFonts w:ascii="仿宋" w:hAnsi="仿宋" w:eastAsia="仿宋" w:cs="仿宋"/>
          <w:color w:val="000000"/>
          <w:sz w:val="28"/>
          <w:szCs w:val="28"/>
          <w:shd w:val="clear" w:color="auto" w:fill="FFFFFF"/>
        </w:rPr>
        <w:t>发表法律意见；</w:t>
      </w:r>
      <w:bookmarkEnd w:id="49"/>
    </w:p>
    <w:p w14:paraId="7BC42717">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50" w:name="_Toc17892"/>
      <w:r>
        <w:rPr>
          <w:rFonts w:ascii="仿宋" w:hAnsi="仿宋" w:eastAsia="仿宋" w:cs="仿宋"/>
          <w:color w:val="000000"/>
          <w:sz w:val="28"/>
          <w:szCs w:val="28"/>
          <w:shd w:val="clear" w:color="auto" w:fill="FFFFFF"/>
        </w:rPr>
        <w:t>2、本所律师仅就与专项债券项目有关的法律问题发表法律意见，不对会计、审计、信用评级等专业事项和意见发表意见。在本法律意见书中对有关会计意见、评</w:t>
      </w:r>
      <w:r>
        <w:rPr>
          <w:rFonts w:hint="eastAsia" w:ascii="仿宋" w:hAnsi="仿宋" w:eastAsia="仿宋" w:cs="仿宋"/>
          <w:color w:val="000000"/>
          <w:sz w:val="28"/>
          <w:szCs w:val="28"/>
          <w:shd w:val="clear" w:color="auto" w:fill="FFFFFF"/>
        </w:rPr>
        <w:t>估</w:t>
      </w:r>
      <w:r>
        <w:rPr>
          <w:rFonts w:ascii="仿宋" w:hAnsi="仿宋" w:eastAsia="仿宋" w:cs="仿宋"/>
          <w:color w:val="000000"/>
          <w:sz w:val="28"/>
          <w:szCs w:val="28"/>
          <w:shd w:val="clear" w:color="auto" w:fill="FFFFFF"/>
        </w:rPr>
        <w:t>报告中某些数据或结论的引述，并不意味着本所律师对这些数据、结论的真实性和准确性作出任何明示或默示性保证</w:t>
      </w:r>
      <w:r>
        <w:rPr>
          <w:rFonts w:hint="eastAsia" w:ascii="仿宋" w:hAnsi="仿宋" w:eastAsia="仿宋" w:cs="仿宋"/>
          <w:color w:val="000000"/>
          <w:sz w:val="28"/>
          <w:szCs w:val="28"/>
          <w:shd w:val="clear" w:color="auto" w:fill="FFFFFF"/>
        </w:rPr>
        <w:t>，本所律师对于该等文件的内容并不具备核查和作出评价的适当资格</w:t>
      </w:r>
      <w:r>
        <w:rPr>
          <w:rFonts w:ascii="仿宋" w:hAnsi="仿宋" w:eastAsia="仿宋" w:cs="仿宋"/>
          <w:color w:val="000000"/>
          <w:sz w:val="28"/>
          <w:szCs w:val="28"/>
          <w:shd w:val="clear" w:color="auto" w:fill="FFFFFF"/>
        </w:rPr>
        <w:t>；</w:t>
      </w:r>
      <w:bookmarkEnd w:id="50"/>
    </w:p>
    <w:p w14:paraId="27110E37">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51" w:name="_Toc1264"/>
      <w:r>
        <w:rPr>
          <w:rFonts w:ascii="仿宋" w:hAnsi="仿宋" w:eastAsia="仿宋" w:cs="仿宋"/>
          <w:color w:val="000000"/>
          <w:sz w:val="28"/>
          <w:szCs w:val="28"/>
          <w:shd w:val="clear" w:color="auto" w:fill="FFFFFF"/>
        </w:rPr>
        <w:t>3</w:t>
      </w:r>
      <w:r>
        <w:rPr>
          <w:rFonts w:hint="eastAsia" w:ascii="仿宋" w:hAnsi="仿宋" w:eastAsia="仿宋" w:cs="仿宋"/>
          <w:color w:val="000000"/>
          <w:sz w:val="28"/>
          <w:szCs w:val="28"/>
          <w:shd w:val="clear" w:color="auto" w:fill="FFFFFF"/>
        </w:rPr>
        <w:t>、</w:t>
      </w:r>
      <w:r>
        <w:rPr>
          <w:rFonts w:ascii="仿宋" w:hAnsi="仿宋" w:eastAsia="仿宋" w:cs="仿宋"/>
          <w:color w:val="000000"/>
          <w:sz w:val="28"/>
          <w:szCs w:val="28"/>
          <w:shd w:val="clear" w:color="auto" w:fill="FFFFFF"/>
        </w:rPr>
        <w:t>本所律师得到相关主体如下承诺和保证：相关主体己经提供了本所律师认为出具本法律意见书所必需的、真实完整的原始书面材料、副本材料或传真件（复印件）。有关材料上的签字和盖章均是真实的，有关副本材料或者复印件均与正本材料或原件一致。</w:t>
      </w:r>
      <w:bookmarkEnd w:id="51"/>
    </w:p>
    <w:p w14:paraId="4833085A">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52" w:name="_Toc29747"/>
      <w:r>
        <w:rPr>
          <w:rFonts w:hint="eastAsia" w:ascii="仿宋" w:hAnsi="仿宋" w:eastAsia="仿宋" w:cs="仿宋"/>
          <w:color w:val="000000"/>
          <w:sz w:val="28"/>
          <w:szCs w:val="28"/>
          <w:shd w:val="clear" w:color="auto" w:fill="FFFFFF"/>
        </w:rPr>
        <w:t>4、</w:t>
      </w:r>
      <w:r>
        <w:rPr>
          <w:rFonts w:ascii="仿宋" w:hAnsi="仿宋" w:eastAsia="仿宋" w:cs="仿宋"/>
          <w:color w:val="000000"/>
          <w:sz w:val="28"/>
          <w:szCs w:val="28"/>
          <w:shd w:val="clear" w:color="auto" w:fill="FFFFFF"/>
        </w:rPr>
        <w:t>对于</w:t>
      </w:r>
      <w:r>
        <w:rPr>
          <w:rFonts w:hint="eastAsia" w:ascii="仿宋" w:hAnsi="仿宋" w:eastAsia="仿宋" w:cs="仿宋"/>
          <w:color w:val="000000"/>
          <w:sz w:val="28"/>
          <w:szCs w:val="28"/>
          <w:shd w:val="clear" w:color="auto" w:fill="FFFFFF"/>
        </w:rPr>
        <w:t>出具</w:t>
      </w:r>
      <w:r>
        <w:rPr>
          <w:rFonts w:ascii="仿宋" w:hAnsi="仿宋" w:eastAsia="仿宋" w:cs="仿宋"/>
          <w:color w:val="000000"/>
          <w:sz w:val="28"/>
          <w:szCs w:val="28"/>
          <w:shd w:val="clear" w:color="auto" w:fill="FFFFFF"/>
        </w:rPr>
        <w:t>本法律意见书至关重要而又无法得到独立证据支持的事实，本所律师依赖于政府有关主管部门或其他单位出具的证明文件</w:t>
      </w:r>
      <w:r>
        <w:rPr>
          <w:rFonts w:hint="eastAsia" w:ascii="仿宋" w:hAnsi="仿宋" w:eastAsia="仿宋" w:cs="仿宋"/>
          <w:color w:val="000000"/>
          <w:sz w:val="28"/>
          <w:szCs w:val="28"/>
          <w:shd w:val="clear" w:color="auto" w:fill="FFFFFF"/>
        </w:rPr>
        <w:t>或相关说明</w:t>
      </w:r>
      <w:r>
        <w:rPr>
          <w:rFonts w:ascii="仿宋" w:hAnsi="仿宋" w:eastAsia="仿宋" w:cs="仿宋"/>
          <w:color w:val="000000"/>
          <w:sz w:val="28"/>
          <w:szCs w:val="28"/>
          <w:shd w:val="clear" w:color="auto" w:fill="FFFFFF"/>
        </w:rPr>
        <w:t>；</w:t>
      </w:r>
      <w:bookmarkEnd w:id="52"/>
    </w:p>
    <w:p w14:paraId="1B9F31F2">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53" w:name="_Toc11303"/>
      <w:r>
        <w:rPr>
          <w:rFonts w:hint="eastAsia" w:ascii="仿宋" w:hAnsi="仿宋" w:eastAsia="仿宋" w:cs="仿宋"/>
          <w:color w:val="000000"/>
          <w:sz w:val="28"/>
          <w:szCs w:val="28"/>
          <w:shd w:val="clear" w:color="auto" w:fill="FFFFFF"/>
        </w:rPr>
        <w:t>5</w:t>
      </w:r>
      <w:r>
        <w:rPr>
          <w:rFonts w:ascii="仿宋" w:hAnsi="仿宋" w:eastAsia="仿宋" w:cs="仿宋"/>
          <w:color w:val="000000"/>
          <w:sz w:val="28"/>
          <w:szCs w:val="28"/>
          <w:shd w:val="clear" w:color="auto" w:fill="FFFFFF"/>
        </w:rPr>
        <w:t>、本法律意见书仅供</w:t>
      </w:r>
      <w:r>
        <w:rPr>
          <w:rFonts w:hint="eastAsia" w:ascii="仿宋" w:hAnsi="仿宋" w:eastAsia="仿宋" w:cs="仿宋"/>
          <w:color w:val="000000"/>
          <w:sz w:val="28"/>
          <w:szCs w:val="28"/>
          <w:shd w:val="clear" w:color="auto" w:fill="FFFFFF"/>
        </w:rPr>
        <w:t>本项目拟募投</w:t>
      </w:r>
      <w:r>
        <w:rPr>
          <w:rFonts w:ascii="仿宋" w:hAnsi="仿宋" w:eastAsia="仿宋" w:cs="仿宋"/>
          <w:color w:val="000000"/>
          <w:sz w:val="28"/>
          <w:szCs w:val="28"/>
          <w:shd w:val="clear" w:color="auto" w:fill="FFFFFF"/>
        </w:rPr>
        <w:t>专项债券之目的使用，非经本所书面同意，不得用作其他任何目的。</w:t>
      </w:r>
      <w:bookmarkEnd w:id="53"/>
    </w:p>
    <w:p w14:paraId="0BE2F578">
      <w:pPr>
        <w:pStyle w:val="5"/>
        <w:spacing w:before="156" w:beforeLines="50" w:beforeAutospacing="0" w:afterAutospacing="0" w:line="360" w:lineRule="auto"/>
        <w:jc w:val="center"/>
        <w:rPr>
          <w:rFonts w:ascii="黑体" w:hAnsi="黑体" w:eastAsia="黑体" w:cs="黑体"/>
          <w:sz w:val="32"/>
          <w:szCs w:val="32"/>
        </w:rPr>
      </w:pPr>
      <w:bookmarkStart w:id="54" w:name="_Toc144380184"/>
    </w:p>
    <w:p w14:paraId="64A68AF9">
      <w:pPr>
        <w:pStyle w:val="5"/>
        <w:spacing w:before="156" w:beforeLines="50" w:beforeAutospacing="0" w:afterAutospacing="0" w:line="360" w:lineRule="auto"/>
        <w:jc w:val="center"/>
        <w:rPr>
          <w:rFonts w:ascii="黑体" w:hAnsi="黑体" w:eastAsia="黑体" w:cs="黑体"/>
          <w:sz w:val="32"/>
          <w:szCs w:val="32"/>
        </w:rPr>
      </w:pPr>
    </w:p>
    <w:p w14:paraId="4B5886A5">
      <w:pPr>
        <w:pStyle w:val="5"/>
        <w:spacing w:before="156" w:beforeLines="50" w:beforeAutospacing="0" w:afterAutospacing="0" w:line="360" w:lineRule="auto"/>
        <w:jc w:val="center"/>
        <w:rPr>
          <w:rFonts w:hint="default" w:ascii="黑体" w:hAnsi="黑体" w:eastAsia="黑体" w:cs="黑体"/>
          <w:sz w:val="32"/>
          <w:szCs w:val="32"/>
        </w:rPr>
      </w:pPr>
      <w:r>
        <w:rPr>
          <w:rFonts w:ascii="黑体" w:hAnsi="黑体" w:eastAsia="黑体" w:cs="黑体"/>
          <w:sz w:val="32"/>
          <w:szCs w:val="32"/>
        </w:rPr>
        <w:t>正  文</w:t>
      </w:r>
      <w:bookmarkEnd w:id="54"/>
    </w:p>
    <w:p w14:paraId="0A6D8A24">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bookmarkStart w:id="55" w:name="_Toc10409"/>
      <w:r>
        <w:rPr>
          <w:rFonts w:hint="eastAsia" w:ascii="仿宋" w:hAnsi="仿宋" w:eastAsia="仿宋" w:cs="仿宋"/>
          <w:color w:val="000000"/>
          <w:sz w:val="28"/>
          <w:szCs w:val="28"/>
          <w:shd w:val="clear" w:color="auto" w:fill="FFFFFF"/>
        </w:rPr>
        <w:t>本所律师根据国家法律、法规的有关规定，按照律师行业公认的业务标准、道德规范和勤勉尽责的精神，对相关主体提供的文件和相关事实进行了核查和验证，现发表法律意见如下：</w:t>
      </w:r>
    </w:p>
    <w:p w14:paraId="36AF55F4">
      <w:pPr>
        <w:pStyle w:val="5"/>
        <w:ind w:firstLine="643" w:firstLineChars="200"/>
        <w:rPr>
          <w:rFonts w:hint="default" w:ascii="黑体" w:hAnsi="黑体" w:eastAsia="黑体" w:cs="黑体"/>
          <w:sz w:val="32"/>
          <w:szCs w:val="32"/>
        </w:rPr>
      </w:pPr>
      <w:bookmarkStart w:id="56" w:name="_Toc144380185"/>
      <w:r>
        <w:rPr>
          <w:rFonts w:ascii="黑体" w:hAnsi="黑体" w:eastAsia="黑体" w:cs="黑体"/>
          <w:sz w:val="32"/>
          <w:szCs w:val="32"/>
        </w:rPr>
        <w:t>一、项目实施主体资格</w:t>
      </w:r>
      <w:bookmarkEnd w:id="55"/>
      <w:bookmarkEnd w:id="56"/>
    </w:p>
    <w:p w14:paraId="2A653317">
      <w:pPr>
        <w:adjustRightInd w:val="0"/>
        <w:snapToGrid w:val="0"/>
        <w:spacing w:before="156" w:beforeLines="50" w:after="156" w:afterLines="50" w:line="500" w:lineRule="exact"/>
        <w:ind w:firstLine="560" w:firstLineChars="200"/>
        <w:textAlignment w:val="baseline"/>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项目拟募投专项债券资金用途为</w:t>
      </w:r>
      <w:r>
        <w:rPr>
          <w:rFonts w:hint="eastAsia" w:ascii="仿宋" w:hAnsi="仿宋" w:eastAsia="仿宋" w:cs="仿宋"/>
          <w:kern w:val="2"/>
          <w:sz w:val="28"/>
          <w:szCs w:val="28"/>
          <w:lang w:val="en-US" w:eastAsia="zh-CN" w:bidi="ar-SA"/>
        </w:rPr>
        <w:t>蒲县智慧停车升级改造项目</w:t>
      </w:r>
      <w:r>
        <w:rPr>
          <w:rFonts w:hint="eastAsia" w:ascii="仿宋" w:hAnsi="仿宋" w:eastAsia="仿宋" w:cs="仿宋"/>
          <w:color w:val="000000"/>
          <w:sz w:val="28"/>
          <w:szCs w:val="28"/>
          <w:shd w:val="clear" w:color="auto" w:fill="FFFFFF"/>
        </w:rPr>
        <w:t>的建设支出，项目实施主体为</w:t>
      </w:r>
      <w:r>
        <w:rPr>
          <w:rFonts w:hint="eastAsia" w:ascii="仿宋" w:hAnsi="仿宋" w:eastAsia="仿宋" w:cs="仿宋"/>
          <w:color w:val="000000"/>
          <w:sz w:val="28"/>
          <w:szCs w:val="28"/>
          <w:shd w:val="clear" w:color="auto" w:fill="FFFFFF"/>
          <w:lang w:val="en-US" w:eastAsia="zh-CN"/>
        </w:rPr>
        <w:t>蒲县住房和城乡建设管理局</w:t>
      </w:r>
      <w:r>
        <w:rPr>
          <w:rFonts w:hint="eastAsia" w:ascii="仿宋" w:hAnsi="仿宋" w:eastAsia="仿宋" w:cs="仿宋"/>
          <w:color w:val="000000"/>
          <w:sz w:val="28"/>
          <w:szCs w:val="28"/>
          <w:shd w:val="clear" w:color="auto" w:fill="FFFFFF"/>
        </w:rPr>
        <w:t>。</w:t>
      </w:r>
    </w:p>
    <w:p w14:paraId="51A90CC1">
      <w:pPr>
        <w:adjustRightInd w:val="0"/>
        <w:snapToGrid w:val="0"/>
        <w:spacing w:before="156" w:beforeLines="50" w:after="156" w:afterLines="50" w:line="500" w:lineRule="exact"/>
        <w:ind w:firstLine="560" w:firstLineChars="200"/>
        <w:textAlignment w:val="baseline"/>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根据贵局向本所提供的相关资料并经本所律师在</w:t>
      </w:r>
      <w:r>
        <w:rPr>
          <w:rFonts w:hint="eastAsia" w:ascii="仿宋" w:hAnsi="仿宋" w:eastAsia="仿宋" w:cs="仿宋"/>
          <w:color w:val="000000"/>
          <w:sz w:val="28"/>
          <w:szCs w:val="28"/>
          <w:shd w:val="clear" w:color="auto" w:fill="FFFFFF"/>
          <w:lang w:eastAsia="zh-Hans"/>
        </w:rPr>
        <w:t>全国组织机构统一社会信用代码公示网站</w:t>
      </w:r>
      <w:r>
        <w:rPr>
          <w:rFonts w:hint="eastAsia" w:ascii="仿宋" w:hAnsi="仿宋" w:eastAsia="仿宋" w:cs="仿宋"/>
          <w:color w:val="000000"/>
          <w:sz w:val="28"/>
          <w:szCs w:val="28"/>
          <w:shd w:val="clear" w:color="auto" w:fill="FFFFFF"/>
        </w:rPr>
        <w:t>的核查，截止本法律意见书出具之日，</w:t>
      </w:r>
      <w:r>
        <w:rPr>
          <w:rFonts w:hint="eastAsia" w:ascii="仿宋" w:hAnsi="仿宋" w:eastAsia="仿宋" w:cs="仿宋"/>
          <w:color w:val="000000"/>
          <w:sz w:val="28"/>
          <w:szCs w:val="28"/>
          <w:shd w:val="clear" w:color="auto" w:fill="FFFFFF"/>
          <w:lang w:val="en-US" w:eastAsia="zh-CN"/>
        </w:rPr>
        <w:t>蒲县住房和城乡建设管理局</w:t>
      </w:r>
      <w:r>
        <w:rPr>
          <w:rFonts w:hint="eastAsia" w:ascii="仿宋" w:hAnsi="仿宋" w:eastAsia="仿宋" w:cs="仿宋"/>
          <w:color w:val="000000"/>
          <w:sz w:val="28"/>
          <w:szCs w:val="28"/>
          <w:shd w:val="clear" w:color="auto" w:fill="FFFFFF"/>
        </w:rPr>
        <w:t>持有中共</w:t>
      </w:r>
      <w:r>
        <w:rPr>
          <w:rFonts w:hint="eastAsia" w:ascii="仿宋" w:hAnsi="仿宋" w:eastAsia="仿宋" w:cs="仿宋"/>
          <w:color w:val="000000"/>
          <w:sz w:val="28"/>
          <w:szCs w:val="28"/>
          <w:shd w:val="clear" w:color="auto" w:fill="FFFFFF"/>
          <w:lang w:val="en-US" w:eastAsia="zh-CN"/>
        </w:rPr>
        <w:t>蒲县</w:t>
      </w:r>
      <w:r>
        <w:rPr>
          <w:rFonts w:hint="eastAsia" w:ascii="仿宋" w:hAnsi="仿宋" w:eastAsia="仿宋" w:cs="仿宋"/>
          <w:color w:val="000000"/>
          <w:sz w:val="28"/>
          <w:szCs w:val="28"/>
          <w:shd w:val="clear" w:color="auto" w:fill="FFFFFF"/>
        </w:rPr>
        <w:t>县委机构编制委员会办公室核发的《统一社会信用代码证书》，相关信息如下：</w:t>
      </w:r>
    </w:p>
    <w:tbl>
      <w:tblPr>
        <w:tblStyle w:val="17"/>
        <w:tblpPr w:leftFromText="180" w:rightFromText="180" w:vertAnchor="text" w:horzAnchor="page" w:tblpX="2157" w:tblpY="248"/>
        <w:tblOverlap w:val="never"/>
        <w:tblW w:w="765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2132"/>
        <w:gridCol w:w="5518"/>
      </w:tblGrid>
      <w:tr w14:paraId="262FC7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788" w:hRule="exact"/>
        </w:trPr>
        <w:tc>
          <w:tcPr>
            <w:tcW w:w="2132" w:type="dxa"/>
            <w:shd w:val="clear" w:color="auto" w:fill="auto"/>
            <w:vAlign w:val="center"/>
          </w:tcPr>
          <w:p w14:paraId="6780D92E">
            <w:pPr>
              <w:pStyle w:val="33"/>
              <w:pBdr>
                <w:top w:val="none" w:color="auto" w:sz="0" w:space="1"/>
                <w:left w:val="none" w:color="auto" w:sz="0" w:space="4"/>
                <w:bottom w:val="none" w:color="auto" w:sz="0" w:space="1"/>
                <w:right w:val="none" w:color="auto" w:sz="0" w:space="4"/>
              </w:pBdr>
              <w:shd w:val="clear" w:color="auto" w:fill="auto"/>
              <w:spacing w:before="0" w:after="0" w:line="360" w:lineRule="auto"/>
              <w:rPr>
                <w:rFonts w:ascii="仿宋" w:hAnsi="仿宋" w:eastAsia="仿宋" w:cs="仿宋"/>
                <w:color w:val="auto"/>
                <w:sz w:val="24"/>
              </w:rPr>
            </w:pPr>
            <w:r>
              <w:rPr>
                <w:rStyle w:val="37"/>
                <w:rFonts w:hint="eastAsia" w:ascii="仿宋" w:hAnsi="仿宋" w:eastAsia="仿宋" w:cs="仿宋"/>
                <w:color w:val="auto"/>
                <w:sz w:val="24"/>
                <w:szCs w:val="24"/>
              </w:rPr>
              <w:t>名称</w:t>
            </w:r>
          </w:p>
        </w:tc>
        <w:tc>
          <w:tcPr>
            <w:tcW w:w="5518" w:type="dxa"/>
            <w:shd w:val="clear" w:color="auto" w:fill="auto"/>
            <w:vAlign w:val="center"/>
          </w:tcPr>
          <w:p w14:paraId="1D99AD16">
            <w:pPr>
              <w:pStyle w:val="33"/>
              <w:pBdr>
                <w:top w:val="none" w:color="auto" w:sz="0" w:space="1"/>
                <w:left w:val="none" w:color="auto" w:sz="0" w:space="4"/>
                <w:bottom w:val="none" w:color="auto" w:sz="0" w:space="1"/>
                <w:right w:val="none" w:color="auto" w:sz="0" w:space="4"/>
              </w:pBdr>
              <w:shd w:val="clear" w:color="auto" w:fill="auto"/>
              <w:spacing w:before="0" w:after="0" w:line="360" w:lineRule="auto"/>
              <w:rPr>
                <w:rFonts w:ascii="仿宋" w:hAnsi="仿宋" w:eastAsia="仿宋" w:cs="仿宋"/>
                <w:color w:val="auto"/>
                <w:sz w:val="24"/>
              </w:rPr>
            </w:pPr>
            <w:r>
              <w:rPr>
                <w:rFonts w:hint="eastAsia" w:ascii="仿宋" w:hAnsi="仿宋" w:eastAsia="仿宋" w:cs="仿宋"/>
                <w:color w:val="auto"/>
                <w:sz w:val="24"/>
                <w:lang w:eastAsia="zh-CN"/>
              </w:rPr>
              <w:t>蒲县住房和城乡建设管理局</w:t>
            </w:r>
          </w:p>
        </w:tc>
      </w:tr>
      <w:tr w14:paraId="2C9653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703" w:hRule="exact"/>
        </w:trPr>
        <w:tc>
          <w:tcPr>
            <w:tcW w:w="2132" w:type="dxa"/>
            <w:shd w:val="clear" w:color="auto" w:fill="auto"/>
            <w:vAlign w:val="center"/>
          </w:tcPr>
          <w:p w14:paraId="62F19065">
            <w:pPr>
              <w:pStyle w:val="33"/>
              <w:pBdr>
                <w:top w:val="none" w:color="auto" w:sz="0" w:space="1"/>
                <w:left w:val="none" w:color="auto" w:sz="0" w:space="4"/>
                <w:bottom w:val="none" w:color="auto" w:sz="0" w:space="1"/>
                <w:right w:val="none" w:color="auto" w:sz="0" w:space="4"/>
              </w:pBdr>
              <w:shd w:val="clear" w:color="auto" w:fill="auto"/>
              <w:spacing w:before="0" w:after="0" w:line="360" w:lineRule="auto"/>
              <w:rPr>
                <w:rFonts w:ascii="仿宋" w:hAnsi="仿宋" w:eastAsia="仿宋" w:cs="仿宋"/>
                <w:color w:val="auto"/>
                <w:sz w:val="24"/>
              </w:rPr>
            </w:pPr>
            <w:r>
              <w:rPr>
                <w:rStyle w:val="37"/>
                <w:rFonts w:hint="eastAsia" w:ascii="仿宋" w:hAnsi="仿宋" w:eastAsia="仿宋" w:cs="仿宋"/>
                <w:color w:val="auto"/>
                <w:sz w:val="24"/>
                <w:szCs w:val="24"/>
              </w:rPr>
              <w:t>统一社会信用代码</w:t>
            </w:r>
          </w:p>
        </w:tc>
        <w:tc>
          <w:tcPr>
            <w:tcW w:w="5518" w:type="dxa"/>
            <w:shd w:val="clear" w:color="auto" w:fill="auto"/>
            <w:vAlign w:val="center"/>
          </w:tcPr>
          <w:p w14:paraId="31929780">
            <w:pPr>
              <w:pStyle w:val="33"/>
              <w:pBdr>
                <w:top w:val="none" w:color="auto" w:sz="0" w:space="1"/>
                <w:left w:val="none" w:color="auto" w:sz="0" w:space="4"/>
                <w:bottom w:val="none" w:color="auto" w:sz="0" w:space="1"/>
                <w:right w:val="none" w:color="auto" w:sz="0" w:space="4"/>
              </w:pBdr>
              <w:shd w:val="clear" w:color="auto" w:fill="auto"/>
              <w:spacing w:before="0" w:after="0" w:line="360" w:lineRule="auto"/>
              <w:rPr>
                <w:rFonts w:hint="default" w:ascii="仿宋" w:hAnsi="仿宋" w:eastAsia="仿宋" w:cs="仿宋"/>
                <w:color w:val="auto"/>
                <w:sz w:val="24"/>
                <w:lang w:val="en-US" w:eastAsia="zh-CN"/>
              </w:rPr>
            </w:pPr>
            <w:r>
              <w:rPr>
                <w:rFonts w:ascii="仿宋" w:hAnsi="仿宋" w:eastAsia="仿宋" w:cs="仿宋"/>
                <w:color w:val="auto"/>
                <w:sz w:val="24"/>
              </w:rPr>
              <w:t>111409</w:t>
            </w:r>
            <w:r>
              <w:rPr>
                <w:rFonts w:hint="eastAsia" w:ascii="仿宋" w:hAnsi="仿宋" w:eastAsia="仿宋" w:cs="仿宋"/>
                <w:color w:val="auto"/>
                <w:sz w:val="24"/>
                <w:lang w:val="en-US" w:eastAsia="zh-CN"/>
              </w:rPr>
              <w:t>32012845238A</w:t>
            </w:r>
          </w:p>
        </w:tc>
      </w:tr>
      <w:tr w14:paraId="59F465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5" w:hRule="exact"/>
        </w:trPr>
        <w:tc>
          <w:tcPr>
            <w:tcW w:w="2132" w:type="dxa"/>
            <w:shd w:val="clear" w:color="auto" w:fill="auto"/>
            <w:vAlign w:val="center"/>
          </w:tcPr>
          <w:p w14:paraId="3C45AD73">
            <w:pPr>
              <w:pStyle w:val="33"/>
              <w:pBdr>
                <w:top w:val="none" w:color="auto" w:sz="0" w:space="1"/>
                <w:left w:val="none" w:color="auto" w:sz="0" w:space="4"/>
                <w:bottom w:val="none" w:color="auto" w:sz="0" w:space="1"/>
                <w:right w:val="none" w:color="auto" w:sz="0" w:space="4"/>
              </w:pBdr>
              <w:shd w:val="clear" w:color="auto" w:fill="auto"/>
              <w:spacing w:before="0" w:after="0" w:line="360" w:lineRule="auto"/>
              <w:rPr>
                <w:rStyle w:val="37"/>
                <w:rFonts w:ascii="仿宋" w:hAnsi="仿宋" w:eastAsia="仿宋" w:cs="仿宋"/>
                <w:color w:val="auto"/>
                <w:sz w:val="24"/>
                <w:szCs w:val="24"/>
                <w:lang w:val="en-US" w:eastAsia="zh-Hans"/>
              </w:rPr>
            </w:pPr>
            <w:r>
              <w:rPr>
                <w:rStyle w:val="37"/>
                <w:rFonts w:hint="eastAsia" w:ascii="仿宋" w:hAnsi="仿宋" w:eastAsia="仿宋" w:cs="仿宋"/>
                <w:color w:val="auto"/>
                <w:sz w:val="24"/>
                <w:szCs w:val="24"/>
                <w:lang w:val="en-US" w:eastAsia="zh-Hans"/>
              </w:rPr>
              <w:t>机构性质</w:t>
            </w:r>
          </w:p>
        </w:tc>
        <w:tc>
          <w:tcPr>
            <w:tcW w:w="5518" w:type="dxa"/>
            <w:shd w:val="clear" w:color="auto" w:fill="auto"/>
            <w:vAlign w:val="center"/>
          </w:tcPr>
          <w:p w14:paraId="10A3B20D">
            <w:pPr>
              <w:pStyle w:val="33"/>
              <w:pBdr>
                <w:top w:val="none" w:color="auto" w:sz="0" w:space="1"/>
                <w:left w:val="none" w:color="auto" w:sz="0" w:space="4"/>
                <w:bottom w:val="none" w:color="auto" w:sz="0" w:space="1"/>
                <w:right w:val="none" w:color="auto" w:sz="0" w:space="4"/>
              </w:pBdr>
              <w:shd w:val="clear" w:color="auto" w:fill="auto"/>
              <w:spacing w:before="0" w:after="0" w:line="360" w:lineRule="auto"/>
              <w:rPr>
                <w:rFonts w:ascii="仿宋" w:hAnsi="仿宋" w:eastAsia="仿宋" w:cs="仿宋"/>
                <w:color w:val="auto"/>
                <w:sz w:val="24"/>
              </w:rPr>
            </w:pPr>
            <w:r>
              <w:rPr>
                <w:rFonts w:hint="eastAsia" w:ascii="仿宋" w:hAnsi="仿宋" w:eastAsia="仿宋" w:cs="仿宋"/>
                <w:color w:val="auto"/>
                <w:sz w:val="24"/>
              </w:rPr>
              <w:t>机关</w:t>
            </w:r>
          </w:p>
          <w:p w14:paraId="341868EF">
            <w:pPr>
              <w:pStyle w:val="33"/>
              <w:pBdr>
                <w:top w:val="none" w:color="auto" w:sz="0" w:space="1"/>
                <w:left w:val="none" w:color="auto" w:sz="0" w:space="4"/>
                <w:bottom w:val="none" w:color="auto" w:sz="0" w:space="1"/>
                <w:right w:val="none" w:color="auto" w:sz="0" w:space="4"/>
              </w:pBdr>
              <w:shd w:val="clear" w:color="auto" w:fill="auto"/>
              <w:spacing w:before="0" w:after="0" w:line="360" w:lineRule="auto"/>
              <w:rPr>
                <w:rFonts w:ascii="仿宋" w:hAnsi="仿宋" w:eastAsia="仿宋" w:cs="仿宋"/>
                <w:color w:val="auto"/>
                <w:sz w:val="24"/>
              </w:rPr>
            </w:pPr>
          </w:p>
        </w:tc>
      </w:tr>
      <w:tr w14:paraId="6E8AA5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5" w:hRule="exact"/>
        </w:trPr>
        <w:tc>
          <w:tcPr>
            <w:tcW w:w="2132" w:type="dxa"/>
            <w:shd w:val="clear" w:color="auto" w:fill="auto"/>
            <w:vAlign w:val="center"/>
          </w:tcPr>
          <w:p w14:paraId="53442D74">
            <w:pPr>
              <w:pStyle w:val="33"/>
              <w:pBdr>
                <w:top w:val="none" w:color="auto" w:sz="0" w:space="1"/>
                <w:left w:val="none" w:color="auto" w:sz="0" w:space="4"/>
                <w:bottom w:val="none" w:color="auto" w:sz="0" w:space="1"/>
                <w:right w:val="none" w:color="auto" w:sz="0" w:space="4"/>
              </w:pBdr>
              <w:shd w:val="clear" w:color="auto" w:fill="auto"/>
              <w:spacing w:before="0" w:after="0" w:line="360" w:lineRule="auto"/>
              <w:rPr>
                <w:rStyle w:val="37"/>
                <w:rFonts w:ascii="仿宋" w:hAnsi="仿宋" w:eastAsia="仿宋" w:cs="仿宋"/>
                <w:color w:val="auto"/>
                <w:sz w:val="24"/>
                <w:szCs w:val="24"/>
                <w:lang w:val="en-US"/>
              </w:rPr>
            </w:pPr>
            <w:r>
              <w:rPr>
                <w:rStyle w:val="37"/>
                <w:rFonts w:hint="eastAsia" w:ascii="仿宋" w:hAnsi="仿宋" w:eastAsia="仿宋" w:cs="仿宋"/>
                <w:color w:val="auto"/>
                <w:sz w:val="24"/>
                <w:szCs w:val="24"/>
                <w:lang w:val="en-US"/>
              </w:rPr>
              <w:t>机构地址</w:t>
            </w:r>
          </w:p>
        </w:tc>
        <w:tc>
          <w:tcPr>
            <w:tcW w:w="5518" w:type="dxa"/>
            <w:shd w:val="clear" w:color="auto" w:fill="auto"/>
            <w:vAlign w:val="center"/>
          </w:tcPr>
          <w:p w14:paraId="2B8C9D77">
            <w:pPr>
              <w:pStyle w:val="33"/>
              <w:pBdr>
                <w:top w:val="none" w:color="auto" w:sz="0" w:space="1"/>
                <w:left w:val="none" w:color="auto" w:sz="0" w:space="4"/>
                <w:bottom w:val="none" w:color="auto" w:sz="0" w:space="1"/>
                <w:right w:val="none" w:color="auto" w:sz="0" w:space="4"/>
              </w:pBdr>
              <w:shd w:val="clear" w:color="auto" w:fill="auto"/>
              <w:spacing w:before="0" w:after="0" w:line="360" w:lineRule="auto"/>
              <w:rPr>
                <w:rFonts w:hint="default" w:ascii="仿宋" w:hAnsi="仿宋" w:eastAsia="仿宋" w:cs="仿宋"/>
                <w:color w:val="auto"/>
                <w:sz w:val="24"/>
                <w:lang w:val="en-US" w:eastAsia="zh-CN"/>
              </w:rPr>
            </w:pPr>
            <w:r>
              <w:rPr>
                <w:rFonts w:hint="eastAsia" w:ascii="仿宋" w:hAnsi="仿宋" w:eastAsia="仿宋" w:cs="仿宋"/>
                <w:color w:val="auto"/>
                <w:sz w:val="24"/>
                <w:lang w:val="en-US" w:eastAsia="zh-CN"/>
              </w:rPr>
              <w:t>蒲县东关（原运销公司院内）</w:t>
            </w:r>
          </w:p>
          <w:p w14:paraId="6E198D11">
            <w:pPr>
              <w:pStyle w:val="33"/>
              <w:pBdr>
                <w:top w:val="none" w:color="auto" w:sz="0" w:space="1"/>
                <w:left w:val="none" w:color="auto" w:sz="0" w:space="4"/>
                <w:bottom w:val="none" w:color="auto" w:sz="0" w:space="1"/>
                <w:right w:val="none" w:color="auto" w:sz="0" w:space="4"/>
              </w:pBdr>
              <w:shd w:val="clear" w:color="auto" w:fill="auto"/>
              <w:spacing w:before="0" w:after="0" w:line="360" w:lineRule="auto"/>
              <w:rPr>
                <w:rFonts w:ascii="仿宋" w:hAnsi="仿宋" w:eastAsia="仿宋" w:cs="仿宋"/>
                <w:color w:val="auto"/>
                <w:sz w:val="24"/>
              </w:rPr>
            </w:pPr>
          </w:p>
        </w:tc>
      </w:tr>
      <w:tr w14:paraId="1A777E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5" w:hRule="exact"/>
        </w:trPr>
        <w:tc>
          <w:tcPr>
            <w:tcW w:w="2132" w:type="dxa"/>
            <w:shd w:val="clear" w:color="auto" w:fill="auto"/>
            <w:vAlign w:val="center"/>
          </w:tcPr>
          <w:p w14:paraId="67F12DC7">
            <w:pPr>
              <w:pStyle w:val="33"/>
              <w:pBdr>
                <w:top w:val="none" w:color="auto" w:sz="0" w:space="1"/>
                <w:left w:val="none" w:color="auto" w:sz="0" w:space="4"/>
                <w:bottom w:val="none" w:color="auto" w:sz="0" w:space="1"/>
                <w:right w:val="none" w:color="auto" w:sz="0" w:space="4"/>
              </w:pBdr>
              <w:shd w:val="clear" w:color="auto" w:fill="auto"/>
              <w:spacing w:before="0" w:after="0" w:line="360" w:lineRule="auto"/>
              <w:rPr>
                <w:rStyle w:val="37"/>
                <w:rFonts w:ascii="仿宋" w:hAnsi="仿宋" w:eastAsia="仿宋" w:cs="仿宋"/>
                <w:color w:val="auto"/>
                <w:sz w:val="24"/>
                <w:szCs w:val="24"/>
                <w:lang w:val="en-US"/>
              </w:rPr>
            </w:pPr>
            <w:r>
              <w:rPr>
                <w:rStyle w:val="37"/>
                <w:rFonts w:hint="eastAsia" w:ascii="仿宋" w:hAnsi="仿宋" w:eastAsia="仿宋" w:cs="仿宋"/>
                <w:color w:val="auto"/>
                <w:sz w:val="24"/>
                <w:szCs w:val="24"/>
                <w:lang w:val="en-US"/>
              </w:rPr>
              <w:t>负责人</w:t>
            </w:r>
          </w:p>
        </w:tc>
        <w:tc>
          <w:tcPr>
            <w:tcW w:w="5518" w:type="dxa"/>
            <w:shd w:val="clear" w:color="auto" w:fill="auto"/>
            <w:vAlign w:val="center"/>
          </w:tcPr>
          <w:p w14:paraId="6DB42C9E">
            <w:pPr>
              <w:pStyle w:val="33"/>
              <w:pBdr>
                <w:top w:val="none" w:color="auto" w:sz="0" w:space="1"/>
                <w:left w:val="none" w:color="auto" w:sz="0" w:space="4"/>
                <w:bottom w:val="none" w:color="auto" w:sz="0" w:space="1"/>
                <w:right w:val="none" w:color="auto" w:sz="0" w:space="4"/>
              </w:pBdr>
              <w:shd w:val="clear" w:color="auto" w:fill="auto"/>
              <w:spacing w:before="0" w:after="0" w:line="360" w:lineRule="auto"/>
              <w:rPr>
                <w:rFonts w:hint="default" w:ascii="仿宋" w:hAnsi="仿宋" w:eastAsia="仿宋" w:cs="仿宋"/>
                <w:color w:val="auto"/>
                <w:sz w:val="24"/>
                <w:lang w:val="en-US" w:eastAsia="zh-CN"/>
              </w:rPr>
            </w:pPr>
            <w:r>
              <w:rPr>
                <w:rFonts w:hint="eastAsia" w:ascii="仿宋" w:hAnsi="仿宋" w:eastAsia="仿宋" w:cs="仿宋"/>
                <w:color w:val="auto"/>
                <w:sz w:val="24"/>
                <w:lang w:val="en-US" w:eastAsia="zh-CN"/>
              </w:rPr>
              <w:t>乔龙奎</w:t>
            </w:r>
          </w:p>
        </w:tc>
      </w:tr>
      <w:tr w14:paraId="5104BA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77" w:hRule="exact"/>
        </w:trPr>
        <w:tc>
          <w:tcPr>
            <w:tcW w:w="2132" w:type="dxa"/>
            <w:shd w:val="clear" w:color="auto" w:fill="auto"/>
            <w:vAlign w:val="center"/>
          </w:tcPr>
          <w:p w14:paraId="1FEA7A61">
            <w:pPr>
              <w:pStyle w:val="33"/>
              <w:pBdr>
                <w:top w:val="none" w:color="auto" w:sz="0" w:space="1"/>
                <w:left w:val="none" w:color="auto" w:sz="0" w:space="4"/>
                <w:bottom w:val="none" w:color="auto" w:sz="0" w:space="1"/>
                <w:right w:val="none" w:color="auto" w:sz="0" w:space="4"/>
              </w:pBdr>
              <w:shd w:val="clear" w:color="auto" w:fill="auto"/>
              <w:spacing w:before="0" w:after="0" w:line="360" w:lineRule="auto"/>
              <w:rPr>
                <w:rStyle w:val="37"/>
                <w:rFonts w:ascii="仿宋" w:hAnsi="仿宋" w:eastAsia="仿宋" w:cs="仿宋"/>
                <w:color w:val="auto"/>
                <w:sz w:val="24"/>
                <w:szCs w:val="24"/>
                <w:lang w:val="en-US"/>
              </w:rPr>
            </w:pPr>
            <w:r>
              <w:rPr>
                <w:rStyle w:val="37"/>
                <w:rFonts w:hint="eastAsia" w:ascii="仿宋" w:hAnsi="仿宋" w:eastAsia="仿宋" w:cs="仿宋"/>
                <w:color w:val="auto"/>
                <w:sz w:val="24"/>
                <w:szCs w:val="24"/>
                <w:lang w:val="en-US" w:eastAsia="zh-Hans"/>
              </w:rPr>
              <w:t>颁发日期</w:t>
            </w:r>
          </w:p>
        </w:tc>
        <w:tc>
          <w:tcPr>
            <w:tcW w:w="5518" w:type="dxa"/>
            <w:shd w:val="clear" w:color="auto" w:fill="auto"/>
            <w:vAlign w:val="center"/>
          </w:tcPr>
          <w:p w14:paraId="7246B76D">
            <w:pPr>
              <w:pStyle w:val="33"/>
              <w:pBdr>
                <w:top w:val="none" w:color="auto" w:sz="0" w:space="1"/>
                <w:left w:val="none" w:color="auto" w:sz="0" w:space="4"/>
                <w:bottom w:val="none" w:color="auto" w:sz="0" w:space="1"/>
                <w:right w:val="none" w:color="auto" w:sz="0" w:space="4"/>
              </w:pBdr>
              <w:shd w:val="clear" w:color="auto" w:fill="auto"/>
              <w:tabs>
                <w:tab w:val="left" w:pos="1199"/>
              </w:tabs>
              <w:spacing w:before="0" w:after="0" w:line="360" w:lineRule="auto"/>
              <w:rPr>
                <w:rFonts w:ascii="仿宋" w:hAnsi="仿宋" w:eastAsia="仿宋" w:cs="仿宋"/>
                <w:color w:val="auto"/>
                <w:sz w:val="24"/>
              </w:rPr>
            </w:pPr>
            <w:r>
              <w:rPr>
                <w:rFonts w:hint="eastAsia" w:ascii="仿宋" w:hAnsi="仿宋" w:eastAsia="仿宋" w:cs="仿宋"/>
                <w:color w:val="auto"/>
                <w:sz w:val="24"/>
              </w:rPr>
              <w:t>2</w:t>
            </w:r>
            <w:r>
              <w:rPr>
                <w:rFonts w:ascii="仿宋" w:hAnsi="仿宋" w:eastAsia="仿宋" w:cs="仿宋"/>
                <w:color w:val="auto"/>
                <w:sz w:val="24"/>
              </w:rPr>
              <w:t>02</w:t>
            </w:r>
            <w:r>
              <w:rPr>
                <w:rFonts w:hint="eastAsia" w:ascii="仿宋" w:hAnsi="仿宋" w:eastAsia="仿宋" w:cs="仿宋"/>
                <w:color w:val="auto"/>
                <w:sz w:val="24"/>
                <w:lang w:val="en-US" w:eastAsia="zh-CN"/>
              </w:rPr>
              <w:t>0</w:t>
            </w:r>
            <w:r>
              <w:rPr>
                <w:rFonts w:hint="eastAsia" w:ascii="仿宋" w:hAnsi="仿宋" w:eastAsia="仿宋" w:cs="仿宋"/>
                <w:color w:val="auto"/>
                <w:sz w:val="24"/>
              </w:rPr>
              <w:t>年0</w:t>
            </w:r>
            <w:r>
              <w:rPr>
                <w:rFonts w:hint="eastAsia" w:ascii="仿宋" w:hAnsi="仿宋" w:eastAsia="仿宋" w:cs="仿宋"/>
                <w:color w:val="auto"/>
                <w:sz w:val="24"/>
                <w:lang w:val="en-US" w:eastAsia="zh-CN"/>
              </w:rPr>
              <w:t>2</w:t>
            </w:r>
            <w:r>
              <w:rPr>
                <w:rFonts w:hint="eastAsia" w:ascii="仿宋" w:hAnsi="仿宋" w:eastAsia="仿宋" w:cs="仿宋"/>
                <w:color w:val="auto"/>
                <w:sz w:val="24"/>
              </w:rPr>
              <w:t>月</w:t>
            </w:r>
            <w:r>
              <w:rPr>
                <w:rFonts w:hint="eastAsia" w:ascii="仿宋" w:hAnsi="仿宋" w:eastAsia="仿宋" w:cs="仿宋"/>
                <w:color w:val="auto"/>
                <w:sz w:val="24"/>
                <w:lang w:val="en-US" w:eastAsia="zh-CN"/>
              </w:rPr>
              <w:t>1</w:t>
            </w:r>
            <w:r>
              <w:rPr>
                <w:rFonts w:ascii="仿宋" w:hAnsi="仿宋" w:eastAsia="仿宋" w:cs="仿宋"/>
                <w:color w:val="auto"/>
                <w:sz w:val="24"/>
              </w:rPr>
              <w:t>1</w:t>
            </w:r>
            <w:r>
              <w:rPr>
                <w:rFonts w:hint="eastAsia" w:ascii="仿宋" w:hAnsi="仿宋" w:eastAsia="仿宋" w:cs="仿宋"/>
                <w:color w:val="auto"/>
                <w:sz w:val="24"/>
              </w:rPr>
              <w:t>日</w:t>
            </w:r>
          </w:p>
        </w:tc>
      </w:tr>
    </w:tbl>
    <w:p w14:paraId="76E2ACBA">
      <w:pPr>
        <w:adjustRightInd w:val="0"/>
        <w:snapToGrid w:val="0"/>
        <w:spacing w:before="156" w:beforeLines="50" w:after="156" w:afterLines="50" w:line="500" w:lineRule="exact"/>
        <w:ind w:firstLine="560" w:firstLineChars="200"/>
        <w:rPr>
          <w:rFonts w:ascii="仿宋" w:hAnsi="仿宋" w:eastAsia="仿宋" w:cs="仿宋"/>
          <w:color w:val="000000"/>
          <w:sz w:val="28"/>
          <w:szCs w:val="28"/>
          <w:shd w:val="clear" w:color="auto" w:fill="FFFFFF"/>
        </w:rPr>
      </w:pPr>
      <w:r>
        <w:rPr>
          <w:rFonts w:hint="eastAsia" w:ascii="仿宋" w:hAnsi="仿宋" w:eastAsia="仿宋" w:cs="仿宋"/>
          <w:color w:val="000000" w:themeColor="text1"/>
          <w:sz w:val="28"/>
          <w:szCs w:val="28"/>
          <w:shd w:val="clear" w:color="auto" w:fill="FFFFFF"/>
          <w14:textFill>
            <w14:solidFill>
              <w14:schemeClr w14:val="tx1"/>
            </w14:solidFill>
          </w14:textFill>
        </w:rPr>
        <w:t>经查询信用中国网站，</w:t>
      </w:r>
      <w:r>
        <w:rPr>
          <w:rFonts w:hint="eastAsia" w:ascii="仿宋" w:hAnsi="仿宋" w:eastAsia="仿宋" w:cs="仿宋"/>
          <w:color w:val="000000"/>
          <w:sz w:val="28"/>
          <w:szCs w:val="28"/>
          <w:shd w:val="clear" w:color="auto" w:fill="FFFFFF"/>
          <w:lang w:eastAsia="zh-CN"/>
        </w:rPr>
        <w:t>蒲县住房和城乡建设管理局</w:t>
      </w:r>
      <w:r>
        <w:rPr>
          <w:rFonts w:hint="eastAsia" w:ascii="仿宋" w:hAnsi="仿宋" w:eastAsia="仿宋" w:cs="仿宋"/>
          <w:color w:val="000000" w:themeColor="text1"/>
          <w:sz w:val="28"/>
          <w:szCs w:val="28"/>
          <w:shd w:val="clear" w:color="auto" w:fill="FFFFFF"/>
          <w14:textFill>
            <w14:solidFill>
              <w14:schemeClr w14:val="tx1"/>
            </w14:solidFill>
          </w14:textFill>
        </w:rPr>
        <w:t>无失信惩戒信息；</w:t>
      </w:r>
      <w:r>
        <w:rPr>
          <w:rFonts w:hint="eastAsia" w:ascii="仿宋" w:hAnsi="仿宋" w:eastAsia="仿宋" w:cs="仿宋"/>
          <w:color w:val="000000"/>
          <w:sz w:val="28"/>
          <w:szCs w:val="28"/>
          <w:shd w:val="clear" w:color="auto" w:fill="FFFFFF"/>
        </w:rPr>
        <w:t>经查询中国执行信息公开网，</w:t>
      </w:r>
      <w:r>
        <w:rPr>
          <w:rFonts w:hint="eastAsia" w:ascii="仿宋" w:hAnsi="仿宋" w:eastAsia="仿宋" w:cs="仿宋"/>
          <w:color w:val="000000"/>
          <w:sz w:val="28"/>
          <w:szCs w:val="28"/>
          <w:shd w:val="clear" w:color="auto" w:fill="FFFFFF"/>
          <w:lang w:eastAsia="zh-CN"/>
        </w:rPr>
        <w:t>蒲县住房和城乡建设管理局</w:t>
      </w:r>
      <w:r>
        <w:rPr>
          <w:rFonts w:hint="eastAsia" w:ascii="仿宋" w:hAnsi="仿宋" w:eastAsia="仿宋" w:cs="仿宋"/>
          <w:color w:val="000000"/>
          <w:sz w:val="28"/>
          <w:szCs w:val="28"/>
          <w:shd w:val="clear" w:color="auto" w:fill="FFFFFF"/>
        </w:rPr>
        <w:t>未被纳入失信被执行人名单，无被执行信息。</w:t>
      </w:r>
    </w:p>
    <w:p w14:paraId="2F649CC6">
      <w:pPr>
        <w:adjustRightInd w:val="0"/>
        <w:snapToGrid w:val="0"/>
        <w:spacing w:before="156" w:beforeLines="50" w:after="156" w:afterLines="50" w:line="500" w:lineRule="exact"/>
        <w:ind w:firstLine="562" w:firstLineChars="200"/>
        <w:rPr>
          <w:rFonts w:ascii="仿宋" w:hAnsi="仿宋" w:eastAsia="仿宋" w:cs="仿宋"/>
          <w:color w:val="000000"/>
          <w:sz w:val="28"/>
          <w:szCs w:val="28"/>
          <w:shd w:val="clear" w:color="auto" w:fill="FFFFFF"/>
        </w:rPr>
      </w:pPr>
      <w:r>
        <w:rPr>
          <w:rFonts w:hint="eastAsia" w:ascii="仿宋" w:hAnsi="仿宋" w:eastAsia="仿宋" w:cs="仿宋"/>
          <w:b/>
          <w:bCs/>
          <w:color w:val="000000"/>
          <w:sz w:val="28"/>
          <w:szCs w:val="28"/>
          <w:u w:val="single"/>
          <w:shd w:val="clear" w:color="auto" w:fill="FFFFFF"/>
        </w:rPr>
        <w:t>综上，本所律师认为：</w:t>
      </w:r>
      <w:r>
        <w:rPr>
          <w:rFonts w:hint="eastAsia" w:ascii="仿宋" w:hAnsi="仿宋" w:eastAsia="仿宋" w:cs="仿宋"/>
          <w:color w:val="000000"/>
          <w:sz w:val="28"/>
          <w:szCs w:val="28"/>
          <w:shd w:val="clear" w:color="auto" w:fill="FFFFFF"/>
          <w:lang w:eastAsia="zh-CN"/>
        </w:rPr>
        <w:t>蒲县住房和城乡建设管理局</w:t>
      </w:r>
      <w:r>
        <w:rPr>
          <w:rFonts w:hint="eastAsia" w:ascii="仿宋" w:hAnsi="仿宋" w:eastAsia="仿宋" w:cs="仿宋"/>
          <w:color w:val="000000"/>
          <w:sz w:val="28"/>
          <w:szCs w:val="28"/>
          <w:shd w:val="clear" w:color="auto" w:fill="FFFFFF"/>
        </w:rPr>
        <w:t>作为项目实施主体，是依法设立并有效存续的机关法人，具有独立法人资格，具备项目实施主体资格。</w:t>
      </w:r>
    </w:p>
    <w:p w14:paraId="22370280">
      <w:pPr>
        <w:pStyle w:val="5"/>
        <w:adjustRightInd w:val="0"/>
        <w:snapToGrid w:val="0"/>
        <w:spacing w:before="156" w:beforeLines="50" w:beforeAutospacing="0" w:after="156" w:afterLines="50" w:afterAutospacing="0" w:line="500" w:lineRule="exact"/>
        <w:ind w:firstLine="643" w:firstLineChars="200"/>
        <w:rPr>
          <w:rFonts w:hint="default" w:ascii="黑体" w:hAnsi="黑体" w:eastAsia="黑体" w:cs="黑体"/>
          <w:sz w:val="32"/>
          <w:szCs w:val="32"/>
        </w:rPr>
      </w:pPr>
      <w:bookmarkStart w:id="57" w:name="_Toc9399"/>
      <w:bookmarkStart w:id="58" w:name="_Toc144380186"/>
      <w:r>
        <w:rPr>
          <w:rFonts w:ascii="黑体" w:hAnsi="黑体" w:eastAsia="黑体" w:cs="黑体"/>
          <w:sz w:val="32"/>
          <w:szCs w:val="32"/>
        </w:rPr>
        <w:t>二、</w:t>
      </w:r>
      <w:bookmarkEnd w:id="57"/>
      <w:r>
        <w:rPr>
          <w:rFonts w:ascii="黑体" w:hAnsi="黑体" w:eastAsia="黑体" w:cs="黑体"/>
          <w:sz w:val="32"/>
          <w:szCs w:val="32"/>
        </w:rPr>
        <w:t>项目基本情况</w:t>
      </w:r>
      <w:bookmarkEnd w:id="58"/>
    </w:p>
    <w:p w14:paraId="0B285A44">
      <w:pPr>
        <w:adjustRightInd w:val="0"/>
        <w:snapToGrid w:val="0"/>
        <w:spacing w:before="156" w:beforeLines="50" w:after="156" w:afterLines="50" w:line="500" w:lineRule="exact"/>
        <w:ind w:firstLine="640" w:firstLineChars="200"/>
        <w:rPr>
          <w:rFonts w:hint="default" w:ascii="楷体" w:hAnsi="楷体" w:eastAsia="楷体" w:cs="楷体"/>
          <w:color w:val="000000"/>
          <w:sz w:val="32"/>
          <w:szCs w:val="32"/>
          <w:shd w:val="clear" w:color="auto" w:fill="FFFFFF"/>
          <w:lang w:val="en-US" w:eastAsia="zh-CN"/>
        </w:rPr>
      </w:pPr>
      <w:bookmarkStart w:id="59" w:name="_Toc31427_WPSOffice_Level2"/>
      <w:bookmarkStart w:id="60" w:name="_Toc31851_WPSOffice_Level2"/>
      <w:r>
        <w:rPr>
          <w:rFonts w:hint="eastAsia" w:ascii="楷体" w:hAnsi="楷体" w:eastAsia="楷体" w:cs="楷体"/>
          <w:color w:val="000000"/>
          <w:sz w:val="32"/>
          <w:szCs w:val="32"/>
          <w:shd w:val="clear" w:color="auto" w:fill="FFFFFF"/>
        </w:rPr>
        <w:t>（一）项目</w:t>
      </w:r>
      <w:r>
        <w:rPr>
          <w:rFonts w:hint="eastAsia" w:ascii="楷体" w:hAnsi="楷体" w:eastAsia="楷体" w:cs="楷体"/>
          <w:color w:val="000000"/>
          <w:sz w:val="32"/>
          <w:szCs w:val="32"/>
          <w:shd w:val="clear" w:color="auto" w:fill="FFFFFF"/>
          <w:lang w:val="en-US" w:eastAsia="zh-CN"/>
        </w:rPr>
        <w:t>建设背景及必要性</w:t>
      </w:r>
    </w:p>
    <w:p w14:paraId="268C45D7">
      <w:pPr>
        <w:ind w:firstLine="560" w:firstLineChars="200"/>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val="en-US" w:eastAsia="zh-CN"/>
        </w:rPr>
        <w:t>1、项目建设背景</w:t>
      </w:r>
    </w:p>
    <w:p w14:paraId="5E803B0A">
      <w:pPr>
        <w:adjustRightInd w:val="0"/>
        <w:snapToGrid w:val="0"/>
        <w:spacing w:before="156" w:beforeLines="50" w:after="156" w:afterLines="50" w:line="500" w:lineRule="exact"/>
        <w:ind w:firstLine="560" w:firstLineChars="200"/>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2019年9月，中共中央、国务院印发《交通强国建设纲要》,指出要大力发展智慧交通，推动大数据、互联网、人工智能、区块链、超级计算等新技术与交通行业深度融合；推进数据资源赋能交通发展，加速交通基础设施网、运输服务网、能源网与信息网络融合发展，构建泛在先进的交通信息基础设施。为贯彻落实《国务院办公厅转发国家发展改革委等部门关于推动城市停车设施发展意见的通知》(国办函(2021)46号)和国家发展改革委办公厅等四部门《关于近期推动城市停车设施发展重点工作的通知》(发改办基础(2021)676号)要求，加快补齐城市停车设施供给短板，推动经济社会高质量发展;国家发展和改革委员会会同相关部门出台“关于推动城市停车设施发展的实施意见”，意见提出:推进停车信息管理平台与智慧城市平台深度融合,形成停车资源“一张图”。“推动停车设施共享共用”,建设高质量公共停车设施、“建设县级智慧停车管理平台”等。</w:t>
      </w:r>
    </w:p>
    <w:p w14:paraId="2D99C096">
      <w:pPr>
        <w:adjustRightInd w:val="0"/>
        <w:snapToGrid w:val="0"/>
        <w:spacing w:before="156" w:beforeLines="50" w:after="156" w:afterLines="50" w:line="500" w:lineRule="exact"/>
        <w:ind w:firstLine="560" w:firstLineChars="200"/>
        <w:rPr>
          <w:rFonts w:hint="eastAsia"/>
        </w:rPr>
      </w:pPr>
      <w:r>
        <w:rPr>
          <w:rFonts w:hint="eastAsia" w:ascii="仿宋" w:hAnsi="仿宋" w:eastAsia="仿宋" w:cs="仿宋"/>
          <w:color w:val="000000"/>
          <w:sz w:val="28"/>
          <w:szCs w:val="28"/>
          <w:shd w:val="clear" w:color="auto" w:fill="FFFFFF"/>
        </w:rPr>
        <w:t>通过本项目的实施，可以有效的缓解区内停车难，同时本项目实施综合停车管理系统，可以使不同产权、不同管理模式的停车资源的横向接入，充分利用物联网、AI等技术，使用户可以随时随地掌握泊位动态信息和车辆信息，真正实现停车资源的社会共享，减少车辆的在途时间和缴费时间，极大缓解道路拥堵。</w:t>
      </w:r>
    </w:p>
    <w:p w14:paraId="362BCE47">
      <w:pPr>
        <w:ind w:firstLine="560" w:firstLineChars="200"/>
        <w:rPr>
          <w:rFonts w:hint="eastAsia" w:ascii="仿宋" w:hAnsi="仿宋" w:eastAsia="仿宋" w:cs="仿宋"/>
          <w:b w:val="0"/>
          <w:bCs w:val="0"/>
          <w:color w:val="000000"/>
          <w:kern w:val="0"/>
          <w:sz w:val="28"/>
          <w:szCs w:val="28"/>
        </w:rPr>
      </w:pPr>
      <w:r>
        <w:rPr>
          <w:rFonts w:hint="eastAsia" w:ascii="仿宋" w:hAnsi="仿宋" w:eastAsia="仿宋" w:cs="仿宋"/>
          <w:b w:val="0"/>
          <w:bCs w:val="0"/>
          <w:color w:val="000000"/>
          <w:kern w:val="0"/>
          <w:sz w:val="28"/>
          <w:szCs w:val="28"/>
        </w:rPr>
        <w:t>2、项目</w:t>
      </w:r>
      <w:r>
        <w:rPr>
          <w:rFonts w:hint="eastAsia" w:ascii="仿宋" w:hAnsi="仿宋" w:eastAsia="仿宋" w:cs="仿宋"/>
          <w:b w:val="0"/>
          <w:bCs w:val="0"/>
          <w:color w:val="000000"/>
          <w:kern w:val="0"/>
          <w:sz w:val="28"/>
          <w:szCs w:val="28"/>
          <w:lang w:val="en-US" w:eastAsia="zh-CN"/>
        </w:rPr>
        <w:t>建设必要性</w:t>
      </w:r>
    </w:p>
    <w:p w14:paraId="4953E69B">
      <w:pPr>
        <w:adjustRightInd w:val="0"/>
        <w:snapToGrid w:val="0"/>
        <w:spacing w:before="156" w:beforeLines="50" w:after="156" w:afterLines="50" w:line="500" w:lineRule="exact"/>
        <w:ind w:firstLine="560" w:firstLineChars="200"/>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缓解停车供需矛盾:蒲县机动车保有量约15000辆，根据《城市停车设施规划导则》的指导，需配备约19500个停车泊位。目前仅有约1000个道路泊位，远不能满足实际需求，停车缺口巨大。</w:t>
      </w:r>
    </w:p>
    <w:p w14:paraId="48340287">
      <w:pPr>
        <w:adjustRightInd w:val="0"/>
        <w:snapToGrid w:val="0"/>
        <w:spacing w:before="156" w:beforeLines="50" w:after="156" w:afterLines="50" w:line="500" w:lineRule="exact"/>
        <w:ind w:firstLine="560" w:firstLineChars="200"/>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提升城市形象与居民生活质量:停车位不足引发的“停车乱”和“停车难”问题，不仅损害了城市形象，更影响了居民的日常生活和出行体验。通过智慧停车项目，可以有效缓解这一问题，提高居民满意度。</w:t>
      </w:r>
    </w:p>
    <w:p w14:paraId="3BD50090">
      <w:pPr>
        <w:adjustRightInd w:val="0"/>
        <w:snapToGrid w:val="0"/>
        <w:spacing w:before="156" w:beforeLines="50" w:after="156" w:afterLines="50" w:line="500" w:lineRule="exact"/>
        <w:ind w:firstLine="560" w:firstLineChars="200"/>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规范交通秩序:部分道路实行停车收费后，司机逃避费用导致不收费区域交通混乱。智慧停车项目将通过科技手段，实现全域停车管理，避免此类现象。</w:t>
      </w:r>
    </w:p>
    <w:p w14:paraId="3CF47DAD">
      <w:pPr>
        <w:adjustRightInd w:val="0"/>
        <w:snapToGrid w:val="0"/>
        <w:spacing w:before="156" w:beforeLines="50" w:after="156" w:afterLines="50" w:line="500" w:lineRule="exact"/>
        <w:ind w:firstLine="560" w:firstLineChars="200"/>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提高停车收费效率与公平性:目前逃费现象严重，智慧停车项目将通过技术手段，如车牌识别、电子支付等，提高收费效率，确保收费公平，减少逃费行为。</w:t>
      </w:r>
    </w:p>
    <w:p w14:paraId="22FDECD8">
      <w:pPr>
        <w:adjustRightInd w:val="0"/>
        <w:snapToGrid w:val="0"/>
        <w:spacing w:before="156" w:beforeLines="50" w:after="156" w:afterLines="50" w:line="500" w:lineRule="exact"/>
        <w:ind w:firstLine="560" w:firstLineChars="200"/>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推动城市管理智能化:智慧停车项目将采用先进的信息技术，如大数据分析、物联网等，实现停车资源的智能调度和管理，提升城市管理水平。</w:t>
      </w:r>
    </w:p>
    <w:p w14:paraId="3110D536">
      <w:pPr>
        <w:adjustRightInd w:val="0"/>
        <w:snapToGrid w:val="0"/>
        <w:spacing w:before="156" w:beforeLines="50" w:after="156" w:afterLines="50" w:line="500" w:lineRule="exact"/>
        <w:ind w:firstLine="640" w:firstLineChars="200"/>
        <w:rPr>
          <w:rFonts w:ascii="楷体" w:hAnsi="楷体" w:eastAsia="楷体" w:cs="楷体"/>
          <w:color w:val="000000"/>
          <w:sz w:val="32"/>
          <w:szCs w:val="32"/>
          <w:shd w:val="clear" w:color="auto" w:fill="FFFFFF"/>
        </w:rPr>
      </w:pPr>
      <w:r>
        <w:rPr>
          <w:rFonts w:hint="eastAsia" w:ascii="楷体" w:hAnsi="楷体" w:eastAsia="楷体" w:cs="楷体"/>
          <w:color w:val="000000"/>
          <w:sz w:val="32"/>
          <w:szCs w:val="32"/>
          <w:shd w:val="clear" w:color="auto" w:fill="FFFFFF"/>
        </w:rPr>
        <w:t>（</w:t>
      </w:r>
      <w:r>
        <w:rPr>
          <w:rFonts w:hint="eastAsia" w:ascii="楷体" w:hAnsi="楷体" w:eastAsia="楷体" w:cs="楷体"/>
          <w:color w:val="000000"/>
          <w:sz w:val="32"/>
          <w:szCs w:val="32"/>
          <w:shd w:val="clear" w:color="auto" w:fill="FFFFFF"/>
          <w:lang w:val="en-US" w:eastAsia="zh-CN"/>
        </w:rPr>
        <w:t>二</w:t>
      </w:r>
      <w:r>
        <w:rPr>
          <w:rFonts w:hint="eastAsia" w:ascii="楷体" w:hAnsi="楷体" w:eastAsia="楷体" w:cs="楷体"/>
          <w:color w:val="000000"/>
          <w:sz w:val="32"/>
          <w:szCs w:val="32"/>
          <w:shd w:val="clear" w:color="auto" w:fill="FFFFFF"/>
        </w:rPr>
        <w:t>）项目概况</w:t>
      </w:r>
      <w:bookmarkEnd w:id="59"/>
      <w:bookmarkEnd w:id="60"/>
    </w:p>
    <w:p w14:paraId="71F27E3C">
      <w:pPr>
        <w:adjustRightInd w:val="0"/>
        <w:snapToGrid w:val="0"/>
        <w:spacing w:before="156" w:beforeLines="50" w:after="156" w:afterLines="50" w:line="500" w:lineRule="exact"/>
        <w:ind w:firstLine="560" w:firstLineChars="200"/>
        <w:rPr>
          <w:rFonts w:hint="eastAsia" w:ascii="仿宋" w:hAnsi="仿宋" w:eastAsia="仿宋" w:cs="仿宋"/>
          <w:color w:val="000000"/>
          <w:sz w:val="28"/>
          <w:szCs w:val="28"/>
          <w:shd w:val="clear" w:color="auto" w:fill="FFFFFF"/>
        </w:rPr>
      </w:pPr>
      <w:bookmarkStart w:id="61" w:name="_Toc14773_WPSOffice_Level2"/>
      <w:bookmarkStart w:id="62" w:name="_Toc19239_WPSOffice_Level2"/>
      <w:bookmarkStart w:id="63" w:name="_Toc22910"/>
      <w:r>
        <w:rPr>
          <w:rFonts w:hint="eastAsia" w:ascii="仿宋" w:hAnsi="仿宋" w:eastAsia="仿宋" w:cs="仿宋"/>
          <w:color w:val="000000"/>
          <w:sz w:val="28"/>
          <w:szCs w:val="28"/>
          <w:shd w:val="clear" w:color="auto" w:fill="FFFFFF"/>
          <w:lang w:eastAsia="zh-CN"/>
        </w:rPr>
        <w:t>蒲县智慧停车升级改造项目，建设地点位于</w:t>
      </w:r>
      <w:r>
        <w:rPr>
          <w:rFonts w:hint="eastAsia" w:ascii="仿宋" w:hAnsi="仿宋" w:eastAsia="仿宋" w:cs="仿宋"/>
          <w:color w:val="000000"/>
          <w:sz w:val="28"/>
          <w:szCs w:val="28"/>
          <w:shd w:val="clear" w:color="auto" w:fill="FFFFFF"/>
          <w:lang w:val="en-US" w:eastAsia="zh-CN"/>
        </w:rPr>
        <w:t>山西省临汾市蒲县</w:t>
      </w:r>
      <w:r>
        <w:rPr>
          <w:rFonts w:hint="eastAsia" w:ascii="仿宋" w:hAnsi="仿宋" w:eastAsia="仿宋" w:cs="仿宋"/>
          <w:color w:val="000000"/>
          <w:sz w:val="28"/>
          <w:szCs w:val="28"/>
          <w:shd w:val="clear" w:color="auto" w:fill="FFFFFF"/>
          <w:lang w:eastAsia="zh-CN"/>
        </w:rPr>
        <w:t>。</w:t>
      </w:r>
      <w:r>
        <w:rPr>
          <w:rFonts w:hint="eastAsia" w:ascii="仿宋" w:hAnsi="仿宋" w:eastAsia="仿宋" w:cs="仿宋"/>
          <w:color w:val="000000"/>
          <w:sz w:val="28"/>
          <w:szCs w:val="28"/>
          <w:shd w:val="clear" w:color="auto" w:fill="FFFFFF"/>
        </w:rPr>
        <w:t>对蒲县城区内14条道路，共计路内泊位1807个；选取城区内大礼堂、奥体中心停车场、文化宫停车场等40处既有公共停车场，共计2980个泊位；建设泊位总数4787个做到智能化资源共享；实现停车场与街边临时停车泊位信息化联网，统一运营与管理。建设内容为建设智慧停车管理平台、停车基础设施及智慧停车运营指挥中心，配套安装智慧多功能杆、户外智慧显示屏等设施。具体建设内容如下：</w:t>
      </w:r>
    </w:p>
    <w:p w14:paraId="5FD56FB6">
      <w:pPr>
        <w:adjustRightInd w:val="0"/>
        <w:snapToGrid w:val="0"/>
        <w:spacing w:before="156" w:beforeLines="50" w:after="156" w:afterLines="50" w:line="500" w:lineRule="exact"/>
        <w:ind w:firstLine="560" w:firstLineChars="200"/>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lang w:val="en-US" w:eastAsia="zh-CN"/>
        </w:rPr>
        <w:t>1、智慧停车板块</w:t>
      </w:r>
    </w:p>
    <w:p w14:paraId="7CA2981E">
      <w:pPr>
        <w:adjustRightInd w:val="0"/>
        <w:snapToGrid w:val="0"/>
        <w:spacing w:before="156" w:beforeLines="50" w:after="156" w:afterLines="50" w:line="500" w:lineRule="exact"/>
        <w:ind w:firstLine="560" w:firstLineChars="200"/>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lang w:val="en-US" w:eastAsia="zh-CN"/>
        </w:rPr>
        <w:t>（1）路侧智慧停车改造工程：主要对城区内各级道路的路侧</w:t>
      </w:r>
    </w:p>
    <w:p w14:paraId="54AD782C">
      <w:pPr>
        <w:adjustRightInd w:val="0"/>
        <w:snapToGrid w:val="0"/>
        <w:spacing w:before="156" w:beforeLines="50" w:after="156" w:afterLines="50" w:line="500" w:lineRule="exact"/>
        <w:ind w:firstLine="560" w:firstLineChars="200"/>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lang w:val="en-US" w:eastAsia="zh-CN"/>
        </w:rPr>
        <w:t>停车进行智慧化改造，预计设置共计泊位1807个；建设智慧多功能杆，单杆根据使用场景的影响预计可覆盖6-10个泊位，预计建设多功能杆329根。</w:t>
      </w:r>
    </w:p>
    <w:p w14:paraId="24D84BD2">
      <w:pPr>
        <w:adjustRightInd w:val="0"/>
        <w:snapToGrid w:val="0"/>
        <w:spacing w:before="156" w:beforeLines="50" w:after="156" w:afterLines="50" w:line="500" w:lineRule="exact"/>
        <w:ind w:firstLine="560" w:firstLineChars="200"/>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lang w:val="en-US" w:eastAsia="zh-CN"/>
        </w:rPr>
        <w:t>（2）既有车场智慧停车改造工程：主要对城区内大礼堂、奥体中心停车场、文化宫停车场等40处停车场进行改造共享示范，共计泊位2980个。</w:t>
      </w:r>
    </w:p>
    <w:p w14:paraId="4273F8FF">
      <w:pPr>
        <w:adjustRightInd w:val="0"/>
        <w:snapToGrid w:val="0"/>
        <w:spacing w:before="156" w:beforeLines="50" w:after="156" w:afterLines="50" w:line="500" w:lineRule="exact"/>
        <w:ind w:firstLine="560" w:firstLineChars="200"/>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lang w:val="en-US" w:eastAsia="zh-CN"/>
        </w:rPr>
        <w:t>（3）标志标牌及泊位施划工程：针对路侧/封闭/人行道泊位，共计施画泊位4787个，标志标牌主要设置在路侧停车场，施划停车泊位路段的起点和终点处应设置路边停车收费公示牌，共计设置68套标志牌。</w:t>
      </w:r>
    </w:p>
    <w:p w14:paraId="7BC36895">
      <w:pPr>
        <w:adjustRightInd w:val="0"/>
        <w:snapToGrid w:val="0"/>
        <w:spacing w:before="156" w:beforeLines="50" w:after="156" w:afterLines="50" w:line="500" w:lineRule="exact"/>
        <w:ind w:firstLine="560" w:firstLineChars="200"/>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lang w:val="en-US" w:eastAsia="zh-CN"/>
        </w:rPr>
        <w:t>（4）智慧停车诱导系统工程：在位置较好，车流量较大处，预计共设置2处一级诱导屏、4处二级诱导屏、45处三级诱导屏及其配套，通过停车场管理系统将停车场信息实时上传管理。</w:t>
      </w:r>
    </w:p>
    <w:p w14:paraId="38897669">
      <w:pPr>
        <w:adjustRightInd w:val="0"/>
        <w:snapToGrid w:val="0"/>
        <w:spacing w:before="156" w:beforeLines="50" w:after="156" w:afterLines="50" w:line="500" w:lineRule="exact"/>
        <w:ind w:firstLine="560" w:firstLineChars="200"/>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lang w:val="en-US" w:eastAsia="zh-CN"/>
        </w:rPr>
        <w:t>（5）智慧停车管理系统：根据前场布设的智慧停车感知设备，后期在运营指挥中心搭建智慧停车系统平台一套，主要包括：智能数据处理系统、设备运维管理系统、视频管理系统、智慧停车综合管理平台、第三方系统接入。</w:t>
      </w:r>
    </w:p>
    <w:p w14:paraId="1CBA00B1">
      <w:pPr>
        <w:adjustRightInd w:val="0"/>
        <w:snapToGrid w:val="0"/>
        <w:spacing w:before="156" w:beforeLines="50" w:after="156" w:afterLines="50" w:line="500" w:lineRule="exact"/>
        <w:ind w:firstLine="560" w:firstLineChars="200"/>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lang w:val="en-US" w:eastAsia="zh-CN"/>
        </w:rPr>
        <w:t>2、指挥中心板块</w:t>
      </w:r>
    </w:p>
    <w:p w14:paraId="00E977EF">
      <w:pPr>
        <w:adjustRightInd w:val="0"/>
        <w:snapToGrid w:val="0"/>
        <w:spacing w:before="156" w:beforeLines="50" w:after="156" w:afterLines="50" w:line="500" w:lineRule="exact"/>
        <w:ind w:firstLine="560" w:firstLineChars="200"/>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lang w:val="en-US" w:eastAsia="zh-CN"/>
        </w:rPr>
        <w:t>（6）指挥中心改造：补充、改造智慧停车所需的设备及链路。</w:t>
      </w:r>
    </w:p>
    <w:p w14:paraId="3AF0D3A9">
      <w:pPr>
        <w:adjustRightInd w:val="0"/>
        <w:snapToGrid w:val="0"/>
        <w:spacing w:before="156" w:beforeLines="50" w:after="156" w:afterLines="50" w:line="500" w:lineRule="exact"/>
        <w:ind w:firstLine="560" w:firstLineChars="200"/>
        <w:rPr>
          <w:rFonts w:hint="eastAsia"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lang w:val="en-US" w:eastAsia="zh-CN"/>
        </w:rPr>
        <w:t>3、系统部署及等保测评</w:t>
      </w:r>
    </w:p>
    <w:p w14:paraId="1FB6808B">
      <w:pPr>
        <w:adjustRightInd w:val="0"/>
        <w:snapToGrid w:val="0"/>
        <w:spacing w:before="156" w:beforeLines="50" w:after="156" w:afterLines="50" w:line="500" w:lineRule="exact"/>
        <w:ind w:firstLine="560" w:firstLineChars="200"/>
        <w:rPr>
          <w:rFonts w:hint="eastAsia" w:ascii="仿宋" w:hAnsi="仿宋" w:eastAsia="仿宋" w:cs="仿宋"/>
          <w:color w:val="000000"/>
          <w:sz w:val="28"/>
          <w:szCs w:val="28"/>
          <w:shd w:val="clear" w:color="auto" w:fill="FFFFFF"/>
          <w:lang w:eastAsia="zh-CN"/>
        </w:rPr>
      </w:pPr>
      <w:r>
        <w:rPr>
          <w:rFonts w:hint="eastAsia" w:ascii="仿宋" w:hAnsi="仿宋" w:eastAsia="仿宋" w:cs="仿宋"/>
          <w:color w:val="000000"/>
          <w:sz w:val="28"/>
          <w:szCs w:val="28"/>
          <w:shd w:val="clear" w:color="auto" w:fill="FFFFFF"/>
          <w:lang w:val="en-US" w:eastAsia="zh-CN"/>
        </w:rPr>
        <w:t>（7）等保系统：智慧停车系统配套等保系统</w:t>
      </w:r>
      <w:r>
        <w:rPr>
          <w:rFonts w:hint="eastAsia" w:ascii="仿宋" w:hAnsi="仿宋" w:eastAsia="仿宋" w:cs="仿宋"/>
          <w:color w:val="000000"/>
          <w:sz w:val="28"/>
          <w:szCs w:val="28"/>
          <w:shd w:val="clear" w:color="auto" w:fill="FFFFFF"/>
        </w:rPr>
        <w:t>。</w:t>
      </w:r>
    </w:p>
    <w:p w14:paraId="3A9BC4BC">
      <w:pPr>
        <w:adjustRightInd w:val="0"/>
        <w:snapToGrid w:val="0"/>
        <w:spacing w:before="156" w:beforeLines="50" w:after="156" w:afterLines="50" w:line="500" w:lineRule="exact"/>
        <w:ind w:firstLine="640" w:firstLineChars="200"/>
        <w:rPr>
          <w:rFonts w:ascii="楷体" w:hAnsi="楷体" w:eastAsia="楷体" w:cs="楷体"/>
          <w:color w:val="000000"/>
          <w:sz w:val="32"/>
          <w:szCs w:val="32"/>
          <w:shd w:val="clear" w:color="auto" w:fill="FFFFFF"/>
        </w:rPr>
      </w:pPr>
      <w:r>
        <w:rPr>
          <w:rFonts w:hint="eastAsia" w:ascii="楷体" w:hAnsi="楷体" w:eastAsia="楷体" w:cs="楷体"/>
          <w:color w:val="000000"/>
          <w:sz w:val="32"/>
          <w:szCs w:val="32"/>
          <w:shd w:val="clear" w:color="auto" w:fill="FFFFFF"/>
        </w:rPr>
        <w:t>（</w:t>
      </w:r>
      <w:r>
        <w:rPr>
          <w:rFonts w:hint="eastAsia" w:ascii="楷体" w:hAnsi="楷体" w:eastAsia="楷体" w:cs="楷体"/>
          <w:color w:val="000000"/>
          <w:sz w:val="32"/>
          <w:szCs w:val="32"/>
          <w:shd w:val="clear" w:color="auto" w:fill="FFFFFF"/>
          <w:lang w:val="en-US" w:eastAsia="zh-CN"/>
        </w:rPr>
        <w:t>三</w:t>
      </w:r>
      <w:r>
        <w:rPr>
          <w:rFonts w:hint="eastAsia" w:ascii="楷体" w:hAnsi="楷体" w:eastAsia="楷体" w:cs="楷体"/>
          <w:color w:val="000000"/>
          <w:sz w:val="32"/>
          <w:szCs w:val="32"/>
          <w:shd w:val="clear" w:color="auto" w:fill="FFFFFF"/>
        </w:rPr>
        <w:t>）项目审批情况</w:t>
      </w:r>
      <w:bookmarkEnd w:id="61"/>
      <w:bookmarkEnd w:id="62"/>
    </w:p>
    <w:p w14:paraId="5C2150B3">
      <w:pPr>
        <w:pStyle w:val="9"/>
        <w:adjustRightInd w:val="0"/>
        <w:snapToGrid w:val="0"/>
        <w:spacing w:before="156" w:beforeLines="50" w:after="156" w:afterLines="50" w:line="500" w:lineRule="exact"/>
        <w:rPr>
          <w:rFonts w:hint="eastAsia" w:ascii="仿宋" w:hAnsi="仿宋" w:eastAsia="仿宋" w:cs="仿宋"/>
          <w:color w:val="000000"/>
          <w:sz w:val="28"/>
          <w:szCs w:val="28"/>
          <w:shd w:val="clear" w:color="auto" w:fill="FFFFFF"/>
          <w:lang w:eastAsia="zh-CN"/>
        </w:rPr>
      </w:pPr>
      <w:r>
        <w:rPr>
          <w:rFonts w:hint="eastAsia" w:ascii="仿宋" w:hAnsi="仿宋" w:eastAsia="仿宋" w:cs="仿宋"/>
          <w:color w:val="000000"/>
          <w:sz w:val="28"/>
          <w:szCs w:val="28"/>
          <w:shd w:val="clear" w:color="auto" w:fill="FFFFFF"/>
          <w:lang w:eastAsia="zh-CN"/>
        </w:rPr>
        <w:t>蒲县智慧停车升级改造项目已取得的前期手续如下：</w:t>
      </w:r>
    </w:p>
    <w:p w14:paraId="4B0EFFD6">
      <w:pPr>
        <w:adjustRightInd w:val="0"/>
        <w:snapToGrid w:val="0"/>
        <w:spacing w:before="156" w:beforeLines="50" w:after="156" w:afterLines="50" w:line="500" w:lineRule="exact"/>
        <w:ind w:firstLine="560" w:firstLineChars="200"/>
        <w:rPr>
          <w:rFonts w:hint="eastAsia" w:ascii="仿宋" w:hAnsi="仿宋" w:eastAsia="仿宋" w:cs="仿宋"/>
          <w:color w:val="000000"/>
          <w:sz w:val="28"/>
          <w:szCs w:val="28"/>
          <w:shd w:val="clear" w:color="auto" w:fill="FFFFFF"/>
          <w:lang w:val="en-US" w:eastAsia="zh-CN"/>
        </w:rPr>
      </w:pPr>
      <w:r>
        <w:rPr>
          <w:rFonts w:hint="eastAsia" w:ascii="仿宋" w:hAnsi="仿宋" w:eastAsia="仿宋" w:cs="仿宋"/>
          <w:color w:val="000000"/>
          <w:sz w:val="28"/>
          <w:szCs w:val="28"/>
          <w:shd w:val="clear" w:color="auto" w:fill="FFFFFF"/>
          <w:lang w:val="en-US" w:eastAsia="zh-CN"/>
        </w:rPr>
        <w:t>1、2024年4月26日取得《关于蒲县智慧停车升级改造项目用地意见的情况说明》；</w:t>
      </w:r>
    </w:p>
    <w:p w14:paraId="255FFF88">
      <w:pPr>
        <w:adjustRightInd w:val="0"/>
        <w:snapToGrid w:val="0"/>
        <w:spacing w:before="156" w:beforeLines="50" w:after="156" w:afterLines="50" w:line="500" w:lineRule="exact"/>
        <w:ind w:firstLine="560" w:firstLineChars="200"/>
        <w:rPr>
          <w:rFonts w:hint="eastAsia" w:ascii="仿宋" w:hAnsi="仿宋" w:eastAsia="仿宋" w:cs="仿宋"/>
          <w:color w:val="000000"/>
          <w:sz w:val="28"/>
          <w:szCs w:val="28"/>
          <w:shd w:val="clear" w:color="auto" w:fill="FFFFFF"/>
          <w:lang w:eastAsia="zh-CN"/>
        </w:rPr>
      </w:pPr>
      <w:r>
        <w:rPr>
          <w:rFonts w:hint="eastAsia" w:ascii="仿宋" w:hAnsi="仿宋" w:eastAsia="仿宋" w:cs="仿宋"/>
          <w:color w:val="000000"/>
          <w:sz w:val="28"/>
          <w:szCs w:val="28"/>
          <w:shd w:val="clear" w:color="auto" w:fill="FFFFFF"/>
          <w:lang w:val="en-US" w:eastAsia="zh-CN"/>
        </w:rPr>
        <w:t>2、2024年4月30日取得《关于蒲县智慧停车升级改造项目可</w:t>
      </w:r>
      <w:r>
        <w:rPr>
          <w:rFonts w:hint="eastAsia" w:ascii="仿宋" w:hAnsi="仿宋" w:eastAsia="仿宋" w:cs="仿宋"/>
          <w:color w:val="000000"/>
          <w:sz w:val="28"/>
          <w:szCs w:val="28"/>
          <w:shd w:val="clear" w:color="auto" w:fill="FFFFFF"/>
          <w:lang w:eastAsia="zh-CN"/>
        </w:rPr>
        <w:t>行性研究报告（</w:t>
      </w:r>
      <w:r>
        <w:rPr>
          <w:rFonts w:hint="eastAsia" w:ascii="仿宋" w:hAnsi="仿宋" w:eastAsia="仿宋" w:cs="仿宋"/>
          <w:color w:val="000000"/>
          <w:sz w:val="28"/>
          <w:szCs w:val="28"/>
          <w:shd w:val="clear" w:color="auto" w:fill="FFFFFF"/>
          <w:lang w:val="en-US" w:eastAsia="zh-CN"/>
        </w:rPr>
        <w:t>代项目建议书</w:t>
      </w:r>
      <w:r>
        <w:rPr>
          <w:rFonts w:hint="eastAsia" w:ascii="仿宋" w:hAnsi="仿宋" w:eastAsia="仿宋" w:cs="仿宋"/>
          <w:color w:val="000000"/>
          <w:sz w:val="28"/>
          <w:szCs w:val="28"/>
          <w:shd w:val="clear" w:color="auto" w:fill="FFFFFF"/>
          <w:lang w:eastAsia="zh-CN"/>
        </w:rPr>
        <w:t>）的批复》（蒲发改审字[20</w:t>
      </w:r>
      <w:r>
        <w:rPr>
          <w:rFonts w:hint="eastAsia" w:ascii="仿宋" w:hAnsi="仿宋" w:eastAsia="仿宋" w:cs="仿宋"/>
          <w:color w:val="000000"/>
          <w:sz w:val="28"/>
          <w:szCs w:val="28"/>
          <w:shd w:val="clear" w:color="auto" w:fill="FFFFFF"/>
          <w:lang w:val="en-US" w:eastAsia="zh-CN"/>
        </w:rPr>
        <w:t>24</w:t>
      </w:r>
      <w:r>
        <w:rPr>
          <w:rFonts w:hint="eastAsia" w:ascii="仿宋" w:hAnsi="仿宋" w:eastAsia="仿宋" w:cs="仿宋"/>
          <w:color w:val="000000"/>
          <w:sz w:val="28"/>
          <w:szCs w:val="28"/>
          <w:shd w:val="clear" w:color="auto" w:fill="FFFFFF"/>
          <w:lang w:eastAsia="zh-CN"/>
        </w:rPr>
        <w:t>]</w:t>
      </w:r>
      <w:r>
        <w:rPr>
          <w:rFonts w:hint="eastAsia" w:ascii="仿宋" w:hAnsi="仿宋" w:eastAsia="仿宋" w:cs="仿宋"/>
          <w:color w:val="000000"/>
          <w:sz w:val="28"/>
          <w:szCs w:val="28"/>
          <w:shd w:val="clear" w:color="auto" w:fill="FFFFFF"/>
          <w:lang w:val="en-US" w:eastAsia="zh-CN"/>
        </w:rPr>
        <w:t>39</w:t>
      </w:r>
      <w:r>
        <w:rPr>
          <w:rFonts w:hint="eastAsia" w:ascii="仿宋" w:hAnsi="仿宋" w:eastAsia="仿宋" w:cs="仿宋"/>
          <w:color w:val="000000"/>
          <w:sz w:val="28"/>
          <w:szCs w:val="28"/>
          <w:shd w:val="clear" w:color="auto" w:fill="FFFFFF"/>
          <w:lang w:eastAsia="zh-CN"/>
        </w:rPr>
        <w:t>号）；</w:t>
      </w:r>
      <w:r>
        <w:rPr>
          <w:rFonts w:hint="eastAsia" w:ascii="仿宋" w:hAnsi="仿宋" w:eastAsia="仿宋" w:cs="仿宋"/>
          <w:kern w:val="0"/>
          <w:sz w:val="28"/>
          <w:szCs w:val="28"/>
        </w:rPr>
        <w:t>项目编码：</w:t>
      </w:r>
      <w:r>
        <w:rPr>
          <w:rFonts w:hint="eastAsia" w:ascii="仿宋" w:hAnsi="仿宋" w:eastAsia="仿宋" w:cs="仿宋"/>
          <w:kern w:val="0"/>
          <w:sz w:val="28"/>
          <w:szCs w:val="28"/>
          <w:lang w:val="en-US" w:eastAsia="zh-CN"/>
        </w:rPr>
        <w:t>2404-141033-89-04-142809，</w:t>
      </w:r>
      <w:r>
        <w:rPr>
          <w:rFonts w:hint="eastAsia" w:ascii="仿宋" w:hAnsi="仿宋" w:eastAsia="仿宋" w:cs="仿宋"/>
          <w:color w:val="000000"/>
          <w:sz w:val="28"/>
          <w:szCs w:val="28"/>
          <w:shd w:val="clear" w:color="auto" w:fill="FFFFFF"/>
          <w:lang w:eastAsia="zh-CN"/>
        </w:rPr>
        <w:t>批复载明：原则同意</w:t>
      </w:r>
      <w:r>
        <w:rPr>
          <w:rFonts w:hint="eastAsia" w:ascii="仿宋" w:hAnsi="仿宋" w:eastAsia="仿宋" w:cs="仿宋"/>
          <w:color w:val="000000"/>
          <w:sz w:val="28"/>
          <w:szCs w:val="28"/>
          <w:shd w:val="clear" w:color="auto" w:fill="FFFFFF"/>
          <w:lang w:val="en-US" w:eastAsia="zh-CN"/>
        </w:rPr>
        <w:t>该</w:t>
      </w:r>
      <w:r>
        <w:rPr>
          <w:rFonts w:hint="eastAsia" w:ascii="仿宋" w:hAnsi="仿宋" w:eastAsia="仿宋" w:cs="仿宋"/>
          <w:color w:val="000000"/>
          <w:sz w:val="28"/>
          <w:szCs w:val="28"/>
          <w:shd w:val="clear" w:color="auto" w:fill="FFFFFF"/>
          <w:lang w:eastAsia="zh-CN"/>
        </w:rPr>
        <w:t>项目可行性研究</w:t>
      </w:r>
      <w:r>
        <w:rPr>
          <w:rFonts w:hint="eastAsia" w:ascii="仿宋" w:hAnsi="仿宋" w:eastAsia="仿宋" w:cs="仿宋"/>
          <w:color w:val="000000"/>
          <w:sz w:val="28"/>
          <w:szCs w:val="28"/>
          <w:shd w:val="clear" w:color="auto" w:fill="FFFFFF"/>
          <w:lang w:val="en-US" w:eastAsia="zh-CN"/>
        </w:rPr>
        <w:t>方案</w:t>
      </w:r>
      <w:r>
        <w:rPr>
          <w:rFonts w:hint="eastAsia" w:ascii="仿宋" w:hAnsi="仿宋" w:eastAsia="仿宋" w:cs="仿宋"/>
          <w:color w:val="000000"/>
          <w:sz w:val="28"/>
          <w:szCs w:val="28"/>
          <w:shd w:val="clear" w:color="auto" w:fill="FFFFFF"/>
          <w:lang w:eastAsia="zh-CN"/>
        </w:rPr>
        <w:t>；</w:t>
      </w:r>
      <w:r>
        <w:rPr>
          <w:rFonts w:hint="eastAsia" w:ascii="仿宋" w:hAnsi="仿宋" w:eastAsia="仿宋" w:cs="仿宋"/>
          <w:b/>
          <w:bCs/>
          <w:color w:val="000000"/>
          <w:sz w:val="28"/>
          <w:szCs w:val="28"/>
          <w:shd w:val="clear" w:color="auto" w:fill="FFFFFF"/>
          <w:lang w:eastAsia="zh-CN"/>
        </w:rPr>
        <w:t>项目名称：</w:t>
      </w:r>
      <w:r>
        <w:rPr>
          <w:rFonts w:hint="eastAsia" w:ascii="仿宋" w:hAnsi="仿宋" w:eastAsia="仿宋" w:cs="仿宋"/>
          <w:color w:val="000000"/>
          <w:sz w:val="28"/>
          <w:szCs w:val="28"/>
          <w:shd w:val="clear" w:color="auto" w:fill="FFFFFF"/>
          <w:lang w:eastAsia="zh-CN"/>
        </w:rPr>
        <w:t>蒲县智慧停车升级改造项目；</w:t>
      </w:r>
      <w:r>
        <w:rPr>
          <w:rFonts w:hint="eastAsia" w:ascii="仿宋" w:hAnsi="仿宋" w:eastAsia="仿宋" w:cs="仿宋"/>
          <w:b/>
          <w:bCs/>
          <w:color w:val="000000"/>
          <w:sz w:val="28"/>
          <w:szCs w:val="28"/>
          <w:shd w:val="clear" w:color="auto" w:fill="FFFFFF"/>
          <w:lang w:eastAsia="zh-CN"/>
        </w:rPr>
        <w:t>建设单位：</w:t>
      </w:r>
      <w:r>
        <w:rPr>
          <w:rFonts w:hint="eastAsia" w:ascii="仿宋" w:hAnsi="仿宋" w:eastAsia="仿宋" w:cs="仿宋"/>
          <w:color w:val="000000"/>
          <w:sz w:val="28"/>
          <w:szCs w:val="28"/>
          <w:shd w:val="clear" w:color="auto" w:fill="FFFFFF"/>
          <w:lang w:eastAsia="zh-CN"/>
        </w:rPr>
        <w:t>蒲县住房和城乡建设管理局；</w:t>
      </w:r>
      <w:r>
        <w:rPr>
          <w:rFonts w:hint="eastAsia" w:ascii="仿宋" w:hAnsi="仿宋" w:eastAsia="仿宋" w:cs="仿宋"/>
          <w:b/>
          <w:bCs/>
          <w:color w:val="000000"/>
          <w:sz w:val="28"/>
          <w:szCs w:val="28"/>
          <w:shd w:val="clear" w:color="auto" w:fill="FFFFFF"/>
          <w:lang w:eastAsia="zh-CN"/>
        </w:rPr>
        <w:t>建设地点：</w:t>
      </w:r>
      <w:r>
        <w:rPr>
          <w:rFonts w:hint="eastAsia" w:ascii="仿宋" w:hAnsi="仿宋" w:eastAsia="仿宋" w:cs="仿宋"/>
          <w:color w:val="000000"/>
          <w:sz w:val="28"/>
          <w:szCs w:val="28"/>
          <w:shd w:val="clear" w:color="auto" w:fill="FFFFFF"/>
          <w:lang w:val="en-US" w:eastAsia="zh-CN"/>
        </w:rPr>
        <w:t>山西省临汾市蒲县</w:t>
      </w:r>
      <w:r>
        <w:rPr>
          <w:rFonts w:hint="eastAsia" w:ascii="仿宋" w:hAnsi="仿宋" w:eastAsia="仿宋" w:cs="仿宋"/>
          <w:color w:val="000000"/>
          <w:sz w:val="28"/>
          <w:szCs w:val="28"/>
          <w:shd w:val="clear" w:color="auto" w:fill="FFFFFF"/>
          <w:lang w:eastAsia="zh-CN"/>
        </w:rPr>
        <w:t>；</w:t>
      </w:r>
      <w:r>
        <w:rPr>
          <w:rFonts w:hint="eastAsia" w:ascii="仿宋" w:hAnsi="仿宋" w:eastAsia="仿宋" w:cs="仿宋"/>
          <w:b/>
          <w:bCs/>
          <w:color w:val="000000"/>
          <w:sz w:val="28"/>
          <w:szCs w:val="28"/>
          <w:shd w:val="clear" w:color="auto" w:fill="FFFFFF"/>
          <w:lang w:eastAsia="zh-CN"/>
        </w:rPr>
        <w:t>建设规模及主要建设内容</w:t>
      </w:r>
      <w:r>
        <w:rPr>
          <w:rFonts w:hint="eastAsia" w:ascii="仿宋" w:hAnsi="仿宋" w:eastAsia="仿宋" w:cs="仿宋"/>
          <w:color w:val="000000"/>
          <w:sz w:val="28"/>
          <w:szCs w:val="28"/>
          <w:shd w:val="clear" w:color="auto" w:fill="FFFFFF"/>
          <w:lang w:eastAsia="zh-CN"/>
        </w:rPr>
        <w:t>：</w:t>
      </w:r>
      <w:r>
        <w:rPr>
          <w:rFonts w:hint="eastAsia" w:ascii="仿宋" w:hAnsi="仿宋" w:eastAsia="仿宋" w:cs="仿宋"/>
          <w:color w:val="000000"/>
          <w:sz w:val="28"/>
          <w:szCs w:val="28"/>
          <w:shd w:val="clear" w:color="auto" w:fill="FFFFFF"/>
        </w:rPr>
        <w:t>对蒲县城区内14条道路，共计路内泊位1807个；选取城区内大礼堂、奥体中心停车场、文化宫停车场等40处既有公共停车场，共计2980个泊位；建设泊位总数4787个做到智能化资源共享；实现停车场与街边临时停车泊位信息化联网，统一运营与管理。建设内容为建设智慧停车管理平台、停车基础设施及智慧停车运营指挥中心，配套安装智慧多功能杆、户外智慧显示屏等设施。具体建设内容如下：</w:t>
      </w:r>
      <w:r>
        <w:rPr>
          <w:rFonts w:hint="eastAsia" w:ascii="仿宋" w:hAnsi="仿宋" w:eastAsia="仿宋" w:cs="仿宋"/>
          <w:color w:val="000000"/>
          <w:sz w:val="28"/>
          <w:szCs w:val="28"/>
          <w:shd w:val="clear" w:color="auto" w:fill="FFFFFF"/>
          <w:lang w:val="en-US" w:eastAsia="zh-CN"/>
        </w:rPr>
        <w:t>1、智慧停车板块（1）路侧智慧停车改造工程：主要对城区内各级道路的路侧停车进行智慧化改造，预计设置共计泊位1807个；建设智慧多功能杆，单杆根据使用场景的影响预计可覆盖6-10个泊位，预计建设多功能杆329根。（2）既有车场智慧停车改造工程：主要对城区内大礼堂、奥体中心停车场、文化宫停车场等40处停车场进行改造共享示范，共计泊位2980个。（3）标志标牌及泊位施划工程：针对路侧/封闭/人行道泊位，共计施画泊位4787个，标志标牌主要设置在路侧停车场，施划停车泊位路段的起点和终点处应设置路边停车收费公示牌，共计设置68套标志牌。（4）智慧停车诱导系统工程：在位置较好，车流量较大处，预计共设置2处一级诱导屏、4处二级诱导屏、45处三级诱导屏及其配套，通过停车场管理系统将停车场信息实时上传管理。（5）智慧停车管理系统：根据前场布设的智慧停车感知设备，后期在运营指挥中心搭建智慧停车系统平台一套，主要包括：智能数据处理系统、设备运维管理系统、视频管理系统、智慧停车综合管理平台、第三方系统接入。2、指挥中心板块。（6）指挥中心改造：补充、改造智慧停车所需的设备及链路。3、系统部署及等保测评。（7）等保系统：智慧停车系统配套等保系统</w:t>
      </w:r>
      <w:r>
        <w:rPr>
          <w:rFonts w:hint="eastAsia" w:ascii="仿宋" w:hAnsi="仿宋" w:eastAsia="仿宋" w:cs="仿宋"/>
          <w:color w:val="000000"/>
          <w:sz w:val="28"/>
          <w:szCs w:val="28"/>
          <w:shd w:val="clear" w:color="auto" w:fill="FFFFFF"/>
        </w:rPr>
        <w:t>。</w:t>
      </w:r>
    </w:p>
    <w:p w14:paraId="01E0144F">
      <w:pPr>
        <w:adjustRightInd w:val="0"/>
        <w:snapToGrid w:val="0"/>
        <w:spacing w:before="156" w:beforeLines="50" w:after="156" w:afterLines="50" w:line="500" w:lineRule="exact"/>
        <w:ind w:firstLine="640" w:firstLineChars="200"/>
        <w:rPr>
          <w:rFonts w:ascii="楷体" w:hAnsi="楷体" w:eastAsia="楷体" w:cs="楷体"/>
          <w:color w:val="000000"/>
          <w:sz w:val="32"/>
          <w:szCs w:val="32"/>
          <w:shd w:val="clear" w:color="auto" w:fill="FFFFFF"/>
        </w:rPr>
      </w:pPr>
      <w:bookmarkStart w:id="64" w:name="_Toc13178_WPSOffice_Level2"/>
      <w:bookmarkStart w:id="65" w:name="_Toc26850_WPSOffice_Level2"/>
      <w:r>
        <w:rPr>
          <w:rFonts w:hint="eastAsia" w:ascii="楷体" w:hAnsi="楷体" w:eastAsia="楷体" w:cs="楷体"/>
          <w:color w:val="000000"/>
          <w:sz w:val="32"/>
          <w:szCs w:val="32"/>
          <w:shd w:val="clear" w:color="auto" w:fill="FFFFFF"/>
        </w:rPr>
        <w:t>（</w:t>
      </w:r>
      <w:r>
        <w:rPr>
          <w:rFonts w:hint="eastAsia" w:ascii="楷体" w:hAnsi="楷体" w:eastAsia="楷体" w:cs="楷体"/>
          <w:color w:val="000000"/>
          <w:sz w:val="32"/>
          <w:szCs w:val="32"/>
          <w:shd w:val="clear" w:color="auto" w:fill="FFFFFF"/>
          <w:lang w:val="en-US" w:eastAsia="zh-CN"/>
        </w:rPr>
        <w:t>四</w:t>
      </w:r>
      <w:r>
        <w:rPr>
          <w:rFonts w:hint="eastAsia" w:ascii="楷体" w:hAnsi="楷体" w:eastAsia="楷体" w:cs="楷体"/>
          <w:color w:val="000000"/>
          <w:sz w:val="32"/>
          <w:szCs w:val="32"/>
          <w:shd w:val="clear" w:color="auto" w:fill="FFFFFF"/>
        </w:rPr>
        <w:t>）项目建设</w:t>
      </w:r>
      <w:bookmarkEnd w:id="64"/>
      <w:bookmarkEnd w:id="65"/>
      <w:r>
        <w:rPr>
          <w:rFonts w:hint="eastAsia" w:ascii="楷体" w:hAnsi="楷体" w:eastAsia="楷体" w:cs="楷体"/>
          <w:color w:val="000000"/>
          <w:sz w:val="32"/>
          <w:szCs w:val="32"/>
          <w:shd w:val="clear" w:color="auto" w:fill="FFFFFF"/>
        </w:rPr>
        <w:t>计划及进度</w:t>
      </w:r>
    </w:p>
    <w:p w14:paraId="06D50DB0">
      <w:pPr>
        <w:adjustRightInd w:val="0"/>
        <w:snapToGrid w:val="0"/>
        <w:spacing w:before="156" w:beforeLines="50" w:after="156" w:afterLines="50" w:line="500" w:lineRule="exact"/>
        <w:ind w:firstLine="560" w:firstLineChars="200"/>
        <w:rPr>
          <w:rFonts w:hint="eastAsia" w:ascii="仿宋" w:hAnsi="仿宋" w:eastAsia="仿宋" w:cs="仿宋"/>
          <w:color w:val="000000"/>
          <w:kern w:val="0"/>
          <w:sz w:val="28"/>
          <w:szCs w:val="28"/>
        </w:rPr>
      </w:pPr>
      <w:r>
        <w:rPr>
          <w:rFonts w:hint="eastAsia" w:ascii="仿宋" w:hAnsi="仿宋" w:eastAsia="仿宋" w:cs="仿宋"/>
          <w:color w:val="000000"/>
          <w:kern w:val="0"/>
          <w:sz w:val="28"/>
          <w:szCs w:val="28"/>
        </w:rPr>
        <w:t>本项目目前已取得立项批复</w:t>
      </w: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lang w:val="en-US" w:eastAsia="zh-CN"/>
        </w:rPr>
        <w:t>选址等前期手续</w:t>
      </w:r>
      <w:r>
        <w:rPr>
          <w:rFonts w:hint="eastAsia" w:ascii="仿宋" w:hAnsi="仿宋" w:eastAsia="仿宋" w:cs="仿宋"/>
          <w:color w:val="000000"/>
          <w:kern w:val="0"/>
          <w:sz w:val="28"/>
          <w:szCs w:val="28"/>
        </w:rPr>
        <w:t>的办理，</w:t>
      </w:r>
      <w:r>
        <w:rPr>
          <w:rFonts w:hint="eastAsia" w:ascii="仿宋" w:hAnsi="仿宋" w:eastAsia="仿宋" w:cs="仿宋"/>
          <w:color w:val="000000"/>
          <w:kern w:val="0"/>
          <w:sz w:val="28"/>
          <w:szCs w:val="28"/>
          <w:lang w:val="en-US" w:eastAsia="zh-CN"/>
        </w:rPr>
        <w:t>工期16个月，预计2025年11月完工</w:t>
      </w:r>
      <w:r>
        <w:rPr>
          <w:rFonts w:hint="eastAsia" w:ascii="仿宋" w:hAnsi="仿宋" w:eastAsia="仿宋" w:cs="仿宋"/>
          <w:color w:val="000000"/>
          <w:kern w:val="0"/>
          <w:sz w:val="28"/>
          <w:szCs w:val="28"/>
        </w:rPr>
        <w:t>。</w:t>
      </w:r>
    </w:p>
    <w:p w14:paraId="770FCAC6">
      <w:pPr>
        <w:adjustRightInd w:val="0"/>
        <w:snapToGrid w:val="0"/>
        <w:spacing w:before="156" w:beforeLines="50" w:after="156" w:afterLines="50" w:line="500" w:lineRule="exact"/>
        <w:ind w:firstLine="562" w:firstLineChars="200"/>
        <w:rPr>
          <w:rFonts w:ascii="仿宋" w:hAnsi="仿宋" w:eastAsia="仿宋" w:cs="仿宋"/>
          <w:sz w:val="28"/>
          <w:szCs w:val="28"/>
        </w:rPr>
      </w:pPr>
      <w:r>
        <w:rPr>
          <w:rFonts w:hint="eastAsia" w:ascii="仿宋" w:hAnsi="仿宋" w:eastAsia="仿宋" w:cs="仿宋"/>
          <w:b/>
          <w:bCs/>
          <w:color w:val="000000"/>
          <w:sz w:val="28"/>
          <w:szCs w:val="28"/>
          <w:u w:val="single"/>
          <w:shd w:val="clear" w:color="auto" w:fill="FFFFFF"/>
        </w:rPr>
        <w:t>据此，本所律师认为：</w:t>
      </w:r>
      <w:r>
        <w:rPr>
          <w:rFonts w:hint="eastAsia" w:ascii="仿宋" w:hAnsi="仿宋" w:eastAsia="仿宋" w:cs="仿宋"/>
          <w:sz w:val="28"/>
          <w:szCs w:val="28"/>
          <w:lang w:eastAsia="zh-CN"/>
        </w:rPr>
        <w:t>蒲县智慧停车升级改造项目</w:t>
      </w:r>
      <w:r>
        <w:rPr>
          <w:rFonts w:hint="eastAsia" w:ascii="仿宋" w:hAnsi="仿宋" w:eastAsia="仿宋" w:cs="仿宋"/>
          <w:sz w:val="28"/>
          <w:szCs w:val="28"/>
          <w:lang w:eastAsia="zh-Hans"/>
        </w:rPr>
        <w:t>属于</w:t>
      </w:r>
      <w:r>
        <w:rPr>
          <w:rFonts w:hint="eastAsia" w:ascii="仿宋" w:hAnsi="仿宋" w:eastAsia="仿宋" w:cs="仿宋"/>
          <w:sz w:val="28"/>
          <w:szCs w:val="28"/>
          <w:lang w:val="en-US" w:eastAsia="zh-CN"/>
        </w:rPr>
        <w:t>交通</w:t>
      </w:r>
      <w:r>
        <w:rPr>
          <w:rFonts w:hint="eastAsia" w:ascii="仿宋" w:hAnsi="仿宋" w:eastAsia="仿宋" w:cs="仿宋"/>
          <w:color w:val="auto"/>
          <w:sz w:val="28"/>
          <w:szCs w:val="28"/>
          <w:lang w:val="en-US" w:eastAsia="zh-CN"/>
        </w:rPr>
        <w:t>基础设施</w:t>
      </w:r>
      <w:r>
        <w:rPr>
          <w:rFonts w:hint="eastAsia" w:ascii="仿宋" w:hAnsi="仿宋" w:eastAsia="仿宋" w:cs="仿宋"/>
          <w:color w:val="auto"/>
          <w:sz w:val="28"/>
          <w:szCs w:val="28"/>
          <w:lang w:eastAsia="zh-Hans"/>
        </w:rPr>
        <w:t>领域项目，</w:t>
      </w:r>
      <w:r>
        <w:rPr>
          <w:rFonts w:hint="eastAsia" w:ascii="仿宋" w:hAnsi="仿宋" w:eastAsia="仿宋" w:cs="仿宋"/>
          <w:color w:val="auto"/>
          <w:sz w:val="28"/>
          <w:szCs w:val="28"/>
          <w:shd w:val="clear" w:color="auto" w:fill="FFFFFF"/>
        </w:rPr>
        <w:t>符合</w:t>
      </w:r>
      <w:r>
        <w:rPr>
          <w:rFonts w:hint="eastAsia" w:ascii="仿宋" w:hAnsi="仿宋" w:eastAsia="仿宋" w:cs="仿宋"/>
          <w:color w:val="auto"/>
          <w:sz w:val="28"/>
          <w:szCs w:val="28"/>
        </w:rPr>
        <w:t>《山西省人民政府关于印发&lt;山西省政府专项债</w:t>
      </w:r>
      <w:r>
        <w:rPr>
          <w:rFonts w:hint="eastAsia" w:ascii="仿宋" w:hAnsi="仿宋" w:eastAsia="仿宋" w:cs="仿宋"/>
          <w:sz w:val="28"/>
          <w:szCs w:val="28"/>
        </w:rPr>
        <w:t>券管理暂行办法&gt;的通知》</w:t>
      </w:r>
      <w:r>
        <w:rPr>
          <w:rFonts w:hint="eastAsia" w:ascii="仿宋" w:hAnsi="仿宋" w:eastAsia="仿宋" w:cs="仿宋"/>
          <w:color w:val="000000"/>
          <w:sz w:val="28"/>
          <w:szCs w:val="28"/>
          <w:shd w:val="clear" w:color="auto" w:fill="FFFFFF"/>
        </w:rPr>
        <w:t>关于政府专项债券支持的项目范围。项目已取得</w:t>
      </w:r>
      <w:r>
        <w:rPr>
          <w:rFonts w:hint="eastAsia" w:ascii="仿宋" w:hAnsi="仿宋" w:eastAsia="仿宋" w:cs="仿宋"/>
          <w:color w:val="000000"/>
          <w:sz w:val="28"/>
          <w:szCs w:val="28"/>
          <w:shd w:val="clear" w:color="auto" w:fill="FFFFFF"/>
          <w:lang w:eastAsia="zh-CN"/>
        </w:rPr>
        <w:t>《关于蒲县智慧停车升级改造项目可行性研究报告（</w:t>
      </w:r>
      <w:r>
        <w:rPr>
          <w:rFonts w:hint="eastAsia" w:ascii="仿宋" w:hAnsi="仿宋" w:eastAsia="仿宋" w:cs="仿宋"/>
          <w:color w:val="000000"/>
          <w:sz w:val="28"/>
          <w:szCs w:val="28"/>
          <w:shd w:val="clear" w:color="auto" w:fill="FFFFFF"/>
          <w:lang w:val="en-US" w:eastAsia="zh-CN"/>
        </w:rPr>
        <w:t>代项目建议书</w:t>
      </w:r>
      <w:r>
        <w:rPr>
          <w:rFonts w:hint="eastAsia" w:ascii="仿宋" w:hAnsi="仿宋" w:eastAsia="仿宋" w:cs="仿宋"/>
          <w:color w:val="000000"/>
          <w:sz w:val="28"/>
          <w:szCs w:val="28"/>
          <w:shd w:val="clear" w:color="auto" w:fill="FFFFFF"/>
          <w:lang w:eastAsia="zh-CN"/>
        </w:rPr>
        <w:t>）的批复》</w:t>
      </w:r>
      <w:r>
        <w:rPr>
          <w:rFonts w:hint="eastAsia" w:ascii="仿宋" w:hAnsi="仿宋" w:eastAsia="仿宋" w:cs="仿宋"/>
          <w:sz w:val="28"/>
          <w:szCs w:val="28"/>
          <w:lang w:eastAsia="zh-CN"/>
        </w:rPr>
        <w:t>、</w:t>
      </w:r>
      <w:r>
        <w:rPr>
          <w:rFonts w:hint="eastAsia" w:ascii="仿宋" w:hAnsi="仿宋" w:eastAsia="仿宋" w:cs="仿宋"/>
          <w:kern w:val="0"/>
          <w:sz w:val="28"/>
          <w:szCs w:val="28"/>
        </w:rPr>
        <w:t>《关于</w:t>
      </w:r>
      <w:r>
        <w:rPr>
          <w:rFonts w:hint="eastAsia" w:ascii="仿宋" w:hAnsi="仿宋" w:eastAsia="仿宋" w:cs="仿宋"/>
          <w:color w:val="000000"/>
          <w:kern w:val="0"/>
          <w:sz w:val="28"/>
          <w:szCs w:val="28"/>
        </w:rPr>
        <w:t>蒲县智慧停车升级改造</w:t>
      </w:r>
      <w:r>
        <w:rPr>
          <w:rFonts w:hint="eastAsia" w:ascii="仿宋" w:hAnsi="仿宋" w:eastAsia="仿宋" w:cs="仿宋"/>
          <w:color w:val="000000"/>
          <w:kern w:val="0"/>
          <w:sz w:val="28"/>
          <w:szCs w:val="28"/>
          <w:lang w:val="en-US" w:eastAsia="zh-CN"/>
        </w:rPr>
        <w:t>项目用地意见的情况说明</w:t>
      </w:r>
      <w:r>
        <w:rPr>
          <w:rFonts w:hint="eastAsia" w:ascii="仿宋" w:hAnsi="仿宋" w:eastAsia="仿宋" w:cs="仿宋"/>
          <w:kern w:val="0"/>
          <w:sz w:val="28"/>
          <w:szCs w:val="28"/>
        </w:rPr>
        <w:t>》</w:t>
      </w:r>
      <w:r>
        <w:rPr>
          <w:rFonts w:hint="eastAsia" w:ascii="仿宋" w:hAnsi="仿宋" w:eastAsia="仿宋" w:cs="仿宋"/>
          <w:kern w:val="0"/>
          <w:sz w:val="28"/>
          <w:szCs w:val="28"/>
          <w:lang w:eastAsia="zh-CN"/>
        </w:rPr>
        <w:t>，</w:t>
      </w:r>
      <w:r>
        <w:rPr>
          <w:rFonts w:hint="eastAsia" w:ascii="仿宋" w:hAnsi="仿宋" w:eastAsia="仿宋" w:cs="仿宋"/>
          <w:sz w:val="28"/>
          <w:szCs w:val="28"/>
        </w:rPr>
        <w:t>项目现有手续符合相关法律规定。需要注意的是，</w:t>
      </w:r>
      <w:r>
        <w:rPr>
          <w:rFonts w:hint="eastAsia" w:ascii="仿宋" w:hAnsi="仿宋" w:eastAsia="仿宋" w:cs="仿宋"/>
          <w:color w:val="000000" w:themeColor="text1"/>
          <w:sz w:val="28"/>
          <w:szCs w:val="28"/>
          <w14:textFill>
            <w14:solidFill>
              <w14:schemeClr w14:val="tx1"/>
            </w14:solidFill>
          </w14:textFill>
        </w:rPr>
        <w:t>项目应</w:t>
      </w:r>
      <w:r>
        <w:rPr>
          <w:rFonts w:hint="eastAsia" w:ascii="仿宋" w:hAnsi="仿宋" w:eastAsia="仿宋" w:cs="仿宋"/>
          <w:sz w:val="28"/>
          <w:szCs w:val="28"/>
        </w:rPr>
        <w:t>按相关法律法规规定办理初步设计批复、环评、施工许可等手续，并按法律要求及项目手续要求推进开发建设工作。</w:t>
      </w:r>
    </w:p>
    <w:p w14:paraId="20AA02A4">
      <w:pPr>
        <w:pStyle w:val="5"/>
        <w:adjustRightInd w:val="0"/>
        <w:snapToGrid w:val="0"/>
        <w:spacing w:before="156" w:beforeLines="50" w:beforeAutospacing="0" w:after="156" w:afterLines="50" w:afterAutospacing="0" w:line="500" w:lineRule="exact"/>
        <w:ind w:firstLine="643" w:firstLineChars="200"/>
        <w:rPr>
          <w:rFonts w:hint="default" w:ascii="黑体" w:hAnsi="黑体" w:eastAsia="黑体" w:cs="黑体"/>
          <w:sz w:val="32"/>
          <w:szCs w:val="32"/>
        </w:rPr>
      </w:pPr>
      <w:bookmarkStart w:id="66" w:name="_Toc144380187"/>
      <w:r>
        <w:rPr>
          <w:rFonts w:ascii="黑体" w:hAnsi="黑体" w:eastAsia="黑体" w:cs="黑体"/>
          <w:sz w:val="32"/>
          <w:szCs w:val="32"/>
        </w:rPr>
        <w:t>三、项目资金情况</w:t>
      </w:r>
      <w:bookmarkEnd w:id="66"/>
    </w:p>
    <w:p w14:paraId="2CA26F5F">
      <w:pPr>
        <w:adjustRightInd w:val="0"/>
        <w:snapToGrid w:val="0"/>
        <w:spacing w:before="156" w:beforeLines="50" w:after="156" w:afterLines="50" w:line="500" w:lineRule="exact"/>
        <w:ind w:firstLine="640" w:firstLineChars="200"/>
        <w:rPr>
          <w:rFonts w:ascii="楷体" w:hAnsi="楷体" w:eastAsia="楷体" w:cs="楷体"/>
          <w:color w:val="000000"/>
          <w:sz w:val="32"/>
          <w:szCs w:val="32"/>
          <w:shd w:val="clear" w:color="auto" w:fill="FFFFFF"/>
        </w:rPr>
      </w:pPr>
      <w:r>
        <w:rPr>
          <w:rFonts w:hint="eastAsia" w:ascii="楷体" w:hAnsi="楷体" w:eastAsia="楷体" w:cs="楷体"/>
          <w:color w:val="000000"/>
          <w:sz w:val="32"/>
          <w:szCs w:val="32"/>
          <w:shd w:val="clear" w:color="auto" w:fill="FFFFFF"/>
        </w:rPr>
        <w:t>（一）项目资金筹措来源</w:t>
      </w:r>
    </w:p>
    <w:p w14:paraId="41626037">
      <w:pPr>
        <w:adjustRightInd w:val="0"/>
        <w:snapToGrid w:val="0"/>
        <w:spacing w:before="156" w:beforeLines="50" w:after="156" w:afterLines="50" w:line="500" w:lineRule="exact"/>
        <w:ind w:firstLine="560" w:firstLineChars="200"/>
        <w:rPr>
          <w:rFonts w:hint="eastAsia" w:ascii="仿宋" w:hAnsi="仿宋" w:eastAsia="仿宋" w:cs="仿宋"/>
          <w:color w:val="000000"/>
          <w:kern w:val="0"/>
          <w:sz w:val="28"/>
          <w:szCs w:val="28"/>
          <w:lang w:val="en-US" w:eastAsia="zh-CN"/>
        </w:rPr>
      </w:pPr>
      <w:r>
        <w:rPr>
          <w:rFonts w:hint="eastAsia" w:ascii="仿宋" w:hAnsi="仿宋" w:eastAsia="仿宋"/>
          <w:color w:val="auto"/>
          <w:sz w:val="28"/>
          <w:szCs w:val="28"/>
        </w:rPr>
        <w:t>根据贵</w:t>
      </w:r>
      <w:r>
        <w:rPr>
          <w:rFonts w:hint="eastAsia" w:ascii="仿宋" w:hAnsi="仿宋" w:eastAsia="仿宋"/>
          <w:color w:val="auto"/>
          <w:sz w:val="28"/>
          <w:szCs w:val="28"/>
          <w:lang w:val="en-US" w:eastAsia="zh-CN"/>
        </w:rPr>
        <w:t>局</w:t>
      </w:r>
      <w:r>
        <w:rPr>
          <w:rFonts w:hint="eastAsia" w:ascii="仿宋" w:hAnsi="仿宋" w:eastAsia="仿宋"/>
          <w:color w:val="auto"/>
          <w:sz w:val="28"/>
          <w:szCs w:val="28"/>
        </w:rPr>
        <w:t>提供的《资金平衡方案》，</w:t>
      </w:r>
      <w:r>
        <w:rPr>
          <w:rFonts w:ascii="仿宋" w:hAnsi="仿宋" w:eastAsia="仿宋" w:cs="仿宋"/>
          <w:color w:val="000000"/>
          <w:kern w:val="0"/>
          <w:sz w:val="28"/>
          <w:szCs w:val="28"/>
        </w:rPr>
        <w:t>项目总投资</w:t>
      </w:r>
      <w:r>
        <w:rPr>
          <w:rFonts w:hint="eastAsia" w:ascii="仿宋" w:hAnsi="仿宋" w:eastAsia="仿宋" w:cs="仿宋"/>
          <w:color w:val="000000"/>
          <w:kern w:val="0"/>
          <w:sz w:val="28"/>
          <w:szCs w:val="28"/>
        </w:rPr>
        <w:t>为6,036.75</w:t>
      </w:r>
      <w:r>
        <w:rPr>
          <w:rFonts w:ascii="仿宋" w:hAnsi="仿宋" w:eastAsia="仿宋" w:cs="仿宋"/>
          <w:color w:val="000000"/>
          <w:kern w:val="0"/>
          <w:sz w:val="28"/>
          <w:szCs w:val="28"/>
        </w:rPr>
        <w:t>万元</w:t>
      </w:r>
      <w:r>
        <w:rPr>
          <w:rFonts w:hint="eastAsia" w:ascii="仿宋" w:hAnsi="仿宋" w:eastAsia="仿宋" w:cs="仿宋"/>
          <w:color w:val="000000"/>
          <w:kern w:val="0"/>
          <w:sz w:val="28"/>
          <w:szCs w:val="28"/>
        </w:rPr>
        <w:t>,</w:t>
      </w:r>
      <w:r>
        <w:rPr>
          <w:rFonts w:hint="eastAsia" w:ascii="仿宋" w:hAnsi="仿宋" w:eastAsia="仿宋" w:cs="仿宋"/>
          <w:color w:val="000000"/>
          <w:kern w:val="0"/>
          <w:sz w:val="28"/>
          <w:szCs w:val="28"/>
          <w:lang w:val="en-US" w:eastAsia="zh-CN"/>
        </w:rPr>
        <w:t>经考虑建设期资本化利息后调整为6,011.82万元，</w:t>
      </w:r>
      <w:r>
        <w:rPr>
          <w:rFonts w:hint="eastAsia" w:ascii="仿宋" w:hAnsi="仿宋" w:eastAsia="仿宋" w:cs="仿宋"/>
          <w:color w:val="000000"/>
          <w:kern w:val="0"/>
          <w:sz w:val="28"/>
          <w:szCs w:val="28"/>
        </w:rPr>
        <w:t>包括工程费4,948.05</w:t>
      </w:r>
      <w:r>
        <w:rPr>
          <w:rFonts w:hint="eastAsia" w:ascii="仿宋" w:hAnsi="仿宋" w:eastAsia="仿宋" w:cs="仿宋"/>
          <w:color w:val="000000"/>
          <w:kern w:val="0"/>
          <w:sz w:val="28"/>
          <w:szCs w:val="28"/>
          <w:lang w:val="en-US" w:eastAsia="zh-CN"/>
        </w:rPr>
        <w:t>万元</w:t>
      </w:r>
      <w:r>
        <w:rPr>
          <w:rFonts w:hint="eastAsia" w:ascii="仿宋" w:hAnsi="仿宋" w:eastAsia="仿宋" w:cs="仿宋"/>
          <w:color w:val="000000"/>
          <w:kern w:val="0"/>
          <w:sz w:val="28"/>
          <w:szCs w:val="28"/>
        </w:rPr>
        <w:t>、工程建设其他费用441.67</w:t>
      </w:r>
      <w:r>
        <w:rPr>
          <w:rFonts w:hint="eastAsia" w:ascii="仿宋" w:hAnsi="仿宋" w:eastAsia="仿宋" w:cs="仿宋"/>
          <w:color w:val="000000"/>
          <w:kern w:val="0"/>
          <w:sz w:val="28"/>
          <w:szCs w:val="28"/>
          <w:lang w:val="en-US" w:eastAsia="zh-CN"/>
        </w:rPr>
        <w:t>万元</w:t>
      </w:r>
      <w:r>
        <w:rPr>
          <w:rFonts w:hint="eastAsia" w:ascii="仿宋" w:hAnsi="仿宋" w:eastAsia="仿宋" w:cs="仿宋"/>
          <w:color w:val="000000"/>
          <w:kern w:val="0"/>
          <w:sz w:val="28"/>
          <w:szCs w:val="28"/>
        </w:rPr>
        <w:t>、预备费538.97</w:t>
      </w:r>
      <w:r>
        <w:rPr>
          <w:rFonts w:hint="eastAsia" w:ascii="仿宋" w:hAnsi="仿宋" w:eastAsia="仿宋" w:cs="仿宋"/>
          <w:color w:val="000000"/>
          <w:kern w:val="0"/>
          <w:sz w:val="28"/>
          <w:szCs w:val="28"/>
          <w:lang w:val="en-US" w:eastAsia="zh-CN"/>
        </w:rPr>
        <w:t>万元、铺底流动资金23.55万元、建设期利息59.58万元。</w:t>
      </w:r>
    </w:p>
    <w:p w14:paraId="60190F1D">
      <w:pPr>
        <w:adjustRightInd w:val="0"/>
        <w:snapToGrid w:val="0"/>
        <w:spacing w:before="156" w:beforeLines="50" w:after="156" w:afterLines="50" w:line="500" w:lineRule="exact"/>
        <w:ind w:firstLine="560" w:firstLineChars="200"/>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val="en-US" w:eastAsia="zh-CN"/>
        </w:rPr>
        <w:t>所需项目资金来源为：</w:t>
      </w:r>
    </w:p>
    <w:p w14:paraId="7B6A15C9">
      <w:pPr>
        <w:adjustRightInd w:val="0"/>
        <w:snapToGrid w:val="0"/>
        <w:spacing w:before="156" w:beforeLines="50" w:after="156" w:afterLines="50" w:line="500" w:lineRule="exact"/>
        <w:ind w:firstLine="560" w:firstLineChars="200"/>
        <w:rPr>
          <w:rFonts w:hint="eastAsia" w:ascii="仿宋" w:hAnsi="仿宋" w:eastAsia="仿宋" w:cs="仿宋"/>
          <w:sz w:val="28"/>
          <w:szCs w:val="28"/>
        </w:rPr>
      </w:pPr>
      <w:r>
        <w:rPr>
          <w:rFonts w:hint="eastAsia" w:ascii="仿宋" w:hAnsi="仿宋" w:eastAsia="仿宋" w:cs="仿宋"/>
          <w:sz w:val="28"/>
          <w:szCs w:val="28"/>
          <w:lang w:val="en-US" w:eastAsia="zh-CN"/>
        </w:rPr>
        <w:t>1、</w:t>
      </w:r>
      <w:r>
        <w:rPr>
          <w:rFonts w:hint="eastAsia" w:ascii="仿宋" w:hAnsi="仿宋" w:eastAsia="仿宋" w:cs="仿宋"/>
          <w:sz w:val="28"/>
          <w:szCs w:val="28"/>
        </w:rPr>
        <w:t>项目总投资为</w:t>
      </w:r>
      <w:r>
        <w:rPr>
          <w:rFonts w:hint="eastAsia" w:ascii="仿宋" w:hAnsi="仿宋" w:eastAsia="仿宋" w:cs="仿宋"/>
          <w:sz w:val="28"/>
          <w:szCs w:val="28"/>
          <w:lang w:val="en-US" w:eastAsia="zh-CN"/>
        </w:rPr>
        <w:t>6,011.82</w:t>
      </w:r>
      <w:r>
        <w:rPr>
          <w:rFonts w:hint="eastAsia" w:ascii="仿宋" w:hAnsi="仿宋" w:eastAsia="仿宋" w:cs="仿宋"/>
          <w:sz w:val="28"/>
          <w:szCs w:val="28"/>
        </w:rPr>
        <w:t>万元，资金来源为：</w:t>
      </w:r>
    </w:p>
    <w:p w14:paraId="43CAB7E6">
      <w:pPr>
        <w:adjustRightInd w:val="0"/>
        <w:snapToGrid w:val="0"/>
        <w:spacing w:before="156" w:beforeLines="50" w:after="156" w:afterLines="50" w:line="50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自有资金1,211.82万元，拟申请地方财政资金投入解决</w:t>
      </w:r>
      <w:r>
        <w:rPr>
          <w:rFonts w:hint="eastAsia" w:ascii="仿宋" w:hAnsi="仿宋" w:eastAsia="仿宋" w:cs="仿宋"/>
          <w:sz w:val="28"/>
          <w:szCs w:val="28"/>
          <w:lang w:eastAsia="zh-CN"/>
        </w:rPr>
        <w:t>，</w:t>
      </w:r>
      <w:r>
        <w:rPr>
          <w:rFonts w:hint="eastAsia" w:ascii="仿宋" w:hAnsi="仿宋" w:eastAsia="仿宋" w:cs="仿宋"/>
          <w:sz w:val="28"/>
          <w:szCs w:val="28"/>
        </w:rPr>
        <w:t>资金根据工程进度到位；</w:t>
      </w:r>
    </w:p>
    <w:p w14:paraId="32FECA59">
      <w:pPr>
        <w:adjustRightInd w:val="0"/>
        <w:snapToGrid w:val="0"/>
        <w:spacing w:before="156" w:beforeLines="50" w:after="156" w:afterLines="50" w:line="500" w:lineRule="exact"/>
        <w:ind w:firstLine="560" w:firstLineChars="200"/>
        <w:rPr>
          <w:rFonts w:hint="eastAsia" w:ascii="仿宋" w:hAnsi="仿宋" w:eastAsia="仿宋" w:cs="仿宋"/>
          <w:sz w:val="28"/>
          <w:szCs w:val="28"/>
        </w:rPr>
      </w:pPr>
      <w:r>
        <w:rPr>
          <w:rFonts w:hint="eastAsia" w:ascii="仿宋" w:hAnsi="仿宋" w:eastAsia="仿宋" w:cs="仿宋"/>
          <w:sz w:val="28"/>
          <w:szCs w:val="28"/>
        </w:rPr>
        <w:t>专项债券解决</w:t>
      </w:r>
      <w:r>
        <w:rPr>
          <w:rFonts w:hint="eastAsia" w:ascii="仿宋" w:hAnsi="仿宋" w:eastAsia="仿宋" w:cs="仿宋"/>
          <w:sz w:val="28"/>
          <w:szCs w:val="28"/>
          <w:lang w:val="en-US" w:eastAsia="zh-CN"/>
        </w:rPr>
        <w:t>4</w:t>
      </w:r>
      <w:r>
        <w:rPr>
          <w:rFonts w:hint="eastAsia" w:ascii="仿宋" w:hAnsi="仿宋" w:eastAsia="仿宋" w:cs="仿宋"/>
          <w:sz w:val="28"/>
          <w:szCs w:val="28"/>
        </w:rPr>
        <w:t>,</w:t>
      </w:r>
      <w:r>
        <w:rPr>
          <w:rFonts w:hint="eastAsia" w:ascii="仿宋" w:hAnsi="仿宋" w:eastAsia="仿宋" w:cs="仿宋"/>
          <w:sz w:val="28"/>
          <w:szCs w:val="28"/>
          <w:lang w:val="en-US" w:eastAsia="zh-CN"/>
        </w:rPr>
        <w:t>8</w:t>
      </w:r>
      <w:r>
        <w:rPr>
          <w:rFonts w:hint="eastAsia" w:ascii="仿宋" w:hAnsi="仿宋" w:eastAsia="仿宋" w:cs="仿宋"/>
          <w:sz w:val="28"/>
          <w:szCs w:val="28"/>
        </w:rPr>
        <w:t>00.00万元，</w:t>
      </w:r>
      <w:r>
        <w:rPr>
          <w:rFonts w:hint="eastAsia" w:ascii="仿宋" w:hAnsi="仿宋" w:eastAsia="仿宋" w:cs="仿宋"/>
          <w:sz w:val="28"/>
          <w:szCs w:val="28"/>
          <w:lang w:val="en-US" w:eastAsia="zh-CN"/>
        </w:rPr>
        <w:t>其中2024年已募投2,000.00万元、2025年以前批次已募投1,000.00万元并通过调整债券方式筹集400.00万元、本批次募投200.00万元、以后批次拟继续募投1,200.00万元；</w:t>
      </w:r>
    </w:p>
    <w:p w14:paraId="07BB0E88">
      <w:pPr>
        <w:adjustRightInd w:val="0"/>
        <w:snapToGrid w:val="0"/>
        <w:spacing w:before="156" w:beforeLines="50" w:after="156" w:afterLines="50" w:line="500" w:lineRule="exact"/>
        <w:ind w:firstLine="560" w:firstLineChars="200"/>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2、</w:t>
      </w:r>
      <w:r>
        <w:rPr>
          <w:rFonts w:hint="eastAsia" w:ascii="仿宋" w:hAnsi="仿宋" w:eastAsia="仿宋" w:cs="仿宋"/>
          <w:sz w:val="28"/>
          <w:szCs w:val="28"/>
        </w:rPr>
        <w:t>资金使用计划</w:t>
      </w:r>
      <w:r>
        <w:rPr>
          <w:rFonts w:hint="eastAsia" w:ascii="仿宋" w:hAnsi="仿宋" w:eastAsia="仿宋" w:cs="仿宋"/>
          <w:sz w:val="28"/>
          <w:szCs w:val="28"/>
          <w:lang w:eastAsia="zh-CN"/>
        </w:rPr>
        <w:t>：</w:t>
      </w:r>
      <w:r>
        <w:rPr>
          <w:rFonts w:hint="eastAsia" w:ascii="仿宋" w:hAnsi="仿宋" w:eastAsia="仿宋" w:cs="仿宋"/>
          <w:sz w:val="28"/>
          <w:szCs w:val="28"/>
        </w:rPr>
        <w:t>项目总投资金额</w:t>
      </w:r>
      <w:r>
        <w:rPr>
          <w:rFonts w:hint="eastAsia" w:ascii="仿宋" w:hAnsi="仿宋" w:eastAsia="仿宋" w:cs="仿宋"/>
          <w:sz w:val="28"/>
          <w:szCs w:val="28"/>
          <w:lang w:val="en-US" w:eastAsia="zh-CN"/>
        </w:rPr>
        <w:t>6,011.82</w:t>
      </w:r>
      <w:r>
        <w:rPr>
          <w:rFonts w:hint="eastAsia" w:ascii="仿宋" w:hAnsi="仿宋" w:eastAsia="仿宋" w:cs="仿宋"/>
          <w:sz w:val="28"/>
          <w:szCs w:val="28"/>
        </w:rPr>
        <w:t>万元，每半年支付一次利息，到期后一次性偿还本金和最后半年利息。</w:t>
      </w:r>
    </w:p>
    <w:p w14:paraId="2ED4BEA2">
      <w:pPr>
        <w:adjustRightInd w:val="0"/>
        <w:snapToGrid w:val="0"/>
        <w:spacing w:before="156" w:beforeLines="50" w:after="156" w:afterLines="50" w:line="500" w:lineRule="exact"/>
        <w:ind w:firstLine="200"/>
        <w:rPr>
          <w:rFonts w:eastAsia="仿宋"/>
        </w:rPr>
      </w:pPr>
      <w:r>
        <w:rPr>
          <w:rFonts w:hint="eastAsia" w:ascii="仿宋" w:hAnsi="仿宋" w:eastAsia="仿宋" w:cs="仿宋"/>
          <w:color w:val="000000"/>
          <w:kern w:val="0"/>
          <w:sz w:val="28"/>
          <w:szCs w:val="28"/>
        </w:rPr>
        <w:t xml:space="preserve">    </w:t>
      </w:r>
      <w:r>
        <w:rPr>
          <w:rFonts w:hint="eastAsia" w:ascii="仿宋" w:hAnsi="仿宋" w:eastAsia="仿宋" w:cs="仿宋"/>
          <w:b/>
          <w:bCs/>
          <w:color w:val="000000"/>
          <w:kern w:val="0"/>
          <w:sz w:val="28"/>
          <w:szCs w:val="28"/>
          <w:u w:val="single"/>
        </w:rPr>
        <w:t>据此，本所律师认为</w:t>
      </w:r>
      <w:r>
        <w:rPr>
          <w:rFonts w:hint="eastAsia" w:ascii="仿宋" w:hAnsi="仿宋" w:eastAsia="仿宋" w:cs="仿宋"/>
          <w:color w:val="000000"/>
          <w:kern w:val="0"/>
          <w:sz w:val="28"/>
          <w:szCs w:val="28"/>
          <w:u w:val="single"/>
        </w:rPr>
        <w:t>：</w:t>
      </w:r>
      <w:r>
        <w:rPr>
          <w:rFonts w:hint="eastAsia" w:ascii="仿宋" w:hAnsi="仿宋" w:eastAsia="仿宋" w:cs="仿宋"/>
          <w:sz w:val="28"/>
          <w:szCs w:val="28"/>
          <w:lang w:eastAsia="zh-CN"/>
        </w:rPr>
        <w:t>蒲县智慧停车升级改造项目</w:t>
      </w:r>
      <w:r>
        <w:rPr>
          <w:rFonts w:hint="eastAsia" w:ascii="仿宋" w:hAnsi="仿宋" w:eastAsia="仿宋" w:cs="仿宋"/>
          <w:sz w:val="28"/>
          <w:szCs w:val="28"/>
        </w:rPr>
        <w:t>资金筹资需求已作计划安排，筹资渠道合法合规。</w:t>
      </w:r>
    </w:p>
    <w:p w14:paraId="58816E4A">
      <w:pPr>
        <w:widowControl/>
        <w:numPr>
          <w:ilvl w:val="255"/>
          <w:numId w:val="0"/>
        </w:numPr>
        <w:adjustRightInd w:val="0"/>
        <w:snapToGrid w:val="0"/>
        <w:spacing w:before="156" w:beforeLines="50" w:after="156" w:afterLines="50" w:line="500" w:lineRule="exact"/>
        <w:ind w:firstLine="640" w:firstLineChars="200"/>
      </w:pPr>
      <w:r>
        <w:rPr>
          <w:rFonts w:hint="eastAsia" w:ascii="楷体" w:hAnsi="楷体" w:eastAsia="楷体" w:cs="楷体"/>
          <w:color w:val="000000"/>
          <w:sz w:val="32"/>
          <w:szCs w:val="32"/>
          <w:shd w:val="clear" w:color="auto" w:fill="FFFFFF"/>
        </w:rPr>
        <w:t>（二）项目收益来源</w:t>
      </w:r>
    </w:p>
    <w:p w14:paraId="0BFA98BF">
      <w:pPr>
        <w:adjustRightInd w:val="0"/>
        <w:snapToGrid w:val="0"/>
        <w:spacing w:before="156" w:beforeLines="50" w:after="156" w:afterLines="50" w:line="500" w:lineRule="exact"/>
        <w:ind w:firstLine="560" w:firstLineChars="200"/>
        <w:textAlignment w:val="baseline"/>
        <w:rPr>
          <w:rFonts w:ascii="仿宋" w:hAnsi="仿宋" w:eastAsia="仿宋" w:cs="仿宋"/>
          <w:bCs/>
          <w:sz w:val="28"/>
          <w:szCs w:val="28"/>
        </w:rPr>
      </w:pPr>
      <w:r>
        <w:rPr>
          <w:rFonts w:hint="eastAsia" w:ascii="仿宋" w:hAnsi="仿宋" w:eastAsia="仿宋" w:cs="仿宋"/>
          <w:sz w:val="28"/>
          <w:szCs w:val="28"/>
          <w:shd w:val="clear" w:color="auto" w:fill="FFFFFF"/>
        </w:rPr>
        <w:t>根据贵局提供的《资金平衡方案》，项目</w:t>
      </w:r>
      <w:r>
        <w:rPr>
          <w:rFonts w:hint="eastAsia" w:ascii="仿宋" w:hAnsi="仿宋" w:eastAsia="仿宋" w:cs="仿宋"/>
          <w:color w:val="000000"/>
          <w:kern w:val="0"/>
          <w:sz w:val="28"/>
          <w:szCs w:val="28"/>
        </w:rPr>
        <w:t>收益主要来源为</w:t>
      </w:r>
      <w:r>
        <w:rPr>
          <w:rFonts w:hint="eastAsia" w:ascii="仿宋" w:hAnsi="仿宋" w:eastAsia="仿宋" w:cs="仿宋"/>
          <w:sz w:val="28"/>
          <w:szCs w:val="32"/>
        </w:rPr>
        <w:t>停车泊位收入、广告位出租收入、通信基站挂载服务费</w:t>
      </w:r>
      <w:r>
        <w:rPr>
          <w:rFonts w:hint="eastAsia" w:ascii="仿宋" w:hAnsi="仿宋" w:eastAsia="仿宋" w:cs="仿宋"/>
          <w:sz w:val="28"/>
          <w:szCs w:val="32"/>
          <w:lang w:val="en-US" w:eastAsia="zh-CN"/>
        </w:rPr>
        <w:t>及数据推送服务的收入</w:t>
      </w:r>
      <w:r>
        <w:rPr>
          <w:rFonts w:hint="eastAsia" w:ascii="仿宋" w:hAnsi="仿宋" w:eastAsia="仿宋" w:cs="仿宋"/>
          <w:color w:val="000000"/>
          <w:kern w:val="0"/>
          <w:sz w:val="28"/>
          <w:szCs w:val="28"/>
        </w:rPr>
        <w:t>。</w:t>
      </w:r>
    </w:p>
    <w:p w14:paraId="37E5B264">
      <w:pPr>
        <w:adjustRightInd w:val="0"/>
        <w:snapToGrid w:val="0"/>
        <w:spacing w:before="156" w:beforeLines="50" w:after="156" w:afterLines="50" w:line="500" w:lineRule="exact"/>
        <w:ind w:firstLine="562" w:firstLineChars="200"/>
        <w:textAlignment w:val="baseline"/>
        <w:rPr>
          <w:rFonts w:ascii="仿宋" w:hAnsi="仿宋" w:eastAsia="仿宋" w:cs="仿宋"/>
          <w:bCs/>
          <w:sz w:val="28"/>
          <w:szCs w:val="28"/>
        </w:rPr>
      </w:pPr>
      <w:r>
        <w:rPr>
          <w:rFonts w:hint="eastAsia" w:ascii="仿宋" w:hAnsi="仿宋" w:eastAsia="仿宋" w:cs="仿宋"/>
          <w:b/>
          <w:bCs/>
          <w:sz w:val="28"/>
          <w:szCs w:val="28"/>
          <w:u w:val="single"/>
          <w:shd w:val="clear" w:color="auto" w:fill="FFFFFF"/>
        </w:rPr>
        <w:t>据此，本所律师认为</w:t>
      </w:r>
      <w:r>
        <w:rPr>
          <w:rFonts w:hint="eastAsia" w:ascii="仿宋" w:hAnsi="仿宋" w:eastAsia="仿宋" w:cs="仿宋"/>
          <w:sz w:val="28"/>
          <w:szCs w:val="28"/>
          <w:u w:val="single"/>
          <w:shd w:val="clear" w:color="auto" w:fill="FFFFFF"/>
        </w:rPr>
        <w:t>：</w:t>
      </w:r>
      <w:r>
        <w:rPr>
          <w:rFonts w:hint="eastAsia" w:ascii="仿宋" w:hAnsi="仿宋" w:eastAsia="仿宋" w:cs="仿宋"/>
          <w:sz w:val="28"/>
          <w:szCs w:val="28"/>
          <w:shd w:val="clear" w:color="auto" w:fill="FFFFFF"/>
        </w:rPr>
        <w:t>本项目依法建成后的</w:t>
      </w:r>
      <w:r>
        <w:rPr>
          <w:rFonts w:hint="eastAsia" w:ascii="仿宋" w:hAnsi="仿宋" w:eastAsia="仿宋" w:cs="仿宋"/>
          <w:sz w:val="28"/>
          <w:szCs w:val="32"/>
        </w:rPr>
        <w:t>停车泊位收入、广告位出租收入、通信基站挂载服务费</w:t>
      </w:r>
      <w:r>
        <w:rPr>
          <w:rFonts w:hint="eastAsia" w:ascii="仿宋" w:hAnsi="仿宋" w:eastAsia="仿宋" w:cs="仿宋"/>
          <w:sz w:val="28"/>
          <w:szCs w:val="32"/>
          <w:lang w:val="en-US" w:eastAsia="zh-CN"/>
        </w:rPr>
        <w:t>及数据推送服务的收入</w:t>
      </w:r>
      <w:r>
        <w:rPr>
          <w:rFonts w:hint="eastAsia" w:ascii="仿宋" w:hAnsi="仿宋" w:eastAsia="仿宋" w:cs="仿宋"/>
          <w:sz w:val="28"/>
          <w:szCs w:val="28"/>
          <w:shd w:val="clear" w:color="auto" w:fill="FFFFFF"/>
        </w:rPr>
        <w:t>，可以作为项目收益来源。</w:t>
      </w:r>
      <w:r>
        <w:rPr>
          <w:rFonts w:hint="eastAsia" w:ascii="仿宋" w:hAnsi="仿宋" w:eastAsia="仿宋" w:cs="仿宋"/>
          <w:color w:val="000000" w:themeColor="text1"/>
          <w:sz w:val="28"/>
          <w:szCs w:val="28"/>
          <w:shd w:val="clear" w:color="auto" w:fill="FFFFFF"/>
          <w14:textFill>
            <w14:solidFill>
              <w14:schemeClr w14:val="tx1"/>
            </w14:solidFill>
          </w14:textFill>
        </w:rPr>
        <w:t>需要注意的是，市场因素、政策因素均有可能对项目实施主体收取前述收入产生影响。</w:t>
      </w:r>
    </w:p>
    <w:p w14:paraId="618A358A">
      <w:pPr>
        <w:widowControl/>
        <w:adjustRightInd w:val="0"/>
        <w:snapToGrid w:val="0"/>
        <w:spacing w:before="156" w:beforeLines="50" w:after="156" w:afterLines="50" w:line="500" w:lineRule="exact"/>
        <w:ind w:firstLine="640" w:firstLineChars="200"/>
        <w:jc w:val="left"/>
        <w:rPr>
          <w:rFonts w:ascii="仿宋" w:hAnsi="仿宋" w:eastAsia="仿宋" w:cs="仿宋"/>
          <w:sz w:val="28"/>
          <w:szCs w:val="28"/>
          <w:highlight w:val="cyan"/>
        </w:rPr>
      </w:pPr>
      <w:r>
        <w:rPr>
          <w:rFonts w:hint="eastAsia" w:ascii="楷体" w:hAnsi="楷体" w:eastAsia="楷体" w:cs="楷体"/>
          <w:color w:val="000000"/>
          <w:sz w:val="32"/>
          <w:szCs w:val="32"/>
          <w:shd w:val="clear" w:color="auto" w:fill="FFFFFF"/>
        </w:rPr>
        <w:t>（三）项目收益与融资自求平衡</w:t>
      </w:r>
    </w:p>
    <w:p w14:paraId="35724D63">
      <w:pPr>
        <w:adjustRightInd w:val="0"/>
        <w:snapToGrid w:val="0"/>
        <w:spacing w:before="156" w:beforeLines="50" w:after="156" w:afterLines="50" w:line="500" w:lineRule="exact"/>
        <w:ind w:firstLine="560" w:firstLineChars="200"/>
        <w:rPr>
          <w:rFonts w:ascii="仿宋" w:hAnsi="仿宋" w:eastAsia="仿宋" w:cs="仿宋"/>
          <w:sz w:val="28"/>
          <w:szCs w:val="28"/>
        </w:rPr>
      </w:pPr>
      <w:r>
        <w:rPr>
          <w:rFonts w:hint="eastAsia" w:ascii="仿宋" w:hAnsi="仿宋" w:eastAsia="仿宋" w:cs="仿宋"/>
          <w:sz w:val="28"/>
          <w:szCs w:val="28"/>
        </w:rPr>
        <w:t>根据贵局提供的《评估报告》，经分析测算，大华会所认为</w:t>
      </w:r>
      <w:r>
        <w:rPr>
          <w:rFonts w:hint="eastAsia" w:ascii="仿宋" w:hAnsi="仿宋" w:eastAsia="仿宋" w:cs="仿宋"/>
          <w:sz w:val="28"/>
          <w:szCs w:val="28"/>
          <w:lang w:eastAsia="zh-Hans"/>
        </w:rPr>
        <w:t>，</w:t>
      </w:r>
      <w:r>
        <w:rPr>
          <w:rFonts w:hint="eastAsia" w:ascii="仿宋" w:hAnsi="仿宋" w:eastAsia="仿宋" w:cs="仿宋"/>
          <w:sz w:val="28"/>
          <w:szCs w:val="28"/>
        </w:rPr>
        <w:t>在本债券存续期内，项目对应的收益能够提供充足、稳定的现金流收入，充分满足专项债券发行还本付息的要求，能够实现项目收益与融资自求平衡。</w:t>
      </w:r>
      <w:r>
        <w:rPr>
          <w:rFonts w:hint="eastAsia" w:ascii="仿宋" w:hAnsi="仿宋" w:eastAsia="仿宋" w:cs="仿宋"/>
          <w:sz w:val="28"/>
          <w:szCs w:val="28"/>
          <w:lang w:eastAsia="zh-CN"/>
        </w:rPr>
        <w:t>蒲县智慧停车升级改造项目</w:t>
      </w:r>
      <w:r>
        <w:rPr>
          <w:rFonts w:hint="eastAsia" w:ascii="仿宋" w:hAnsi="仿宋" w:eastAsia="仿宋" w:cs="仿宋"/>
          <w:sz w:val="28"/>
          <w:szCs w:val="28"/>
        </w:rPr>
        <w:t>本息覆盖率可达到</w:t>
      </w:r>
      <w:r>
        <w:rPr>
          <w:rFonts w:hint="eastAsia" w:ascii="仿宋" w:hAnsi="仿宋" w:eastAsia="仿宋" w:cs="仿宋"/>
          <w:color w:val="000000"/>
          <w:kern w:val="0"/>
          <w:sz w:val="28"/>
          <w:szCs w:val="28"/>
          <w:lang w:val="en-US" w:eastAsia="zh-CN"/>
        </w:rPr>
        <w:t>1.44</w:t>
      </w:r>
      <w:r>
        <w:rPr>
          <w:rFonts w:hint="eastAsia" w:ascii="仿宋" w:hAnsi="仿宋" w:eastAsia="仿宋" w:cs="仿宋"/>
          <w:sz w:val="28"/>
          <w:szCs w:val="28"/>
        </w:rPr>
        <w:t>倍，期末项目累计净现金结余为</w:t>
      </w:r>
      <w:r>
        <w:rPr>
          <w:rFonts w:hint="eastAsia" w:ascii="仿宋" w:hAnsi="仿宋" w:eastAsia="仿宋" w:cs="仿宋"/>
          <w:color w:val="000000"/>
          <w:kern w:val="0"/>
          <w:sz w:val="28"/>
          <w:szCs w:val="28"/>
        </w:rPr>
        <w:t>3,045.72</w:t>
      </w:r>
      <w:r>
        <w:rPr>
          <w:rFonts w:hint="eastAsia" w:ascii="仿宋" w:hAnsi="仿宋" w:eastAsia="仿宋" w:cs="仿宋"/>
          <w:sz w:val="28"/>
          <w:szCs w:val="28"/>
        </w:rPr>
        <w:t>万元，项目资金稳定性总体上可以得到保证。在债券存续期内，项目建设完成后，项目净收益可以支付后期债券存续期间的利息支出及到期的本金偿还支出。</w:t>
      </w:r>
    </w:p>
    <w:p w14:paraId="09DD9F01">
      <w:pPr>
        <w:adjustRightInd w:val="0"/>
        <w:snapToGrid w:val="0"/>
        <w:spacing w:before="156" w:beforeLines="50" w:after="156" w:afterLines="50" w:line="500" w:lineRule="exact"/>
        <w:ind w:firstLine="562" w:firstLineChars="200"/>
        <w:rPr>
          <w:rFonts w:ascii="仿宋" w:hAnsi="仿宋" w:eastAsia="仿宋" w:cs="仿宋"/>
          <w:color w:val="000000"/>
          <w:sz w:val="28"/>
          <w:szCs w:val="28"/>
          <w:shd w:val="clear" w:color="auto" w:fill="FFFFFF"/>
        </w:rPr>
      </w:pPr>
      <w:r>
        <w:rPr>
          <w:rFonts w:hint="eastAsia" w:ascii="仿宋" w:hAnsi="仿宋" w:eastAsia="仿宋" w:cs="仿宋"/>
          <w:b/>
          <w:bCs/>
          <w:color w:val="000000"/>
          <w:sz w:val="28"/>
          <w:szCs w:val="28"/>
          <w:u w:val="single"/>
          <w:shd w:val="clear" w:color="auto" w:fill="FFFFFF"/>
        </w:rPr>
        <w:t>据此，本所律师认为：</w:t>
      </w:r>
      <w:r>
        <w:rPr>
          <w:rFonts w:hint="eastAsia" w:ascii="仿宋" w:hAnsi="仿宋" w:eastAsia="仿宋" w:cs="仿宋"/>
          <w:color w:val="000000"/>
          <w:sz w:val="28"/>
          <w:szCs w:val="28"/>
          <w:shd w:val="clear" w:color="auto" w:fill="FFFFFF"/>
        </w:rPr>
        <w:t>依据《评估报告》，本项目具有充足、稳定的预期偿债资金来源，对应的收入能够保障偿还债券本金和利息，实现项目收益和融资自求平衡，符合《</w:t>
      </w:r>
      <w:r>
        <w:fldChar w:fldCharType="begin"/>
      </w:r>
      <w:r>
        <w:instrText xml:space="preserve"> HYPERLINK "https://www.waizi.org.cn/doc/95918.html" \t "https://www.waizi.org.cn/law/_blank" \o "财库〔2020〕43号《财政部关于印发〈地方政府债券发行管理办法〉的通知》" </w:instrText>
      </w:r>
      <w:r>
        <w:fldChar w:fldCharType="separate"/>
      </w:r>
      <w:r>
        <w:rPr>
          <w:rFonts w:hint="eastAsia" w:ascii="仿宋" w:hAnsi="仿宋" w:eastAsia="仿宋" w:cs="仿宋"/>
          <w:color w:val="000000"/>
          <w:sz w:val="28"/>
          <w:szCs w:val="28"/>
          <w:shd w:val="clear" w:color="auto" w:fill="FFFFFF"/>
        </w:rPr>
        <w:t>财政部关于印发〈地方政府债券发行管理办法〉的通知</w:t>
      </w:r>
      <w:r>
        <w:rPr>
          <w:rFonts w:hint="eastAsia" w:ascii="仿宋" w:hAnsi="仿宋" w:eastAsia="仿宋" w:cs="仿宋"/>
          <w:color w:val="000000"/>
          <w:sz w:val="28"/>
          <w:szCs w:val="28"/>
          <w:shd w:val="clear" w:color="auto" w:fill="FFFFFF"/>
        </w:rPr>
        <w:fldChar w:fldCharType="end"/>
      </w:r>
      <w:r>
        <w:rPr>
          <w:rFonts w:ascii="仿宋" w:hAnsi="仿宋" w:eastAsia="仿宋" w:cs="仿宋"/>
          <w:color w:val="000000"/>
          <w:sz w:val="28"/>
          <w:szCs w:val="28"/>
          <w:shd w:val="clear" w:color="auto" w:fill="FFFFFF"/>
        </w:rPr>
        <w:t>》</w:t>
      </w:r>
      <w:r>
        <w:rPr>
          <w:rFonts w:hint="eastAsia" w:ascii="仿宋" w:hAnsi="仿宋" w:eastAsia="仿宋" w:cs="仿宋"/>
          <w:color w:val="000000"/>
          <w:sz w:val="28"/>
          <w:szCs w:val="28"/>
          <w:shd w:val="clear" w:color="auto" w:fill="FFFFFF"/>
        </w:rPr>
        <w:t>《关于试点发展项目收益与融资自求平衡的地方政府专项债券品种的通知》等相关规定的要求。按照财预[2017]89号文件的规定，应确保项目收入专门用于偿还本次债券本息；同时基于本次债券期限较长，可能存在政策、市场等因素影响项目收入，从而影响专项债券还本付息的风险。</w:t>
      </w:r>
    </w:p>
    <w:p w14:paraId="58FB6F42">
      <w:pPr>
        <w:pStyle w:val="9"/>
        <w:adjustRightInd w:val="0"/>
        <w:snapToGrid w:val="0"/>
        <w:spacing w:before="156" w:beforeLines="50" w:after="156" w:afterLines="50" w:line="500" w:lineRule="exact"/>
        <w:ind w:firstLine="643"/>
        <w:outlineLvl w:val="0"/>
        <w:rPr>
          <w:rFonts w:ascii="黑体" w:hAnsi="黑体" w:eastAsia="黑体" w:cs="黑体"/>
          <w:b/>
          <w:sz w:val="32"/>
        </w:rPr>
      </w:pPr>
      <w:bookmarkStart w:id="67" w:name="_Toc144380188"/>
      <w:r>
        <w:rPr>
          <w:rFonts w:hint="eastAsia" w:ascii="黑体" w:hAnsi="黑体" w:eastAsia="黑体" w:cs="黑体"/>
          <w:b/>
          <w:sz w:val="32"/>
        </w:rPr>
        <w:t>四、中介服务机构</w:t>
      </w:r>
      <w:bookmarkEnd w:id="67"/>
      <w:r>
        <w:rPr>
          <w:rFonts w:hint="eastAsia" w:ascii="黑体" w:hAnsi="黑体" w:eastAsia="黑体" w:cs="黑体"/>
          <w:b/>
          <w:sz w:val="32"/>
        </w:rPr>
        <w:t xml:space="preserve"> </w:t>
      </w:r>
    </w:p>
    <w:p w14:paraId="18994FD6">
      <w:pPr>
        <w:pStyle w:val="9"/>
        <w:adjustRightInd w:val="0"/>
        <w:snapToGrid w:val="0"/>
        <w:spacing w:before="156" w:beforeLines="50" w:after="156" w:afterLines="50" w:line="500" w:lineRule="exact"/>
        <w:ind w:firstLine="640"/>
        <w:rPr>
          <w:rFonts w:ascii="楷体" w:hAnsi="楷体" w:eastAsia="楷体" w:cs="楷体"/>
          <w:color w:val="000000"/>
          <w:sz w:val="32"/>
          <w:szCs w:val="32"/>
          <w:shd w:val="clear" w:color="auto" w:fill="FFFFFF"/>
        </w:rPr>
      </w:pPr>
      <w:bookmarkStart w:id="68" w:name="_Toc25753_WPSOffice_Level2"/>
      <w:bookmarkStart w:id="69" w:name="_Toc27614_WPSOffice_Level2"/>
      <w:r>
        <w:rPr>
          <w:rFonts w:hint="eastAsia" w:ascii="楷体" w:hAnsi="楷体" w:eastAsia="楷体" w:cs="楷体"/>
          <w:color w:val="000000"/>
          <w:sz w:val="32"/>
          <w:szCs w:val="32"/>
          <w:shd w:val="clear" w:color="auto" w:fill="FFFFFF"/>
        </w:rPr>
        <w:t>（一）专项评价机构</w:t>
      </w:r>
      <w:bookmarkEnd w:id="68"/>
      <w:bookmarkEnd w:id="69"/>
    </w:p>
    <w:p w14:paraId="52E30840">
      <w:pPr>
        <w:adjustRightInd w:val="0"/>
        <w:snapToGrid w:val="0"/>
        <w:spacing w:before="156" w:beforeLines="50" w:after="156" w:afterLines="50" w:line="500" w:lineRule="exact"/>
        <w:ind w:firstLine="560" w:firstLineChars="200"/>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大华会计师事务所（特殊普通合伙）山西分所为本项目的评估机构并出具《评估报告》。</w:t>
      </w:r>
    </w:p>
    <w:p w14:paraId="417C500D">
      <w:pPr>
        <w:adjustRightInd w:val="0"/>
        <w:snapToGrid w:val="0"/>
        <w:spacing w:before="156" w:beforeLines="50" w:after="156" w:afterLines="50" w:line="500" w:lineRule="exact"/>
        <w:ind w:firstLine="560" w:firstLineChars="200"/>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根据贵单位提供的资料，并经本所律师在全国企业信用信息公示系统、山西省财政厅网站的核查，大华会计师事务所（特殊普通合伙）山西分所持有山西转型综合改革示范区市场监督管理局核发的《营业执照》（统一信用代码证号：91140100058863554J），山西省财政厅核发的《会计师事务所执业证书》（编号：110101481401）。</w:t>
      </w:r>
    </w:p>
    <w:p w14:paraId="7FF421D8">
      <w:pPr>
        <w:adjustRightInd w:val="0"/>
        <w:snapToGrid w:val="0"/>
        <w:spacing w:before="156" w:beforeLines="50" w:after="156" w:afterLines="50" w:line="500" w:lineRule="exact"/>
        <w:ind w:firstLine="562" w:firstLineChars="200"/>
        <w:rPr>
          <w:rFonts w:ascii="仿宋" w:hAnsi="仿宋" w:eastAsia="仿宋"/>
          <w:sz w:val="28"/>
          <w:szCs w:val="28"/>
        </w:rPr>
      </w:pPr>
      <w:r>
        <w:rPr>
          <w:rFonts w:hint="eastAsia" w:ascii="仿宋" w:hAnsi="仿宋" w:eastAsia="仿宋"/>
          <w:b/>
          <w:sz w:val="28"/>
          <w:szCs w:val="28"/>
          <w:u w:val="single"/>
        </w:rPr>
        <w:t>据此，本所律师认为：</w:t>
      </w:r>
      <w:r>
        <w:rPr>
          <w:rFonts w:hint="eastAsia" w:ascii="仿宋" w:hAnsi="仿宋" w:eastAsia="仿宋" w:cs="仿宋"/>
          <w:color w:val="000000"/>
          <w:sz w:val="28"/>
          <w:szCs w:val="28"/>
          <w:shd w:val="clear" w:color="auto" w:fill="FFFFFF"/>
        </w:rPr>
        <w:t>大华会计师事务所（特殊普通合伙）山西分所</w:t>
      </w:r>
      <w:r>
        <w:rPr>
          <w:rFonts w:hint="eastAsia" w:ascii="仿宋" w:hAnsi="仿宋" w:eastAsia="仿宋"/>
          <w:sz w:val="28"/>
          <w:szCs w:val="28"/>
        </w:rPr>
        <w:t>系依法成立并合法存续的审计机构，具备出具《评估报告》的资格。</w:t>
      </w:r>
    </w:p>
    <w:p w14:paraId="41BC9C05">
      <w:pPr>
        <w:pStyle w:val="9"/>
        <w:adjustRightInd w:val="0"/>
        <w:snapToGrid w:val="0"/>
        <w:spacing w:before="156" w:beforeLines="50" w:after="156" w:afterLines="50" w:line="500" w:lineRule="exact"/>
        <w:ind w:firstLine="640"/>
        <w:rPr>
          <w:rFonts w:ascii="楷体" w:hAnsi="楷体" w:eastAsia="楷体" w:cs="楷体"/>
          <w:color w:val="000000"/>
          <w:sz w:val="32"/>
          <w:szCs w:val="32"/>
          <w:shd w:val="clear" w:color="auto" w:fill="FFFFFF"/>
        </w:rPr>
      </w:pPr>
      <w:bookmarkStart w:id="70" w:name="_Toc7584_WPSOffice_Level2"/>
      <w:bookmarkStart w:id="71" w:name="_Toc28735_WPSOffice_Level2"/>
      <w:r>
        <w:rPr>
          <w:rFonts w:hint="eastAsia" w:ascii="楷体" w:hAnsi="楷体" w:eastAsia="楷体" w:cs="楷体"/>
          <w:color w:val="000000"/>
          <w:sz w:val="32"/>
          <w:szCs w:val="32"/>
          <w:shd w:val="clear" w:color="auto" w:fill="FFFFFF"/>
        </w:rPr>
        <w:t>（二）专项法律机构</w:t>
      </w:r>
      <w:bookmarkEnd w:id="70"/>
      <w:bookmarkEnd w:id="71"/>
    </w:p>
    <w:p w14:paraId="0ED03ABD">
      <w:pPr>
        <w:adjustRightInd w:val="0"/>
        <w:snapToGrid w:val="0"/>
        <w:spacing w:before="156" w:beforeLines="50" w:after="156" w:afterLines="50" w:line="500" w:lineRule="exact"/>
        <w:ind w:firstLine="560" w:firstLineChars="200"/>
        <w:rPr>
          <w:rFonts w:ascii="仿宋" w:hAnsi="仿宋" w:eastAsia="仿宋" w:cs="仿宋"/>
          <w:color w:val="000000"/>
          <w:sz w:val="28"/>
          <w:szCs w:val="28"/>
          <w:shd w:val="clear" w:color="auto" w:fill="FFFFFF"/>
        </w:rPr>
      </w:pPr>
      <w:r>
        <w:rPr>
          <w:rFonts w:hint="eastAsia" w:ascii="仿宋" w:hAnsi="仿宋" w:eastAsia="仿宋" w:cs="仿宋"/>
          <w:sz w:val="28"/>
          <w:szCs w:val="28"/>
        </w:rPr>
        <w:t>山西中吕</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临汾</w:t>
      </w:r>
      <w:r>
        <w:rPr>
          <w:rFonts w:hint="eastAsia" w:ascii="仿宋" w:hAnsi="仿宋" w:eastAsia="仿宋" w:cs="仿宋"/>
          <w:sz w:val="28"/>
          <w:szCs w:val="28"/>
          <w:lang w:eastAsia="zh-CN"/>
        </w:rPr>
        <w:t>）</w:t>
      </w:r>
      <w:r>
        <w:rPr>
          <w:rFonts w:hint="eastAsia" w:ascii="仿宋" w:hAnsi="仿宋" w:eastAsia="仿宋" w:cs="仿宋"/>
          <w:sz w:val="28"/>
          <w:szCs w:val="28"/>
        </w:rPr>
        <w:t>律师事务所为本项目的专项法律服务机构并出具《法律</w:t>
      </w:r>
      <w:r>
        <w:rPr>
          <w:rFonts w:hint="eastAsia" w:ascii="仿宋" w:hAnsi="仿宋" w:eastAsia="仿宋" w:cs="仿宋"/>
          <w:color w:val="000000"/>
          <w:sz w:val="28"/>
          <w:szCs w:val="28"/>
          <w:shd w:val="clear" w:color="auto" w:fill="FFFFFF"/>
        </w:rPr>
        <w:t>意见书》。</w:t>
      </w:r>
    </w:p>
    <w:p w14:paraId="2D17AD17">
      <w:pPr>
        <w:adjustRightInd w:val="0"/>
        <w:snapToGrid w:val="0"/>
        <w:spacing w:before="156" w:beforeLines="50" w:after="156" w:afterLines="50" w:line="500" w:lineRule="exact"/>
        <w:ind w:firstLine="516" w:firstLineChars="200"/>
        <w:rPr>
          <w:rFonts w:ascii="仿宋" w:hAnsi="仿宋" w:eastAsia="仿宋" w:cs="仿宋"/>
          <w:color w:val="000000"/>
          <w:spacing w:val="-11"/>
          <w:sz w:val="28"/>
          <w:szCs w:val="28"/>
          <w:shd w:val="clear" w:color="auto" w:fill="FFFFFF"/>
        </w:rPr>
      </w:pPr>
      <w:r>
        <w:rPr>
          <w:rFonts w:hint="eastAsia" w:ascii="仿宋" w:hAnsi="仿宋" w:eastAsia="仿宋" w:cs="仿宋"/>
          <w:color w:val="000000"/>
          <w:spacing w:val="-11"/>
          <w:sz w:val="28"/>
          <w:szCs w:val="28"/>
          <w:shd w:val="clear" w:color="auto" w:fill="FFFFFF"/>
        </w:rPr>
        <w:t>本所系山西省司法厅核准设立的普通合伙制律师事务所，现持有山西省司法厅于202</w:t>
      </w:r>
      <w:r>
        <w:rPr>
          <w:rFonts w:hint="eastAsia" w:ascii="仿宋" w:hAnsi="仿宋" w:eastAsia="仿宋" w:cs="仿宋"/>
          <w:color w:val="000000"/>
          <w:spacing w:val="-11"/>
          <w:sz w:val="28"/>
          <w:szCs w:val="28"/>
          <w:shd w:val="clear" w:color="auto" w:fill="FFFFFF"/>
          <w:lang w:val="en-US" w:eastAsia="zh-CN"/>
        </w:rPr>
        <w:t>4</w:t>
      </w:r>
      <w:r>
        <w:rPr>
          <w:rFonts w:hint="eastAsia" w:ascii="仿宋" w:hAnsi="仿宋" w:eastAsia="仿宋" w:cs="仿宋"/>
          <w:color w:val="000000"/>
          <w:spacing w:val="-11"/>
          <w:sz w:val="28"/>
          <w:szCs w:val="28"/>
          <w:shd w:val="clear" w:color="auto" w:fill="FFFFFF"/>
        </w:rPr>
        <w:t>年</w:t>
      </w:r>
      <w:r>
        <w:rPr>
          <w:rFonts w:hint="eastAsia" w:ascii="仿宋" w:hAnsi="仿宋" w:eastAsia="仿宋" w:cs="仿宋"/>
          <w:color w:val="000000"/>
          <w:spacing w:val="-11"/>
          <w:sz w:val="28"/>
          <w:szCs w:val="28"/>
          <w:shd w:val="clear" w:color="auto" w:fill="FFFFFF"/>
          <w:lang w:val="en-US" w:eastAsia="zh-CN"/>
        </w:rPr>
        <w:t>8</w:t>
      </w:r>
      <w:r>
        <w:rPr>
          <w:rFonts w:hint="eastAsia" w:ascii="仿宋" w:hAnsi="仿宋" w:eastAsia="仿宋" w:cs="仿宋"/>
          <w:color w:val="000000"/>
          <w:spacing w:val="-11"/>
          <w:sz w:val="28"/>
          <w:szCs w:val="28"/>
          <w:shd w:val="clear" w:color="auto" w:fill="FFFFFF"/>
        </w:rPr>
        <w:t>月</w:t>
      </w:r>
      <w:r>
        <w:rPr>
          <w:rFonts w:hint="eastAsia" w:ascii="仿宋" w:hAnsi="仿宋" w:eastAsia="仿宋" w:cs="仿宋"/>
          <w:color w:val="000000"/>
          <w:spacing w:val="-11"/>
          <w:sz w:val="28"/>
          <w:szCs w:val="28"/>
          <w:shd w:val="clear" w:color="auto" w:fill="FFFFFF"/>
          <w:lang w:val="en-US" w:eastAsia="zh-CN"/>
        </w:rPr>
        <w:t>9</w:t>
      </w:r>
      <w:r>
        <w:rPr>
          <w:rFonts w:hint="eastAsia" w:ascii="仿宋" w:hAnsi="仿宋" w:eastAsia="仿宋" w:cs="仿宋"/>
          <w:color w:val="000000"/>
          <w:spacing w:val="-11"/>
          <w:sz w:val="28"/>
          <w:szCs w:val="28"/>
          <w:shd w:val="clear" w:color="auto" w:fill="FFFFFF"/>
        </w:rPr>
        <w:t>日核发的《律师事务所</w:t>
      </w:r>
      <w:r>
        <w:rPr>
          <w:rFonts w:hint="eastAsia" w:ascii="仿宋" w:hAnsi="仿宋" w:eastAsia="仿宋" w:cs="仿宋"/>
          <w:color w:val="000000"/>
          <w:spacing w:val="-11"/>
          <w:sz w:val="28"/>
          <w:szCs w:val="28"/>
          <w:shd w:val="clear" w:color="auto" w:fill="FFFFFF"/>
          <w:lang w:val="en-US" w:eastAsia="zh-CN"/>
        </w:rPr>
        <w:t>分所</w:t>
      </w:r>
      <w:r>
        <w:rPr>
          <w:rFonts w:hint="eastAsia" w:ascii="仿宋" w:hAnsi="仿宋" w:eastAsia="仿宋" w:cs="仿宋"/>
          <w:color w:val="000000"/>
          <w:spacing w:val="-11"/>
          <w:sz w:val="28"/>
          <w:szCs w:val="28"/>
          <w:shd w:val="clear" w:color="auto" w:fill="FFFFFF"/>
        </w:rPr>
        <w:t>执业许可证》，统一社会信用代码为: 31140000</w:t>
      </w:r>
      <w:r>
        <w:rPr>
          <w:rFonts w:hint="eastAsia" w:ascii="仿宋" w:hAnsi="仿宋" w:eastAsia="仿宋" w:cs="仿宋"/>
          <w:color w:val="000000"/>
          <w:spacing w:val="-11"/>
          <w:sz w:val="28"/>
          <w:szCs w:val="28"/>
          <w:shd w:val="clear" w:color="auto" w:fill="FFFFFF"/>
          <w:lang w:val="en-US" w:eastAsia="zh-CN"/>
        </w:rPr>
        <w:t>MD0363589N</w:t>
      </w:r>
      <w:r>
        <w:rPr>
          <w:rFonts w:hint="eastAsia" w:ascii="仿宋" w:hAnsi="仿宋" w:eastAsia="仿宋" w:cs="仿宋"/>
          <w:color w:val="000000"/>
          <w:spacing w:val="-11"/>
          <w:sz w:val="28"/>
          <w:szCs w:val="28"/>
          <w:shd w:val="clear" w:color="auto" w:fill="FFFFFF"/>
        </w:rPr>
        <w:t>，并依法向山西省司法厅上报年度执业情况，年度检查考核合格。</w:t>
      </w:r>
    </w:p>
    <w:p w14:paraId="709795DE">
      <w:pPr>
        <w:pStyle w:val="9"/>
        <w:adjustRightInd w:val="0"/>
        <w:snapToGrid w:val="0"/>
        <w:spacing w:before="156" w:beforeLines="50" w:after="156" w:afterLines="50" w:line="500" w:lineRule="exact"/>
        <w:ind w:firstLine="562"/>
        <w:rPr>
          <w:rFonts w:ascii="仿宋" w:hAnsi="仿宋" w:eastAsia="仿宋" w:cs="仿宋"/>
          <w:sz w:val="28"/>
          <w:szCs w:val="28"/>
        </w:rPr>
      </w:pPr>
      <w:r>
        <w:rPr>
          <w:rFonts w:hint="eastAsia" w:ascii="仿宋" w:hAnsi="仿宋" w:eastAsia="仿宋" w:cs="仿宋"/>
          <w:b/>
          <w:bCs/>
          <w:sz w:val="28"/>
          <w:szCs w:val="28"/>
          <w:u w:val="single"/>
        </w:rPr>
        <w:t>据此，本所律师认为：</w:t>
      </w:r>
      <w:r>
        <w:rPr>
          <w:rFonts w:hint="eastAsia" w:ascii="仿宋" w:hAnsi="仿宋" w:eastAsia="仿宋" w:cs="仿宋"/>
          <w:sz w:val="28"/>
          <w:szCs w:val="28"/>
        </w:rPr>
        <w:t>山西中吕</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临汾</w:t>
      </w:r>
      <w:r>
        <w:rPr>
          <w:rFonts w:hint="eastAsia" w:ascii="仿宋" w:hAnsi="仿宋" w:eastAsia="仿宋" w:cs="仿宋"/>
          <w:sz w:val="28"/>
          <w:szCs w:val="28"/>
          <w:lang w:eastAsia="zh-CN"/>
        </w:rPr>
        <w:t>）</w:t>
      </w:r>
      <w:r>
        <w:rPr>
          <w:rFonts w:hint="eastAsia" w:ascii="仿宋" w:hAnsi="仿宋" w:eastAsia="仿宋" w:cs="仿宋"/>
          <w:sz w:val="28"/>
          <w:szCs w:val="28"/>
        </w:rPr>
        <w:t>律师事务所系依法批准设立并合法存续的律师事务所，具备为专项债券项目出具《法律意见书》的资格。在《法律意见书》签字的两名执业律师具备相应的执业资格。</w:t>
      </w:r>
    </w:p>
    <w:p w14:paraId="6BB8C016">
      <w:pPr>
        <w:pStyle w:val="5"/>
        <w:adjustRightInd w:val="0"/>
        <w:snapToGrid w:val="0"/>
        <w:spacing w:before="156" w:beforeLines="50" w:beforeAutospacing="0" w:after="156" w:afterLines="50" w:afterAutospacing="0" w:line="500" w:lineRule="exact"/>
        <w:ind w:firstLine="643" w:firstLineChars="200"/>
        <w:rPr>
          <w:rFonts w:hint="default" w:ascii="黑体" w:hAnsi="黑体" w:eastAsia="黑体" w:cs="黑体"/>
          <w:sz w:val="32"/>
          <w:szCs w:val="32"/>
        </w:rPr>
      </w:pPr>
      <w:bookmarkStart w:id="72" w:name="_Toc144380189"/>
      <w:r>
        <w:rPr>
          <w:rFonts w:ascii="黑体" w:hAnsi="黑体" w:eastAsia="黑体" w:cs="黑体"/>
          <w:sz w:val="32"/>
          <w:szCs w:val="32"/>
        </w:rPr>
        <w:t>五、结论性意见</w:t>
      </w:r>
      <w:bookmarkEnd w:id="63"/>
      <w:bookmarkEnd w:id="72"/>
    </w:p>
    <w:p w14:paraId="196C36A1">
      <w:pPr>
        <w:adjustRightInd w:val="0"/>
        <w:snapToGrid w:val="0"/>
        <w:spacing w:before="156" w:beforeLines="50" w:after="156" w:afterLines="50" w:line="500" w:lineRule="exact"/>
        <w:ind w:firstLine="560" w:firstLineChars="200"/>
        <w:rPr>
          <w:rFonts w:ascii="仿宋" w:hAnsi="仿宋" w:eastAsia="仿宋" w:cs="仿宋"/>
          <w:sz w:val="28"/>
          <w:szCs w:val="28"/>
        </w:rPr>
      </w:pPr>
      <w:r>
        <w:rPr>
          <w:rFonts w:hint="eastAsia" w:ascii="仿宋" w:hAnsi="仿宋" w:eastAsia="仿宋" w:cs="仿宋"/>
          <w:sz w:val="28"/>
          <w:szCs w:val="28"/>
        </w:rPr>
        <w:t>综上所述，本所律师认为：</w:t>
      </w:r>
    </w:p>
    <w:p w14:paraId="556C0F1B">
      <w:pPr>
        <w:adjustRightInd w:val="0"/>
        <w:snapToGrid w:val="0"/>
        <w:spacing w:before="156" w:beforeLines="50" w:after="156" w:afterLines="50" w:line="500" w:lineRule="exact"/>
        <w:ind w:firstLine="560" w:firstLineChars="200"/>
        <w:rPr>
          <w:rFonts w:ascii="仿宋" w:hAnsi="仿宋" w:eastAsia="仿宋" w:cs="仿宋"/>
          <w:sz w:val="28"/>
          <w:szCs w:val="28"/>
        </w:rPr>
      </w:pPr>
      <w:r>
        <w:rPr>
          <w:rFonts w:hint="eastAsia" w:ascii="仿宋" w:hAnsi="仿宋" w:eastAsia="仿宋" w:cs="仿宋"/>
          <w:sz w:val="28"/>
          <w:szCs w:val="28"/>
        </w:rPr>
        <w:t>1、</w:t>
      </w:r>
      <w:r>
        <w:rPr>
          <w:rFonts w:hint="eastAsia" w:ascii="仿宋" w:hAnsi="仿宋" w:eastAsia="仿宋" w:cs="仿宋"/>
          <w:color w:val="000000"/>
          <w:sz w:val="28"/>
          <w:szCs w:val="28"/>
          <w:shd w:val="clear" w:color="auto" w:fill="FFFFFF"/>
          <w:lang w:eastAsia="zh-CN"/>
        </w:rPr>
        <w:t>蒲县住房和城乡建设管理局</w:t>
      </w:r>
      <w:r>
        <w:rPr>
          <w:rFonts w:hint="eastAsia" w:ascii="仿宋" w:hAnsi="仿宋" w:eastAsia="仿宋" w:cs="仿宋"/>
          <w:color w:val="000000"/>
          <w:sz w:val="28"/>
          <w:szCs w:val="28"/>
          <w:shd w:val="clear" w:color="auto" w:fill="FFFFFF"/>
        </w:rPr>
        <w:t>作为</w:t>
      </w:r>
      <w:r>
        <w:rPr>
          <w:rFonts w:hint="eastAsia" w:ascii="仿宋" w:hAnsi="仿宋" w:eastAsia="仿宋" w:cs="仿宋"/>
          <w:sz w:val="28"/>
          <w:szCs w:val="28"/>
        </w:rPr>
        <w:t>本项目的实施主体</w:t>
      </w:r>
      <w:r>
        <w:rPr>
          <w:rFonts w:hint="eastAsia" w:ascii="仿宋" w:hAnsi="仿宋" w:eastAsia="仿宋" w:cs="仿宋"/>
          <w:color w:val="000000"/>
          <w:sz w:val="28"/>
          <w:szCs w:val="28"/>
          <w:shd w:val="clear" w:color="auto" w:fill="FFFFFF"/>
        </w:rPr>
        <w:t>，是依法设立并有效存续的机关法人，具有独立法人资格，具备项目实施主体资格</w:t>
      </w:r>
      <w:r>
        <w:rPr>
          <w:rFonts w:hint="eastAsia" w:ascii="仿宋" w:hAnsi="仿宋" w:eastAsia="仿宋" w:cs="仿宋"/>
          <w:sz w:val="28"/>
          <w:szCs w:val="28"/>
        </w:rPr>
        <w:t>。</w:t>
      </w:r>
    </w:p>
    <w:p w14:paraId="61B6B0C9">
      <w:pPr>
        <w:adjustRightInd w:val="0"/>
        <w:snapToGrid w:val="0"/>
        <w:spacing w:before="156" w:beforeLines="50" w:after="156" w:afterLines="50" w:line="500" w:lineRule="exact"/>
        <w:ind w:firstLine="560" w:firstLineChars="200"/>
        <w:rPr>
          <w:rFonts w:ascii="仿宋" w:hAnsi="仿宋" w:eastAsia="仿宋" w:cs="仿宋"/>
          <w:color w:val="000000" w:themeColor="text1"/>
          <w:sz w:val="28"/>
          <w:szCs w:val="28"/>
          <w:shd w:val="clear" w:color="auto" w:fill="FFFFFF"/>
          <w14:textFill>
            <w14:solidFill>
              <w14:schemeClr w14:val="tx1"/>
            </w14:solidFill>
          </w14:textFill>
        </w:rPr>
      </w:pPr>
      <w:r>
        <w:rPr>
          <w:rFonts w:hint="eastAsia" w:ascii="仿宋" w:hAnsi="仿宋" w:eastAsia="仿宋" w:cs="仿宋"/>
          <w:sz w:val="28"/>
          <w:szCs w:val="28"/>
        </w:rPr>
        <w:t>2、</w:t>
      </w:r>
      <w:r>
        <w:rPr>
          <w:rFonts w:hint="eastAsia" w:ascii="仿宋" w:hAnsi="仿宋" w:eastAsia="仿宋" w:cs="仿宋"/>
          <w:sz w:val="28"/>
          <w:szCs w:val="28"/>
          <w:lang w:eastAsia="zh-CN"/>
        </w:rPr>
        <w:t>蒲县智慧停车升级改造项目</w:t>
      </w:r>
      <w:r>
        <w:rPr>
          <w:rFonts w:hint="eastAsia" w:ascii="仿宋" w:hAnsi="仿宋" w:eastAsia="仿宋" w:cs="仿宋"/>
          <w:sz w:val="28"/>
          <w:szCs w:val="28"/>
          <w:lang w:eastAsia="zh-Hans"/>
        </w:rPr>
        <w:t>属于</w:t>
      </w:r>
      <w:r>
        <w:rPr>
          <w:rFonts w:hint="eastAsia" w:ascii="仿宋" w:hAnsi="仿宋" w:eastAsia="仿宋" w:cs="仿宋"/>
          <w:sz w:val="28"/>
          <w:szCs w:val="28"/>
          <w:lang w:val="en-US" w:eastAsia="zh-CN"/>
        </w:rPr>
        <w:t>交通</w:t>
      </w:r>
      <w:r>
        <w:rPr>
          <w:rFonts w:hint="eastAsia" w:ascii="仿宋" w:hAnsi="仿宋" w:eastAsia="仿宋" w:cs="仿宋"/>
          <w:color w:val="auto"/>
          <w:sz w:val="28"/>
          <w:szCs w:val="28"/>
          <w:lang w:val="en-US" w:eastAsia="zh-CN"/>
        </w:rPr>
        <w:t>基础设施</w:t>
      </w:r>
      <w:r>
        <w:rPr>
          <w:rFonts w:hint="eastAsia" w:ascii="仿宋" w:hAnsi="仿宋" w:eastAsia="仿宋" w:cs="仿宋"/>
          <w:color w:val="auto"/>
          <w:sz w:val="28"/>
          <w:szCs w:val="28"/>
          <w:lang w:eastAsia="zh-Hans"/>
        </w:rPr>
        <w:t>领域项目</w:t>
      </w:r>
      <w:r>
        <w:rPr>
          <w:rFonts w:hint="eastAsia" w:ascii="仿宋" w:hAnsi="仿宋" w:eastAsia="仿宋" w:cs="仿宋"/>
          <w:sz w:val="28"/>
          <w:szCs w:val="28"/>
          <w:lang w:eastAsia="zh-Hans"/>
        </w:rPr>
        <w:t>，</w:t>
      </w:r>
      <w:r>
        <w:rPr>
          <w:rFonts w:hint="eastAsia" w:ascii="仿宋" w:hAnsi="仿宋" w:eastAsia="仿宋" w:cs="仿宋"/>
          <w:color w:val="000000"/>
          <w:sz w:val="28"/>
          <w:szCs w:val="28"/>
          <w:shd w:val="clear" w:color="auto" w:fill="FFFFFF"/>
        </w:rPr>
        <w:t>符合</w:t>
      </w:r>
      <w:r>
        <w:rPr>
          <w:rFonts w:hint="eastAsia" w:ascii="仿宋" w:hAnsi="仿宋" w:eastAsia="仿宋" w:cs="仿宋"/>
          <w:sz w:val="28"/>
          <w:szCs w:val="28"/>
        </w:rPr>
        <w:t>《山西省人民政府关于印发&lt;山西省政府专项债券管理暂行办法&gt;的通知》</w:t>
      </w:r>
      <w:r>
        <w:rPr>
          <w:rFonts w:hint="eastAsia" w:ascii="仿宋" w:hAnsi="仿宋" w:eastAsia="仿宋" w:cs="仿宋"/>
          <w:color w:val="000000"/>
          <w:sz w:val="28"/>
          <w:szCs w:val="28"/>
          <w:shd w:val="clear" w:color="auto" w:fill="FFFFFF"/>
        </w:rPr>
        <w:t>关于政府专项债券支持的项目范围。项目已取得</w:t>
      </w:r>
      <w:r>
        <w:rPr>
          <w:rFonts w:hint="eastAsia" w:ascii="仿宋" w:hAnsi="仿宋" w:eastAsia="仿宋" w:cs="仿宋"/>
          <w:color w:val="000000"/>
          <w:sz w:val="28"/>
          <w:szCs w:val="28"/>
          <w:shd w:val="clear" w:color="auto" w:fill="FFFFFF"/>
          <w:lang w:eastAsia="zh-CN"/>
        </w:rPr>
        <w:t>《关于蒲县智慧停车升级改造项目可行性研究报告（</w:t>
      </w:r>
      <w:r>
        <w:rPr>
          <w:rFonts w:hint="eastAsia" w:ascii="仿宋" w:hAnsi="仿宋" w:eastAsia="仿宋" w:cs="仿宋"/>
          <w:color w:val="000000"/>
          <w:sz w:val="28"/>
          <w:szCs w:val="28"/>
          <w:shd w:val="clear" w:color="auto" w:fill="FFFFFF"/>
          <w:lang w:val="en-US" w:eastAsia="zh-CN"/>
        </w:rPr>
        <w:t>代项目建议书</w:t>
      </w:r>
      <w:r>
        <w:rPr>
          <w:rFonts w:hint="eastAsia" w:ascii="仿宋" w:hAnsi="仿宋" w:eastAsia="仿宋" w:cs="仿宋"/>
          <w:color w:val="000000"/>
          <w:sz w:val="28"/>
          <w:szCs w:val="28"/>
          <w:shd w:val="clear" w:color="auto" w:fill="FFFFFF"/>
          <w:lang w:eastAsia="zh-CN"/>
        </w:rPr>
        <w:t>）的批复》</w:t>
      </w:r>
      <w:r>
        <w:rPr>
          <w:rFonts w:hint="eastAsia" w:ascii="仿宋" w:hAnsi="仿宋" w:eastAsia="仿宋" w:cs="仿宋"/>
          <w:sz w:val="28"/>
          <w:szCs w:val="28"/>
        </w:rPr>
        <w:t>，</w:t>
      </w:r>
      <w:r>
        <w:rPr>
          <w:rFonts w:hint="eastAsia" w:ascii="仿宋" w:hAnsi="仿宋" w:eastAsia="仿宋" w:cs="仿宋"/>
          <w:kern w:val="0"/>
          <w:sz w:val="28"/>
          <w:szCs w:val="28"/>
        </w:rPr>
        <w:t>《关于</w:t>
      </w:r>
      <w:r>
        <w:rPr>
          <w:rFonts w:hint="eastAsia" w:ascii="仿宋" w:hAnsi="仿宋" w:eastAsia="仿宋" w:cs="仿宋"/>
          <w:color w:val="000000"/>
          <w:kern w:val="0"/>
          <w:sz w:val="28"/>
          <w:szCs w:val="28"/>
        </w:rPr>
        <w:t>蒲县智慧停车升级改造</w:t>
      </w:r>
      <w:r>
        <w:rPr>
          <w:rFonts w:hint="eastAsia" w:ascii="仿宋" w:hAnsi="仿宋" w:eastAsia="仿宋" w:cs="仿宋"/>
          <w:color w:val="000000"/>
          <w:kern w:val="0"/>
          <w:sz w:val="28"/>
          <w:szCs w:val="28"/>
          <w:lang w:val="en-US" w:eastAsia="zh-CN"/>
        </w:rPr>
        <w:t>项目用地意见的情况说明</w:t>
      </w:r>
      <w:r>
        <w:rPr>
          <w:rFonts w:hint="eastAsia" w:ascii="仿宋" w:hAnsi="仿宋" w:eastAsia="仿宋" w:cs="仿宋"/>
          <w:kern w:val="0"/>
          <w:sz w:val="28"/>
          <w:szCs w:val="28"/>
        </w:rPr>
        <w:t>》</w:t>
      </w:r>
      <w:r>
        <w:rPr>
          <w:rFonts w:hint="eastAsia" w:ascii="仿宋" w:hAnsi="仿宋" w:eastAsia="仿宋" w:cs="仿宋"/>
          <w:kern w:val="0"/>
          <w:sz w:val="28"/>
          <w:szCs w:val="28"/>
          <w:lang w:eastAsia="zh-CN"/>
        </w:rPr>
        <w:t>，</w:t>
      </w:r>
      <w:r>
        <w:rPr>
          <w:rFonts w:hint="eastAsia" w:ascii="仿宋" w:hAnsi="仿宋" w:eastAsia="仿宋" w:cs="仿宋"/>
          <w:sz w:val="28"/>
          <w:szCs w:val="28"/>
        </w:rPr>
        <w:t>项目现有手续符合相关法律规定。需要注意的是，</w:t>
      </w:r>
      <w:r>
        <w:rPr>
          <w:rFonts w:hint="eastAsia" w:ascii="仿宋" w:hAnsi="仿宋" w:eastAsia="仿宋" w:cs="仿宋"/>
          <w:color w:val="000000" w:themeColor="text1"/>
          <w:sz w:val="28"/>
          <w:szCs w:val="28"/>
          <w14:textFill>
            <w14:solidFill>
              <w14:schemeClr w14:val="tx1"/>
            </w14:solidFill>
          </w14:textFill>
        </w:rPr>
        <w:t>项目应</w:t>
      </w:r>
      <w:r>
        <w:rPr>
          <w:rFonts w:hint="eastAsia" w:ascii="仿宋" w:hAnsi="仿宋" w:eastAsia="仿宋" w:cs="仿宋"/>
          <w:sz w:val="28"/>
          <w:szCs w:val="28"/>
        </w:rPr>
        <w:t>按相关法律规定规定办理初步设计批复、环评、施工许可等手续，并按法律要求及项目手续要求推进开发建设工作。</w:t>
      </w:r>
    </w:p>
    <w:p w14:paraId="1956926D">
      <w:pPr>
        <w:pStyle w:val="8"/>
        <w:adjustRightInd w:val="0"/>
        <w:snapToGrid w:val="0"/>
        <w:spacing w:before="156" w:beforeLines="50" w:after="156" w:afterLines="50" w:line="500" w:lineRule="exact"/>
        <w:ind w:firstLine="560" w:firstLineChars="200"/>
        <w:jc w:val="both"/>
        <w:rPr>
          <w:rFonts w:ascii="仿宋" w:hAnsi="仿宋" w:eastAsia="仿宋" w:cs="仿宋"/>
          <w:color w:val="000000" w:themeColor="text1"/>
          <w:sz w:val="28"/>
          <w:szCs w:val="28"/>
          <w:shd w:val="clear" w:color="auto" w:fill="FFFFFF"/>
          <w14:textFill>
            <w14:solidFill>
              <w14:schemeClr w14:val="tx1"/>
            </w14:solidFill>
          </w14:textFill>
        </w:rPr>
      </w:pPr>
      <w:r>
        <w:rPr>
          <w:rFonts w:hint="eastAsia" w:ascii="仿宋" w:hAnsi="仿宋" w:eastAsia="仿宋" w:cs="仿宋"/>
          <w:color w:val="000000" w:themeColor="text1"/>
          <w:sz w:val="28"/>
          <w:szCs w:val="28"/>
          <w:shd w:val="clear" w:color="auto" w:fill="FFFFFF"/>
          <w14:textFill>
            <w14:solidFill>
              <w14:schemeClr w14:val="tx1"/>
            </w14:solidFill>
          </w14:textFill>
        </w:rPr>
        <w:t>3、项目资金筹资需求已作做计划安排，筹资渠道合法合规；</w:t>
      </w:r>
      <w:r>
        <w:rPr>
          <w:rFonts w:hint="eastAsia" w:ascii="仿宋" w:hAnsi="仿宋" w:eastAsia="仿宋" w:cs="仿宋"/>
          <w:color w:val="000000" w:themeColor="text1"/>
          <w:sz w:val="28"/>
          <w:szCs w:val="28"/>
          <w:shd w:val="clear" w:color="auto" w:fill="FFFFFF"/>
          <w:lang w:val="en-US" w:eastAsia="zh-CN"/>
          <w14:textFill>
            <w14:solidFill>
              <w14:schemeClr w14:val="tx1"/>
            </w14:solidFill>
          </w14:textFill>
        </w:rPr>
        <w:t>本项目</w:t>
      </w:r>
      <w:r>
        <w:rPr>
          <w:rFonts w:hint="eastAsia" w:ascii="仿宋" w:hAnsi="仿宋" w:eastAsia="仿宋" w:cs="仿宋"/>
          <w:kern w:val="0"/>
          <w:sz w:val="28"/>
          <w:szCs w:val="28"/>
        </w:rPr>
        <w:t>建设完成后的</w:t>
      </w:r>
      <w:r>
        <w:rPr>
          <w:rFonts w:hint="eastAsia" w:ascii="仿宋" w:hAnsi="仿宋" w:eastAsia="仿宋" w:cs="仿宋"/>
          <w:sz w:val="28"/>
          <w:szCs w:val="32"/>
        </w:rPr>
        <w:t>停车泊位收入、广告位出租收入、通信基站挂载服务费</w:t>
      </w:r>
      <w:r>
        <w:rPr>
          <w:rFonts w:hint="eastAsia" w:ascii="仿宋" w:hAnsi="仿宋" w:eastAsia="仿宋" w:cs="仿宋"/>
          <w:sz w:val="28"/>
          <w:szCs w:val="32"/>
          <w:lang w:val="en-US" w:eastAsia="zh-CN"/>
        </w:rPr>
        <w:t>及数据推送服务的收入</w:t>
      </w:r>
      <w:r>
        <w:rPr>
          <w:rFonts w:hint="eastAsia" w:ascii="仿宋" w:hAnsi="仿宋" w:eastAsia="仿宋" w:cs="仿宋"/>
          <w:sz w:val="28"/>
          <w:szCs w:val="28"/>
          <w:shd w:val="clear" w:color="auto" w:fill="FFFFFF"/>
        </w:rPr>
        <w:t>，可以作为项目收益来源。</w:t>
      </w:r>
      <w:r>
        <w:rPr>
          <w:rFonts w:hint="eastAsia" w:ascii="仿宋" w:hAnsi="仿宋" w:eastAsia="仿宋" w:cs="仿宋"/>
          <w:color w:val="000000" w:themeColor="text1"/>
          <w:sz w:val="28"/>
          <w:szCs w:val="28"/>
          <w:shd w:val="clear" w:color="auto" w:fill="FFFFFF"/>
          <w14:textFill>
            <w14:solidFill>
              <w14:schemeClr w14:val="tx1"/>
            </w14:solidFill>
          </w14:textFill>
        </w:rPr>
        <w:t>需要注意的是市场因素、政策因素均有可能对项目实施主体收取前述收入产生影响。</w:t>
      </w:r>
    </w:p>
    <w:p w14:paraId="1443A19D">
      <w:pPr>
        <w:pStyle w:val="8"/>
        <w:adjustRightInd w:val="0"/>
        <w:snapToGrid w:val="0"/>
        <w:spacing w:before="156" w:beforeLines="50" w:after="156" w:afterLines="50" w:line="500" w:lineRule="exact"/>
        <w:ind w:firstLine="560" w:firstLineChars="200"/>
        <w:jc w:val="both"/>
        <w:rPr>
          <w:rFonts w:ascii="仿宋" w:hAnsi="仿宋" w:eastAsia="仿宋" w:cs="仿宋"/>
          <w:sz w:val="28"/>
          <w:szCs w:val="28"/>
        </w:rPr>
      </w:pPr>
      <w:r>
        <w:rPr>
          <w:rFonts w:ascii="仿宋" w:hAnsi="仿宋" w:eastAsia="仿宋" w:cs="仿宋"/>
          <w:color w:val="000000" w:themeColor="text1"/>
          <w:sz w:val="28"/>
          <w:szCs w:val="28"/>
          <w:shd w:val="clear" w:color="auto" w:fill="FFFFFF"/>
          <w14:textFill>
            <w14:solidFill>
              <w14:schemeClr w14:val="tx1"/>
            </w14:solidFill>
          </w14:textFill>
        </w:rPr>
        <w:t>4</w:t>
      </w:r>
      <w:r>
        <w:rPr>
          <w:rFonts w:hint="eastAsia" w:ascii="仿宋" w:hAnsi="仿宋" w:eastAsia="仿宋" w:cs="仿宋"/>
          <w:color w:val="000000" w:themeColor="text1"/>
          <w:sz w:val="28"/>
          <w:szCs w:val="28"/>
          <w:shd w:val="clear" w:color="auto" w:fill="FFFFFF"/>
          <w14:textFill>
            <w14:solidFill>
              <w14:schemeClr w14:val="tx1"/>
            </w14:solidFill>
          </w14:textFill>
        </w:rPr>
        <w:t>、</w:t>
      </w:r>
      <w:r>
        <w:rPr>
          <w:rFonts w:hint="eastAsia" w:ascii="仿宋" w:hAnsi="仿宋" w:eastAsia="仿宋" w:cs="仿宋"/>
          <w:sz w:val="28"/>
          <w:szCs w:val="28"/>
        </w:rPr>
        <w:t>依据《评估报告》的结论，本项目具有稳定、充足的预期偿债资金来源，对应的收入能够保障偿还债券本金和利息，实现项目收益和融资自求平衡。</w:t>
      </w:r>
    </w:p>
    <w:p w14:paraId="7831BEB9">
      <w:pPr>
        <w:adjustRightInd w:val="0"/>
        <w:snapToGrid w:val="0"/>
        <w:spacing w:before="156" w:beforeLines="50" w:after="156" w:afterLines="50" w:line="500" w:lineRule="exact"/>
        <w:ind w:firstLine="560" w:firstLineChars="200"/>
        <w:rPr>
          <w:rFonts w:ascii="仿宋" w:hAnsi="仿宋" w:eastAsia="仿宋" w:cs="仿宋"/>
          <w:color w:val="000000"/>
          <w:sz w:val="28"/>
          <w:szCs w:val="28"/>
          <w:shd w:val="clear" w:color="auto" w:fill="FFFFFF"/>
        </w:rPr>
      </w:pPr>
      <w:r>
        <w:rPr>
          <w:rFonts w:ascii="仿宋" w:hAnsi="仿宋" w:eastAsia="仿宋" w:cs="仿宋"/>
          <w:sz w:val="28"/>
          <w:szCs w:val="28"/>
        </w:rPr>
        <w:t>5</w:t>
      </w:r>
      <w:r>
        <w:rPr>
          <w:rFonts w:hint="eastAsia" w:ascii="仿宋" w:hAnsi="仿宋" w:eastAsia="仿宋" w:cs="仿宋"/>
          <w:sz w:val="28"/>
          <w:szCs w:val="28"/>
        </w:rPr>
        <w:t>、为本项目提供服务的财务评估机构、法律顾问机构均具备相应的从业资格。</w:t>
      </w:r>
      <w:r>
        <w:rPr>
          <w:rFonts w:hint="eastAsia" w:ascii="仿宋" w:hAnsi="仿宋" w:eastAsia="仿宋" w:cs="仿宋"/>
          <w:color w:val="000000"/>
          <w:sz w:val="28"/>
          <w:szCs w:val="28"/>
          <w:shd w:val="clear" w:color="auto" w:fill="FFFFFF"/>
        </w:rPr>
        <w:br w:type="page"/>
      </w:r>
    </w:p>
    <w:p w14:paraId="556F57CE">
      <w:pPr>
        <w:pStyle w:val="9"/>
        <w:spacing w:before="0" w:after="0" w:line="360" w:lineRule="auto"/>
        <w:ind w:firstLineChars="0"/>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（以下无正文，签字页）</w:t>
      </w:r>
    </w:p>
    <w:p w14:paraId="3E9939EE">
      <w:pPr>
        <w:pStyle w:val="9"/>
        <w:spacing w:before="0" w:after="0" w:line="360" w:lineRule="auto"/>
        <w:ind w:firstLineChars="0"/>
        <w:rPr>
          <w:rFonts w:ascii="仿宋" w:hAnsi="仿宋" w:eastAsia="仿宋" w:cs="仿宋"/>
          <w:color w:val="000000"/>
          <w:sz w:val="28"/>
          <w:szCs w:val="28"/>
          <w:shd w:val="clear" w:color="auto" w:fill="FFFFFF"/>
        </w:rPr>
      </w:pPr>
    </w:p>
    <w:p w14:paraId="4D383A5C">
      <w:pPr>
        <w:spacing w:line="600" w:lineRule="exact"/>
        <w:ind w:firstLine="560"/>
        <w:jc w:val="left"/>
        <w:rPr>
          <w:rFonts w:ascii="仿宋" w:hAnsi="仿宋" w:eastAsia="仿宋" w:cs="仿宋"/>
          <w:sz w:val="28"/>
          <w:szCs w:val="28"/>
        </w:rPr>
      </w:pPr>
      <w:r>
        <w:rPr>
          <w:rFonts w:hint="eastAsia" w:ascii="仿宋" w:hAnsi="仿宋" w:eastAsia="仿宋" w:cs="仿宋"/>
          <w:sz w:val="28"/>
          <w:szCs w:val="28"/>
        </w:rPr>
        <w:t>本法律意见书自加盖本所公章及经办律师签字后生效。本法律意 见书正本一式伍份，本所留存壹份，其余肆份供项目拟募投专项债券之目的使用，未经本所律师事先书面同意，不得被其他任何人士用于其他任何目的。</w:t>
      </w:r>
    </w:p>
    <w:p w14:paraId="04B54AA9">
      <w:pPr>
        <w:pStyle w:val="9"/>
        <w:spacing w:before="0" w:after="0" w:line="360" w:lineRule="auto"/>
        <w:ind w:firstLineChars="0"/>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 xml:space="preserve">     </w:t>
      </w:r>
    </w:p>
    <w:p w14:paraId="1D976158">
      <w:pPr>
        <w:pStyle w:val="9"/>
        <w:spacing w:before="0" w:after="0" w:line="360" w:lineRule="auto"/>
        <w:ind w:firstLineChars="0"/>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 xml:space="preserve">                                                    </w:t>
      </w:r>
    </w:p>
    <w:p w14:paraId="795E8343">
      <w:pPr>
        <w:pStyle w:val="9"/>
        <w:spacing w:before="0" w:after="0" w:line="360" w:lineRule="auto"/>
        <w:ind w:firstLineChars="0"/>
        <w:rPr>
          <w:rFonts w:ascii="仿宋" w:hAnsi="仿宋" w:eastAsia="仿宋" w:cs="仿宋"/>
          <w:color w:val="000000"/>
          <w:sz w:val="28"/>
          <w:szCs w:val="28"/>
          <w:shd w:val="clear" w:color="auto" w:fill="FFFFFF"/>
        </w:rPr>
      </w:pPr>
    </w:p>
    <w:p w14:paraId="2C24AED4">
      <w:pPr>
        <w:spacing w:line="600" w:lineRule="exact"/>
        <w:jc w:val="left"/>
        <w:rPr>
          <w:rFonts w:ascii="仿宋" w:hAnsi="仿宋" w:eastAsia="仿宋" w:cs="仿宋"/>
          <w:sz w:val="28"/>
          <w:szCs w:val="28"/>
          <w:u w:val="single"/>
        </w:rPr>
      </w:pPr>
      <w:r>
        <w:rPr>
          <w:rFonts w:hint="eastAsia" w:ascii="仿宋" w:hAnsi="仿宋" w:eastAsia="仿宋" w:cs="仿宋"/>
          <w:sz w:val="28"/>
          <w:szCs w:val="28"/>
        </w:rPr>
        <w:t>山西中吕</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临汾</w:t>
      </w:r>
      <w:r>
        <w:rPr>
          <w:rFonts w:hint="eastAsia" w:ascii="仿宋" w:hAnsi="仿宋" w:eastAsia="仿宋" w:cs="仿宋"/>
          <w:sz w:val="28"/>
          <w:szCs w:val="28"/>
          <w:lang w:eastAsia="zh-CN"/>
        </w:rPr>
        <w:t>）</w:t>
      </w:r>
      <w:r>
        <w:rPr>
          <w:rFonts w:hint="eastAsia" w:ascii="仿宋" w:hAnsi="仿宋" w:eastAsia="仿宋" w:cs="仿宋"/>
          <w:sz w:val="28"/>
          <w:szCs w:val="28"/>
        </w:rPr>
        <w:t>律师事务所                经办律师：</w:t>
      </w:r>
      <w:r>
        <w:rPr>
          <w:rFonts w:hint="eastAsia" w:ascii="仿宋" w:hAnsi="仿宋" w:eastAsia="仿宋" w:cs="仿宋"/>
          <w:sz w:val="28"/>
          <w:szCs w:val="28"/>
          <w:u w:val="single"/>
        </w:rPr>
        <w:t xml:space="preserve"> </w:t>
      </w:r>
      <w:r>
        <w:rPr>
          <w:rFonts w:hint="eastAsia" w:ascii="仿宋" w:hAnsi="仿宋" w:eastAsia="仿宋" w:cs="仿宋"/>
          <w:sz w:val="28"/>
          <w:szCs w:val="28"/>
          <w:u w:val="single"/>
          <w:lang w:val="en-US" w:eastAsia="zh-CN"/>
        </w:rPr>
        <w:t xml:space="preserve">     </w:t>
      </w:r>
      <w:r>
        <w:rPr>
          <w:rFonts w:hint="eastAsia" w:ascii="仿宋" w:hAnsi="仿宋" w:eastAsia="仿宋" w:cs="仿宋"/>
          <w:sz w:val="28"/>
          <w:szCs w:val="28"/>
          <w:u w:val="single"/>
        </w:rPr>
        <w:t xml:space="preserve">     </w:t>
      </w:r>
    </w:p>
    <w:p w14:paraId="065E8C1D">
      <w:pPr>
        <w:pStyle w:val="9"/>
        <w:ind w:firstLine="420"/>
      </w:pPr>
    </w:p>
    <w:p w14:paraId="68811871"/>
    <w:p w14:paraId="007F4D9A">
      <w:pPr>
        <w:spacing w:line="600" w:lineRule="exact"/>
        <w:jc w:val="left"/>
        <w:rPr>
          <w:u w:val="single"/>
        </w:rPr>
      </w:pPr>
      <w:r>
        <w:rPr>
          <w:rFonts w:hint="eastAsia" w:ascii="仿宋" w:hAnsi="仿宋" w:eastAsia="仿宋" w:cs="仿宋"/>
          <w:sz w:val="28"/>
          <w:szCs w:val="28"/>
        </w:rPr>
        <w:t xml:space="preserve"> 负责人：</w:t>
      </w:r>
      <w:r>
        <w:rPr>
          <w:rFonts w:hint="eastAsia" w:ascii="仿宋" w:hAnsi="仿宋" w:eastAsia="仿宋" w:cs="仿宋"/>
          <w:sz w:val="28"/>
          <w:szCs w:val="28"/>
          <w:u w:val="single"/>
        </w:rPr>
        <w:t xml:space="preserve"> </w:t>
      </w:r>
      <w:r>
        <w:rPr>
          <w:rFonts w:hint="eastAsia" w:ascii="仿宋" w:hAnsi="仿宋" w:eastAsia="仿宋" w:cs="仿宋"/>
          <w:sz w:val="28"/>
          <w:szCs w:val="28"/>
          <w:u w:val="single"/>
          <w:lang w:val="en-US" w:eastAsia="zh-CN"/>
        </w:rPr>
        <w:t xml:space="preserve">     </w:t>
      </w:r>
      <w:r>
        <w:rPr>
          <w:rFonts w:hint="eastAsia" w:ascii="仿宋" w:hAnsi="仿宋" w:eastAsia="仿宋" w:cs="仿宋"/>
          <w:sz w:val="28"/>
          <w:szCs w:val="28"/>
          <w:u w:val="single"/>
        </w:rPr>
        <w:t xml:space="preserve">   </w:t>
      </w:r>
      <w:r>
        <w:rPr>
          <w:rFonts w:hint="eastAsia" w:ascii="仿宋" w:hAnsi="仿宋" w:eastAsia="仿宋" w:cs="仿宋"/>
          <w:sz w:val="28"/>
          <w:szCs w:val="28"/>
        </w:rPr>
        <w:t xml:space="preserve">                        </w:t>
      </w:r>
      <w:r>
        <w:rPr>
          <w:rFonts w:hint="eastAsia" w:ascii="仿宋" w:hAnsi="仿宋" w:eastAsia="仿宋" w:cs="仿宋"/>
          <w:sz w:val="28"/>
          <w:szCs w:val="28"/>
          <w:lang w:val="en-US" w:eastAsia="zh-CN"/>
        </w:rPr>
        <w:t xml:space="preserve">     </w:t>
      </w:r>
      <w:r>
        <w:rPr>
          <w:rFonts w:hint="eastAsia" w:ascii="仿宋" w:hAnsi="仿宋" w:eastAsia="仿宋" w:cs="仿宋"/>
          <w:sz w:val="28"/>
          <w:szCs w:val="28"/>
        </w:rPr>
        <w:t xml:space="preserve"> </w:t>
      </w:r>
      <w:r>
        <w:rPr>
          <w:rFonts w:hint="eastAsia" w:ascii="仿宋" w:hAnsi="仿宋" w:eastAsia="仿宋" w:cs="仿宋"/>
          <w:sz w:val="28"/>
          <w:szCs w:val="28"/>
          <w:u w:val="single"/>
        </w:rPr>
        <w:t xml:space="preserve">  </w:t>
      </w:r>
      <w:r>
        <w:rPr>
          <w:rFonts w:hint="eastAsia" w:ascii="仿宋" w:hAnsi="仿宋" w:eastAsia="仿宋" w:cs="仿宋"/>
          <w:sz w:val="28"/>
          <w:szCs w:val="28"/>
          <w:u w:val="single"/>
          <w:lang w:val="en-US" w:eastAsia="zh-CN"/>
        </w:rPr>
        <w:t xml:space="preserve">   </w:t>
      </w:r>
      <w:r>
        <w:rPr>
          <w:rFonts w:hint="eastAsia" w:ascii="仿宋" w:hAnsi="仿宋" w:eastAsia="仿宋" w:cs="仿宋"/>
          <w:sz w:val="28"/>
          <w:szCs w:val="28"/>
          <w:u w:val="single"/>
        </w:rPr>
        <w:t xml:space="preserve">       </w:t>
      </w:r>
    </w:p>
    <w:p w14:paraId="6FAF0096">
      <w:pPr>
        <w:pStyle w:val="9"/>
        <w:spacing w:before="0" w:after="0" w:line="360" w:lineRule="auto"/>
        <w:ind w:firstLineChars="0"/>
        <w:rPr>
          <w:rFonts w:ascii="仿宋" w:hAnsi="仿宋" w:eastAsia="仿宋" w:cs="仿宋"/>
          <w:color w:val="000000"/>
          <w:sz w:val="28"/>
          <w:szCs w:val="28"/>
          <w:shd w:val="clear" w:color="auto" w:fill="FFFFFF"/>
        </w:rPr>
      </w:pPr>
    </w:p>
    <w:p w14:paraId="36C0BAA8">
      <w:pPr>
        <w:pStyle w:val="9"/>
        <w:spacing w:before="0" w:after="0" w:line="360" w:lineRule="auto"/>
        <w:ind w:firstLineChars="0"/>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 xml:space="preserve">                                                 </w:t>
      </w:r>
    </w:p>
    <w:p w14:paraId="658A0AD1">
      <w:pPr>
        <w:pStyle w:val="9"/>
        <w:spacing w:before="0" w:after="0" w:line="360" w:lineRule="auto"/>
        <w:ind w:firstLineChars="0"/>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 xml:space="preserve">                                                  </w:t>
      </w:r>
    </w:p>
    <w:p w14:paraId="0EB14683">
      <w:pPr>
        <w:pStyle w:val="9"/>
        <w:spacing w:before="0" w:after="0" w:line="360" w:lineRule="auto"/>
        <w:ind w:firstLineChars="0"/>
        <w:rPr>
          <w:rFonts w:ascii="仿宋" w:hAnsi="仿宋" w:eastAsia="仿宋" w:cs="仿宋"/>
          <w:color w:val="000000"/>
          <w:sz w:val="28"/>
          <w:szCs w:val="28"/>
          <w:shd w:val="clear" w:color="auto" w:fill="FFFFFF"/>
        </w:rPr>
      </w:pPr>
      <w:r>
        <w:rPr>
          <w:rFonts w:hint="eastAsia" w:ascii="仿宋" w:hAnsi="仿宋" w:eastAsia="仿宋" w:cs="仿宋"/>
          <w:color w:val="000000"/>
          <w:sz w:val="28"/>
          <w:szCs w:val="28"/>
          <w:shd w:val="clear" w:color="auto" w:fill="FFFFFF"/>
        </w:rPr>
        <w:t xml:space="preserve">                             </w:t>
      </w:r>
      <w:r>
        <w:rPr>
          <w:rFonts w:ascii="仿宋" w:hAnsi="仿宋" w:eastAsia="仿宋" w:cs="仿宋"/>
          <w:color w:val="000000"/>
          <w:sz w:val="28"/>
          <w:szCs w:val="28"/>
          <w:shd w:val="clear" w:color="auto" w:fill="FFFFFF"/>
        </w:rPr>
        <w:t xml:space="preserve">    </w:t>
      </w:r>
      <w:r>
        <w:rPr>
          <w:rFonts w:hint="eastAsia" w:ascii="仿宋" w:hAnsi="仿宋" w:eastAsia="仿宋" w:cs="仿宋"/>
          <w:color w:val="000000"/>
          <w:sz w:val="28"/>
          <w:szCs w:val="28"/>
          <w:shd w:val="clear" w:color="auto" w:fill="FFFFFF"/>
        </w:rPr>
        <w:t xml:space="preserve">     </w:t>
      </w:r>
      <w:r>
        <w:rPr>
          <w:rFonts w:ascii="仿宋" w:hAnsi="仿宋" w:eastAsia="仿宋" w:cs="仿宋"/>
          <w:color w:val="000000"/>
          <w:sz w:val="28"/>
          <w:szCs w:val="28"/>
          <w:shd w:val="clear" w:color="auto" w:fill="FFFFFF"/>
        </w:rPr>
        <w:t>202</w:t>
      </w:r>
      <w:r>
        <w:rPr>
          <w:rFonts w:hint="eastAsia" w:ascii="仿宋" w:hAnsi="仿宋" w:eastAsia="仿宋" w:cs="仿宋"/>
          <w:color w:val="000000"/>
          <w:sz w:val="28"/>
          <w:szCs w:val="28"/>
          <w:shd w:val="clear" w:color="auto" w:fill="FFFFFF"/>
          <w:lang w:val="en-US" w:eastAsia="zh-CN"/>
        </w:rPr>
        <w:t>5</w:t>
      </w:r>
      <w:r>
        <w:rPr>
          <w:rFonts w:hint="eastAsia" w:ascii="仿宋" w:hAnsi="仿宋" w:eastAsia="仿宋" w:cs="仿宋"/>
          <w:color w:val="000000"/>
          <w:sz w:val="28"/>
          <w:szCs w:val="28"/>
          <w:shd w:val="clear" w:color="auto" w:fill="FFFFFF"/>
        </w:rPr>
        <w:t>年</w:t>
      </w:r>
      <w:r>
        <w:rPr>
          <w:rFonts w:hint="eastAsia" w:ascii="仿宋" w:hAnsi="仿宋" w:eastAsia="仿宋" w:cs="仿宋"/>
          <w:color w:val="000000"/>
          <w:sz w:val="28"/>
          <w:szCs w:val="28"/>
          <w:shd w:val="clear" w:color="auto" w:fill="FFFFFF"/>
          <w:lang w:val="en-US" w:eastAsia="zh-CN"/>
        </w:rPr>
        <w:t>7</w:t>
      </w:r>
      <w:r>
        <w:rPr>
          <w:rFonts w:hint="eastAsia" w:ascii="仿宋" w:hAnsi="仿宋" w:eastAsia="仿宋" w:cs="仿宋"/>
          <w:color w:val="000000"/>
          <w:sz w:val="28"/>
          <w:szCs w:val="28"/>
          <w:shd w:val="clear" w:color="auto" w:fill="FFFFFF"/>
        </w:rPr>
        <w:t>月</w:t>
      </w:r>
      <w:r>
        <w:rPr>
          <w:rFonts w:ascii="仿宋" w:hAnsi="仿宋" w:eastAsia="仿宋" w:cs="仿宋"/>
          <w:color w:val="000000"/>
          <w:sz w:val="28"/>
          <w:szCs w:val="28"/>
          <w:shd w:val="clear" w:color="auto" w:fill="FFFFFF"/>
        </w:rPr>
        <w:t xml:space="preserve"> </w:t>
      </w:r>
      <w:r>
        <w:rPr>
          <w:rFonts w:hint="eastAsia" w:ascii="仿宋" w:hAnsi="仿宋" w:eastAsia="仿宋" w:cs="仿宋"/>
          <w:color w:val="000000"/>
          <w:sz w:val="28"/>
          <w:szCs w:val="28"/>
          <w:shd w:val="clear" w:color="auto" w:fill="FFFFFF"/>
          <w:lang w:val="en-US" w:eastAsia="zh-CN"/>
        </w:rPr>
        <w:t xml:space="preserve"> </w:t>
      </w:r>
      <w:r>
        <w:rPr>
          <w:rFonts w:hint="eastAsia" w:ascii="仿宋" w:hAnsi="仿宋" w:eastAsia="仿宋" w:cs="仿宋"/>
          <w:color w:val="000000"/>
          <w:sz w:val="28"/>
          <w:szCs w:val="28"/>
          <w:shd w:val="clear" w:color="auto" w:fill="FFFFFF"/>
        </w:rPr>
        <w:t>日</w:t>
      </w:r>
    </w:p>
    <w:p w14:paraId="71A174B9">
      <w:pPr>
        <w:pStyle w:val="9"/>
        <w:spacing w:before="0" w:after="0" w:line="360" w:lineRule="auto"/>
        <w:ind w:firstLineChars="0"/>
        <w:rPr>
          <w:rFonts w:ascii="仿宋" w:hAnsi="仿宋" w:eastAsia="仿宋" w:cs="仿宋"/>
          <w:color w:val="000000"/>
          <w:sz w:val="28"/>
          <w:szCs w:val="28"/>
          <w:shd w:val="clear" w:color="auto" w:fill="FFFFFF"/>
        </w:rPr>
      </w:pPr>
    </w:p>
    <w:p w14:paraId="75C5E8A7">
      <w:pPr>
        <w:pStyle w:val="9"/>
        <w:spacing w:before="0" w:after="0" w:line="360" w:lineRule="auto"/>
        <w:ind w:firstLineChars="0"/>
        <w:rPr>
          <w:rFonts w:ascii="仿宋" w:hAnsi="仿宋" w:eastAsia="仿宋" w:cs="仿宋"/>
          <w:color w:val="000000"/>
          <w:sz w:val="28"/>
          <w:szCs w:val="28"/>
          <w:shd w:val="clear" w:color="auto" w:fill="FFFFFF"/>
        </w:rPr>
      </w:pPr>
    </w:p>
    <w:p w14:paraId="381454BE">
      <w:pPr>
        <w:pStyle w:val="9"/>
        <w:spacing w:before="0" w:after="0" w:line="360" w:lineRule="auto"/>
        <w:ind w:firstLineChars="0"/>
        <w:rPr>
          <w:rFonts w:ascii="仿宋" w:hAnsi="仿宋" w:eastAsia="仿宋" w:cs="仿宋"/>
          <w:color w:val="000000"/>
          <w:sz w:val="28"/>
          <w:szCs w:val="28"/>
          <w:shd w:val="clear" w:color="auto" w:fill="FFFFFF"/>
        </w:rPr>
      </w:pPr>
    </w:p>
    <w:p w14:paraId="7D87C8E5">
      <w:pPr>
        <w:pStyle w:val="9"/>
        <w:spacing w:before="0" w:after="0" w:line="360" w:lineRule="auto"/>
        <w:ind w:firstLineChars="0"/>
        <w:rPr>
          <w:rFonts w:ascii="仿宋" w:hAnsi="仿宋" w:eastAsia="仿宋" w:cs="仿宋"/>
          <w:color w:val="000000"/>
          <w:sz w:val="28"/>
          <w:szCs w:val="28"/>
          <w:shd w:val="clear" w:color="auto" w:fill="FFFFFF"/>
        </w:rPr>
      </w:pPr>
    </w:p>
    <w:p w14:paraId="2B9794B2">
      <w:pPr>
        <w:pStyle w:val="9"/>
        <w:spacing w:before="0" w:after="0" w:line="360" w:lineRule="auto"/>
        <w:ind w:firstLineChars="0"/>
        <w:rPr>
          <w:rFonts w:ascii="仿宋" w:hAnsi="仿宋" w:eastAsia="仿宋" w:cs="仿宋"/>
          <w:color w:val="000000"/>
          <w:sz w:val="28"/>
          <w:szCs w:val="28"/>
          <w:shd w:val="clear" w:color="auto" w:fill="FFFFFF"/>
        </w:rPr>
      </w:pPr>
    </w:p>
    <w:p w14:paraId="19456D7B">
      <w:pPr>
        <w:rPr>
          <w:rFonts w:ascii="仿宋" w:hAnsi="仿宋" w:eastAsia="仿宋" w:cs="仿宋"/>
          <w:color w:val="000000"/>
          <w:sz w:val="28"/>
          <w:szCs w:val="28"/>
          <w:shd w:val="clear" w:color="auto" w:fill="FFFFFF"/>
        </w:rPr>
      </w:pPr>
      <w:bookmarkStart w:id="73" w:name="_Toc20473_WPSOffice_Level1"/>
      <w:bookmarkStart w:id="74" w:name="_Toc15456_WPSOffice_Level1"/>
      <w:r>
        <w:rPr>
          <w:rFonts w:hint="eastAsia" w:ascii="仿宋" w:hAnsi="仿宋" w:eastAsia="仿宋" w:cs="仿宋"/>
          <w:color w:val="000000"/>
          <w:sz w:val="28"/>
          <w:szCs w:val="28"/>
          <w:shd w:val="clear" w:color="auto" w:fill="FFFFFF"/>
        </w:rPr>
        <w:br w:type="page"/>
      </w:r>
    </w:p>
    <w:p w14:paraId="40A042B4">
      <w:pPr>
        <w:pStyle w:val="9"/>
        <w:spacing w:before="0" w:after="0" w:line="360" w:lineRule="auto"/>
        <w:ind w:firstLine="0" w:firstLineChars="0"/>
        <w:outlineLvl w:val="0"/>
        <w:rPr>
          <w:rFonts w:ascii="仿宋" w:hAnsi="仿宋" w:eastAsia="仿宋" w:cs="仿宋"/>
          <w:color w:val="000000" w:themeColor="text1"/>
          <w:sz w:val="28"/>
          <w:szCs w:val="28"/>
          <w:shd w:val="clear" w:color="auto" w:fill="FFFFFF"/>
          <w14:textFill>
            <w14:solidFill>
              <w14:schemeClr w14:val="tx1"/>
            </w14:solidFill>
          </w14:textFill>
        </w:rPr>
      </w:pPr>
      <w:bookmarkStart w:id="75" w:name="_Toc144380190"/>
      <w:r>
        <w:rPr>
          <w:rFonts w:hint="eastAsia" w:ascii="仿宋" w:hAnsi="仿宋" w:eastAsia="仿宋" w:cs="仿宋"/>
          <w:color w:val="000000"/>
          <w:sz w:val="28"/>
          <w:szCs w:val="28"/>
          <w:shd w:val="clear" w:color="auto" w:fill="FFFFFF"/>
        </w:rPr>
        <w:t>附件一：</w:t>
      </w:r>
      <w:bookmarkEnd w:id="73"/>
      <w:bookmarkEnd w:id="74"/>
      <w:r>
        <w:rPr>
          <w:rFonts w:hint="eastAsia" w:ascii="仿宋" w:hAnsi="仿宋" w:eastAsia="仿宋" w:cs="仿宋"/>
          <w:color w:val="000000" w:themeColor="text1"/>
          <w:sz w:val="28"/>
          <w:szCs w:val="28"/>
          <w:shd w:val="clear" w:color="auto" w:fill="FFFFFF"/>
          <w14:textFill>
            <w14:solidFill>
              <w14:schemeClr w14:val="tx1"/>
            </w14:solidFill>
          </w14:textFill>
        </w:rPr>
        <w:t>律师事务所执业许可证</w:t>
      </w:r>
      <w:bookmarkEnd w:id="75"/>
    </w:p>
    <w:p w14:paraId="0336528A">
      <w:pPr>
        <w:pStyle w:val="9"/>
        <w:spacing w:before="0" w:after="0" w:line="360" w:lineRule="auto"/>
        <w:ind w:firstLine="0" w:firstLineChars="0"/>
        <w:rPr>
          <w:rFonts w:ascii="仿宋" w:hAnsi="仿宋" w:eastAsia="仿宋" w:cs="仿宋"/>
          <w:color w:val="000000" w:themeColor="text1"/>
          <w:sz w:val="28"/>
          <w:szCs w:val="28"/>
          <w:shd w:val="clear" w:color="auto" w:fill="FFFFFF"/>
          <w14:textFill>
            <w14:solidFill>
              <w14:schemeClr w14:val="tx1"/>
            </w14:solidFill>
          </w14:textFill>
        </w:rPr>
      </w:pPr>
    </w:p>
    <w:p w14:paraId="09C12886">
      <w:pPr>
        <w:pStyle w:val="9"/>
        <w:spacing w:before="0" w:after="0" w:line="360" w:lineRule="auto"/>
        <w:ind w:firstLineChars="0"/>
        <w:rPr>
          <w:rFonts w:hint="eastAsia" w:ascii="仿宋" w:hAnsi="仿宋" w:eastAsia="仿宋" w:cs="仿宋"/>
          <w:color w:val="000000" w:themeColor="text1"/>
          <w:sz w:val="28"/>
          <w:szCs w:val="28"/>
          <w:shd w:val="clear" w:color="auto" w:fill="FFFFFF"/>
          <w:lang w:eastAsia="zh-CN"/>
          <w14:textFill>
            <w14:solidFill>
              <w14:schemeClr w14:val="tx1"/>
            </w14:solidFill>
          </w14:textFill>
        </w:rPr>
      </w:pPr>
      <w:r>
        <w:rPr>
          <w:rFonts w:hint="eastAsia" w:ascii="仿宋" w:hAnsi="仿宋" w:eastAsia="仿宋" w:cs="仿宋"/>
          <w:color w:val="000000" w:themeColor="text1"/>
          <w:sz w:val="28"/>
          <w:szCs w:val="28"/>
          <w:shd w:val="clear" w:color="auto" w:fill="FFFFFF"/>
          <w:lang w:eastAsia="zh-CN"/>
          <w14:textFill>
            <w14:solidFill>
              <w14:schemeClr w14:val="tx1"/>
            </w14:solidFill>
          </w14:textFill>
        </w:rPr>
        <w:drawing>
          <wp:inline distT="0" distB="0" distL="114300" distR="114300">
            <wp:extent cx="5266690" cy="3723005"/>
            <wp:effectExtent l="0" t="0" r="10160" b="10795"/>
            <wp:docPr id="3" name="图片 3" descr="营业执照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营业执照_00"/>
                    <pic:cNvPicPr>
                      <a:picLocks noChangeAspect="1"/>
                    </pic:cNvPicPr>
                  </pic:nvPicPr>
                  <pic:blipFill>
                    <a:blip r:embed="rId11"/>
                    <a:stretch>
                      <a:fillRect/>
                    </a:stretch>
                  </pic:blipFill>
                  <pic:spPr>
                    <a:xfrm>
                      <a:off x="0" y="0"/>
                      <a:ext cx="5266690" cy="3723005"/>
                    </a:xfrm>
                    <a:prstGeom prst="rect">
                      <a:avLst/>
                    </a:prstGeom>
                  </pic:spPr>
                </pic:pic>
              </a:graphicData>
            </a:graphic>
          </wp:inline>
        </w:drawing>
      </w:r>
    </w:p>
    <w:p w14:paraId="5D3AAA11">
      <w:pPr>
        <w:pStyle w:val="9"/>
        <w:spacing w:before="0" w:after="0" w:line="360" w:lineRule="auto"/>
        <w:ind w:firstLineChars="0"/>
        <w:rPr>
          <w:rFonts w:ascii="仿宋" w:hAnsi="仿宋" w:eastAsia="仿宋" w:cs="仿宋"/>
          <w:color w:val="000000" w:themeColor="text1"/>
          <w:sz w:val="28"/>
          <w:szCs w:val="28"/>
          <w:shd w:val="clear" w:color="auto" w:fill="FFFFFF"/>
          <w14:textFill>
            <w14:solidFill>
              <w14:schemeClr w14:val="tx1"/>
            </w14:solidFill>
          </w14:textFill>
        </w:rPr>
      </w:pPr>
    </w:p>
    <w:p w14:paraId="01B6EDFB">
      <w:pPr>
        <w:pStyle w:val="9"/>
        <w:spacing w:before="0" w:after="0" w:line="360" w:lineRule="auto"/>
        <w:ind w:firstLineChars="0"/>
        <w:rPr>
          <w:rFonts w:ascii="仿宋" w:hAnsi="仿宋" w:eastAsia="仿宋" w:cs="仿宋"/>
          <w:color w:val="000000" w:themeColor="text1"/>
          <w:sz w:val="28"/>
          <w:szCs w:val="28"/>
          <w:shd w:val="clear" w:color="auto" w:fill="FFFFFF"/>
          <w14:textFill>
            <w14:solidFill>
              <w14:schemeClr w14:val="tx1"/>
            </w14:solidFill>
          </w14:textFill>
        </w:rPr>
      </w:pPr>
    </w:p>
    <w:p w14:paraId="2E5D06FE">
      <w:pPr>
        <w:pStyle w:val="9"/>
        <w:spacing w:before="0" w:after="0" w:line="360" w:lineRule="auto"/>
        <w:ind w:firstLineChars="0"/>
        <w:rPr>
          <w:rFonts w:ascii="仿宋" w:hAnsi="仿宋" w:eastAsia="仿宋" w:cs="仿宋"/>
          <w:color w:val="000000" w:themeColor="text1"/>
          <w:sz w:val="28"/>
          <w:szCs w:val="28"/>
          <w:shd w:val="clear" w:color="auto" w:fill="FFFFFF"/>
          <w14:textFill>
            <w14:solidFill>
              <w14:schemeClr w14:val="tx1"/>
            </w14:solidFill>
          </w14:textFill>
        </w:rPr>
      </w:pPr>
    </w:p>
    <w:p w14:paraId="7C705670">
      <w:pPr>
        <w:pStyle w:val="9"/>
        <w:spacing w:before="0" w:after="0" w:line="360" w:lineRule="auto"/>
        <w:ind w:firstLineChars="0"/>
        <w:rPr>
          <w:rFonts w:ascii="仿宋" w:hAnsi="仿宋" w:eastAsia="仿宋" w:cs="仿宋"/>
          <w:color w:val="000000" w:themeColor="text1"/>
          <w:sz w:val="28"/>
          <w:szCs w:val="28"/>
          <w:shd w:val="clear" w:color="auto" w:fill="FFFFFF"/>
          <w14:textFill>
            <w14:solidFill>
              <w14:schemeClr w14:val="tx1"/>
            </w14:solidFill>
          </w14:textFill>
        </w:rPr>
      </w:pPr>
    </w:p>
    <w:p w14:paraId="6B952BB3">
      <w:pPr>
        <w:pStyle w:val="9"/>
        <w:spacing w:before="0" w:after="0" w:line="360" w:lineRule="auto"/>
        <w:ind w:firstLine="0" w:firstLineChars="0"/>
        <w:outlineLvl w:val="0"/>
        <w:rPr>
          <w:rFonts w:ascii="仿宋" w:hAnsi="仿宋" w:eastAsia="仿宋" w:cs="仿宋"/>
          <w:color w:val="000000" w:themeColor="text1"/>
          <w:sz w:val="28"/>
          <w:szCs w:val="28"/>
          <w:shd w:val="clear" w:color="auto" w:fill="FFFFFF"/>
          <w14:textFill>
            <w14:solidFill>
              <w14:schemeClr w14:val="tx1"/>
            </w14:solidFill>
          </w14:textFill>
        </w:rPr>
      </w:pPr>
      <w:bookmarkStart w:id="76" w:name="_Toc144380191"/>
      <w:bookmarkStart w:id="77" w:name="_Toc81149254"/>
      <w:r>
        <w:rPr>
          <w:rFonts w:ascii="仿宋" w:hAnsi="仿宋" w:eastAsia="仿宋" w:cs="仿宋"/>
          <w:color w:val="000000" w:themeColor="text1"/>
          <w:sz w:val="28"/>
          <w:szCs w:val="28"/>
          <w:shd w:val="clear" w:color="auto" w:fill="FFFFFF"/>
          <w14:textFill>
            <w14:solidFill>
              <w14:schemeClr w14:val="tx1"/>
            </w14:solidFill>
          </w14:textFill>
        </w:rPr>
        <w:br w:type="page"/>
      </w:r>
    </w:p>
    <w:p w14:paraId="2CF2EA03">
      <w:pPr>
        <w:pStyle w:val="9"/>
        <w:spacing w:before="0" w:after="0" w:line="360" w:lineRule="auto"/>
        <w:ind w:firstLine="0" w:firstLineChars="0"/>
        <w:outlineLvl w:val="0"/>
        <w:rPr>
          <w:rFonts w:ascii="仿宋" w:hAnsi="仿宋" w:eastAsia="仿宋" w:cs="仿宋"/>
          <w:color w:val="000000" w:themeColor="text1"/>
          <w:sz w:val="28"/>
          <w:szCs w:val="28"/>
          <w:shd w:val="clear" w:color="auto" w:fill="FFFFFF"/>
          <w14:textFill>
            <w14:solidFill>
              <w14:schemeClr w14:val="tx1"/>
            </w14:solidFill>
          </w14:textFill>
        </w:rPr>
      </w:pPr>
      <w:r>
        <w:rPr>
          <w:rFonts w:hint="eastAsia" w:ascii="仿宋" w:hAnsi="仿宋" w:eastAsia="仿宋" w:cs="仿宋"/>
          <w:color w:val="000000" w:themeColor="text1"/>
          <w:sz w:val="28"/>
          <w:szCs w:val="28"/>
          <w:shd w:val="clear" w:color="auto" w:fill="FFFFFF"/>
          <w14:textFill>
            <w14:solidFill>
              <w14:schemeClr w14:val="tx1"/>
            </w14:solidFill>
          </w14:textFill>
        </w:rPr>
        <w:t>附件二：经办律师执业证</w:t>
      </w:r>
      <w:bookmarkEnd w:id="76"/>
      <w:bookmarkEnd w:id="77"/>
    </w:p>
    <w:p w14:paraId="75DB46F8">
      <w:pPr>
        <w:pStyle w:val="9"/>
        <w:ind w:firstLine="0" w:firstLineChars="0"/>
        <w:rPr>
          <w:rFonts w:hint="eastAsia" w:eastAsia="宋体"/>
          <w:lang w:eastAsia="zh-CN"/>
        </w:rPr>
      </w:pPr>
      <w:r>
        <w:rPr>
          <w:rFonts w:hint="eastAsia" w:eastAsia="宋体"/>
          <w:lang w:eastAsia="zh-CN"/>
        </w:rPr>
        <w:drawing>
          <wp:inline distT="0" distB="0" distL="114300" distR="114300">
            <wp:extent cx="5274310" cy="7246620"/>
            <wp:effectExtent l="0" t="0" r="2540" b="11430"/>
            <wp:docPr id="4" name="图片 4" descr="郑玲玲执照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郑玲玲执照25"/>
                    <pic:cNvPicPr>
                      <a:picLocks noChangeAspect="1"/>
                    </pic:cNvPicPr>
                  </pic:nvPicPr>
                  <pic:blipFill>
                    <a:blip r:embed="rId12"/>
                    <a:stretch>
                      <a:fillRect/>
                    </a:stretch>
                  </pic:blipFill>
                  <pic:spPr>
                    <a:xfrm>
                      <a:off x="0" y="0"/>
                      <a:ext cx="5274310" cy="7246620"/>
                    </a:xfrm>
                    <a:prstGeom prst="rect">
                      <a:avLst/>
                    </a:prstGeom>
                  </pic:spPr>
                </pic:pic>
              </a:graphicData>
            </a:graphic>
          </wp:inline>
        </w:drawing>
      </w:r>
    </w:p>
    <w:p w14:paraId="667AFA1C">
      <w:pPr>
        <w:pStyle w:val="9"/>
        <w:ind w:firstLine="420"/>
        <w:rPr>
          <w:rFonts w:hint="eastAsia"/>
        </w:rPr>
      </w:pPr>
      <w:r>
        <w:br w:type="page"/>
      </w:r>
    </w:p>
    <w:p w14:paraId="121FC462">
      <w:pPr>
        <w:pStyle w:val="9"/>
        <w:spacing w:before="0" w:after="0" w:line="360" w:lineRule="auto"/>
        <w:ind w:firstLineChars="0"/>
        <w:rPr>
          <w:rFonts w:ascii="仿宋" w:hAnsi="仿宋" w:eastAsia="仿宋" w:cs="仿宋"/>
          <w:color w:val="000000" w:themeColor="text1"/>
          <w:sz w:val="28"/>
          <w:szCs w:val="28"/>
          <w:shd w:val="clear" w:color="auto" w:fill="FFFFFF"/>
          <w14:textFill>
            <w14:solidFill>
              <w14:schemeClr w14:val="tx1"/>
            </w14:solidFill>
          </w14:textFill>
        </w:rPr>
      </w:pPr>
    </w:p>
    <w:p w14:paraId="2DD74FA0">
      <w:pPr>
        <w:pStyle w:val="9"/>
        <w:spacing w:line="360" w:lineRule="auto"/>
        <w:ind w:firstLine="0" w:firstLineChars="0"/>
        <w:rPr>
          <w:rFonts w:hint="eastAsia" w:ascii="仿宋" w:hAnsi="仿宋" w:eastAsia="仿宋" w:cs="仿宋"/>
          <w:color w:val="000000" w:themeColor="text1"/>
          <w:sz w:val="32"/>
          <w:szCs w:val="32"/>
          <w:lang w:eastAsia="zh-CN"/>
          <w14:textFill>
            <w14:solidFill>
              <w14:schemeClr w14:val="tx1"/>
            </w14:solidFill>
          </w14:textFill>
        </w:rPr>
      </w:pPr>
      <w:bookmarkStart w:id="78" w:name="_GoBack"/>
      <w:r>
        <w:rPr>
          <w:rFonts w:hint="eastAsia" w:ascii="仿宋" w:hAnsi="仿宋" w:eastAsia="仿宋" w:cs="仿宋"/>
          <w:color w:val="000000" w:themeColor="text1"/>
          <w:sz w:val="32"/>
          <w:szCs w:val="32"/>
          <w:lang w:eastAsia="zh-CN"/>
          <w14:textFill>
            <w14:solidFill>
              <w14:schemeClr w14:val="tx1"/>
            </w14:solidFill>
          </w14:textFill>
        </w:rPr>
        <w:drawing>
          <wp:inline distT="0" distB="0" distL="114300" distR="114300">
            <wp:extent cx="5271135" cy="7462520"/>
            <wp:effectExtent l="0" t="0" r="5715" b="5080"/>
            <wp:docPr id="5" name="图片 5" descr="武彩云执照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武彩云执照_01"/>
                    <pic:cNvPicPr>
                      <a:picLocks noChangeAspect="1"/>
                    </pic:cNvPicPr>
                  </pic:nvPicPr>
                  <pic:blipFill>
                    <a:blip r:embed="rId13"/>
                    <a:stretch>
                      <a:fillRect/>
                    </a:stretch>
                  </pic:blipFill>
                  <pic:spPr>
                    <a:xfrm>
                      <a:off x="0" y="0"/>
                      <a:ext cx="5271135" cy="7462520"/>
                    </a:xfrm>
                    <a:prstGeom prst="rect">
                      <a:avLst/>
                    </a:prstGeom>
                  </pic:spPr>
                </pic:pic>
              </a:graphicData>
            </a:graphic>
          </wp:inline>
        </w:drawing>
      </w:r>
      <w:bookmarkEnd w:id="78"/>
    </w:p>
    <w:sectPr>
      <w:headerReference r:id="rId6" w:type="default"/>
      <w:footerReference r:id="rId7"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panose1 w:val="02010600030101010101"/>
    <w:charset w:val="88"/>
    <w:family w:val="moder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0000000000000000000"/>
    <w:charset w:val="86"/>
    <w:family w:val="modern"/>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PMingLiU">
    <w:altName w:val="Microsoft JhengHei UI"/>
    <w:panose1 w:val="02010601000101010101"/>
    <w:charset w:val="88"/>
    <w:family w:val="roman"/>
    <w:pitch w:val="default"/>
    <w:sig w:usb0="00000000" w:usb1="00000000" w:usb2="00000016" w:usb3="00000000" w:csb0="00100001" w:csb1="00000000"/>
  </w:font>
  <w:font w:name="Microsoft JhengHei UI">
    <w:panose1 w:val="020B0604030504040204"/>
    <w:charset w:val="88"/>
    <w:family w:val="auto"/>
    <w:pitch w:val="default"/>
    <w:sig w:usb0="000002A7" w:usb1="28CF4400" w:usb2="00000016" w:usb3="00000000" w:csb0="00100009" w:csb1="00000000"/>
  </w:font>
  <w:font w:name="幼圆">
    <w:altName w:val="宋体"/>
    <w:panose1 w:val="02010509060101010101"/>
    <w:charset w:val="86"/>
    <w:family w:val="modern"/>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F60280">
    <w:pPr>
      <w:pStyle w:val="12"/>
      <w:framePr w:wrap="around" w:vAnchor="text" w:hAnchor="margin" w:xAlign="center" w:y="1"/>
      <w:rPr>
        <w:rStyle w:val="21"/>
      </w:rPr>
    </w:pPr>
    <w:r>
      <w:rPr>
        <w:rStyle w:val="21"/>
      </w:rPr>
      <w:fldChar w:fldCharType="begin"/>
    </w:r>
    <w:r>
      <w:rPr>
        <w:rStyle w:val="21"/>
      </w:rPr>
      <w:instrText xml:space="preserve">PAGE  </w:instrText>
    </w:r>
    <w:r>
      <w:rPr>
        <w:rStyle w:val="21"/>
      </w:rPr>
      <w:fldChar w:fldCharType="end"/>
    </w:r>
  </w:p>
  <w:p w14:paraId="0C296FDB">
    <w:pPr>
      <w:pStyle w:val="1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3EB6FF">
    <w:pPr>
      <w:pStyle w:val="1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686252514"/>
      <w:docPartObj>
        <w:docPartGallery w:val="autotext"/>
      </w:docPartObj>
    </w:sdtPr>
    <w:sdtContent>
      <w:p w14:paraId="5DAEE491">
        <w:pPr>
          <w:pStyle w:val="12"/>
          <w:jc w:val="center"/>
        </w:pPr>
        <w:r>
          <w:fldChar w:fldCharType="begin"/>
        </w:r>
        <w:r>
          <w:instrText xml:space="preserve">PAGE   \* MERGEFORMAT</w:instrText>
        </w:r>
        <w:r>
          <w:fldChar w:fldCharType="separate"/>
        </w:r>
        <w:r>
          <w:rPr>
            <w:lang w:val="zh-CN"/>
          </w:rPr>
          <w:t>2</w:t>
        </w:r>
        <w:r>
          <w:fldChar w:fldCharType="end"/>
        </w:r>
      </w:p>
    </w:sdtContent>
  </w:sdt>
  <w:p w14:paraId="134EBDFD">
    <w:pPr>
      <w:pStyle w:val="12"/>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80F2CF">
    <w:r>
      <w:rPr>
        <w:rFonts w:hint="eastAsia" w:ascii="仿宋" w:hAnsi="仿宋" w:eastAsia="仿宋" w:cs="仿宋"/>
        <w:szCs w:val="18"/>
        <w:u w:val="single"/>
      </w:rPr>
      <w:t>中吕</w:t>
    </w:r>
    <w:r>
      <w:rPr>
        <w:rFonts w:hint="eastAsia" w:ascii="仿宋" w:hAnsi="仿宋" w:eastAsia="仿宋" w:cs="仿宋"/>
        <w:szCs w:val="18"/>
        <w:u w:val="single"/>
        <w:lang w:eastAsia="zh-CN"/>
      </w:rPr>
      <w:t>（</w:t>
    </w:r>
    <w:r>
      <w:rPr>
        <w:rFonts w:hint="eastAsia" w:ascii="仿宋" w:hAnsi="仿宋" w:eastAsia="仿宋" w:cs="仿宋"/>
        <w:szCs w:val="18"/>
        <w:u w:val="single"/>
        <w:lang w:val="en-US" w:eastAsia="zh-CN"/>
      </w:rPr>
      <w:t>临汾</w:t>
    </w:r>
    <w:r>
      <w:rPr>
        <w:rFonts w:hint="eastAsia" w:ascii="仿宋" w:hAnsi="仿宋" w:eastAsia="仿宋" w:cs="仿宋"/>
        <w:szCs w:val="18"/>
        <w:u w:val="single"/>
        <w:lang w:eastAsia="zh-CN"/>
      </w:rPr>
      <w:t>）</w:t>
    </w:r>
    <w:r>
      <w:rPr>
        <w:rFonts w:hint="eastAsia" w:ascii="仿宋" w:hAnsi="仿宋" w:eastAsia="仿宋" w:cs="仿宋"/>
        <w:szCs w:val="18"/>
        <w:u w:val="single"/>
      </w:rPr>
      <w:t xml:space="preserve">律师事务所 </w:t>
    </w:r>
    <w:r>
      <w:rPr>
        <w:rFonts w:hint="eastAsia" w:ascii="仿宋" w:hAnsi="仿宋" w:eastAsia="仿宋" w:cs="仿宋"/>
        <w:szCs w:val="18"/>
        <w:u w:val="single"/>
        <w:lang w:val="en-US" w:eastAsia="zh-CN"/>
      </w:rPr>
      <w:t xml:space="preserve">                </w:t>
    </w:r>
    <w:r>
      <w:rPr>
        <w:rFonts w:hint="eastAsia" w:ascii="仿宋" w:hAnsi="仿宋" w:eastAsia="仿宋" w:cs="仿宋"/>
        <w:szCs w:val="18"/>
        <w:u w:val="single"/>
      </w:rPr>
      <w:t>关于</w:t>
    </w:r>
    <w:r>
      <w:rPr>
        <w:rFonts w:hint="eastAsia" w:ascii="仿宋" w:hAnsi="仿宋" w:eastAsia="仿宋" w:cs="仿宋"/>
        <w:szCs w:val="18"/>
        <w:u w:val="single"/>
        <w:lang w:val="en-US" w:eastAsia="zh-CN"/>
      </w:rPr>
      <w:t>蒲县智慧停车升级改造项目</w:t>
    </w:r>
    <w:r>
      <w:rPr>
        <w:rFonts w:hint="eastAsia" w:ascii="仿宋" w:hAnsi="仿宋" w:eastAsia="仿宋" w:cs="仿宋"/>
        <w:szCs w:val="18"/>
        <w:u w:val="single"/>
      </w:rPr>
      <w:t>的法律意见书</w:t>
    </w:r>
    <w:r>
      <w:rPr>
        <w:rFonts w:hint="eastAsia" w:ascii="仿宋" w:hAnsi="仿宋" w:eastAsia="仿宋" w:cs="仿宋"/>
        <w:szCs w:val="18"/>
        <w:u w:val="single"/>
        <w:lang w:val="en-US" w:eastAsia="zh-CN"/>
      </w:rPr>
      <w:t xml:space="preserve">       </w:t>
    </w:r>
    <w:r>
      <w:rPr>
        <w:rFonts w:hint="eastAsia" w:ascii="仿宋" w:hAnsi="仿宋" w:eastAsia="仿宋" w:cs="仿宋"/>
        <w:szCs w:val="18"/>
      </w:rPr>
      <w:t xml:space="preserve"> </w:t>
    </w:r>
    <w:r>
      <w:rPr>
        <w:rFonts w:hint="eastAsia"/>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D41D344">
    <w:pPr>
      <w:pStyle w:val="13"/>
    </w:pPr>
    <w:r>
      <w:rPr>
        <w:rFonts w:hint="eastAsia" w:ascii="仿宋" w:hAnsi="仿宋" w:eastAsia="仿宋" w:cs="仿宋"/>
        <w:sz w:val="21"/>
        <w:szCs w:val="21"/>
        <w:u w:val="single"/>
      </w:rPr>
      <w:t>中吕</w:t>
    </w:r>
    <w:r>
      <w:rPr>
        <w:rFonts w:hint="eastAsia" w:ascii="仿宋" w:hAnsi="仿宋" w:eastAsia="仿宋" w:cs="仿宋"/>
        <w:sz w:val="21"/>
        <w:szCs w:val="21"/>
        <w:u w:val="single"/>
        <w:lang w:eastAsia="zh-CN"/>
      </w:rPr>
      <w:t>（</w:t>
    </w:r>
    <w:r>
      <w:rPr>
        <w:rFonts w:hint="eastAsia" w:ascii="仿宋" w:hAnsi="仿宋" w:eastAsia="仿宋" w:cs="仿宋"/>
        <w:sz w:val="21"/>
        <w:szCs w:val="21"/>
        <w:u w:val="single"/>
        <w:lang w:val="en-US" w:eastAsia="zh-CN"/>
      </w:rPr>
      <w:t>临汾</w:t>
    </w:r>
    <w:r>
      <w:rPr>
        <w:rFonts w:hint="eastAsia" w:ascii="仿宋" w:hAnsi="仿宋" w:eastAsia="仿宋" w:cs="仿宋"/>
        <w:sz w:val="21"/>
        <w:szCs w:val="21"/>
        <w:u w:val="single"/>
        <w:lang w:eastAsia="zh-CN"/>
      </w:rPr>
      <w:t>）</w:t>
    </w:r>
    <w:r>
      <w:rPr>
        <w:rFonts w:hint="eastAsia" w:ascii="仿宋" w:hAnsi="仿宋" w:eastAsia="仿宋" w:cs="仿宋"/>
        <w:sz w:val="21"/>
        <w:szCs w:val="21"/>
        <w:u w:val="single"/>
      </w:rPr>
      <w:t>律师事务所</w:t>
    </w:r>
    <w:r>
      <w:rPr>
        <w:rFonts w:ascii="仿宋" w:hAnsi="仿宋" w:eastAsia="仿宋" w:cs="仿宋"/>
        <w:sz w:val="21"/>
        <w:szCs w:val="21"/>
        <w:u w:val="single"/>
      </w:rPr>
      <w:t xml:space="preserve"> </w:t>
    </w:r>
    <w:r>
      <w:rPr>
        <w:rFonts w:hint="eastAsia" w:ascii="仿宋" w:hAnsi="仿宋" w:eastAsia="仿宋" w:cs="仿宋"/>
        <w:sz w:val="21"/>
        <w:szCs w:val="21"/>
        <w:u w:val="single"/>
        <w:lang w:val="en-US" w:eastAsia="zh-CN"/>
      </w:rPr>
      <w:t xml:space="preserve">                 </w:t>
    </w:r>
    <w:r>
      <w:rPr>
        <w:rFonts w:hint="eastAsia" w:ascii="仿宋" w:hAnsi="仿宋" w:eastAsia="仿宋" w:cs="仿宋"/>
        <w:sz w:val="21"/>
        <w:szCs w:val="21"/>
        <w:u w:val="single"/>
      </w:rPr>
      <w:t>关于</w:t>
    </w:r>
    <w:r>
      <w:rPr>
        <w:rFonts w:hint="eastAsia" w:ascii="仿宋" w:hAnsi="仿宋" w:eastAsia="仿宋" w:cs="仿宋"/>
        <w:sz w:val="21"/>
        <w:szCs w:val="21"/>
        <w:u w:val="single"/>
        <w:lang w:val="en-US" w:eastAsia="zh-CN"/>
      </w:rPr>
      <w:t>蒲县智慧停车升级改造项目</w:t>
    </w:r>
    <w:r>
      <w:rPr>
        <w:rFonts w:hint="eastAsia" w:ascii="仿宋" w:hAnsi="仿宋" w:eastAsia="仿宋" w:cs="仿宋"/>
        <w:sz w:val="21"/>
        <w:szCs w:val="21"/>
        <w:u w:val="single"/>
      </w:rPr>
      <w:t>的法律意见书</w:t>
    </w:r>
    <w:r>
      <w:rPr>
        <w:rFonts w:hint="eastAsia" w:ascii="仿宋" w:hAnsi="仿宋" w:eastAsia="仿宋" w:cs="仿宋"/>
        <w:sz w:val="21"/>
        <w:szCs w:val="21"/>
        <w:u w:val="single"/>
        <w:lang w:val="en-US" w:eastAsia="zh-CN"/>
      </w:rPr>
      <w:t xml:space="preserve">     </w:t>
    </w:r>
    <w:r>
      <w:rPr>
        <w:rFonts w:hint="eastAsia" w:ascii="仿宋" w:hAnsi="仿宋" w:eastAsia="仿宋" w:cs="仿宋"/>
        <w:szCs w:val="18"/>
        <w:u w:val="single"/>
        <w:lang w:val="en-US" w:eastAsia="zh-CN"/>
      </w:rPr>
      <w:t xml:space="preserve">        </w:t>
    </w:r>
    <w:r>
      <w:rPr>
        <w:rFonts w:hint="eastAsia"/>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3"/>
  <w:displayBackgroundShape w:val="1"/>
  <w:embedSystemFonts/>
  <w:bordersDoNotSurroundHeader w:val="1"/>
  <w:bordersDoNotSurroundFooter w:val="1"/>
  <w:hideSpellingErrors/>
  <w:hideGrammaticalErrors/>
  <w:documentProtection w:enforcement="0"/>
  <w:defaultTabStop w:val="420"/>
  <w:drawingGridHorizontalSpacing w:val="105"/>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FiMGE4OGNmMmMzOTFiMzAyMjJhYTA4ZTdkNzJlNjkifQ=="/>
  </w:docVars>
  <w:rsids>
    <w:rsidRoot w:val="002208CC"/>
    <w:rsid w:val="000028CE"/>
    <w:rsid w:val="00003845"/>
    <w:rsid w:val="000043BC"/>
    <w:rsid w:val="00010233"/>
    <w:rsid w:val="000211E9"/>
    <w:rsid w:val="000239F2"/>
    <w:rsid w:val="00025652"/>
    <w:rsid w:val="000266D6"/>
    <w:rsid w:val="00030AC8"/>
    <w:rsid w:val="00031CBC"/>
    <w:rsid w:val="00031F03"/>
    <w:rsid w:val="00034B8B"/>
    <w:rsid w:val="00040419"/>
    <w:rsid w:val="000444BD"/>
    <w:rsid w:val="00044884"/>
    <w:rsid w:val="00045783"/>
    <w:rsid w:val="00051CE1"/>
    <w:rsid w:val="000620C5"/>
    <w:rsid w:val="0006254C"/>
    <w:rsid w:val="00066215"/>
    <w:rsid w:val="0007293E"/>
    <w:rsid w:val="0007653D"/>
    <w:rsid w:val="00080A47"/>
    <w:rsid w:val="00083513"/>
    <w:rsid w:val="000850D9"/>
    <w:rsid w:val="00085C04"/>
    <w:rsid w:val="00095BFA"/>
    <w:rsid w:val="000A03DE"/>
    <w:rsid w:val="000A6F9D"/>
    <w:rsid w:val="000A7E37"/>
    <w:rsid w:val="000B5F57"/>
    <w:rsid w:val="000B7236"/>
    <w:rsid w:val="000B7524"/>
    <w:rsid w:val="000C5E7C"/>
    <w:rsid w:val="000D3F26"/>
    <w:rsid w:val="000D542F"/>
    <w:rsid w:val="000E0056"/>
    <w:rsid w:val="000E0923"/>
    <w:rsid w:val="000E1799"/>
    <w:rsid w:val="000E1BA8"/>
    <w:rsid w:val="000F0240"/>
    <w:rsid w:val="00102DDE"/>
    <w:rsid w:val="00103D27"/>
    <w:rsid w:val="0011185F"/>
    <w:rsid w:val="00111EE0"/>
    <w:rsid w:val="00114D3C"/>
    <w:rsid w:val="00114FE2"/>
    <w:rsid w:val="001201AB"/>
    <w:rsid w:val="00121BC8"/>
    <w:rsid w:val="00127BB8"/>
    <w:rsid w:val="00134BC7"/>
    <w:rsid w:val="00136640"/>
    <w:rsid w:val="001371D9"/>
    <w:rsid w:val="0014740D"/>
    <w:rsid w:val="00147713"/>
    <w:rsid w:val="00151511"/>
    <w:rsid w:val="0015161F"/>
    <w:rsid w:val="0015254A"/>
    <w:rsid w:val="00156FB2"/>
    <w:rsid w:val="0016178B"/>
    <w:rsid w:val="001650E3"/>
    <w:rsid w:val="00166A3F"/>
    <w:rsid w:val="00172301"/>
    <w:rsid w:val="00172C86"/>
    <w:rsid w:val="001754FE"/>
    <w:rsid w:val="001801C7"/>
    <w:rsid w:val="00192E8B"/>
    <w:rsid w:val="001A01AA"/>
    <w:rsid w:val="001A7A09"/>
    <w:rsid w:val="001B0521"/>
    <w:rsid w:val="001B270B"/>
    <w:rsid w:val="001B3A9F"/>
    <w:rsid w:val="001B6691"/>
    <w:rsid w:val="001C11F6"/>
    <w:rsid w:val="001C4A98"/>
    <w:rsid w:val="001C5E0D"/>
    <w:rsid w:val="001D1088"/>
    <w:rsid w:val="001D6BB8"/>
    <w:rsid w:val="001E6B73"/>
    <w:rsid w:val="001E7DBB"/>
    <w:rsid w:val="001F366C"/>
    <w:rsid w:val="001F3BCF"/>
    <w:rsid w:val="001F4D1E"/>
    <w:rsid w:val="001F5398"/>
    <w:rsid w:val="001F6A23"/>
    <w:rsid w:val="001F78BF"/>
    <w:rsid w:val="00202B11"/>
    <w:rsid w:val="00204851"/>
    <w:rsid w:val="002059E3"/>
    <w:rsid w:val="002076BD"/>
    <w:rsid w:val="002131F3"/>
    <w:rsid w:val="00214A6D"/>
    <w:rsid w:val="00216FD5"/>
    <w:rsid w:val="002208CC"/>
    <w:rsid w:val="00221522"/>
    <w:rsid w:val="002219EC"/>
    <w:rsid w:val="002266AE"/>
    <w:rsid w:val="0022760D"/>
    <w:rsid w:val="00230A79"/>
    <w:rsid w:val="002323A7"/>
    <w:rsid w:val="00232A32"/>
    <w:rsid w:val="00235136"/>
    <w:rsid w:val="002359CF"/>
    <w:rsid w:val="00236F4A"/>
    <w:rsid w:val="00240581"/>
    <w:rsid w:val="002500DF"/>
    <w:rsid w:val="002735AB"/>
    <w:rsid w:val="0027453B"/>
    <w:rsid w:val="00276E94"/>
    <w:rsid w:val="0028121F"/>
    <w:rsid w:val="00293A18"/>
    <w:rsid w:val="002A1797"/>
    <w:rsid w:val="002A7AD8"/>
    <w:rsid w:val="002B406A"/>
    <w:rsid w:val="002B627A"/>
    <w:rsid w:val="002B70FF"/>
    <w:rsid w:val="002B72EC"/>
    <w:rsid w:val="002C00CC"/>
    <w:rsid w:val="002C2145"/>
    <w:rsid w:val="002E1864"/>
    <w:rsid w:val="002E2457"/>
    <w:rsid w:val="002E579A"/>
    <w:rsid w:val="002F3221"/>
    <w:rsid w:val="00301C4A"/>
    <w:rsid w:val="00304F1B"/>
    <w:rsid w:val="00313271"/>
    <w:rsid w:val="00313E35"/>
    <w:rsid w:val="003163BC"/>
    <w:rsid w:val="00320A8A"/>
    <w:rsid w:val="003219E6"/>
    <w:rsid w:val="00322057"/>
    <w:rsid w:val="00325B5E"/>
    <w:rsid w:val="00326611"/>
    <w:rsid w:val="0033381F"/>
    <w:rsid w:val="00341A70"/>
    <w:rsid w:val="00357CA2"/>
    <w:rsid w:val="00361BBF"/>
    <w:rsid w:val="00361EF4"/>
    <w:rsid w:val="00366018"/>
    <w:rsid w:val="00367963"/>
    <w:rsid w:val="00367E53"/>
    <w:rsid w:val="00370746"/>
    <w:rsid w:val="00370D22"/>
    <w:rsid w:val="003718B5"/>
    <w:rsid w:val="00372637"/>
    <w:rsid w:val="00375E68"/>
    <w:rsid w:val="0038363D"/>
    <w:rsid w:val="00390286"/>
    <w:rsid w:val="003902B3"/>
    <w:rsid w:val="00392F01"/>
    <w:rsid w:val="003931AA"/>
    <w:rsid w:val="003A17A2"/>
    <w:rsid w:val="003A40CA"/>
    <w:rsid w:val="003B1164"/>
    <w:rsid w:val="003B2CA2"/>
    <w:rsid w:val="003B7D42"/>
    <w:rsid w:val="003C0F06"/>
    <w:rsid w:val="003C1410"/>
    <w:rsid w:val="003C44C3"/>
    <w:rsid w:val="003C655D"/>
    <w:rsid w:val="003D088D"/>
    <w:rsid w:val="003D1D6E"/>
    <w:rsid w:val="003D41D3"/>
    <w:rsid w:val="003E60CB"/>
    <w:rsid w:val="003F1133"/>
    <w:rsid w:val="003F3B15"/>
    <w:rsid w:val="003F40DA"/>
    <w:rsid w:val="00401B80"/>
    <w:rsid w:val="00402007"/>
    <w:rsid w:val="00403DFF"/>
    <w:rsid w:val="004046DF"/>
    <w:rsid w:val="00411D9F"/>
    <w:rsid w:val="0041267B"/>
    <w:rsid w:val="004206F2"/>
    <w:rsid w:val="004228BB"/>
    <w:rsid w:val="00425BAE"/>
    <w:rsid w:val="004279B0"/>
    <w:rsid w:val="00430C55"/>
    <w:rsid w:val="00432AB6"/>
    <w:rsid w:val="00437697"/>
    <w:rsid w:val="0044160E"/>
    <w:rsid w:val="004424FD"/>
    <w:rsid w:val="00443764"/>
    <w:rsid w:val="00450F53"/>
    <w:rsid w:val="0045119F"/>
    <w:rsid w:val="00452457"/>
    <w:rsid w:val="00462120"/>
    <w:rsid w:val="00472528"/>
    <w:rsid w:val="0048008E"/>
    <w:rsid w:val="00492019"/>
    <w:rsid w:val="00493300"/>
    <w:rsid w:val="00495205"/>
    <w:rsid w:val="004A052F"/>
    <w:rsid w:val="004A1BA0"/>
    <w:rsid w:val="004A253F"/>
    <w:rsid w:val="004B1741"/>
    <w:rsid w:val="004B584F"/>
    <w:rsid w:val="004C1AE2"/>
    <w:rsid w:val="004C264B"/>
    <w:rsid w:val="004C541F"/>
    <w:rsid w:val="004C6E9D"/>
    <w:rsid w:val="004D0BF8"/>
    <w:rsid w:val="004E28FB"/>
    <w:rsid w:val="004E2EA3"/>
    <w:rsid w:val="004E3A2D"/>
    <w:rsid w:val="004E646B"/>
    <w:rsid w:val="004F10B7"/>
    <w:rsid w:val="004F1380"/>
    <w:rsid w:val="004F23E5"/>
    <w:rsid w:val="004F6327"/>
    <w:rsid w:val="00504ED5"/>
    <w:rsid w:val="00506041"/>
    <w:rsid w:val="005109C2"/>
    <w:rsid w:val="005115DB"/>
    <w:rsid w:val="0051564E"/>
    <w:rsid w:val="00516A3D"/>
    <w:rsid w:val="005215AC"/>
    <w:rsid w:val="005223F3"/>
    <w:rsid w:val="00523BDC"/>
    <w:rsid w:val="00526219"/>
    <w:rsid w:val="00526419"/>
    <w:rsid w:val="00526777"/>
    <w:rsid w:val="00534B5C"/>
    <w:rsid w:val="00535C80"/>
    <w:rsid w:val="00537FA6"/>
    <w:rsid w:val="00540532"/>
    <w:rsid w:val="00541EF1"/>
    <w:rsid w:val="00552486"/>
    <w:rsid w:val="005525BF"/>
    <w:rsid w:val="00554A37"/>
    <w:rsid w:val="005610DC"/>
    <w:rsid w:val="00562599"/>
    <w:rsid w:val="005752D8"/>
    <w:rsid w:val="00576F22"/>
    <w:rsid w:val="00581CC5"/>
    <w:rsid w:val="00587E96"/>
    <w:rsid w:val="00592AF6"/>
    <w:rsid w:val="005A111E"/>
    <w:rsid w:val="005A61FB"/>
    <w:rsid w:val="005A7665"/>
    <w:rsid w:val="005B3842"/>
    <w:rsid w:val="005B47BD"/>
    <w:rsid w:val="005C6490"/>
    <w:rsid w:val="005C66E8"/>
    <w:rsid w:val="005D3351"/>
    <w:rsid w:val="005E075B"/>
    <w:rsid w:val="005F0A8D"/>
    <w:rsid w:val="005F0B07"/>
    <w:rsid w:val="005F3884"/>
    <w:rsid w:val="005F531A"/>
    <w:rsid w:val="00603714"/>
    <w:rsid w:val="00604C11"/>
    <w:rsid w:val="006054C2"/>
    <w:rsid w:val="00610C15"/>
    <w:rsid w:val="00616234"/>
    <w:rsid w:val="00625027"/>
    <w:rsid w:val="00626A17"/>
    <w:rsid w:val="00627320"/>
    <w:rsid w:val="00627EEB"/>
    <w:rsid w:val="006319CD"/>
    <w:rsid w:val="00633F0A"/>
    <w:rsid w:val="00640213"/>
    <w:rsid w:val="0064661A"/>
    <w:rsid w:val="00646951"/>
    <w:rsid w:val="00650A04"/>
    <w:rsid w:val="00654F5D"/>
    <w:rsid w:val="006623F8"/>
    <w:rsid w:val="00665D05"/>
    <w:rsid w:val="0066649A"/>
    <w:rsid w:val="0067094A"/>
    <w:rsid w:val="00671BAD"/>
    <w:rsid w:val="00681D3F"/>
    <w:rsid w:val="00681DA7"/>
    <w:rsid w:val="00682383"/>
    <w:rsid w:val="006830D4"/>
    <w:rsid w:val="006853CA"/>
    <w:rsid w:val="00685E44"/>
    <w:rsid w:val="00695B9D"/>
    <w:rsid w:val="006966FC"/>
    <w:rsid w:val="006A4630"/>
    <w:rsid w:val="006A4A49"/>
    <w:rsid w:val="006A6C7C"/>
    <w:rsid w:val="006A72BC"/>
    <w:rsid w:val="006A77D5"/>
    <w:rsid w:val="006B2E9D"/>
    <w:rsid w:val="006B66FD"/>
    <w:rsid w:val="006B6A4D"/>
    <w:rsid w:val="006C5D41"/>
    <w:rsid w:val="006C7736"/>
    <w:rsid w:val="006D045B"/>
    <w:rsid w:val="006D55D5"/>
    <w:rsid w:val="006D65CA"/>
    <w:rsid w:val="006D73D9"/>
    <w:rsid w:val="006E0976"/>
    <w:rsid w:val="006E7DBA"/>
    <w:rsid w:val="006F7893"/>
    <w:rsid w:val="0070409A"/>
    <w:rsid w:val="00711368"/>
    <w:rsid w:val="00711F12"/>
    <w:rsid w:val="00712B5E"/>
    <w:rsid w:val="00712D94"/>
    <w:rsid w:val="00715042"/>
    <w:rsid w:val="0071701E"/>
    <w:rsid w:val="00730335"/>
    <w:rsid w:val="007307AA"/>
    <w:rsid w:val="007320F6"/>
    <w:rsid w:val="00733D63"/>
    <w:rsid w:val="00741DDC"/>
    <w:rsid w:val="007459C8"/>
    <w:rsid w:val="0075119C"/>
    <w:rsid w:val="007540E0"/>
    <w:rsid w:val="00756165"/>
    <w:rsid w:val="007562FA"/>
    <w:rsid w:val="00757475"/>
    <w:rsid w:val="00757A05"/>
    <w:rsid w:val="007611E8"/>
    <w:rsid w:val="007648D4"/>
    <w:rsid w:val="00766409"/>
    <w:rsid w:val="0076703B"/>
    <w:rsid w:val="007701AD"/>
    <w:rsid w:val="007754A6"/>
    <w:rsid w:val="00784C2E"/>
    <w:rsid w:val="00792627"/>
    <w:rsid w:val="0079283B"/>
    <w:rsid w:val="00792D26"/>
    <w:rsid w:val="007A3B7C"/>
    <w:rsid w:val="007A6214"/>
    <w:rsid w:val="007B2287"/>
    <w:rsid w:val="007B334D"/>
    <w:rsid w:val="007C0569"/>
    <w:rsid w:val="007C0F18"/>
    <w:rsid w:val="007C1D29"/>
    <w:rsid w:val="007C6C99"/>
    <w:rsid w:val="007E65C2"/>
    <w:rsid w:val="007F36E5"/>
    <w:rsid w:val="007F464B"/>
    <w:rsid w:val="007F7C21"/>
    <w:rsid w:val="008053B4"/>
    <w:rsid w:val="008140BD"/>
    <w:rsid w:val="008161F2"/>
    <w:rsid w:val="00825303"/>
    <w:rsid w:val="00830A81"/>
    <w:rsid w:val="00830BF6"/>
    <w:rsid w:val="00837858"/>
    <w:rsid w:val="00837C93"/>
    <w:rsid w:val="00842BEA"/>
    <w:rsid w:val="00843D90"/>
    <w:rsid w:val="00850ECF"/>
    <w:rsid w:val="0086004F"/>
    <w:rsid w:val="008610AF"/>
    <w:rsid w:val="00861C17"/>
    <w:rsid w:val="008723CB"/>
    <w:rsid w:val="00873B39"/>
    <w:rsid w:val="00873D05"/>
    <w:rsid w:val="008757C1"/>
    <w:rsid w:val="00877F82"/>
    <w:rsid w:val="008809B0"/>
    <w:rsid w:val="0088462E"/>
    <w:rsid w:val="0088548C"/>
    <w:rsid w:val="00886CB0"/>
    <w:rsid w:val="0089199B"/>
    <w:rsid w:val="00893E26"/>
    <w:rsid w:val="008977D9"/>
    <w:rsid w:val="008A1F57"/>
    <w:rsid w:val="008A2226"/>
    <w:rsid w:val="008A6C4A"/>
    <w:rsid w:val="008A7850"/>
    <w:rsid w:val="008A7B3A"/>
    <w:rsid w:val="008B0631"/>
    <w:rsid w:val="008B4545"/>
    <w:rsid w:val="008B72F8"/>
    <w:rsid w:val="008B7887"/>
    <w:rsid w:val="008C66D8"/>
    <w:rsid w:val="008C6FC7"/>
    <w:rsid w:val="008D252C"/>
    <w:rsid w:val="008D52DE"/>
    <w:rsid w:val="008D6EFF"/>
    <w:rsid w:val="008D7752"/>
    <w:rsid w:val="008E5AAC"/>
    <w:rsid w:val="008F43AE"/>
    <w:rsid w:val="008F5575"/>
    <w:rsid w:val="008F7C68"/>
    <w:rsid w:val="00900C83"/>
    <w:rsid w:val="00901C01"/>
    <w:rsid w:val="00902A31"/>
    <w:rsid w:val="00912E75"/>
    <w:rsid w:val="00915AB0"/>
    <w:rsid w:val="0092452D"/>
    <w:rsid w:val="00933675"/>
    <w:rsid w:val="00936D61"/>
    <w:rsid w:val="00942796"/>
    <w:rsid w:val="00945319"/>
    <w:rsid w:val="00946390"/>
    <w:rsid w:val="009478DE"/>
    <w:rsid w:val="00947D76"/>
    <w:rsid w:val="00951EB2"/>
    <w:rsid w:val="00952AEC"/>
    <w:rsid w:val="009534B2"/>
    <w:rsid w:val="00957192"/>
    <w:rsid w:val="00962188"/>
    <w:rsid w:val="00971709"/>
    <w:rsid w:val="009727A5"/>
    <w:rsid w:val="00975BB0"/>
    <w:rsid w:val="009801EC"/>
    <w:rsid w:val="009856BC"/>
    <w:rsid w:val="009902AA"/>
    <w:rsid w:val="00996A77"/>
    <w:rsid w:val="00996F3B"/>
    <w:rsid w:val="009A12E2"/>
    <w:rsid w:val="009B20F9"/>
    <w:rsid w:val="009B30CE"/>
    <w:rsid w:val="009B4D6C"/>
    <w:rsid w:val="009B5C7E"/>
    <w:rsid w:val="009B6658"/>
    <w:rsid w:val="009C4AB8"/>
    <w:rsid w:val="009C57A6"/>
    <w:rsid w:val="009D0479"/>
    <w:rsid w:val="009D4105"/>
    <w:rsid w:val="009E5736"/>
    <w:rsid w:val="009E5BB3"/>
    <w:rsid w:val="009E5EC7"/>
    <w:rsid w:val="009F12FF"/>
    <w:rsid w:val="009F369C"/>
    <w:rsid w:val="009F537E"/>
    <w:rsid w:val="009F6A85"/>
    <w:rsid w:val="00A102F4"/>
    <w:rsid w:val="00A10FB3"/>
    <w:rsid w:val="00A166F9"/>
    <w:rsid w:val="00A21FFD"/>
    <w:rsid w:val="00A25A55"/>
    <w:rsid w:val="00A26FC2"/>
    <w:rsid w:val="00A40FD6"/>
    <w:rsid w:val="00A46ED6"/>
    <w:rsid w:val="00A47D03"/>
    <w:rsid w:val="00A517B0"/>
    <w:rsid w:val="00A54C70"/>
    <w:rsid w:val="00A60FF2"/>
    <w:rsid w:val="00A64CEF"/>
    <w:rsid w:val="00A678AE"/>
    <w:rsid w:val="00A70F68"/>
    <w:rsid w:val="00A72282"/>
    <w:rsid w:val="00A72C1C"/>
    <w:rsid w:val="00A72D6B"/>
    <w:rsid w:val="00A73426"/>
    <w:rsid w:val="00A7416D"/>
    <w:rsid w:val="00A76242"/>
    <w:rsid w:val="00A827F7"/>
    <w:rsid w:val="00A8343D"/>
    <w:rsid w:val="00A85B5F"/>
    <w:rsid w:val="00A85FB8"/>
    <w:rsid w:val="00A87571"/>
    <w:rsid w:val="00A87A28"/>
    <w:rsid w:val="00A901BC"/>
    <w:rsid w:val="00A91F0E"/>
    <w:rsid w:val="00A92783"/>
    <w:rsid w:val="00A93F84"/>
    <w:rsid w:val="00AA281F"/>
    <w:rsid w:val="00AA4B36"/>
    <w:rsid w:val="00AB39D0"/>
    <w:rsid w:val="00AC0864"/>
    <w:rsid w:val="00AC0FAE"/>
    <w:rsid w:val="00AC5A66"/>
    <w:rsid w:val="00AC6F40"/>
    <w:rsid w:val="00AC78E3"/>
    <w:rsid w:val="00AD2285"/>
    <w:rsid w:val="00AD5ACB"/>
    <w:rsid w:val="00AE0082"/>
    <w:rsid w:val="00AE349D"/>
    <w:rsid w:val="00AE4B66"/>
    <w:rsid w:val="00AE6C3C"/>
    <w:rsid w:val="00AF2F3F"/>
    <w:rsid w:val="00AF7733"/>
    <w:rsid w:val="00AF7A75"/>
    <w:rsid w:val="00B01005"/>
    <w:rsid w:val="00B0273F"/>
    <w:rsid w:val="00B07081"/>
    <w:rsid w:val="00B07E65"/>
    <w:rsid w:val="00B132F3"/>
    <w:rsid w:val="00B221C9"/>
    <w:rsid w:val="00B231E2"/>
    <w:rsid w:val="00B26C5C"/>
    <w:rsid w:val="00B315CC"/>
    <w:rsid w:val="00B340B1"/>
    <w:rsid w:val="00B4144C"/>
    <w:rsid w:val="00B420EE"/>
    <w:rsid w:val="00B421B8"/>
    <w:rsid w:val="00B436E9"/>
    <w:rsid w:val="00B460EC"/>
    <w:rsid w:val="00B55433"/>
    <w:rsid w:val="00B63223"/>
    <w:rsid w:val="00B7210B"/>
    <w:rsid w:val="00B75A86"/>
    <w:rsid w:val="00B77E75"/>
    <w:rsid w:val="00B80FC5"/>
    <w:rsid w:val="00B81028"/>
    <w:rsid w:val="00B917AC"/>
    <w:rsid w:val="00B93617"/>
    <w:rsid w:val="00B960B8"/>
    <w:rsid w:val="00BB1DC3"/>
    <w:rsid w:val="00BB76CC"/>
    <w:rsid w:val="00BB777E"/>
    <w:rsid w:val="00BC76CB"/>
    <w:rsid w:val="00BD293E"/>
    <w:rsid w:val="00BD5B9F"/>
    <w:rsid w:val="00BD6E86"/>
    <w:rsid w:val="00BE735A"/>
    <w:rsid w:val="00BE7805"/>
    <w:rsid w:val="00BF3EBB"/>
    <w:rsid w:val="00BF6A34"/>
    <w:rsid w:val="00C05E42"/>
    <w:rsid w:val="00C05F05"/>
    <w:rsid w:val="00C06CC9"/>
    <w:rsid w:val="00C07685"/>
    <w:rsid w:val="00C33EDA"/>
    <w:rsid w:val="00C34750"/>
    <w:rsid w:val="00C41748"/>
    <w:rsid w:val="00C448FF"/>
    <w:rsid w:val="00C47BE1"/>
    <w:rsid w:val="00C53F18"/>
    <w:rsid w:val="00C54CD9"/>
    <w:rsid w:val="00C702A5"/>
    <w:rsid w:val="00C72020"/>
    <w:rsid w:val="00C72698"/>
    <w:rsid w:val="00C73BC8"/>
    <w:rsid w:val="00C741DA"/>
    <w:rsid w:val="00C77F11"/>
    <w:rsid w:val="00C80A80"/>
    <w:rsid w:val="00CA1C3E"/>
    <w:rsid w:val="00CA26EF"/>
    <w:rsid w:val="00CA2CD6"/>
    <w:rsid w:val="00CB16D4"/>
    <w:rsid w:val="00CC066D"/>
    <w:rsid w:val="00CC469E"/>
    <w:rsid w:val="00CD1B35"/>
    <w:rsid w:val="00CD6BF4"/>
    <w:rsid w:val="00CD7684"/>
    <w:rsid w:val="00CE2F51"/>
    <w:rsid w:val="00CE32C6"/>
    <w:rsid w:val="00CE3952"/>
    <w:rsid w:val="00CF0BC9"/>
    <w:rsid w:val="00CF2044"/>
    <w:rsid w:val="00CF7E68"/>
    <w:rsid w:val="00D03FDF"/>
    <w:rsid w:val="00D10362"/>
    <w:rsid w:val="00D1324F"/>
    <w:rsid w:val="00D1483B"/>
    <w:rsid w:val="00D155B2"/>
    <w:rsid w:val="00D178E7"/>
    <w:rsid w:val="00D2007F"/>
    <w:rsid w:val="00D214B6"/>
    <w:rsid w:val="00D32793"/>
    <w:rsid w:val="00D342C1"/>
    <w:rsid w:val="00D40140"/>
    <w:rsid w:val="00D403D4"/>
    <w:rsid w:val="00D42033"/>
    <w:rsid w:val="00D50A26"/>
    <w:rsid w:val="00D57085"/>
    <w:rsid w:val="00D656EB"/>
    <w:rsid w:val="00D66185"/>
    <w:rsid w:val="00D67A61"/>
    <w:rsid w:val="00D70B26"/>
    <w:rsid w:val="00D70C8C"/>
    <w:rsid w:val="00D7157D"/>
    <w:rsid w:val="00D77300"/>
    <w:rsid w:val="00D80A5C"/>
    <w:rsid w:val="00D81C2A"/>
    <w:rsid w:val="00D85959"/>
    <w:rsid w:val="00D8625E"/>
    <w:rsid w:val="00D8747E"/>
    <w:rsid w:val="00D94183"/>
    <w:rsid w:val="00D9762B"/>
    <w:rsid w:val="00DA1E6D"/>
    <w:rsid w:val="00DA3723"/>
    <w:rsid w:val="00DB2352"/>
    <w:rsid w:val="00DB7A38"/>
    <w:rsid w:val="00DB7EF9"/>
    <w:rsid w:val="00DC1C5A"/>
    <w:rsid w:val="00DC3DF2"/>
    <w:rsid w:val="00DC71D0"/>
    <w:rsid w:val="00DC7F62"/>
    <w:rsid w:val="00DD25F0"/>
    <w:rsid w:val="00DD5333"/>
    <w:rsid w:val="00DD59D0"/>
    <w:rsid w:val="00DD6150"/>
    <w:rsid w:val="00DD630C"/>
    <w:rsid w:val="00DD69F1"/>
    <w:rsid w:val="00DD7DDF"/>
    <w:rsid w:val="00DE03E0"/>
    <w:rsid w:val="00DE0781"/>
    <w:rsid w:val="00DE240A"/>
    <w:rsid w:val="00DE7CA8"/>
    <w:rsid w:val="00DF3CF0"/>
    <w:rsid w:val="00DF63AC"/>
    <w:rsid w:val="00E02472"/>
    <w:rsid w:val="00E032F4"/>
    <w:rsid w:val="00E119A2"/>
    <w:rsid w:val="00E124AF"/>
    <w:rsid w:val="00E13323"/>
    <w:rsid w:val="00E16FB4"/>
    <w:rsid w:val="00E2504B"/>
    <w:rsid w:val="00E25159"/>
    <w:rsid w:val="00E26E51"/>
    <w:rsid w:val="00E2728D"/>
    <w:rsid w:val="00E33ED5"/>
    <w:rsid w:val="00E340E0"/>
    <w:rsid w:val="00E35E8B"/>
    <w:rsid w:val="00E36F06"/>
    <w:rsid w:val="00E42166"/>
    <w:rsid w:val="00E42667"/>
    <w:rsid w:val="00E43005"/>
    <w:rsid w:val="00E619B0"/>
    <w:rsid w:val="00E7072F"/>
    <w:rsid w:val="00E713AB"/>
    <w:rsid w:val="00E7708C"/>
    <w:rsid w:val="00E82E2B"/>
    <w:rsid w:val="00E83D53"/>
    <w:rsid w:val="00E84426"/>
    <w:rsid w:val="00E91443"/>
    <w:rsid w:val="00E92F92"/>
    <w:rsid w:val="00E954BA"/>
    <w:rsid w:val="00E96503"/>
    <w:rsid w:val="00E97975"/>
    <w:rsid w:val="00EA350D"/>
    <w:rsid w:val="00EA71A0"/>
    <w:rsid w:val="00EB2E51"/>
    <w:rsid w:val="00EB3517"/>
    <w:rsid w:val="00EB6028"/>
    <w:rsid w:val="00EC2244"/>
    <w:rsid w:val="00EC4FA8"/>
    <w:rsid w:val="00ED124F"/>
    <w:rsid w:val="00ED18C4"/>
    <w:rsid w:val="00ED3BA8"/>
    <w:rsid w:val="00ED4AD1"/>
    <w:rsid w:val="00EE3040"/>
    <w:rsid w:val="00EE5455"/>
    <w:rsid w:val="00EF0D0F"/>
    <w:rsid w:val="00EF5620"/>
    <w:rsid w:val="00EF5894"/>
    <w:rsid w:val="00EF6424"/>
    <w:rsid w:val="00F05A9F"/>
    <w:rsid w:val="00F05D7C"/>
    <w:rsid w:val="00F116F3"/>
    <w:rsid w:val="00F11D14"/>
    <w:rsid w:val="00F13F36"/>
    <w:rsid w:val="00F24E03"/>
    <w:rsid w:val="00F25D7A"/>
    <w:rsid w:val="00F30EE5"/>
    <w:rsid w:val="00F329DA"/>
    <w:rsid w:val="00F32A48"/>
    <w:rsid w:val="00F40F03"/>
    <w:rsid w:val="00F43F0B"/>
    <w:rsid w:val="00F445A6"/>
    <w:rsid w:val="00F65204"/>
    <w:rsid w:val="00F70084"/>
    <w:rsid w:val="00F72F62"/>
    <w:rsid w:val="00F752D0"/>
    <w:rsid w:val="00F760EA"/>
    <w:rsid w:val="00F856D9"/>
    <w:rsid w:val="00F91791"/>
    <w:rsid w:val="00F951F6"/>
    <w:rsid w:val="00F9636A"/>
    <w:rsid w:val="00FA0F8C"/>
    <w:rsid w:val="00FA73BF"/>
    <w:rsid w:val="00FB7FFC"/>
    <w:rsid w:val="00FC18D3"/>
    <w:rsid w:val="00FC5371"/>
    <w:rsid w:val="00FC6407"/>
    <w:rsid w:val="00FC6AD6"/>
    <w:rsid w:val="00FD0341"/>
    <w:rsid w:val="00FD1276"/>
    <w:rsid w:val="00FD15FC"/>
    <w:rsid w:val="00FD342E"/>
    <w:rsid w:val="00FD56DC"/>
    <w:rsid w:val="00FD5764"/>
    <w:rsid w:val="00FD7135"/>
    <w:rsid w:val="00FE176C"/>
    <w:rsid w:val="00FF66FD"/>
    <w:rsid w:val="02CE19E4"/>
    <w:rsid w:val="02D82E96"/>
    <w:rsid w:val="038D2659"/>
    <w:rsid w:val="06062B21"/>
    <w:rsid w:val="07727E6E"/>
    <w:rsid w:val="092E7E2F"/>
    <w:rsid w:val="09753DE8"/>
    <w:rsid w:val="0A592C81"/>
    <w:rsid w:val="0B7C29A6"/>
    <w:rsid w:val="0C04371E"/>
    <w:rsid w:val="0E154A54"/>
    <w:rsid w:val="0E3954A7"/>
    <w:rsid w:val="0F113BDA"/>
    <w:rsid w:val="0FF60647"/>
    <w:rsid w:val="10085871"/>
    <w:rsid w:val="10CB5FEE"/>
    <w:rsid w:val="113450C7"/>
    <w:rsid w:val="119E63DB"/>
    <w:rsid w:val="12D6198D"/>
    <w:rsid w:val="13625593"/>
    <w:rsid w:val="147F33B6"/>
    <w:rsid w:val="14B06E5E"/>
    <w:rsid w:val="14C35F95"/>
    <w:rsid w:val="156D5E5B"/>
    <w:rsid w:val="15A431C1"/>
    <w:rsid w:val="15F01F9A"/>
    <w:rsid w:val="175E4E5B"/>
    <w:rsid w:val="18552471"/>
    <w:rsid w:val="18A93351"/>
    <w:rsid w:val="18A95055"/>
    <w:rsid w:val="19FD7030"/>
    <w:rsid w:val="1A7C19E2"/>
    <w:rsid w:val="1B0B5FE0"/>
    <w:rsid w:val="1B3B6D70"/>
    <w:rsid w:val="1CAB07AC"/>
    <w:rsid w:val="1D8A2F24"/>
    <w:rsid w:val="1D907A09"/>
    <w:rsid w:val="1E85084A"/>
    <w:rsid w:val="1FF447F9"/>
    <w:rsid w:val="203479E6"/>
    <w:rsid w:val="21981599"/>
    <w:rsid w:val="21C8588D"/>
    <w:rsid w:val="2219740B"/>
    <w:rsid w:val="22254ECB"/>
    <w:rsid w:val="22471B45"/>
    <w:rsid w:val="2267137A"/>
    <w:rsid w:val="22C574CF"/>
    <w:rsid w:val="231A28E3"/>
    <w:rsid w:val="235F1B2B"/>
    <w:rsid w:val="237D031C"/>
    <w:rsid w:val="24603FA9"/>
    <w:rsid w:val="24BB2202"/>
    <w:rsid w:val="255045B2"/>
    <w:rsid w:val="25E767F0"/>
    <w:rsid w:val="26000471"/>
    <w:rsid w:val="26C7129B"/>
    <w:rsid w:val="277539B3"/>
    <w:rsid w:val="289753A4"/>
    <w:rsid w:val="298244CD"/>
    <w:rsid w:val="2AED65EA"/>
    <w:rsid w:val="2B9F52F4"/>
    <w:rsid w:val="2BE824DC"/>
    <w:rsid w:val="2D3A13E6"/>
    <w:rsid w:val="2D3B4209"/>
    <w:rsid w:val="2DDF4A8C"/>
    <w:rsid w:val="2DF605FC"/>
    <w:rsid w:val="2E276317"/>
    <w:rsid w:val="2E6E01E0"/>
    <w:rsid w:val="2ED40498"/>
    <w:rsid w:val="2EF03357"/>
    <w:rsid w:val="2F4500A0"/>
    <w:rsid w:val="2F450975"/>
    <w:rsid w:val="2FAC2143"/>
    <w:rsid w:val="2FBB7129"/>
    <w:rsid w:val="32380E4F"/>
    <w:rsid w:val="32875E0E"/>
    <w:rsid w:val="33504405"/>
    <w:rsid w:val="33FD5ADA"/>
    <w:rsid w:val="349D7F1A"/>
    <w:rsid w:val="34A20628"/>
    <w:rsid w:val="372C47BE"/>
    <w:rsid w:val="374702F1"/>
    <w:rsid w:val="38146D9F"/>
    <w:rsid w:val="386A3EA0"/>
    <w:rsid w:val="388942CE"/>
    <w:rsid w:val="399724B4"/>
    <w:rsid w:val="39D8098B"/>
    <w:rsid w:val="3A8B7B2F"/>
    <w:rsid w:val="3AEE643E"/>
    <w:rsid w:val="3B047D0B"/>
    <w:rsid w:val="3DDB14A6"/>
    <w:rsid w:val="3E0863F9"/>
    <w:rsid w:val="3E8751CC"/>
    <w:rsid w:val="3F872B25"/>
    <w:rsid w:val="3FE74AC2"/>
    <w:rsid w:val="405216BC"/>
    <w:rsid w:val="40645D2D"/>
    <w:rsid w:val="407D1C98"/>
    <w:rsid w:val="44B00CB8"/>
    <w:rsid w:val="45F72742"/>
    <w:rsid w:val="462427F8"/>
    <w:rsid w:val="474E334A"/>
    <w:rsid w:val="476E6D75"/>
    <w:rsid w:val="48065454"/>
    <w:rsid w:val="48434D5E"/>
    <w:rsid w:val="48AB39E7"/>
    <w:rsid w:val="48FE40A5"/>
    <w:rsid w:val="49751E0A"/>
    <w:rsid w:val="4A63538D"/>
    <w:rsid w:val="4BCD05CD"/>
    <w:rsid w:val="4C685AFB"/>
    <w:rsid w:val="4D8721A4"/>
    <w:rsid w:val="4D892BAA"/>
    <w:rsid w:val="4D9A4BD6"/>
    <w:rsid w:val="4E122506"/>
    <w:rsid w:val="4E3C1D02"/>
    <w:rsid w:val="4E5B2C76"/>
    <w:rsid w:val="507A47C2"/>
    <w:rsid w:val="50A92BD6"/>
    <w:rsid w:val="50D5344F"/>
    <w:rsid w:val="51AD60FA"/>
    <w:rsid w:val="521A722A"/>
    <w:rsid w:val="528B3E6F"/>
    <w:rsid w:val="52DB07F5"/>
    <w:rsid w:val="52F57D37"/>
    <w:rsid w:val="532106ED"/>
    <w:rsid w:val="533218D8"/>
    <w:rsid w:val="53D8697F"/>
    <w:rsid w:val="53E339B9"/>
    <w:rsid w:val="54376C23"/>
    <w:rsid w:val="54385F60"/>
    <w:rsid w:val="543F520E"/>
    <w:rsid w:val="550C2C6A"/>
    <w:rsid w:val="55F9513E"/>
    <w:rsid w:val="5750087F"/>
    <w:rsid w:val="575209B4"/>
    <w:rsid w:val="57614AA4"/>
    <w:rsid w:val="57A71AF3"/>
    <w:rsid w:val="57DD6966"/>
    <w:rsid w:val="57E447CE"/>
    <w:rsid w:val="593855FA"/>
    <w:rsid w:val="59CA12BD"/>
    <w:rsid w:val="5BFCC375"/>
    <w:rsid w:val="5C2532E3"/>
    <w:rsid w:val="5C3E613C"/>
    <w:rsid w:val="5DD3401D"/>
    <w:rsid w:val="5E1667F4"/>
    <w:rsid w:val="5E564B39"/>
    <w:rsid w:val="5E65126A"/>
    <w:rsid w:val="5F285537"/>
    <w:rsid w:val="5F6904BE"/>
    <w:rsid w:val="6019385C"/>
    <w:rsid w:val="60FF2190"/>
    <w:rsid w:val="61131A15"/>
    <w:rsid w:val="61250280"/>
    <w:rsid w:val="613A742C"/>
    <w:rsid w:val="61776541"/>
    <w:rsid w:val="639004E2"/>
    <w:rsid w:val="63A36E39"/>
    <w:rsid w:val="64204FA8"/>
    <w:rsid w:val="659A0658"/>
    <w:rsid w:val="666D59B5"/>
    <w:rsid w:val="66AD7087"/>
    <w:rsid w:val="66FC0C1B"/>
    <w:rsid w:val="67784CC7"/>
    <w:rsid w:val="67BD06FE"/>
    <w:rsid w:val="67EF011C"/>
    <w:rsid w:val="688579A6"/>
    <w:rsid w:val="6903210F"/>
    <w:rsid w:val="694E0616"/>
    <w:rsid w:val="6A4E4002"/>
    <w:rsid w:val="6A7A213F"/>
    <w:rsid w:val="6A923C1B"/>
    <w:rsid w:val="6A933F8C"/>
    <w:rsid w:val="6A9F6A28"/>
    <w:rsid w:val="6AE632A9"/>
    <w:rsid w:val="6B9F0D7F"/>
    <w:rsid w:val="6C1A2856"/>
    <w:rsid w:val="6CFE0684"/>
    <w:rsid w:val="6D093BD4"/>
    <w:rsid w:val="6DDB1B3B"/>
    <w:rsid w:val="6E261646"/>
    <w:rsid w:val="6EB9098A"/>
    <w:rsid w:val="6F34190E"/>
    <w:rsid w:val="6FCBF29E"/>
    <w:rsid w:val="70BB4780"/>
    <w:rsid w:val="71012C15"/>
    <w:rsid w:val="715E31D6"/>
    <w:rsid w:val="71AF12E6"/>
    <w:rsid w:val="71DF3614"/>
    <w:rsid w:val="71F058A2"/>
    <w:rsid w:val="72AF51E4"/>
    <w:rsid w:val="72D44CEF"/>
    <w:rsid w:val="72F56186"/>
    <w:rsid w:val="74A477C8"/>
    <w:rsid w:val="74E87B8F"/>
    <w:rsid w:val="75B275B8"/>
    <w:rsid w:val="75F61BD9"/>
    <w:rsid w:val="76243C43"/>
    <w:rsid w:val="7629137D"/>
    <w:rsid w:val="766F43D8"/>
    <w:rsid w:val="76872D95"/>
    <w:rsid w:val="768833D5"/>
    <w:rsid w:val="76AE08EF"/>
    <w:rsid w:val="76C30376"/>
    <w:rsid w:val="7728668A"/>
    <w:rsid w:val="77490090"/>
    <w:rsid w:val="77DD1A42"/>
    <w:rsid w:val="77FA1FBF"/>
    <w:rsid w:val="7A646470"/>
    <w:rsid w:val="7B02494B"/>
    <w:rsid w:val="7BCA4589"/>
    <w:rsid w:val="7C242545"/>
    <w:rsid w:val="7C300BA9"/>
    <w:rsid w:val="7C7078EA"/>
    <w:rsid w:val="7CF404F4"/>
    <w:rsid w:val="7D195604"/>
    <w:rsid w:val="7D3A7879"/>
    <w:rsid w:val="7D8F0C20"/>
    <w:rsid w:val="7E623111"/>
    <w:rsid w:val="7E804385"/>
    <w:rsid w:val="7ED151F3"/>
    <w:rsid w:val="7EFB61AE"/>
    <w:rsid w:val="7FB623D9"/>
    <w:rsid w:val="7FF71A99"/>
    <w:rsid w:val="9FFB901A"/>
    <w:rsid w:val="AFF4CBF2"/>
    <w:rsid w:val="B7EF1699"/>
    <w:rsid w:val="BC7FD679"/>
    <w:rsid w:val="D36FF00F"/>
    <w:rsid w:val="D3B541DC"/>
    <w:rsid w:val="F6E69848"/>
    <w:rsid w:val="FB67B58F"/>
    <w:rsid w:val="FDBFDC27"/>
    <w:rsid w:val="FEF047B1"/>
    <w:rsid w:val="FFC191B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宋体"/>
      <w:kern w:val="2"/>
      <w:sz w:val="21"/>
      <w:szCs w:val="24"/>
      <w:lang w:val="en-US" w:eastAsia="zh-CN" w:bidi="ar-SA"/>
    </w:rPr>
  </w:style>
  <w:style w:type="paragraph" w:styleId="5">
    <w:name w:val="heading 1"/>
    <w:basedOn w:val="1"/>
    <w:next w:val="1"/>
    <w:autoRedefine/>
    <w:qFormat/>
    <w:uiPriority w:val="0"/>
    <w:pPr>
      <w:spacing w:beforeAutospacing="1" w:afterAutospacing="1"/>
      <w:jc w:val="left"/>
      <w:outlineLvl w:val="0"/>
    </w:pPr>
    <w:rPr>
      <w:rFonts w:hint="eastAsia" w:ascii="宋体" w:hAnsi="宋体"/>
      <w:b/>
      <w:kern w:val="44"/>
      <w:sz w:val="48"/>
      <w:szCs w:val="48"/>
    </w:rPr>
  </w:style>
  <w:style w:type="paragraph" w:styleId="6">
    <w:name w:val="heading 2"/>
    <w:basedOn w:val="1"/>
    <w:next w:val="1"/>
    <w:autoRedefine/>
    <w:qFormat/>
    <w:uiPriority w:val="0"/>
    <w:pPr>
      <w:keepNext/>
      <w:keepLines/>
      <w:spacing w:before="260" w:after="260" w:line="413" w:lineRule="auto"/>
      <w:outlineLvl w:val="1"/>
    </w:pPr>
    <w:rPr>
      <w:rFonts w:ascii="Arial" w:hAnsi="Arial" w:eastAsia="黑体"/>
      <w:b/>
      <w:sz w:val="32"/>
    </w:rPr>
  </w:style>
  <w:style w:type="character" w:default="1" w:styleId="19">
    <w:name w:val="Default Paragraph Font"/>
    <w:autoRedefine/>
    <w:semiHidden/>
    <w:unhideWhenUsed/>
    <w:qFormat/>
    <w:uiPriority w:val="1"/>
  </w:style>
  <w:style w:type="table" w:default="1" w:styleId="17">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next w:val="4"/>
    <w:qFormat/>
    <w:uiPriority w:val="0"/>
    <w:pPr>
      <w:ind w:firstLine="420"/>
    </w:pPr>
  </w:style>
  <w:style w:type="paragraph" w:styleId="3">
    <w:name w:val="Body Text Indent"/>
    <w:basedOn w:val="1"/>
    <w:qFormat/>
    <w:uiPriority w:val="0"/>
    <w:pPr>
      <w:spacing w:after="120"/>
      <w:ind w:left="420" w:leftChars="200"/>
    </w:pPr>
    <w:rPr>
      <w:rFonts w:ascii="宋体" w:hAnsi="宋体"/>
      <w:color w:val="000000"/>
      <w:spacing w:val="-10"/>
      <w:kern w:val="0"/>
      <w:sz w:val="28"/>
      <w:szCs w:val="28"/>
    </w:rPr>
  </w:style>
  <w:style w:type="paragraph" w:customStyle="1" w:styleId="4">
    <w:name w:val="Default"/>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7">
    <w:name w:val="Normal Indent"/>
    <w:basedOn w:val="1"/>
    <w:next w:val="1"/>
    <w:qFormat/>
    <w:uiPriority w:val="0"/>
    <w:pPr>
      <w:snapToGrid w:val="0"/>
      <w:spacing w:line="300" w:lineRule="auto"/>
      <w:ind w:firstLine="556"/>
    </w:pPr>
    <w:rPr>
      <w:rFonts w:ascii="仿宋_GB2312" w:hAnsi="Times New Roman" w:eastAsia="仿宋_GB2312"/>
      <w:kern w:val="0"/>
      <w:szCs w:val="20"/>
    </w:rPr>
  </w:style>
  <w:style w:type="paragraph" w:styleId="8">
    <w:name w:val="annotation text"/>
    <w:basedOn w:val="1"/>
    <w:link w:val="46"/>
    <w:qFormat/>
    <w:uiPriority w:val="0"/>
    <w:pPr>
      <w:jc w:val="left"/>
    </w:pPr>
  </w:style>
  <w:style w:type="paragraph" w:styleId="9">
    <w:name w:val="Body Text"/>
    <w:basedOn w:val="1"/>
    <w:next w:val="1"/>
    <w:autoRedefine/>
    <w:qFormat/>
    <w:uiPriority w:val="0"/>
    <w:pPr>
      <w:spacing w:before="100" w:after="50" w:line="288" w:lineRule="auto"/>
      <w:ind w:firstLine="560" w:firstLineChars="200"/>
    </w:pPr>
    <w:rPr>
      <w:rFonts w:ascii="宋体" w:hAnsi="宋体"/>
    </w:rPr>
  </w:style>
  <w:style w:type="paragraph" w:styleId="10">
    <w:name w:val="Plain Text"/>
    <w:basedOn w:val="1"/>
    <w:qFormat/>
    <w:uiPriority w:val="0"/>
    <w:rPr>
      <w:rFonts w:ascii="宋体" w:hAnsi="Courier New"/>
      <w:szCs w:val="20"/>
    </w:rPr>
  </w:style>
  <w:style w:type="paragraph" w:styleId="11">
    <w:name w:val="Balloon Text"/>
    <w:basedOn w:val="1"/>
    <w:link w:val="48"/>
    <w:qFormat/>
    <w:uiPriority w:val="0"/>
    <w:rPr>
      <w:rFonts w:ascii="宋体"/>
      <w:sz w:val="18"/>
      <w:szCs w:val="18"/>
    </w:rPr>
  </w:style>
  <w:style w:type="paragraph" w:styleId="12">
    <w:name w:val="footer"/>
    <w:basedOn w:val="1"/>
    <w:link w:val="49"/>
    <w:autoRedefine/>
    <w:qFormat/>
    <w:uiPriority w:val="99"/>
    <w:pPr>
      <w:tabs>
        <w:tab w:val="center" w:pos="4153"/>
        <w:tab w:val="right" w:pos="8306"/>
      </w:tabs>
      <w:snapToGrid w:val="0"/>
      <w:jc w:val="left"/>
    </w:pPr>
    <w:rPr>
      <w:sz w:val="18"/>
    </w:rPr>
  </w:style>
  <w:style w:type="paragraph" w:styleId="1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rFonts w:ascii="Times New Roman" w:hAnsi="Times New Roman"/>
      <w:sz w:val="18"/>
    </w:rPr>
  </w:style>
  <w:style w:type="paragraph" w:styleId="14">
    <w:name w:val="toc 1"/>
    <w:basedOn w:val="1"/>
    <w:next w:val="1"/>
    <w:qFormat/>
    <w:uiPriority w:val="39"/>
  </w:style>
  <w:style w:type="paragraph" w:styleId="15">
    <w:name w:val="Normal (Web)"/>
    <w:basedOn w:val="1"/>
    <w:qFormat/>
    <w:uiPriority w:val="0"/>
    <w:pPr>
      <w:jc w:val="left"/>
    </w:pPr>
    <w:rPr>
      <w:kern w:val="0"/>
      <w:sz w:val="24"/>
    </w:rPr>
  </w:style>
  <w:style w:type="paragraph" w:styleId="16">
    <w:name w:val="annotation subject"/>
    <w:basedOn w:val="8"/>
    <w:next w:val="8"/>
    <w:link w:val="47"/>
    <w:qFormat/>
    <w:uiPriority w:val="0"/>
    <w:rPr>
      <w:b/>
      <w:bCs/>
    </w:rPr>
  </w:style>
  <w:style w:type="table" w:styleId="18">
    <w:name w:val="Table Grid"/>
    <w:basedOn w:val="1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0">
    <w:name w:val="Strong"/>
    <w:basedOn w:val="19"/>
    <w:qFormat/>
    <w:uiPriority w:val="0"/>
    <w:rPr>
      <w:b/>
      <w:bCs/>
    </w:rPr>
  </w:style>
  <w:style w:type="character" w:styleId="21">
    <w:name w:val="page number"/>
    <w:basedOn w:val="19"/>
    <w:qFormat/>
    <w:uiPriority w:val="0"/>
  </w:style>
  <w:style w:type="character" w:styleId="22">
    <w:name w:val="FollowedHyperlink"/>
    <w:basedOn w:val="19"/>
    <w:qFormat/>
    <w:uiPriority w:val="0"/>
    <w:rPr>
      <w:color w:val="000000"/>
      <w:u w:val="none"/>
    </w:rPr>
  </w:style>
  <w:style w:type="character" w:styleId="23">
    <w:name w:val="Hyperlink"/>
    <w:basedOn w:val="19"/>
    <w:qFormat/>
    <w:uiPriority w:val="99"/>
    <w:rPr>
      <w:color w:val="000000"/>
      <w:u w:val="none"/>
    </w:rPr>
  </w:style>
  <w:style w:type="character" w:styleId="24">
    <w:name w:val="annotation reference"/>
    <w:basedOn w:val="19"/>
    <w:qFormat/>
    <w:uiPriority w:val="0"/>
    <w:rPr>
      <w:sz w:val="21"/>
      <w:szCs w:val="21"/>
    </w:rPr>
  </w:style>
  <w:style w:type="character" w:customStyle="1" w:styleId="25">
    <w:name w:val="red"/>
    <w:basedOn w:val="19"/>
    <w:qFormat/>
    <w:uiPriority w:val="0"/>
    <w:rPr>
      <w:color w:val="FF0000"/>
    </w:rPr>
  </w:style>
  <w:style w:type="character" w:customStyle="1" w:styleId="26">
    <w:name w:val="wxjiantou"/>
    <w:basedOn w:val="19"/>
    <w:qFormat/>
    <w:uiPriority w:val="0"/>
    <w:rPr>
      <w:vanish/>
    </w:rPr>
  </w:style>
  <w:style w:type="character" w:customStyle="1" w:styleId="27">
    <w:name w:val="wxpop"/>
    <w:basedOn w:val="19"/>
    <w:qFormat/>
    <w:uiPriority w:val="0"/>
    <w:rPr>
      <w:vanish/>
      <w:bdr w:val="single" w:color="E9E9E9" w:sz="4" w:space="0"/>
      <w:shd w:val="clear" w:color="auto" w:fill="FFFFFF"/>
    </w:rPr>
  </w:style>
  <w:style w:type="character" w:customStyle="1" w:styleId="28">
    <w:name w:val="wxlogo"/>
    <w:basedOn w:val="19"/>
    <w:qFormat/>
    <w:uiPriority w:val="0"/>
  </w:style>
  <w:style w:type="character" w:customStyle="1" w:styleId="29">
    <w:name w:val="red2"/>
    <w:basedOn w:val="19"/>
    <w:qFormat/>
    <w:uiPriority w:val="0"/>
    <w:rPr>
      <w:color w:val="FF0000"/>
    </w:rPr>
  </w:style>
  <w:style w:type="character" w:customStyle="1" w:styleId="30">
    <w:name w:val="comb1"/>
    <w:basedOn w:val="19"/>
    <w:qFormat/>
    <w:uiPriority w:val="0"/>
  </w:style>
  <w:style w:type="paragraph" w:customStyle="1" w:styleId="31">
    <w:name w:val="WPSOffice手动目录 1"/>
    <w:qFormat/>
    <w:uiPriority w:val="0"/>
    <w:rPr>
      <w:rFonts w:ascii="Times New Roman" w:hAnsi="Times New Roman" w:eastAsia="宋体" w:cs="Times New Roman"/>
      <w:lang w:val="en-US" w:eastAsia="zh-CN" w:bidi="ar-SA"/>
    </w:rPr>
  </w:style>
  <w:style w:type="paragraph" w:customStyle="1" w:styleId="32">
    <w:name w:val="WPSOffice手动目录 2"/>
    <w:qFormat/>
    <w:uiPriority w:val="0"/>
    <w:pPr>
      <w:ind w:left="200" w:leftChars="200"/>
    </w:pPr>
    <w:rPr>
      <w:rFonts w:ascii="Times New Roman" w:hAnsi="Times New Roman" w:eastAsia="宋体" w:cs="Times New Roman"/>
      <w:lang w:val="en-US" w:eastAsia="zh-CN" w:bidi="ar-SA"/>
    </w:rPr>
  </w:style>
  <w:style w:type="paragraph" w:customStyle="1" w:styleId="33">
    <w:name w:val="Body text|221"/>
    <w:basedOn w:val="1"/>
    <w:link w:val="38"/>
    <w:qFormat/>
    <w:uiPriority w:val="0"/>
    <w:pPr>
      <w:shd w:val="clear" w:color="auto" w:fill="FFFFFF"/>
      <w:spacing w:before="1140" w:after="700" w:line="240" w:lineRule="exact"/>
      <w:jc w:val="center"/>
    </w:pPr>
    <w:rPr>
      <w:rFonts w:ascii="PMingLiU" w:hAnsi="PMingLiU" w:eastAsia="PMingLiU" w:cs="PMingLiU"/>
    </w:rPr>
  </w:style>
  <w:style w:type="paragraph" w:customStyle="1" w:styleId="34">
    <w:name w:val="Heading #3|1"/>
    <w:basedOn w:val="1"/>
    <w:qFormat/>
    <w:uiPriority w:val="0"/>
    <w:pPr>
      <w:shd w:val="clear" w:color="auto" w:fill="FFFFFF"/>
      <w:spacing w:before="320" w:line="572" w:lineRule="exact"/>
      <w:outlineLvl w:val="2"/>
    </w:pPr>
    <w:rPr>
      <w:rFonts w:ascii="PMingLiU" w:hAnsi="PMingLiU" w:eastAsia="PMingLiU" w:cs="PMingLiU"/>
      <w:b/>
      <w:bCs/>
      <w:sz w:val="26"/>
      <w:szCs w:val="26"/>
    </w:rPr>
  </w:style>
  <w:style w:type="paragraph" w:customStyle="1" w:styleId="35">
    <w:name w:val="Body text|14"/>
    <w:basedOn w:val="1"/>
    <w:qFormat/>
    <w:uiPriority w:val="0"/>
    <w:pPr>
      <w:shd w:val="clear" w:color="auto" w:fill="FFFFFF"/>
      <w:spacing w:line="576" w:lineRule="exact"/>
      <w:jc w:val="distribute"/>
    </w:pPr>
    <w:rPr>
      <w:rFonts w:ascii="PMingLiU" w:hAnsi="PMingLiU" w:eastAsia="PMingLiU" w:cs="PMingLiU"/>
      <w:b/>
      <w:bCs/>
      <w:sz w:val="26"/>
      <w:szCs w:val="26"/>
    </w:rPr>
  </w:style>
  <w:style w:type="paragraph" w:customStyle="1" w:styleId="36">
    <w:name w:val="Table caption|1"/>
    <w:basedOn w:val="1"/>
    <w:qFormat/>
    <w:uiPriority w:val="0"/>
    <w:pPr>
      <w:shd w:val="clear" w:color="auto" w:fill="FFFFFF"/>
      <w:spacing w:line="240" w:lineRule="exact"/>
    </w:pPr>
    <w:rPr>
      <w:rFonts w:ascii="PMingLiU" w:hAnsi="PMingLiU" w:eastAsia="PMingLiU" w:cs="PMingLiU"/>
    </w:rPr>
  </w:style>
  <w:style w:type="character" w:customStyle="1" w:styleId="37">
    <w:name w:val="Body text|2 + 13 pt"/>
    <w:basedOn w:val="38"/>
    <w:qFormat/>
    <w:uiPriority w:val="0"/>
    <w:rPr>
      <w:rFonts w:ascii="PMingLiU" w:hAnsi="PMingLiU" w:eastAsia="PMingLiU" w:cs="PMingLiU"/>
      <w:b/>
      <w:bCs/>
      <w:color w:val="000000"/>
      <w:spacing w:val="0"/>
      <w:w w:val="100"/>
      <w:position w:val="0"/>
      <w:sz w:val="26"/>
      <w:szCs w:val="26"/>
      <w:u w:val="none"/>
      <w:lang w:val="zh-CN" w:eastAsia="zh-CN" w:bidi="zh-CN"/>
    </w:rPr>
  </w:style>
  <w:style w:type="character" w:customStyle="1" w:styleId="38">
    <w:name w:val="Body text|2_"/>
    <w:basedOn w:val="19"/>
    <w:link w:val="33"/>
    <w:qFormat/>
    <w:uiPriority w:val="0"/>
    <w:rPr>
      <w:rFonts w:ascii="PMingLiU" w:hAnsi="PMingLiU" w:eastAsia="PMingLiU" w:cs="PMingLiU"/>
      <w:u w:val="none"/>
    </w:rPr>
  </w:style>
  <w:style w:type="character" w:customStyle="1" w:styleId="39">
    <w:name w:val="Body text|2"/>
    <w:basedOn w:val="38"/>
    <w:qFormat/>
    <w:uiPriority w:val="0"/>
    <w:rPr>
      <w:rFonts w:ascii="PMingLiU" w:hAnsi="PMingLiU" w:eastAsia="PMingLiU" w:cs="PMingLiU"/>
      <w:color w:val="000000"/>
      <w:spacing w:val="0"/>
      <w:w w:val="100"/>
      <w:position w:val="0"/>
      <w:sz w:val="24"/>
      <w:szCs w:val="24"/>
      <w:u w:val="none"/>
      <w:lang w:val="zh-CN" w:eastAsia="zh-CN" w:bidi="zh-CN"/>
    </w:rPr>
  </w:style>
  <w:style w:type="character" w:customStyle="1" w:styleId="40">
    <w:name w:val="Body text|2 + Arial"/>
    <w:basedOn w:val="38"/>
    <w:qFormat/>
    <w:uiPriority w:val="0"/>
    <w:rPr>
      <w:rFonts w:ascii="Arial" w:hAnsi="Arial" w:eastAsia="Arial" w:cs="Arial"/>
      <w:color w:val="000000"/>
      <w:spacing w:val="0"/>
      <w:w w:val="100"/>
      <w:position w:val="0"/>
      <w:sz w:val="24"/>
      <w:szCs w:val="24"/>
      <w:u w:val="none"/>
      <w:lang w:val="en-US" w:eastAsia="en-US" w:bidi="en-US"/>
    </w:rPr>
  </w:style>
  <w:style w:type="character" w:customStyle="1" w:styleId="41">
    <w:name w:val="font71"/>
    <w:basedOn w:val="19"/>
    <w:qFormat/>
    <w:uiPriority w:val="0"/>
    <w:rPr>
      <w:rFonts w:hint="default" w:ascii="Times New Roman" w:hAnsi="Times New Roman" w:cs="Times New Roman"/>
    </w:rPr>
  </w:style>
  <w:style w:type="character" w:customStyle="1" w:styleId="42">
    <w:name w:val="Body text|2 + 13 pt1"/>
    <w:basedOn w:val="38"/>
    <w:qFormat/>
    <w:uiPriority w:val="0"/>
    <w:rPr>
      <w:rFonts w:ascii="PMingLiU" w:hAnsi="PMingLiU" w:eastAsia="PMingLiU" w:cs="PMingLiU"/>
      <w:b/>
      <w:bCs/>
      <w:color w:val="000000"/>
      <w:spacing w:val="0"/>
      <w:w w:val="100"/>
      <w:position w:val="0"/>
      <w:sz w:val="26"/>
      <w:szCs w:val="26"/>
      <w:u w:val="none"/>
      <w:lang w:val="zh-CN" w:eastAsia="zh-CN" w:bidi="zh-CN"/>
    </w:rPr>
  </w:style>
  <w:style w:type="character" w:customStyle="1" w:styleId="43">
    <w:name w:val="Body text|2 + Arial1"/>
    <w:basedOn w:val="38"/>
    <w:autoRedefine/>
    <w:qFormat/>
    <w:uiPriority w:val="0"/>
    <w:rPr>
      <w:rFonts w:ascii="Arial" w:hAnsi="Arial" w:eastAsia="Arial" w:cs="Arial"/>
      <w:color w:val="000000"/>
      <w:spacing w:val="0"/>
      <w:w w:val="100"/>
      <w:position w:val="0"/>
      <w:sz w:val="24"/>
      <w:szCs w:val="24"/>
      <w:u w:val="none"/>
      <w:lang w:val="en-US" w:eastAsia="en-US" w:bidi="en-US"/>
    </w:rPr>
  </w:style>
  <w:style w:type="paragraph" w:customStyle="1" w:styleId="44">
    <w:name w:val="附注二级正文"/>
    <w:basedOn w:val="1"/>
    <w:autoRedefine/>
    <w:qFormat/>
    <w:uiPriority w:val="0"/>
    <w:pPr>
      <w:widowControl/>
      <w:adjustRightInd w:val="0"/>
      <w:snapToGrid w:val="0"/>
      <w:spacing w:line="400" w:lineRule="atLeast"/>
      <w:ind w:left="718" w:leftChars="342"/>
      <w:jc w:val="left"/>
    </w:pPr>
    <w:rPr>
      <w:rFonts w:ascii="宋体" w:hAnsi="宋体"/>
      <w:szCs w:val="21"/>
    </w:rPr>
  </w:style>
  <w:style w:type="paragraph" w:customStyle="1" w:styleId="45">
    <w:name w:val="列出段落2"/>
    <w:basedOn w:val="1"/>
    <w:autoRedefine/>
    <w:qFormat/>
    <w:uiPriority w:val="34"/>
    <w:pPr>
      <w:ind w:firstLine="420" w:firstLineChars="200"/>
    </w:pPr>
  </w:style>
  <w:style w:type="character" w:customStyle="1" w:styleId="46">
    <w:name w:val="批注文字 字符"/>
    <w:basedOn w:val="19"/>
    <w:link w:val="8"/>
    <w:autoRedefine/>
    <w:qFormat/>
    <w:uiPriority w:val="0"/>
    <w:rPr>
      <w:rFonts w:ascii="Calibri" w:hAnsi="Calibri" w:cs="宋体"/>
      <w:kern w:val="2"/>
      <w:sz w:val="21"/>
      <w:szCs w:val="24"/>
    </w:rPr>
  </w:style>
  <w:style w:type="character" w:customStyle="1" w:styleId="47">
    <w:name w:val="批注主题 字符"/>
    <w:basedOn w:val="46"/>
    <w:link w:val="16"/>
    <w:autoRedefine/>
    <w:qFormat/>
    <w:uiPriority w:val="0"/>
    <w:rPr>
      <w:rFonts w:ascii="Calibri" w:hAnsi="Calibri" w:cs="宋体"/>
      <w:b/>
      <w:bCs/>
      <w:kern w:val="2"/>
      <w:sz w:val="21"/>
      <w:szCs w:val="24"/>
    </w:rPr>
  </w:style>
  <w:style w:type="character" w:customStyle="1" w:styleId="48">
    <w:name w:val="批注框文本 字符"/>
    <w:basedOn w:val="19"/>
    <w:link w:val="11"/>
    <w:autoRedefine/>
    <w:qFormat/>
    <w:uiPriority w:val="0"/>
    <w:rPr>
      <w:rFonts w:ascii="宋体" w:hAnsi="Calibri" w:cs="宋体"/>
      <w:kern w:val="2"/>
      <w:sz w:val="18"/>
      <w:szCs w:val="18"/>
    </w:rPr>
  </w:style>
  <w:style w:type="character" w:customStyle="1" w:styleId="49">
    <w:name w:val="页脚 字符"/>
    <w:basedOn w:val="19"/>
    <w:link w:val="12"/>
    <w:autoRedefine/>
    <w:qFormat/>
    <w:uiPriority w:val="99"/>
    <w:rPr>
      <w:rFonts w:ascii="Calibri" w:hAnsi="Calibri" w:cs="宋体"/>
      <w:kern w:val="2"/>
      <w:sz w:val="18"/>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2.xml"/><Relationship Id="rId14" Type="http://schemas.openxmlformats.org/officeDocument/2006/relationships/customXml" Target="../customXml/item1.xml"/><Relationship Id="rId13" Type="http://schemas.openxmlformats.org/officeDocument/2006/relationships/image" Target="media/image5.jpeg"/><Relationship Id="rId12" Type="http://schemas.openxmlformats.org/officeDocument/2006/relationships/image" Target="media/image4.jpeg"/><Relationship Id="rId11" Type="http://schemas.openxmlformats.org/officeDocument/2006/relationships/image" Target="media/image3.jpe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BC326CE-F119-40BD-BC73-D7D1F0D94B4C}">
  <ds:schemaRefs/>
</ds:datastoreItem>
</file>

<file path=docProps/app.xml><?xml version="1.0" encoding="utf-8"?>
<Properties xmlns="http://schemas.openxmlformats.org/officeDocument/2006/extended-properties" xmlns:vt="http://schemas.openxmlformats.org/officeDocument/2006/docPropsVTypes">
  <Template>Normal</Template>
  <Pages>20</Pages>
  <Words>7582</Words>
  <Characters>8042</Characters>
  <Lines>63</Lines>
  <Paragraphs>17</Paragraphs>
  <TotalTime>1</TotalTime>
  <ScaleCrop>false</ScaleCrop>
  <LinksUpToDate>false</LinksUpToDate>
  <CharactersWithSpaces>8445</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2022-11-08T09:09:00Z</dcterms:created>
  <dc:creator>wq</dc:creator>
  <cp:lastModifiedBy>卡路里卡路里卡路</cp:lastModifiedBy>
  <cp:lastPrinted>2023-09-01T08:04:00Z</cp:lastPrinted>
  <dcterms:modified xsi:type="dcterms:W3CDTF">2025-07-07T08:57:17Z</dcterms:modified>
  <cp:revision>190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BC256A15551E4DB8938EC49DBB4D6A17_13</vt:lpwstr>
  </property>
  <property fmtid="{D5CDD505-2E9C-101B-9397-08002B2CF9AE}" pid="4" name="KSOTemplateDocerSaveRecord">
    <vt:lpwstr>eyJoZGlkIjoiZjA4MDdiMmY1YjNhZTk2YmExOTExOWUzZDliMjg0MWYiLCJ1c2VySWQiOiIzOTgxMzE4MTgifQ==</vt:lpwstr>
  </property>
</Properties>
</file>