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ascii="仿宋" w:hAnsi="仿宋" w:eastAsia="仿宋" w:cs="仿宋"/>
          <w:b/>
          <w:color w:val="auto"/>
          <w:sz w:val="32"/>
          <w:szCs w:val="32"/>
        </w:rPr>
      </w:pPr>
      <w:r>
        <w:rPr>
          <w:rFonts w:hint="eastAsia" w:ascii="仿宋" w:hAnsi="仿宋" w:eastAsia="仿宋" w:cs="仿宋"/>
          <w:b/>
          <w:color w:val="auto"/>
          <w:sz w:val="32"/>
          <w:szCs w:val="32"/>
        </w:rPr>
        <w:t>2020年福建省政府专项债券（</w:t>
      </w:r>
      <w:r>
        <w:rPr>
          <w:rFonts w:hint="eastAsia" w:ascii="仿宋" w:hAnsi="仿宋" w:eastAsia="仿宋" w:cs="仿宋"/>
          <w:b/>
          <w:color w:val="auto"/>
          <w:sz w:val="32"/>
          <w:szCs w:val="32"/>
          <w:lang w:val="en-US" w:eastAsia="zh-CN"/>
        </w:rPr>
        <w:t>十五</w:t>
      </w:r>
      <w:r>
        <w:rPr>
          <w:rFonts w:hint="eastAsia" w:ascii="仿宋" w:hAnsi="仿宋" w:eastAsia="仿宋" w:cs="仿宋"/>
          <w:b/>
          <w:color w:val="auto"/>
          <w:sz w:val="32"/>
          <w:szCs w:val="32"/>
        </w:rPr>
        <w:t>期）</w:t>
      </w:r>
    </w:p>
    <w:p>
      <w:pPr>
        <w:spacing w:line="360" w:lineRule="auto"/>
        <w:jc w:val="center"/>
        <w:rPr>
          <w:rFonts w:hint="eastAsia" w:ascii="仿宋" w:hAnsi="仿宋" w:eastAsia="仿宋" w:cs="仿宋"/>
          <w:b/>
          <w:sz w:val="32"/>
          <w:szCs w:val="32"/>
        </w:rPr>
      </w:pPr>
      <w:r>
        <w:rPr>
          <w:rFonts w:hint="eastAsia" w:ascii="仿宋" w:hAnsi="仿宋" w:eastAsia="仿宋" w:cs="仿宋"/>
          <w:b/>
          <w:color w:val="auto"/>
          <w:sz w:val="32"/>
          <w:szCs w:val="32"/>
        </w:rPr>
        <w:t>之</w:t>
      </w:r>
      <w:r>
        <w:rPr>
          <w:rFonts w:hint="eastAsia" w:ascii="仿宋" w:hAnsi="仿宋" w:eastAsia="仿宋" w:cs="仿宋"/>
          <w:b/>
          <w:color w:val="auto"/>
          <w:sz w:val="32"/>
          <w:szCs w:val="32"/>
          <w:lang w:val="en-US" w:eastAsia="zh-CN"/>
        </w:rPr>
        <w:t>三明</w:t>
      </w:r>
      <w:r>
        <w:rPr>
          <w:rFonts w:hint="eastAsia" w:ascii="仿宋" w:hAnsi="仿宋" w:eastAsia="仿宋" w:cs="仿宋"/>
          <w:b/>
          <w:color w:val="auto"/>
          <w:sz w:val="32"/>
          <w:szCs w:val="32"/>
        </w:rPr>
        <w:t>市</w:t>
      </w:r>
      <w:r>
        <w:rPr>
          <w:rFonts w:hint="eastAsia" w:ascii="仿宋" w:hAnsi="仿宋" w:eastAsia="仿宋" w:cs="仿宋"/>
          <w:b/>
          <w:sz w:val="32"/>
          <w:szCs w:val="32"/>
        </w:rPr>
        <w:t>项目调整情况说明</w:t>
      </w:r>
    </w:p>
    <w:p>
      <w:pPr>
        <w:spacing w:line="360" w:lineRule="auto"/>
        <w:jc w:val="center"/>
        <w:rPr>
          <w:rFonts w:hint="eastAsia" w:ascii="仿宋" w:hAnsi="仿宋" w:eastAsia="仿宋" w:cs="仿宋"/>
          <w:b/>
          <w:color w:val="auto"/>
          <w:sz w:val="32"/>
          <w:szCs w:val="32"/>
        </w:rPr>
      </w:pPr>
      <w:bookmarkStart w:id="2" w:name="_GoBack"/>
      <w:bookmarkEnd w:id="2"/>
    </w:p>
    <w:p>
      <w:pPr>
        <w:pStyle w:val="2"/>
        <w:spacing w:line="360" w:lineRule="auto"/>
        <w:ind w:firstLine="560" w:firstLineChars="200"/>
        <w:rPr>
          <w:rFonts w:hint="eastAsia" w:ascii="仿宋" w:hAnsi="仿宋" w:cs="仿宋"/>
          <w:b w:val="0"/>
          <w:bCs w:val="0"/>
          <w:lang w:val="en-US" w:eastAsia="zh-CN"/>
        </w:rPr>
      </w:pPr>
      <w:r>
        <w:rPr>
          <w:rFonts w:hint="eastAsia" w:ascii="仿宋" w:hAnsi="仿宋" w:cs="仿宋"/>
          <w:b w:val="0"/>
          <w:bCs w:val="0"/>
          <w:lang w:val="en-US" w:eastAsia="zh-CN"/>
        </w:rPr>
        <w:t>2020年福建省政府专项债券（十五期）中将乐县兴建殡仪馆项目已发行专项债券0.25亿元，期限10年，因项目工程进度缓慢，故拟调整0.25亿元用于龙栖山森林康养基础设施建设项目。</w:t>
      </w:r>
    </w:p>
    <w:p>
      <w:pPr>
        <w:pStyle w:val="2"/>
        <w:spacing w:line="360" w:lineRule="auto"/>
        <w:ind w:firstLine="562" w:firstLineChars="200"/>
        <w:rPr>
          <w:rFonts w:ascii="仿宋" w:hAnsi="仿宋" w:cs="仿宋"/>
        </w:rPr>
      </w:pPr>
      <w:r>
        <w:rPr>
          <w:rFonts w:hint="eastAsia" w:ascii="仿宋" w:hAnsi="仿宋" w:cs="仿宋"/>
        </w:rPr>
        <w:t>一、募集资金投向说明</w:t>
      </w:r>
    </w:p>
    <w:p>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专项债券募集资金拟使用规模情况如下：</w:t>
      </w:r>
    </w:p>
    <w:tbl>
      <w:tblPr>
        <w:tblStyle w:val="11"/>
        <w:tblW w:w="90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28"/>
        <w:gridCol w:w="1311"/>
        <w:gridCol w:w="1560"/>
        <w:gridCol w:w="1417"/>
        <w:gridCol w:w="1632"/>
        <w:gridCol w:w="18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jc w:val="center"/>
        </w:trPr>
        <w:tc>
          <w:tcPr>
            <w:tcW w:w="1328" w:type="dxa"/>
            <w:shd w:val="clear" w:color="auto" w:fill="auto"/>
            <w:vAlign w:val="center"/>
          </w:tcPr>
          <w:p>
            <w:pPr>
              <w:spacing w:line="360" w:lineRule="auto"/>
              <w:jc w:val="center"/>
              <w:rPr>
                <w:rFonts w:ascii="仿宋" w:hAnsi="仿宋" w:eastAsia="仿宋" w:cs="仿宋"/>
                <w:b/>
                <w:sz w:val="24"/>
                <w:szCs w:val="24"/>
              </w:rPr>
            </w:pPr>
            <w:r>
              <w:rPr>
                <w:rFonts w:hint="eastAsia" w:ascii="仿宋" w:hAnsi="仿宋" w:eastAsia="仿宋" w:cs="仿宋"/>
                <w:b/>
                <w:sz w:val="24"/>
                <w:szCs w:val="24"/>
              </w:rPr>
              <w:t>调整债券名称</w:t>
            </w:r>
          </w:p>
        </w:tc>
        <w:tc>
          <w:tcPr>
            <w:tcW w:w="1311" w:type="dxa"/>
            <w:shd w:val="clear" w:color="auto" w:fill="auto"/>
            <w:vAlign w:val="center"/>
          </w:tcPr>
          <w:p>
            <w:pPr>
              <w:spacing w:line="360" w:lineRule="auto"/>
              <w:jc w:val="center"/>
              <w:rPr>
                <w:rFonts w:ascii="仿宋" w:hAnsi="仿宋" w:eastAsia="仿宋" w:cs="仿宋"/>
                <w:b/>
                <w:sz w:val="24"/>
                <w:szCs w:val="24"/>
              </w:rPr>
            </w:pPr>
            <w:r>
              <w:rPr>
                <w:rFonts w:hint="eastAsia" w:ascii="仿宋" w:hAnsi="仿宋" w:eastAsia="仿宋" w:cs="仿宋"/>
                <w:b/>
                <w:sz w:val="24"/>
                <w:szCs w:val="24"/>
              </w:rPr>
              <w:t>原项目</w:t>
            </w:r>
          </w:p>
        </w:tc>
        <w:tc>
          <w:tcPr>
            <w:tcW w:w="1560" w:type="dxa"/>
            <w:shd w:val="clear" w:color="auto" w:fill="auto"/>
            <w:vAlign w:val="center"/>
          </w:tcPr>
          <w:p>
            <w:pPr>
              <w:spacing w:line="360" w:lineRule="auto"/>
              <w:jc w:val="center"/>
              <w:rPr>
                <w:rFonts w:ascii="仿宋" w:hAnsi="仿宋" w:eastAsia="仿宋" w:cs="仿宋"/>
                <w:b/>
                <w:sz w:val="24"/>
                <w:szCs w:val="24"/>
              </w:rPr>
            </w:pPr>
            <w:r>
              <w:rPr>
                <w:rFonts w:hint="eastAsia" w:ascii="仿宋" w:hAnsi="仿宋" w:eastAsia="仿宋" w:cs="仿宋"/>
                <w:b/>
                <w:sz w:val="24"/>
                <w:szCs w:val="24"/>
              </w:rPr>
              <w:t>调整后项目</w:t>
            </w:r>
          </w:p>
        </w:tc>
        <w:tc>
          <w:tcPr>
            <w:tcW w:w="1417" w:type="dxa"/>
            <w:shd w:val="clear" w:color="auto" w:fill="auto"/>
            <w:vAlign w:val="center"/>
          </w:tcPr>
          <w:p>
            <w:pPr>
              <w:spacing w:line="360" w:lineRule="auto"/>
              <w:jc w:val="center"/>
              <w:rPr>
                <w:rFonts w:ascii="仿宋" w:hAnsi="仿宋" w:eastAsia="仿宋" w:cs="仿宋"/>
                <w:b/>
                <w:sz w:val="24"/>
                <w:szCs w:val="24"/>
              </w:rPr>
            </w:pPr>
            <w:r>
              <w:rPr>
                <w:rFonts w:hint="eastAsia" w:ascii="仿宋" w:hAnsi="仿宋" w:eastAsia="仿宋" w:cs="仿宋"/>
                <w:b/>
                <w:sz w:val="24"/>
                <w:szCs w:val="24"/>
              </w:rPr>
              <w:t>调整后项目总投资（万元）</w:t>
            </w:r>
          </w:p>
        </w:tc>
        <w:tc>
          <w:tcPr>
            <w:tcW w:w="1632" w:type="dxa"/>
            <w:shd w:val="clear" w:color="auto" w:fill="auto"/>
            <w:vAlign w:val="center"/>
          </w:tcPr>
          <w:p>
            <w:pPr>
              <w:spacing w:line="360" w:lineRule="auto"/>
              <w:jc w:val="center"/>
              <w:rPr>
                <w:rFonts w:ascii="仿宋" w:hAnsi="仿宋" w:eastAsia="仿宋" w:cs="仿宋"/>
                <w:b/>
                <w:sz w:val="24"/>
                <w:szCs w:val="24"/>
              </w:rPr>
            </w:pPr>
            <w:r>
              <w:rPr>
                <w:rFonts w:hint="eastAsia" w:ascii="仿宋" w:hAnsi="仿宋" w:eastAsia="仿宋" w:cs="仿宋"/>
                <w:b/>
                <w:sz w:val="24"/>
                <w:szCs w:val="24"/>
              </w:rPr>
              <w:t>拟调整专项债金额（万元）</w:t>
            </w:r>
          </w:p>
        </w:tc>
        <w:tc>
          <w:tcPr>
            <w:tcW w:w="1800" w:type="dxa"/>
            <w:shd w:val="clear" w:color="auto" w:fill="auto"/>
            <w:vAlign w:val="center"/>
          </w:tcPr>
          <w:p>
            <w:pPr>
              <w:spacing w:line="360" w:lineRule="auto"/>
              <w:jc w:val="center"/>
              <w:rPr>
                <w:rFonts w:ascii="仿宋" w:hAnsi="仿宋" w:eastAsia="仿宋" w:cs="仿宋"/>
                <w:b/>
                <w:sz w:val="24"/>
                <w:szCs w:val="24"/>
              </w:rPr>
            </w:pPr>
            <w:r>
              <w:rPr>
                <w:rFonts w:hint="eastAsia" w:ascii="仿宋" w:hAnsi="仿宋" w:eastAsia="仿宋" w:cs="仿宋"/>
                <w:b/>
                <w:sz w:val="24"/>
                <w:szCs w:val="24"/>
              </w:rPr>
              <w:t>调整后项目实施方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7" w:hRule="atLeast"/>
          <w:jc w:val="center"/>
        </w:trPr>
        <w:tc>
          <w:tcPr>
            <w:tcW w:w="1328" w:type="dxa"/>
            <w:vAlign w:val="center"/>
          </w:tcPr>
          <w:p>
            <w:pPr>
              <w:spacing w:line="360" w:lineRule="auto"/>
              <w:rPr>
                <w:rFonts w:ascii="仿宋" w:hAnsi="仿宋" w:eastAsia="仿宋" w:cs="仿宋"/>
                <w:kern w:val="0"/>
                <w:sz w:val="24"/>
                <w:szCs w:val="24"/>
              </w:rPr>
            </w:pPr>
            <w:r>
              <w:rPr>
                <w:rFonts w:hint="eastAsia" w:ascii="仿宋" w:hAnsi="仿宋" w:eastAsia="仿宋" w:cs="仿宋"/>
                <w:kern w:val="0"/>
                <w:sz w:val="24"/>
                <w:szCs w:val="24"/>
              </w:rPr>
              <w:t>2020年福建省政府专项债券（</w:t>
            </w:r>
            <w:r>
              <w:rPr>
                <w:rFonts w:hint="eastAsia" w:ascii="仿宋" w:hAnsi="仿宋" w:eastAsia="仿宋" w:cs="仿宋"/>
                <w:kern w:val="0"/>
                <w:sz w:val="24"/>
                <w:szCs w:val="24"/>
                <w:lang w:val="en-US" w:eastAsia="zh-CN"/>
              </w:rPr>
              <w:t>十五</w:t>
            </w:r>
            <w:r>
              <w:rPr>
                <w:rFonts w:hint="eastAsia" w:ascii="仿宋" w:hAnsi="仿宋" w:eastAsia="仿宋" w:cs="仿宋"/>
                <w:kern w:val="0"/>
                <w:sz w:val="24"/>
                <w:szCs w:val="24"/>
              </w:rPr>
              <w:t>期）</w:t>
            </w:r>
          </w:p>
        </w:tc>
        <w:tc>
          <w:tcPr>
            <w:tcW w:w="1311" w:type="dxa"/>
            <w:vAlign w:val="center"/>
          </w:tcPr>
          <w:p>
            <w:pPr>
              <w:spacing w:line="360" w:lineRule="auto"/>
              <w:rPr>
                <w:rFonts w:ascii="仿宋" w:hAnsi="仿宋" w:eastAsia="仿宋" w:cs="仿宋"/>
                <w:kern w:val="0"/>
                <w:sz w:val="24"/>
                <w:szCs w:val="24"/>
              </w:rPr>
            </w:pPr>
            <w:r>
              <w:rPr>
                <w:rFonts w:hint="eastAsia" w:ascii="仿宋" w:hAnsi="仿宋" w:eastAsia="仿宋" w:cs="仿宋"/>
                <w:kern w:val="0"/>
                <w:sz w:val="24"/>
                <w:szCs w:val="24"/>
              </w:rPr>
              <w:t>将乐县兴建殡仪馆项目</w:t>
            </w:r>
          </w:p>
        </w:tc>
        <w:tc>
          <w:tcPr>
            <w:tcW w:w="1560" w:type="dxa"/>
            <w:vAlign w:val="center"/>
          </w:tcPr>
          <w:p>
            <w:pPr>
              <w:spacing w:line="360" w:lineRule="auto"/>
              <w:rPr>
                <w:rFonts w:ascii="仿宋" w:hAnsi="仿宋" w:eastAsia="仿宋" w:cs="仿宋"/>
                <w:kern w:val="0"/>
                <w:sz w:val="24"/>
                <w:szCs w:val="24"/>
              </w:rPr>
            </w:pPr>
            <w:r>
              <w:rPr>
                <w:rFonts w:hint="eastAsia" w:ascii="仿宋" w:hAnsi="仿宋" w:eastAsia="仿宋" w:cs="仿宋"/>
                <w:sz w:val="24"/>
                <w:szCs w:val="24"/>
              </w:rPr>
              <w:t>龙栖山森林康养基础设施建设项目</w:t>
            </w:r>
          </w:p>
        </w:tc>
        <w:tc>
          <w:tcPr>
            <w:tcW w:w="1417" w:type="dxa"/>
            <w:vAlign w:val="center"/>
          </w:tcPr>
          <w:p>
            <w:pPr>
              <w:wordWrap/>
              <w:spacing w:line="360" w:lineRule="auto"/>
              <w:jc w:val="center"/>
              <w:rPr>
                <w:rFonts w:ascii="仿宋" w:hAnsi="仿宋" w:eastAsia="仿宋" w:cs="仿宋"/>
                <w:kern w:val="2"/>
                <w:sz w:val="24"/>
                <w:szCs w:val="24"/>
                <w:lang w:val="en-US" w:eastAsia="zh-CN" w:bidi="ar-SA"/>
              </w:rPr>
            </w:pPr>
            <w:r>
              <w:rPr>
                <w:rFonts w:ascii="仿宋" w:hAnsi="仿宋" w:eastAsia="仿宋" w:cs="仿宋"/>
                <w:sz w:val="24"/>
                <w:szCs w:val="24"/>
              </w:rPr>
              <w:t>4437.10</w:t>
            </w:r>
          </w:p>
        </w:tc>
        <w:tc>
          <w:tcPr>
            <w:tcW w:w="1632" w:type="dxa"/>
            <w:vAlign w:val="center"/>
          </w:tcPr>
          <w:p>
            <w:pPr>
              <w:spacing w:line="360" w:lineRule="auto"/>
              <w:jc w:val="center"/>
              <w:rPr>
                <w:rFonts w:ascii="仿宋" w:hAnsi="仿宋" w:eastAsia="仿宋" w:cs="仿宋"/>
                <w:kern w:val="2"/>
                <w:sz w:val="24"/>
                <w:szCs w:val="24"/>
                <w:lang w:val="en-US" w:eastAsia="zh-CN" w:bidi="ar-SA"/>
              </w:rPr>
            </w:pPr>
            <w:r>
              <w:rPr>
                <w:rFonts w:ascii="仿宋" w:hAnsi="仿宋" w:eastAsia="仿宋" w:cs="仿宋"/>
                <w:sz w:val="24"/>
                <w:szCs w:val="24"/>
              </w:rPr>
              <w:t>2500.00</w:t>
            </w:r>
          </w:p>
        </w:tc>
        <w:tc>
          <w:tcPr>
            <w:tcW w:w="1800" w:type="dxa"/>
            <w:vAlign w:val="center"/>
          </w:tcPr>
          <w:p>
            <w:pPr>
              <w:spacing w:line="360" w:lineRule="auto"/>
              <w:rPr>
                <w:rFonts w:ascii="仿宋" w:hAnsi="仿宋" w:eastAsia="仿宋" w:cs="仿宋"/>
                <w:kern w:val="0"/>
                <w:sz w:val="24"/>
                <w:szCs w:val="24"/>
              </w:rPr>
            </w:pPr>
            <w:r>
              <w:rPr>
                <w:rFonts w:hint="eastAsia" w:ascii="仿宋" w:hAnsi="仿宋" w:eastAsia="仿宋" w:cs="仿宋"/>
                <w:kern w:val="0"/>
                <w:sz w:val="24"/>
                <w:szCs w:val="24"/>
              </w:rPr>
              <w:t>福建龙栖山国家级自然保护区管理局</w:t>
            </w:r>
          </w:p>
        </w:tc>
      </w:tr>
    </w:tbl>
    <w:p>
      <w:pPr>
        <w:spacing w:line="360" w:lineRule="auto"/>
        <w:ind w:firstLine="560" w:firstLineChars="200"/>
        <w:rPr>
          <w:rFonts w:hint="eastAsia" w:ascii="仿宋" w:hAnsi="仿宋" w:eastAsia="仿宋" w:cs="仿宋"/>
          <w:sz w:val="28"/>
          <w:szCs w:val="28"/>
        </w:rPr>
      </w:pPr>
    </w:p>
    <w:p>
      <w:pPr>
        <w:pStyle w:val="2"/>
        <w:spacing w:line="360" w:lineRule="auto"/>
        <w:ind w:firstLine="562" w:firstLineChars="200"/>
        <w:rPr>
          <w:rFonts w:ascii="仿宋" w:hAnsi="仿宋" w:cs="仿宋"/>
        </w:rPr>
      </w:pPr>
      <w:r>
        <w:rPr>
          <w:rFonts w:hint="eastAsia" w:ascii="仿宋" w:hAnsi="仿宋" w:cs="仿宋"/>
        </w:rPr>
        <w:t>二、募集资金投资项目情况</w:t>
      </w:r>
    </w:p>
    <w:p>
      <w:pPr>
        <w:spacing w:line="360" w:lineRule="auto"/>
        <w:ind w:firstLine="560" w:firstLineChars="200"/>
        <w:rPr>
          <w:rFonts w:ascii="仿宋" w:hAnsi="仿宋" w:eastAsia="仿宋" w:cs="仿宋"/>
          <w:sz w:val="28"/>
          <w:szCs w:val="28"/>
        </w:rPr>
      </w:pPr>
      <w:bookmarkStart w:id="0" w:name="_Hlk524441701"/>
      <w:r>
        <w:rPr>
          <w:rFonts w:hint="eastAsia" w:ascii="仿宋" w:hAnsi="仿宋" w:eastAsia="仿宋" w:cs="仿宋"/>
          <w:sz w:val="28"/>
          <w:szCs w:val="28"/>
        </w:rPr>
        <w:t>将乐县龙栖山森林康养基础设施建设项目</w:t>
      </w:r>
    </w:p>
    <w:p>
      <w:pPr>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1、项目概况</w:t>
      </w:r>
    </w:p>
    <w:p>
      <w:pPr>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本项目位于将乐县龙栖山国家级自然保护区余家坪。项目总用地面积为694.18亩，总建筑面积15310平方米。龙栖山康养中心装修改造，建筑面积5500平方米；建设生态停车场，面积800平方米；建设森林康养接待中心（检查站），建筑面积1800平方米；建设游客集散中心，建筑面积1500平方米；建设宣教指挥监控中心，建筑面积410平方米；余家坪民宿改造，建筑面积2600平方米；西山造纸作坊改造，建筑面积500平方米；猴园改造，建筑面积600平方米；鹿园改造，建筑面积400平方米；自然研学基地提升工程，新建办公楼及食堂建筑面积1000平方米，教学楼改造建筑面积1000平方米；分支巷道改造，总长800米；民宿庭院改造，总面积1600平方米；余家坪市政道路改造提升，总长130米；余家坪村庄供水工程建设，铺设供水管网1600米；建设长廊50米；铺设健身步道1000米；完善绿化、景观工程等其他附属设施。</w:t>
      </w:r>
      <w:bookmarkEnd w:id="0"/>
    </w:p>
    <w:p>
      <w:pPr>
        <w:pStyle w:val="5"/>
        <w:spacing w:line="360" w:lineRule="auto"/>
        <w:ind w:firstLine="562" w:firstLineChars="200"/>
        <w:rPr>
          <w:rFonts w:ascii="仿宋" w:hAnsi="仿宋" w:cs="仿宋"/>
        </w:rPr>
      </w:pPr>
      <w:r>
        <w:rPr>
          <w:rFonts w:hint="eastAsia" w:ascii="仿宋" w:hAnsi="仿宋" w:cs="仿宋"/>
        </w:rPr>
        <w:t>2、项目投资情况</w:t>
      </w:r>
    </w:p>
    <w:p>
      <w:pPr>
        <w:widowControl/>
        <w:spacing w:after="120" w:line="360" w:lineRule="auto"/>
        <w:ind w:firstLine="560" w:firstLineChars="200"/>
        <w:contextualSpacing/>
        <w:jc w:val="left"/>
        <w:rPr>
          <w:rFonts w:ascii="仿宋" w:hAnsi="仿宋" w:eastAsia="仿宋" w:cs="仿宋"/>
          <w:sz w:val="28"/>
          <w:szCs w:val="28"/>
        </w:rPr>
      </w:pPr>
      <w:r>
        <w:rPr>
          <w:rFonts w:hint="eastAsia" w:ascii="仿宋" w:hAnsi="仿宋" w:eastAsia="仿宋" w:cs="仿宋"/>
          <w:sz w:val="28"/>
          <w:szCs w:val="28"/>
        </w:rPr>
        <w:t>本项目总投资4437.1万元，其中工程费用3651.9万元，工程建设其他费用612.8万元，基本预备费172.4万元。该项目未来年度投资计划如下：</w:t>
      </w:r>
    </w:p>
    <w:p>
      <w:pPr>
        <w:spacing w:line="360" w:lineRule="auto"/>
        <w:jc w:val="center"/>
        <w:rPr>
          <w:rFonts w:ascii="仿宋" w:hAnsi="仿宋" w:eastAsia="仿宋" w:cs="仿宋"/>
          <w:b/>
          <w:sz w:val="28"/>
          <w:szCs w:val="28"/>
        </w:rPr>
      </w:pPr>
      <w:r>
        <w:rPr>
          <w:rFonts w:hint="eastAsia" w:ascii="仿宋" w:hAnsi="仿宋" w:eastAsia="仿宋" w:cs="仿宋"/>
          <w:b/>
          <w:sz w:val="28"/>
          <w:szCs w:val="28"/>
        </w:rPr>
        <w:t>项目投资计划表</w:t>
      </w:r>
    </w:p>
    <w:p>
      <w:pPr>
        <w:spacing w:line="360" w:lineRule="auto"/>
        <w:ind w:firstLine="560" w:firstLineChars="200"/>
        <w:jc w:val="right"/>
        <w:rPr>
          <w:rFonts w:ascii="仿宋" w:hAnsi="仿宋" w:eastAsia="仿宋" w:cs="仿宋"/>
          <w:sz w:val="28"/>
          <w:szCs w:val="28"/>
        </w:rPr>
      </w:pPr>
      <w:r>
        <w:rPr>
          <w:rFonts w:hint="eastAsia" w:ascii="仿宋" w:hAnsi="仿宋" w:eastAsia="仿宋" w:cs="仿宋"/>
          <w:sz w:val="28"/>
          <w:szCs w:val="28"/>
        </w:rPr>
        <w:t>单位：人民币万元</w:t>
      </w:r>
    </w:p>
    <w:tbl>
      <w:tblPr>
        <w:tblStyle w:val="10"/>
        <w:tblW w:w="8116" w:type="dxa"/>
        <w:tblInd w:w="95" w:type="dxa"/>
        <w:tblLayout w:type="autofit"/>
        <w:tblCellMar>
          <w:top w:w="0" w:type="dxa"/>
          <w:left w:w="108" w:type="dxa"/>
          <w:bottom w:w="0" w:type="dxa"/>
          <w:right w:w="108" w:type="dxa"/>
        </w:tblCellMar>
      </w:tblPr>
      <w:tblGrid>
        <w:gridCol w:w="2040"/>
        <w:gridCol w:w="1268"/>
        <w:gridCol w:w="1239"/>
        <w:gridCol w:w="1206"/>
        <w:gridCol w:w="1132"/>
        <w:gridCol w:w="1231"/>
      </w:tblGrid>
      <w:tr>
        <w:tblPrEx>
          <w:tblCellMar>
            <w:top w:w="0" w:type="dxa"/>
            <w:left w:w="108" w:type="dxa"/>
            <w:bottom w:w="0" w:type="dxa"/>
            <w:right w:w="108" w:type="dxa"/>
          </w:tblCellMar>
        </w:tblPrEx>
        <w:trPr>
          <w:trHeight w:val="919" w:hRule="atLeast"/>
        </w:trPr>
        <w:tc>
          <w:tcPr>
            <w:tcW w:w="204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资金使用进度</w:t>
            </w:r>
          </w:p>
        </w:tc>
        <w:tc>
          <w:tcPr>
            <w:tcW w:w="1268"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2"/>
              </w:rPr>
            </w:pPr>
            <w:r>
              <w:rPr>
                <w:rFonts w:hint="eastAsia" w:ascii="宋体" w:hAnsi="宋体" w:eastAsia="宋体" w:cs="宋体"/>
                <w:kern w:val="0"/>
                <w:sz w:val="22"/>
              </w:rPr>
              <w:t>以前年度到本报告日</w:t>
            </w:r>
          </w:p>
        </w:tc>
        <w:tc>
          <w:tcPr>
            <w:tcW w:w="1239"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2020年</w:t>
            </w:r>
          </w:p>
        </w:tc>
        <w:tc>
          <w:tcPr>
            <w:tcW w:w="1206"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2021年</w:t>
            </w:r>
          </w:p>
        </w:tc>
        <w:tc>
          <w:tcPr>
            <w:tcW w:w="1132"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2022年</w:t>
            </w:r>
          </w:p>
        </w:tc>
        <w:tc>
          <w:tcPr>
            <w:tcW w:w="1231"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合计</w:t>
            </w:r>
          </w:p>
        </w:tc>
      </w:tr>
      <w:tr>
        <w:tblPrEx>
          <w:tblCellMar>
            <w:top w:w="0" w:type="dxa"/>
            <w:left w:w="108" w:type="dxa"/>
            <w:bottom w:w="0" w:type="dxa"/>
            <w:right w:w="108" w:type="dxa"/>
          </w:tblCellMar>
        </w:tblPrEx>
        <w:trPr>
          <w:trHeight w:val="459" w:hRule="atLeast"/>
        </w:trPr>
        <w:tc>
          <w:tcPr>
            <w:tcW w:w="2040" w:type="dxa"/>
            <w:tcBorders>
              <w:top w:val="nil"/>
              <w:left w:val="single" w:color="auto" w:sz="4" w:space="0"/>
              <w:bottom w:val="single" w:color="auto" w:sz="4" w:space="0"/>
              <w:right w:val="single" w:color="auto" w:sz="4" w:space="0"/>
            </w:tcBorders>
            <w:shd w:val="clear" w:color="000000" w:fill="FFFFFF"/>
            <w:noWrap/>
            <w:vAlign w:val="center"/>
          </w:tcPr>
          <w:p>
            <w:pPr>
              <w:widowControl/>
              <w:jc w:val="center"/>
              <w:rPr>
                <w:rFonts w:hint="eastAsia" w:ascii="宋体" w:hAnsi="宋体" w:eastAsia="宋体" w:cs="宋体"/>
                <w:kern w:val="0"/>
                <w:sz w:val="22"/>
              </w:rPr>
            </w:pPr>
            <w:r>
              <w:rPr>
                <w:rFonts w:hint="eastAsia" w:ascii="宋体" w:hAnsi="宋体" w:eastAsia="宋体" w:cs="宋体"/>
                <w:kern w:val="0"/>
                <w:sz w:val="22"/>
              </w:rPr>
              <w:t>工程费用、工程建设其他费用及</w:t>
            </w:r>
            <w:r>
              <w:rPr>
                <w:rFonts w:ascii="宋体" w:hAnsi="宋体" w:eastAsia="宋体" w:cs="宋体"/>
                <w:kern w:val="0"/>
                <w:sz w:val="22"/>
              </w:rPr>
              <w:t>基本预备费</w:t>
            </w:r>
          </w:p>
        </w:tc>
        <w:tc>
          <w:tcPr>
            <w:tcW w:w="1268"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ascii="宋体" w:hAnsi="宋体" w:eastAsia="宋体" w:cs="宋体"/>
                <w:kern w:val="0"/>
                <w:sz w:val="22"/>
              </w:rPr>
              <w:t>2217.00</w:t>
            </w:r>
          </w:p>
        </w:tc>
        <w:tc>
          <w:tcPr>
            <w:tcW w:w="1239"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ascii="宋体" w:hAnsi="宋体" w:eastAsia="宋体" w:cs="宋体"/>
                <w:kern w:val="0"/>
                <w:sz w:val="22"/>
              </w:rPr>
              <w:t>300.00</w:t>
            </w:r>
          </w:p>
        </w:tc>
        <w:tc>
          <w:tcPr>
            <w:tcW w:w="1206"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ascii="宋体" w:hAnsi="宋体" w:eastAsia="宋体" w:cs="宋体"/>
                <w:kern w:val="0"/>
                <w:sz w:val="22"/>
              </w:rPr>
              <w:t>1300.00</w:t>
            </w:r>
          </w:p>
        </w:tc>
        <w:tc>
          <w:tcPr>
            <w:tcW w:w="1132"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ascii="宋体" w:hAnsi="宋体" w:eastAsia="宋体" w:cs="宋体"/>
                <w:kern w:val="0"/>
                <w:sz w:val="22"/>
              </w:rPr>
              <w:t>620.10</w:t>
            </w:r>
          </w:p>
        </w:tc>
        <w:tc>
          <w:tcPr>
            <w:tcW w:w="1231"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ascii="宋体" w:hAnsi="宋体" w:eastAsia="宋体" w:cs="宋体"/>
                <w:kern w:val="0"/>
                <w:sz w:val="22"/>
              </w:rPr>
              <w:t>4437.10</w:t>
            </w:r>
          </w:p>
        </w:tc>
      </w:tr>
      <w:tr>
        <w:tblPrEx>
          <w:tblCellMar>
            <w:top w:w="0" w:type="dxa"/>
            <w:left w:w="108" w:type="dxa"/>
            <w:bottom w:w="0" w:type="dxa"/>
            <w:right w:w="108" w:type="dxa"/>
          </w:tblCellMar>
        </w:tblPrEx>
        <w:trPr>
          <w:trHeight w:val="459" w:hRule="atLeast"/>
        </w:trPr>
        <w:tc>
          <w:tcPr>
            <w:tcW w:w="2040" w:type="dxa"/>
            <w:tcBorders>
              <w:top w:val="nil"/>
              <w:left w:val="single" w:color="auto" w:sz="4" w:space="0"/>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合计</w:t>
            </w:r>
          </w:p>
        </w:tc>
        <w:tc>
          <w:tcPr>
            <w:tcW w:w="1268"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ascii="宋体" w:hAnsi="宋体" w:eastAsia="宋体" w:cs="宋体"/>
                <w:kern w:val="0"/>
                <w:sz w:val="22"/>
              </w:rPr>
              <w:t>2217.00</w:t>
            </w:r>
          </w:p>
        </w:tc>
        <w:tc>
          <w:tcPr>
            <w:tcW w:w="1239"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ascii="宋体" w:hAnsi="宋体" w:eastAsia="宋体" w:cs="宋体"/>
                <w:kern w:val="0"/>
                <w:sz w:val="22"/>
              </w:rPr>
              <w:t>300.00</w:t>
            </w:r>
          </w:p>
        </w:tc>
        <w:tc>
          <w:tcPr>
            <w:tcW w:w="1206"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ascii="宋体" w:hAnsi="宋体" w:eastAsia="宋体" w:cs="宋体"/>
                <w:kern w:val="0"/>
                <w:sz w:val="22"/>
              </w:rPr>
              <w:t>1300.00</w:t>
            </w:r>
          </w:p>
        </w:tc>
        <w:tc>
          <w:tcPr>
            <w:tcW w:w="1132"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ascii="宋体" w:hAnsi="宋体" w:eastAsia="宋体" w:cs="宋体"/>
                <w:kern w:val="0"/>
                <w:sz w:val="22"/>
              </w:rPr>
              <w:t>620.10</w:t>
            </w:r>
          </w:p>
        </w:tc>
        <w:tc>
          <w:tcPr>
            <w:tcW w:w="1231"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ascii="宋体" w:hAnsi="宋体" w:eastAsia="宋体" w:cs="宋体"/>
                <w:kern w:val="0"/>
                <w:sz w:val="22"/>
              </w:rPr>
              <w:t>4437.10</w:t>
            </w:r>
          </w:p>
        </w:tc>
      </w:tr>
    </w:tbl>
    <w:p>
      <w:pPr>
        <w:widowControl/>
        <w:spacing w:after="120" w:line="360" w:lineRule="auto"/>
        <w:ind w:firstLine="560" w:firstLineChars="200"/>
        <w:contextualSpacing/>
        <w:jc w:val="left"/>
        <w:rPr>
          <w:rFonts w:ascii="仿宋" w:hAnsi="仿宋" w:eastAsia="仿宋" w:cs="仿宋"/>
          <w:color w:val="FF0000"/>
          <w:sz w:val="28"/>
          <w:szCs w:val="28"/>
        </w:rPr>
      </w:pPr>
    </w:p>
    <w:p>
      <w:pPr>
        <w:pStyle w:val="5"/>
        <w:spacing w:line="360" w:lineRule="auto"/>
        <w:ind w:firstLine="562" w:firstLineChars="200"/>
        <w:rPr>
          <w:rFonts w:ascii="仿宋" w:hAnsi="仿宋" w:cs="仿宋"/>
        </w:rPr>
      </w:pPr>
      <w:r>
        <w:rPr>
          <w:rFonts w:hint="eastAsia" w:ascii="仿宋" w:hAnsi="仿宋" w:cs="仿宋"/>
        </w:rPr>
        <w:t>3、项目资金来源</w:t>
      </w:r>
    </w:p>
    <w:p>
      <w:pPr>
        <w:spacing w:line="360" w:lineRule="auto"/>
        <w:ind w:firstLine="560" w:firstLineChars="200"/>
        <w:rPr>
          <w:rFonts w:ascii="仿宋" w:hAnsi="仿宋" w:eastAsia="仿宋" w:cs="仿宋"/>
        </w:rPr>
      </w:pPr>
      <w:r>
        <w:rPr>
          <w:rFonts w:hint="eastAsia" w:ascii="仿宋" w:hAnsi="仿宋" w:eastAsia="仿宋" w:cs="仿宋"/>
          <w:sz w:val="28"/>
          <w:szCs w:val="28"/>
        </w:rPr>
        <w:t>根据相关批复，</w:t>
      </w:r>
      <w:r>
        <w:rPr>
          <w:rFonts w:ascii="仿宋" w:hAnsi="仿宋" w:eastAsia="仿宋" w:cs="仿宋"/>
          <w:sz w:val="28"/>
          <w:szCs w:val="28"/>
        </w:rPr>
        <w:t>本项目的总投资为4437.10万元，</w:t>
      </w:r>
      <w:r>
        <w:rPr>
          <w:rFonts w:hint="eastAsia" w:ascii="仿宋" w:hAnsi="仿宋" w:eastAsia="仿宋" w:cs="仿宋"/>
          <w:sz w:val="28"/>
          <w:szCs w:val="28"/>
        </w:rPr>
        <w:t>计划由项目单位筹措</w:t>
      </w:r>
      <w:r>
        <w:rPr>
          <w:rFonts w:ascii="仿宋" w:hAnsi="仿宋" w:eastAsia="仿宋" w:cs="仿宋"/>
          <w:sz w:val="28"/>
          <w:szCs w:val="28"/>
        </w:rPr>
        <w:t>资本金1937.10万元，</w:t>
      </w:r>
      <w:r>
        <w:rPr>
          <w:rFonts w:hint="eastAsia" w:ascii="仿宋" w:hAnsi="仿宋" w:eastAsia="仿宋" w:cs="仿宋"/>
          <w:sz w:val="28"/>
          <w:szCs w:val="28"/>
        </w:rPr>
        <w:t>剩余资金</w:t>
      </w:r>
      <w:r>
        <w:rPr>
          <w:rFonts w:ascii="仿宋" w:hAnsi="仿宋" w:eastAsia="仿宋" w:cs="仿宋"/>
          <w:sz w:val="28"/>
          <w:szCs w:val="28"/>
        </w:rPr>
        <w:t>2500万元</w:t>
      </w:r>
      <w:r>
        <w:rPr>
          <w:rFonts w:hint="eastAsia" w:ascii="仿宋" w:hAnsi="仿宋" w:eastAsia="仿宋" w:cs="仿宋"/>
          <w:sz w:val="28"/>
          <w:szCs w:val="28"/>
        </w:rPr>
        <w:t>通过发行专项债券进行筹集</w:t>
      </w:r>
      <w:r>
        <w:rPr>
          <w:rFonts w:ascii="仿宋" w:hAnsi="仿宋" w:eastAsia="仿宋" w:cs="仿宋"/>
          <w:sz w:val="28"/>
          <w:szCs w:val="28"/>
        </w:rPr>
        <w:t>。</w:t>
      </w:r>
    </w:p>
    <w:p>
      <w:pPr>
        <w:pStyle w:val="5"/>
        <w:spacing w:line="360" w:lineRule="auto"/>
        <w:ind w:firstLine="562" w:firstLineChars="200"/>
        <w:rPr>
          <w:rFonts w:ascii="仿宋" w:hAnsi="仿宋" w:cs="仿宋"/>
        </w:rPr>
      </w:pPr>
      <w:r>
        <w:rPr>
          <w:rFonts w:hint="eastAsia" w:ascii="仿宋" w:hAnsi="仿宋" w:cs="仿宋"/>
        </w:rPr>
        <w:t>4、项目预期收益与融资自求平衡情况</w:t>
      </w:r>
    </w:p>
    <w:p>
      <w:pPr>
        <w:pStyle w:val="6"/>
        <w:spacing w:line="360" w:lineRule="auto"/>
        <w:ind w:firstLine="562" w:firstLineChars="200"/>
        <w:rPr>
          <w:rFonts w:ascii="仿宋" w:hAnsi="仿宋" w:cs="仿宋"/>
        </w:rPr>
      </w:pPr>
      <w:r>
        <w:rPr>
          <w:rFonts w:hint="eastAsia" w:ascii="仿宋" w:hAnsi="仿宋" w:cs="仿宋"/>
        </w:rPr>
        <w:t>（1）项目收益情况</w:t>
      </w:r>
    </w:p>
    <w:p>
      <w:pPr>
        <w:adjustRightInd w:val="0"/>
        <w:snapToGrid w:val="0"/>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本期龙栖山森林康养基础设施建设项目存续期间有稳定的现金流入，收入主要来源为项目运营的</w:t>
      </w:r>
      <w:r>
        <w:rPr>
          <w:rFonts w:hint="eastAsia" w:ascii="仿宋" w:hAnsi="仿宋" w:eastAsia="仿宋"/>
          <w:sz w:val="28"/>
          <w:szCs w:val="28"/>
        </w:rPr>
        <w:t>民宿、康养中心、研学基地经营收入</w:t>
      </w:r>
      <w:r>
        <w:rPr>
          <w:rFonts w:hint="eastAsia" w:ascii="仿宋" w:hAnsi="仿宋" w:eastAsia="仿宋" w:cs="仿宋"/>
          <w:sz w:val="28"/>
          <w:szCs w:val="28"/>
        </w:rPr>
        <w:t>。可覆盖债券存续期间各年的项目投资及债券本息偿还的需求，在项目涉及专项债券本金全部偿还后仍有433.58万元期末结余。</w:t>
      </w:r>
    </w:p>
    <w:p>
      <w:pPr>
        <w:pStyle w:val="6"/>
        <w:spacing w:line="360" w:lineRule="auto"/>
        <w:ind w:firstLine="562" w:firstLineChars="200"/>
        <w:rPr>
          <w:rFonts w:ascii="仿宋" w:hAnsi="仿宋" w:cs="仿宋"/>
        </w:rPr>
      </w:pPr>
      <w:r>
        <w:rPr>
          <w:rFonts w:hint="eastAsia" w:ascii="仿宋" w:hAnsi="仿宋" w:cs="仿宋"/>
        </w:rPr>
        <w:t>（2）项目融资还本付息情况</w:t>
      </w:r>
    </w:p>
    <w:p>
      <w:pPr>
        <w:spacing w:line="360" w:lineRule="auto"/>
        <w:ind w:firstLine="560" w:firstLineChars="200"/>
        <w:rPr>
          <w:rFonts w:hint="eastAsia" w:ascii="仿宋" w:hAnsi="仿宋" w:eastAsia="仿宋" w:cs="仿宋"/>
          <w:sz w:val="28"/>
          <w:szCs w:val="28"/>
          <w:highlight w:val="none"/>
        </w:rPr>
      </w:pPr>
      <w:bookmarkStart w:id="1" w:name="_Hlk56209664"/>
      <w:r>
        <w:rPr>
          <w:rFonts w:hint="eastAsia" w:ascii="仿宋" w:hAnsi="仿宋" w:eastAsia="仿宋" w:cs="仿宋"/>
          <w:sz w:val="28"/>
          <w:szCs w:val="28"/>
          <w:highlight w:val="none"/>
          <w:lang w:eastAsia="zh-CN"/>
        </w:rPr>
        <w:t>2</w:t>
      </w:r>
      <w:r>
        <w:rPr>
          <w:rFonts w:hint="eastAsia" w:ascii="仿宋" w:hAnsi="仿宋" w:eastAsia="仿宋" w:cs="仿宋"/>
          <w:sz w:val="28"/>
          <w:szCs w:val="28"/>
          <w:highlight w:val="none"/>
        </w:rPr>
        <w:t>020年福建省政府专项债券（十五期）中将乐县兴建殡仪馆项目已发行专项债券2,500.00万元</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rPr>
        <w:t>期限10年，因项目工程进度缓慢，拟调整2,50</w:t>
      </w:r>
      <w:r>
        <w:rPr>
          <w:rFonts w:hint="eastAsia" w:ascii="仿宋" w:hAnsi="仿宋" w:eastAsia="仿宋" w:cs="仿宋"/>
          <w:sz w:val="28"/>
          <w:szCs w:val="28"/>
          <w:highlight w:val="none"/>
          <w:lang w:eastAsia="zh-CN"/>
        </w:rPr>
        <w:t>0</w:t>
      </w:r>
      <w:r>
        <w:rPr>
          <w:rFonts w:hint="eastAsia" w:ascii="仿宋" w:hAnsi="仿宋" w:eastAsia="仿宋" w:cs="仿宋"/>
          <w:sz w:val="28"/>
          <w:szCs w:val="28"/>
          <w:highlight w:val="none"/>
        </w:rPr>
        <w:t>.00万元用于本项目建设</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rPr>
        <w:t>利率</w:t>
      </w:r>
      <w:r>
        <w:rPr>
          <w:rFonts w:hint="eastAsia" w:ascii="仿宋" w:hAnsi="仿宋" w:eastAsia="仿宋" w:cs="仿宋"/>
          <w:sz w:val="28"/>
          <w:szCs w:val="28"/>
          <w:highlight w:val="none"/>
          <w:lang w:eastAsia="zh-CN"/>
        </w:rPr>
        <w:t>3</w:t>
      </w:r>
      <w:r>
        <w:rPr>
          <w:rFonts w:hint="eastAsia" w:ascii="仿宋" w:hAnsi="仿宋" w:eastAsia="仿宋" w:cs="仿宋"/>
          <w:sz w:val="28"/>
          <w:szCs w:val="28"/>
          <w:highlight w:val="none"/>
        </w:rPr>
        <w:t>.34%。</w:t>
      </w:r>
      <w:r>
        <w:rPr>
          <w:rFonts w:hint="eastAsia" w:ascii="仿宋" w:hAnsi="仿宋" w:eastAsia="仿宋" w:cs="仿宋"/>
          <w:sz w:val="28"/>
          <w:szCs w:val="28"/>
          <w:highlight w:val="none"/>
          <w:lang w:eastAsia="zh-CN"/>
        </w:rPr>
        <w:t>由</w:t>
      </w:r>
      <w:r>
        <w:rPr>
          <w:rFonts w:hint="eastAsia" w:ascii="仿宋" w:hAnsi="仿宋" w:eastAsia="仿宋" w:cs="仿宋"/>
          <w:sz w:val="28"/>
          <w:szCs w:val="28"/>
          <w:highlight w:val="none"/>
        </w:rPr>
        <w:t>此估算债券存续期间利息费用为876.75万元,考虑到债券存续期间债券利息费用，本项目预计总投资金额为</w:t>
      </w:r>
      <w:r>
        <w:rPr>
          <w:rFonts w:hint="eastAsia" w:ascii="仿宋" w:hAnsi="仿宋" w:eastAsia="仿宋" w:cs="仿宋"/>
          <w:sz w:val="28"/>
          <w:szCs w:val="28"/>
          <w:highlight w:val="none"/>
          <w:lang w:val="en-US" w:eastAsia="zh-CN"/>
        </w:rPr>
        <w:t>5,313.85</w:t>
      </w:r>
      <w:r>
        <w:rPr>
          <w:rFonts w:hint="eastAsia" w:ascii="仿宋" w:hAnsi="仿宋" w:eastAsia="仿宋" w:cs="仿宋"/>
          <w:sz w:val="28"/>
          <w:szCs w:val="28"/>
          <w:highlight w:val="none"/>
        </w:rPr>
        <w:t>万元，本项目债券还本付息情况见应付债券本息表所示。</w:t>
      </w:r>
      <w:bookmarkEnd w:id="1"/>
    </w:p>
    <w:p>
      <w:pPr>
        <w:spacing w:line="360" w:lineRule="auto"/>
        <w:ind w:firstLine="560" w:firstLineChars="200"/>
        <w:rPr>
          <w:rFonts w:hint="eastAsia" w:ascii="仿宋" w:hAnsi="仿宋" w:eastAsia="仿宋" w:cs="仿宋"/>
          <w:sz w:val="28"/>
          <w:szCs w:val="28"/>
          <w:highlight w:val="none"/>
        </w:rPr>
      </w:pPr>
    </w:p>
    <w:p>
      <w:pPr>
        <w:spacing w:line="360" w:lineRule="auto"/>
        <w:ind w:firstLine="560" w:firstLineChars="200"/>
        <w:rPr>
          <w:rFonts w:hint="eastAsia" w:ascii="仿宋" w:hAnsi="仿宋" w:eastAsia="仿宋" w:cs="仿宋"/>
          <w:sz w:val="28"/>
          <w:szCs w:val="28"/>
          <w:highlight w:val="none"/>
        </w:rPr>
      </w:pPr>
    </w:p>
    <w:p>
      <w:pPr>
        <w:spacing w:line="360" w:lineRule="auto"/>
        <w:ind w:firstLine="560" w:firstLineChars="200"/>
        <w:rPr>
          <w:rFonts w:hint="eastAsia" w:ascii="仿宋" w:hAnsi="仿宋" w:eastAsia="仿宋" w:cs="仿宋"/>
          <w:sz w:val="28"/>
          <w:szCs w:val="28"/>
          <w:highlight w:val="none"/>
        </w:rPr>
      </w:pPr>
    </w:p>
    <w:p>
      <w:pPr>
        <w:spacing w:line="360" w:lineRule="auto"/>
        <w:ind w:firstLine="560" w:firstLineChars="200"/>
        <w:rPr>
          <w:rFonts w:hint="eastAsia" w:ascii="仿宋" w:hAnsi="仿宋" w:eastAsia="仿宋" w:cs="仿宋"/>
          <w:sz w:val="28"/>
          <w:szCs w:val="28"/>
          <w:highlight w:val="none"/>
        </w:rPr>
      </w:pPr>
    </w:p>
    <w:p>
      <w:pPr>
        <w:spacing w:line="360" w:lineRule="auto"/>
        <w:ind w:firstLine="560" w:firstLineChars="200"/>
        <w:rPr>
          <w:rFonts w:hint="eastAsia" w:ascii="仿宋" w:hAnsi="仿宋" w:eastAsia="仿宋" w:cs="仿宋"/>
          <w:sz w:val="28"/>
          <w:szCs w:val="28"/>
          <w:highlight w:val="none"/>
        </w:rPr>
      </w:pPr>
    </w:p>
    <w:p>
      <w:pPr>
        <w:spacing w:line="360" w:lineRule="auto"/>
        <w:ind w:firstLine="560" w:firstLineChars="200"/>
        <w:rPr>
          <w:rFonts w:hint="eastAsia" w:ascii="仿宋" w:hAnsi="仿宋" w:eastAsia="仿宋" w:cs="仿宋"/>
          <w:sz w:val="28"/>
          <w:szCs w:val="28"/>
          <w:highlight w:val="none"/>
        </w:rPr>
      </w:pPr>
    </w:p>
    <w:p>
      <w:pPr>
        <w:spacing w:line="360" w:lineRule="auto"/>
        <w:ind w:firstLine="560" w:firstLineChars="200"/>
        <w:rPr>
          <w:rFonts w:hint="eastAsia" w:ascii="仿宋" w:hAnsi="仿宋" w:eastAsia="仿宋" w:cs="仿宋"/>
          <w:sz w:val="28"/>
          <w:szCs w:val="28"/>
          <w:highlight w:val="none"/>
        </w:rPr>
      </w:pPr>
    </w:p>
    <w:p>
      <w:pPr>
        <w:adjustRightInd w:val="0"/>
        <w:snapToGrid w:val="0"/>
        <w:spacing w:line="580" w:lineRule="atLeast"/>
        <w:ind w:firstLine="3432" w:firstLineChars="1221"/>
        <w:contextualSpacing/>
        <w:rPr>
          <w:rFonts w:ascii="仿宋" w:hAnsi="仿宋" w:eastAsia="仿宋"/>
          <w:b/>
          <w:sz w:val="28"/>
          <w:szCs w:val="28"/>
        </w:rPr>
      </w:pPr>
      <w:r>
        <w:rPr>
          <w:rFonts w:hint="eastAsia" w:ascii="仿宋" w:hAnsi="仿宋" w:eastAsia="仿宋"/>
          <w:b/>
          <w:sz w:val="28"/>
          <w:szCs w:val="28"/>
        </w:rPr>
        <w:t>应付债券本息表</w:t>
      </w:r>
    </w:p>
    <w:p>
      <w:pPr>
        <w:adjustRightInd w:val="0"/>
        <w:snapToGrid w:val="0"/>
        <w:ind w:firstLine="462" w:firstLineChars="220"/>
        <w:contextualSpacing/>
        <w:jc w:val="right"/>
        <w:rPr>
          <w:rFonts w:hint="eastAsia" w:ascii="仿宋" w:hAnsi="仿宋" w:eastAsia="仿宋"/>
          <w:szCs w:val="21"/>
        </w:rPr>
      </w:pPr>
      <w:r>
        <w:rPr>
          <w:rFonts w:hint="eastAsia" w:ascii="仿宋" w:hAnsi="仿宋" w:eastAsia="仿宋"/>
          <w:szCs w:val="21"/>
        </w:rPr>
        <w:t>单位：人民币万元</w:t>
      </w:r>
    </w:p>
    <w:tbl>
      <w:tblPr>
        <w:tblStyle w:val="10"/>
        <w:tblW w:w="5000" w:type="pct"/>
        <w:tblInd w:w="0" w:type="dxa"/>
        <w:tblLayout w:type="autofit"/>
        <w:tblCellMar>
          <w:top w:w="0" w:type="dxa"/>
          <w:left w:w="108" w:type="dxa"/>
          <w:bottom w:w="0" w:type="dxa"/>
          <w:right w:w="108" w:type="dxa"/>
        </w:tblCellMar>
      </w:tblPr>
      <w:tblGrid>
        <w:gridCol w:w="973"/>
        <w:gridCol w:w="1239"/>
        <w:gridCol w:w="1234"/>
        <w:gridCol w:w="1234"/>
        <w:gridCol w:w="1234"/>
        <w:gridCol w:w="1235"/>
        <w:gridCol w:w="1373"/>
      </w:tblGrid>
      <w:tr>
        <w:tblPrEx>
          <w:tblCellMar>
            <w:top w:w="0" w:type="dxa"/>
            <w:left w:w="108" w:type="dxa"/>
            <w:bottom w:w="0" w:type="dxa"/>
            <w:right w:w="108" w:type="dxa"/>
          </w:tblCellMar>
        </w:tblPrEx>
        <w:trPr>
          <w:trHeight w:val="481" w:hRule="atLeast"/>
        </w:trPr>
        <w:tc>
          <w:tcPr>
            <w:tcW w:w="571"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年份</w:t>
            </w:r>
          </w:p>
        </w:tc>
        <w:tc>
          <w:tcPr>
            <w:tcW w:w="727" w:type="pct"/>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 xml:space="preserve"> 期初本金余额 </w:t>
            </w:r>
          </w:p>
        </w:tc>
        <w:tc>
          <w:tcPr>
            <w:tcW w:w="724" w:type="pct"/>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 xml:space="preserve"> 当年新增本金 </w:t>
            </w:r>
          </w:p>
        </w:tc>
        <w:tc>
          <w:tcPr>
            <w:tcW w:w="724" w:type="pct"/>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 xml:space="preserve"> 当年偿还本金 </w:t>
            </w:r>
          </w:p>
        </w:tc>
        <w:tc>
          <w:tcPr>
            <w:tcW w:w="724" w:type="pct"/>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 xml:space="preserve"> 期末本金余额 </w:t>
            </w:r>
          </w:p>
        </w:tc>
        <w:tc>
          <w:tcPr>
            <w:tcW w:w="724" w:type="pct"/>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 xml:space="preserve"> 当年偿还利息 </w:t>
            </w:r>
          </w:p>
        </w:tc>
        <w:tc>
          <w:tcPr>
            <w:tcW w:w="805" w:type="pct"/>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 xml:space="preserve"> 当年还本付息合计 </w:t>
            </w:r>
          </w:p>
        </w:tc>
      </w:tr>
      <w:tr>
        <w:tblPrEx>
          <w:tblCellMar>
            <w:top w:w="0" w:type="dxa"/>
            <w:left w:w="108" w:type="dxa"/>
            <w:bottom w:w="0" w:type="dxa"/>
            <w:right w:w="108" w:type="dxa"/>
          </w:tblCellMar>
        </w:tblPrEx>
        <w:trPr>
          <w:trHeight w:val="270" w:hRule="atLeast"/>
        </w:trPr>
        <w:tc>
          <w:tcPr>
            <w:tcW w:w="571" w:type="pct"/>
            <w:tcBorders>
              <w:top w:val="nil"/>
              <w:left w:val="single" w:color="auto" w:sz="4" w:space="0"/>
              <w:bottom w:val="single" w:color="auto" w:sz="4" w:space="0"/>
              <w:right w:val="single" w:color="auto" w:sz="4" w:space="0"/>
            </w:tcBorders>
            <w:shd w:val="clear" w:color="auto" w:fill="auto"/>
            <w:noWrap/>
          </w:tcPr>
          <w:p>
            <w:pPr>
              <w:rPr>
                <w:rFonts w:hint="eastAsia"/>
              </w:rPr>
            </w:pPr>
            <w:r>
              <w:rPr>
                <w:rFonts w:hint="eastAsia"/>
              </w:rPr>
              <w:t>2020年</w:t>
            </w:r>
          </w:p>
        </w:tc>
        <w:tc>
          <w:tcPr>
            <w:tcW w:w="727" w:type="pct"/>
            <w:tcBorders>
              <w:top w:val="nil"/>
              <w:left w:val="nil"/>
              <w:bottom w:val="single" w:color="auto" w:sz="4" w:space="0"/>
              <w:right w:val="single" w:color="auto" w:sz="4" w:space="0"/>
            </w:tcBorders>
            <w:shd w:val="clear" w:color="auto" w:fill="auto"/>
            <w:noWrap/>
          </w:tcPr>
          <w:p>
            <w:pPr>
              <w:rPr>
                <w:rFonts w:hint="eastAsia"/>
              </w:rPr>
            </w:pPr>
          </w:p>
        </w:tc>
        <w:tc>
          <w:tcPr>
            <w:tcW w:w="724" w:type="pct"/>
            <w:tcBorders>
              <w:top w:val="nil"/>
              <w:left w:val="nil"/>
              <w:bottom w:val="single" w:color="auto" w:sz="4" w:space="0"/>
              <w:right w:val="single" w:color="auto" w:sz="4" w:space="0"/>
            </w:tcBorders>
            <w:shd w:val="clear" w:color="auto" w:fill="auto"/>
            <w:noWrap/>
          </w:tcPr>
          <w:p>
            <w:pPr>
              <w:rPr>
                <w:rFonts w:hint="eastAsia"/>
              </w:rPr>
            </w:pPr>
            <w:r>
              <w:rPr>
                <w:rFonts w:hint="eastAsia"/>
              </w:rPr>
              <w:t>2,500.00</w:t>
            </w:r>
          </w:p>
        </w:tc>
        <w:tc>
          <w:tcPr>
            <w:tcW w:w="724" w:type="pct"/>
            <w:tcBorders>
              <w:top w:val="nil"/>
              <w:left w:val="nil"/>
              <w:bottom w:val="single" w:color="auto" w:sz="4" w:space="0"/>
              <w:right w:val="single" w:color="auto" w:sz="4" w:space="0"/>
            </w:tcBorders>
            <w:shd w:val="clear" w:color="auto" w:fill="auto"/>
            <w:noWrap/>
          </w:tcPr>
          <w:p>
            <w:pPr>
              <w:rPr>
                <w:rFonts w:hint="eastAsia"/>
              </w:rPr>
            </w:pPr>
          </w:p>
        </w:tc>
        <w:tc>
          <w:tcPr>
            <w:tcW w:w="724" w:type="pct"/>
            <w:tcBorders>
              <w:top w:val="nil"/>
              <w:left w:val="nil"/>
              <w:bottom w:val="single" w:color="auto" w:sz="4" w:space="0"/>
              <w:right w:val="single" w:color="auto" w:sz="4" w:space="0"/>
            </w:tcBorders>
            <w:shd w:val="clear" w:color="auto" w:fill="auto"/>
            <w:noWrap/>
          </w:tcPr>
          <w:p>
            <w:pPr>
              <w:rPr>
                <w:rFonts w:hint="eastAsia"/>
              </w:rPr>
            </w:pPr>
            <w:r>
              <w:rPr>
                <w:rFonts w:hint="eastAsia"/>
              </w:rPr>
              <w:t>2,500.00</w:t>
            </w:r>
          </w:p>
        </w:tc>
        <w:tc>
          <w:tcPr>
            <w:tcW w:w="724" w:type="pct"/>
            <w:tcBorders>
              <w:top w:val="nil"/>
              <w:left w:val="nil"/>
              <w:bottom w:val="single" w:color="auto" w:sz="4" w:space="0"/>
              <w:right w:val="single" w:color="auto" w:sz="4" w:space="0"/>
            </w:tcBorders>
            <w:shd w:val="clear" w:color="auto" w:fill="auto"/>
            <w:noWrap/>
          </w:tcPr>
          <w:p>
            <w:pPr>
              <w:rPr>
                <w:rFonts w:hint="eastAsia"/>
              </w:rPr>
            </w:pPr>
            <w:r>
              <w:rPr>
                <w:rFonts w:hint="eastAsia"/>
              </w:rPr>
              <w:t>83.50</w:t>
            </w:r>
          </w:p>
        </w:tc>
        <w:tc>
          <w:tcPr>
            <w:tcW w:w="805" w:type="pct"/>
            <w:tcBorders>
              <w:top w:val="nil"/>
              <w:left w:val="nil"/>
              <w:bottom w:val="single" w:color="auto" w:sz="4" w:space="0"/>
              <w:right w:val="single" w:color="auto" w:sz="4" w:space="0"/>
            </w:tcBorders>
            <w:shd w:val="clear" w:color="auto" w:fill="auto"/>
            <w:noWrap/>
          </w:tcPr>
          <w:p>
            <w:pPr>
              <w:rPr>
                <w:rFonts w:hint="eastAsia"/>
              </w:rPr>
            </w:pPr>
            <w:r>
              <w:rPr>
                <w:rFonts w:hint="eastAsia"/>
              </w:rPr>
              <w:t>83.50</w:t>
            </w:r>
          </w:p>
        </w:tc>
      </w:tr>
      <w:tr>
        <w:tblPrEx>
          <w:tblCellMar>
            <w:top w:w="0" w:type="dxa"/>
            <w:left w:w="108" w:type="dxa"/>
            <w:bottom w:w="0" w:type="dxa"/>
            <w:right w:w="108" w:type="dxa"/>
          </w:tblCellMar>
        </w:tblPrEx>
        <w:trPr>
          <w:trHeight w:val="270" w:hRule="atLeast"/>
        </w:trPr>
        <w:tc>
          <w:tcPr>
            <w:tcW w:w="571" w:type="pct"/>
            <w:tcBorders>
              <w:top w:val="nil"/>
              <w:left w:val="single" w:color="auto" w:sz="4" w:space="0"/>
              <w:bottom w:val="single" w:color="auto" w:sz="4" w:space="0"/>
              <w:right w:val="single" w:color="auto" w:sz="4" w:space="0"/>
            </w:tcBorders>
            <w:shd w:val="clear" w:color="auto" w:fill="auto"/>
            <w:noWrap/>
          </w:tcPr>
          <w:p>
            <w:pPr>
              <w:rPr>
                <w:rFonts w:hint="eastAsia"/>
              </w:rPr>
            </w:pPr>
            <w:r>
              <w:rPr>
                <w:rFonts w:hint="eastAsia"/>
              </w:rPr>
              <w:t>2021年</w:t>
            </w:r>
          </w:p>
        </w:tc>
        <w:tc>
          <w:tcPr>
            <w:tcW w:w="727" w:type="pct"/>
            <w:tcBorders>
              <w:top w:val="nil"/>
              <w:left w:val="nil"/>
              <w:bottom w:val="single" w:color="auto" w:sz="4" w:space="0"/>
              <w:right w:val="single" w:color="auto" w:sz="4" w:space="0"/>
            </w:tcBorders>
            <w:shd w:val="clear" w:color="auto" w:fill="auto"/>
            <w:noWrap/>
          </w:tcPr>
          <w:p>
            <w:pPr>
              <w:rPr>
                <w:rFonts w:hint="eastAsia"/>
              </w:rPr>
            </w:pPr>
            <w:r>
              <w:rPr>
                <w:rFonts w:hint="eastAsia"/>
              </w:rPr>
              <w:t>2,500.00</w:t>
            </w:r>
          </w:p>
        </w:tc>
        <w:tc>
          <w:tcPr>
            <w:tcW w:w="724" w:type="pct"/>
            <w:tcBorders>
              <w:top w:val="nil"/>
              <w:left w:val="nil"/>
              <w:bottom w:val="single" w:color="auto" w:sz="4" w:space="0"/>
              <w:right w:val="single" w:color="auto" w:sz="4" w:space="0"/>
            </w:tcBorders>
            <w:shd w:val="clear" w:color="auto" w:fill="auto"/>
            <w:noWrap/>
          </w:tcPr>
          <w:p>
            <w:pPr>
              <w:rPr>
                <w:rFonts w:hint="eastAsia"/>
              </w:rPr>
            </w:pPr>
          </w:p>
        </w:tc>
        <w:tc>
          <w:tcPr>
            <w:tcW w:w="724" w:type="pct"/>
            <w:tcBorders>
              <w:top w:val="nil"/>
              <w:left w:val="nil"/>
              <w:bottom w:val="single" w:color="auto" w:sz="4" w:space="0"/>
              <w:right w:val="single" w:color="auto" w:sz="4" w:space="0"/>
            </w:tcBorders>
            <w:shd w:val="clear" w:color="auto" w:fill="auto"/>
            <w:noWrap/>
          </w:tcPr>
          <w:p>
            <w:pPr>
              <w:rPr>
                <w:rFonts w:hint="eastAsia"/>
              </w:rPr>
            </w:pPr>
          </w:p>
        </w:tc>
        <w:tc>
          <w:tcPr>
            <w:tcW w:w="724" w:type="pct"/>
            <w:tcBorders>
              <w:top w:val="nil"/>
              <w:left w:val="nil"/>
              <w:bottom w:val="single" w:color="auto" w:sz="4" w:space="0"/>
              <w:right w:val="single" w:color="auto" w:sz="4" w:space="0"/>
            </w:tcBorders>
            <w:shd w:val="clear" w:color="auto" w:fill="auto"/>
            <w:noWrap/>
          </w:tcPr>
          <w:p>
            <w:pPr>
              <w:rPr>
                <w:rFonts w:hint="eastAsia"/>
              </w:rPr>
            </w:pPr>
            <w:r>
              <w:rPr>
                <w:rFonts w:hint="eastAsia"/>
              </w:rPr>
              <w:t>2,500.00</w:t>
            </w:r>
          </w:p>
        </w:tc>
        <w:tc>
          <w:tcPr>
            <w:tcW w:w="724" w:type="pct"/>
            <w:tcBorders>
              <w:top w:val="nil"/>
              <w:left w:val="nil"/>
              <w:bottom w:val="single" w:color="auto" w:sz="4" w:space="0"/>
              <w:right w:val="single" w:color="auto" w:sz="4" w:space="0"/>
            </w:tcBorders>
            <w:shd w:val="clear" w:color="auto" w:fill="auto"/>
            <w:noWrap/>
          </w:tcPr>
          <w:p>
            <w:pPr>
              <w:rPr>
                <w:rFonts w:hint="eastAsia"/>
              </w:rPr>
            </w:pPr>
            <w:r>
              <w:rPr>
                <w:rFonts w:hint="eastAsia"/>
              </w:rPr>
              <w:t>83.50</w:t>
            </w:r>
          </w:p>
        </w:tc>
        <w:tc>
          <w:tcPr>
            <w:tcW w:w="805" w:type="pct"/>
            <w:tcBorders>
              <w:top w:val="nil"/>
              <w:left w:val="nil"/>
              <w:bottom w:val="single" w:color="auto" w:sz="4" w:space="0"/>
              <w:right w:val="single" w:color="auto" w:sz="4" w:space="0"/>
            </w:tcBorders>
            <w:shd w:val="clear" w:color="auto" w:fill="auto"/>
            <w:noWrap/>
          </w:tcPr>
          <w:p>
            <w:pPr>
              <w:rPr>
                <w:rFonts w:hint="eastAsia"/>
              </w:rPr>
            </w:pPr>
            <w:r>
              <w:rPr>
                <w:rFonts w:hint="eastAsia"/>
              </w:rPr>
              <w:t>83.50</w:t>
            </w:r>
          </w:p>
        </w:tc>
      </w:tr>
      <w:tr>
        <w:tblPrEx>
          <w:tblCellMar>
            <w:top w:w="0" w:type="dxa"/>
            <w:left w:w="108" w:type="dxa"/>
            <w:bottom w:w="0" w:type="dxa"/>
            <w:right w:w="108" w:type="dxa"/>
          </w:tblCellMar>
        </w:tblPrEx>
        <w:trPr>
          <w:trHeight w:val="270" w:hRule="atLeast"/>
        </w:trPr>
        <w:tc>
          <w:tcPr>
            <w:tcW w:w="571" w:type="pct"/>
            <w:tcBorders>
              <w:top w:val="nil"/>
              <w:left w:val="single" w:color="auto" w:sz="4" w:space="0"/>
              <w:bottom w:val="single" w:color="auto" w:sz="4" w:space="0"/>
              <w:right w:val="single" w:color="auto" w:sz="4" w:space="0"/>
            </w:tcBorders>
            <w:shd w:val="clear" w:color="auto" w:fill="auto"/>
            <w:noWrap/>
          </w:tcPr>
          <w:p>
            <w:pPr>
              <w:rPr>
                <w:rFonts w:hint="eastAsia"/>
              </w:rPr>
            </w:pPr>
            <w:r>
              <w:rPr>
                <w:rFonts w:hint="eastAsia"/>
              </w:rPr>
              <w:t>2022年</w:t>
            </w:r>
          </w:p>
        </w:tc>
        <w:tc>
          <w:tcPr>
            <w:tcW w:w="727" w:type="pct"/>
            <w:tcBorders>
              <w:top w:val="nil"/>
              <w:left w:val="nil"/>
              <w:bottom w:val="single" w:color="auto" w:sz="4" w:space="0"/>
              <w:right w:val="single" w:color="auto" w:sz="4" w:space="0"/>
            </w:tcBorders>
            <w:shd w:val="clear" w:color="auto" w:fill="auto"/>
            <w:noWrap/>
          </w:tcPr>
          <w:p>
            <w:pPr>
              <w:rPr>
                <w:rFonts w:hint="eastAsia"/>
              </w:rPr>
            </w:pPr>
            <w:r>
              <w:rPr>
                <w:rFonts w:hint="eastAsia"/>
              </w:rPr>
              <w:t>2,500.00</w:t>
            </w:r>
          </w:p>
        </w:tc>
        <w:tc>
          <w:tcPr>
            <w:tcW w:w="724" w:type="pct"/>
            <w:tcBorders>
              <w:top w:val="nil"/>
              <w:left w:val="nil"/>
              <w:bottom w:val="single" w:color="auto" w:sz="4" w:space="0"/>
              <w:right w:val="single" w:color="auto" w:sz="4" w:space="0"/>
            </w:tcBorders>
            <w:shd w:val="clear" w:color="auto" w:fill="auto"/>
            <w:noWrap/>
          </w:tcPr>
          <w:p>
            <w:pPr>
              <w:rPr>
                <w:rFonts w:hint="eastAsia"/>
              </w:rPr>
            </w:pPr>
          </w:p>
        </w:tc>
        <w:tc>
          <w:tcPr>
            <w:tcW w:w="724" w:type="pct"/>
            <w:tcBorders>
              <w:top w:val="nil"/>
              <w:left w:val="nil"/>
              <w:bottom w:val="single" w:color="auto" w:sz="4" w:space="0"/>
              <w:right w:val="single" w:color="auto" w:sz="4" w:space="0"/>
            </w:tcBorders>
            <w:shd w:val="clear" w:color="auto" w:fill="auto"/>
            <w:noWrap/>
          </w:tcPr>
          <w:p>
            <w:pPr>
              <w:rPr>
                <w:rFonts w:hint="eastAsia"/>
              </w:rPr>
            </w:pPr>
          </w:p>
        </w:tc>
        <w:tc>
          <w:tcPr>
            <w:tcW w:w="724" w:type="pct"/>
            <w:tcBorders>
              <w:top w:val="nil"/>
              <w:left w:val="nil"/>
              <w:bottom w:val="single" w:color="auto" w:sz="4" w:space="0"/>
              <w:right w:val="single" w:color="auto" w:sz="4" w:space="0"/>
            </w:tcBorders>
            <w:shd w:val="clear" w:color="auto" w:fill="auto"/>
            <w:noWrap/>
          </w:tcPr>
          <w:p>
            <w:pPr>
              <w:rPr>
                <w:rFonts w:hint="eastAsia"/>
              </w:rPr>
            </w:pPr>
            <w:r>
              <w:rPr>
                <w:rFonts w:hint="eastAsia"/>
              </w:rPr>
              <w:t>2,500.00</w:t>
            </w:r>
          </w:p>
        </w:tc>
        <w:tc>
          <w:tcPr>
            <w:tcW w:w="724" w:type="pct"/>
            <w:tcBorders>
              <w:top w:val="nil"/>
              <w:left w:val="nil"/>
              <w:bottom w:val="single" w:color="auto" w:sz="4" w:space="0"/>
              <w:right w:val="single" w:color="auto" w:sz="4" w:space="0"/>
            </w:tcBorders>
            <w:shd w:val="clear" w:color="auto" w:fill="auto"/>
            <w:noWrap/>
          </w:tcPr>
          <w:p>
            <w:pPr>
              <w:rPr>
                <w:rFonts w:hint="eastAsia"/>
              </w:rPr>
            </w:pPr>
            <w:r>
              <w:rPr>
                <w:rFonts w:hint="eastAsia"/>
              </w:rPr>
              <w:t>83.50</w:t>
            </w:r>
          </w:p>
        </w:tc>
        <w:tc>
          <w:tcPr>
            <w:tcW w:w="805" w:type="pct"/>
            <w:tcBorders>
              <w:top w:val="nil"/>
              <w:left w:val="nil"/>
              <w:bottom w:val="single" w:color="auto" w:sz="4" w:space="0"/>
              <w:right w:val="single" w:color="auto" w:sz="4" w:space="0"/>
            </w:tcBorders>
            <w:shd w:val="clear" w:color="auto" w:fill="auto"/>
            <w:noWrap/>
          </w:tcPr>
          <w:p>
            <w:pPr>
              <w:rPr>
                <w:rFonts w:hint="eastAsia"/>
              </w:rPr>
            </w:pPr>
            <w:r>
              <w:rPr>
                <w:rFonts w:hint="eastAsia"/>
              </w:rPr>
              <w:t>83.50</w:t>
            </w:r>
          </w:p>
        </w:tc>
      </w:tr>
      <w:tr>
        <w:tblPrEx>
          <w:tblCellMar>
            <w:top w:w="0" w:type="dxa"/>
            <w:left w:w="108" w:type="dxa"/>
            <w:bottom w:w="0" w:type="dxa"/>
            <w:right w:w="108" w:type="dxa"/>
          </w:tblCellMar>
        </w:tblPrEx>
        <w:trPr>
          <w:trHeight w:val="270" w:hRule="atLeast"/>
        </w:trPr>
        <w:tc>
          <w:tcPr>
            <w:tcW w:w="571" w:type="pct"/>
            <w:tcBorders>
              <w:top w:val="nil"/>
              <w:left w:val="single" w:color="auto" w:sz="4" w:space="0"/>
              <w:bottom w:val="single" w:color="auto" w:sz="4" w:space="0"/>
              <w:right w:val="single" w:color="auto" w:sz="4" w:space="0"/>
            </w:tcBorders>
            <w:shd w:val="clear" w:color="auto" w:fill="auto"/>
            <w:noWrap/>
          </w:tcPr>
          <w:p>
            <w:pPr>
              <w:rPr>
                <w:rFonts w:hint="eastAsia"/>
              </w:rPr>
            </w:pPr>
            <w:r>
              <w:rPr>
                <w:rFonts w:hint="eastAsia"/>
              </w:rPr>
              <w:t>2023年</w:t>
            </w:r>
          </w:p>
        </w:tc>
        <w:tc>
          <w:tcPr>
            <w:tcW w:w="727" w:type="pct"/>
            <w:tcBorders>
              <w:top w:val="nil"/>
              <w:left w:val="nil"/>
              <w:bottom w:val="single" w:color="auto" w:sz="4" w:space="0"/>
              <w:right w:val="single" w:color="auto" w:sz="4" w:space="0"/>
            </w:tcBorders>
            <w:shd w:val="clear" w:color="auto" w:fill="auto"/>
            <w:noWrap/>
          </w:tcPr>
          <w:p>
            <w:pPr>
              <w:rPr>
                <w:rFonts w:hint="eastAsia"/>
              </w:rPr>
            </w:pPr>
            <w:r>
              <w:rPr>
                <w:rFonts w:hint="eastAsia"/>
              </w:rPr>
              <w:t>2,500.00</w:t>
            </w:r>
          </w:p>
        </w:tc>
        <w:tc>
          <w:tcPr>
            <w:tcW w:w="724" w:type="pct"/>
            <w:tcBorders>
              <w:top w:val="nil"/>
              <w:left w:val="nil"/>
              <w:bottom w:val="single" w:color="auto" w:sz="4" w:space="0"/>
              <w:right w:val="single" w:color="auto" w:sz="4" w:space="0"/>
            </w:tcBorders>
            <w:shd w:val="clear" w:color="auto" w:fill="auto"/>
            <w:noWrap/>
          </w:tcPr>
          <w:p>
            <w:pPr>
              <w:rPr>
                <w:rFonts w:hint="eastAsia"/>
              </w:rPr>
            </w:pPr>
          </w:p>
        </w:tc>
        <w:tc>
          <w:tcPr>
            <w:tcW w:w="724" w:type="pct"/>
            <w:tcBorders>
              <w:top w:val="nil"/>
              <w:left w:val="nil"/>
              <w:bottom w:val="single" w:color="auto" w:sz="4" w:space="0"/>
              <w:right w:val="single" w:color="auto" w:sz="4" w:space="0"/>
            </w:tcBorders>
            <w:shd w:val="clear" w:color="auto" w:fill="auto"/>
            <w:noWrap/>
          </w:tcPr>
          <w:p>
            <w:pPr>
              <w:rPr>
                <w:rFonts w:hint="eastAsia"/>
              </w:rPr>
            </w:pPr>
          </w:p>
        </w:tc>
        <w:tc>
          <w:tcPr>
            <w:tcW w:w="724" w:type="pct"/>
            <w:tcBorders>
              <w:top w:val="nil"/>
              <w:left w:val="nil"/>
              <w:bottom w:val="single" w:color="auto" w:sz="4" w:space="0"/>
              <w:right w:val="single" w:color="auto" w:sz="4" w:space="0"/>
            </w:tcBorders>
            <w:shd w:val="clear" w:color="auto" w:fill="auto"/>
            <w:noWrap/>
          </w:tcPr>
          <w:p>
            <w:pPr>
              <w:rPr>
                <w:rFonts w:hint="eastAsia"/>
              </w:rPr>
            </w:pPr>
            <w:r>
              <w:rPr>
                <w:rFonts w:hint="eastAsia"/>
              </w:rPr>
              <w:t>2,500.00</w:t>
            </w:r>
          </w:p>
        </w:tc>
        <w:tc>
          <w:tcPr>
            <w:tcW w:w="724" w:type="pct"/>
            <w:tcBorders>
              <w:top w:val="nil"/>
              <w:left w:val="nil"/>
              <w:bottom w:val="single" w:color="auto" w:sz="4" w:space="0"/>
              <w:right w:val="single" w:color="auto" w:sz="4" w:space="0"/>
            </w:tcBorders>
            <w:shd w:val="clear" w:color="auto" w:fill="auto"/>
            <w:noWrap/>
          </w:tcPr>
          <w:p>
            <w:pPr>
              <w:rPr>
                <w:rFonts w:hint="eastAsia"/>
              </w:rPr>
            </w:pPr>
            <w:r>
              <w:rPr>
                <w:rFonts w:hint="eastAsia"/>
              </w:rPr>
              <w:t>83.50</w:t>
            </w:r>
          </w:p>
        </w:tc>
        <w:tc>
          <w:tcPr>
            <w:tcW w:w="805" w:type="pct"/>
            <w:tcBorders>
              <w:top w:val="nil"/>
              <w:left w:val="nil"/>
              <w:bottom w:val="single" w:color="auto" w:sz="4" w:space="0"/>
              <w:right w:val="single" w:color="auto" w:sz="4" w:space="0"/>
            </w:tcBorders>
            <w:shd w:val="clear" w:color="auto" w:fill="auto"/>
            <w:noWrap/>
          </w:tcPr>
          <w:p>
            <w:pPr>
              <w:rPr>
                <w:rFonts w:hint="eastAsia"/>
              </w:rPr>
            </w:pPr>
            <w:r>
              <w:rPr>
                <w:rFonts w:hint="eastAsia"/>
              </w:rPr>
              <w:t>83.50</w:t>
            </w:r>
          </w:p>
        </w:tc>
      </w:tr>
      <w:tr>
        <w:tblPrEx>
          <w:tblCellMar>
            <w:top w:w="0" w:type="dxa"/>
            <w:left w:w="108" w:type="dxa"/>
            <w:bottom w:w="0" w:type="dxa"/>
            <w:right w:w="108" w:type="dxa"/>
          </w:tblCellMar>
        </w:tblPrEx>
        <w:trPr>
          <w:trHeight w:val="270" w:hRule="atLeast"/>
        </w:trPr>
        <w:tc>
          <w:tcPr>
            <w:tcW w:w="571" w:type="pct"/>
            <w:tcBorders>
              <w:top w:val="nil"/>
              <w:left w:val="single" w:color="auto" w:sz="4" w:space="0"/>
              <w:bottom w:val="single" w:color="auto" w:sz="4" w:space="0"/>
              <w:right w:val="single" w:color="auto" w:sz="4" w:space="0"/>
            </w:tcBorders>
            <w:shd w:val="clear" w:color="auto" w:fill="auto"/>
            <w:noWrap/>
          </w:tcPr>
          <w:p>
            <w:pPr>
              <w:rPr>
                <w:rFonts w:hint="eastAsia"/>
              </w:rPr>
            </w:pPr>
            <w:r>
              <w:rPr>
                <w:rFonts w:hint="eastAsia"/>
              </w:rPr>
              <w:t>2024年</w:t>
            </w:r>
          </w:p>
        </w:tc>
        <w:tc>
          <w:tcPr>
            <w:tcW w:w="727" w:type="pct"/>
            <w:tcBorders>
              <w:top w:val="nil"/>
              <w:left w:val="nil"/>
              <w:bottom w:val="single" w:color="auto" w:sz="4" w:space="0"/>
              <w:right w:val="single" w:color="auto" w:sz="4" w:space="0"/>
            </w:tcBorders>
            <w:shd w:val="clear" w:color="auto" w:fill="auto"/>
            <w:noWrap/>
          </w:tcPr>
          <w:p>
            <w:pPr>
              <w:rPr>
                <w:rFonts w:hint="eastAsia"/>
              </w:rPr>
            </w:pPr>
            <w:r>
              <w:rPr>
                <w:rFonts w:hint="eastAsia"/>
              </w:rPr>
              <w:t>2,500.00</w:t>
            </w:r>
          </w:p>
        </w:tc>
        <w:tc>
          <w:tcPr>
            <w:tcW w:w="724" w:type="pct"/>
            <w:tcBorders>
              <w:top w:val="nil"/>
              <w:left w:val="nil"/>
              <w:bottom w:val="single" w:color="auto" w:sz="4" w:space="0"/>
              <w:right w:val="single" w:color="auto" w:sz="4" w:space="0"/>
            </w:tcBorders>
            <w:shd w:val="clear" w:color="auto" w:fill="auto"/>
            <w:noWrap/>
          </w:tcPr>
          <w:p>
            <w:pPr>
              <w:rPr>
                <w:rFonts w:hint="eastAsia"/>
              </w:rPr>
            </w:pPr>
          </w:p>
        </w:tc>
        <w:tc>
          <w:tcPr>
            <w:tcW w:w="724" w:type="pct"/>
            <w:tcBorders>
              <w:top w:val="nil"/>
              <w:left w:val="nil"/>
              <w:bottom w:val="single" w:color="auto" w:sz="4" w:space="0"/>
              <w:right w:val="single" w:color="auto" w:sz="4" w:space="0"/>
            </w:tcBorders>
            <w:shd w:val="clear" w:color="auto" w:fill="auto"/>
            <w:noWrap/>
          </w:tcPr>
          <w:p>
            <w:pPr>
              <w:rPr>
                <w:rFonts w:hint="eastAsia"/>
              </w:rPr>
            </w:pPr>
          </w:p>
        </w:tc>
        <w:tc>
          <w:tcPr>
            <w:tcW w:w="724" w:type="pct"/>
            <w:tcBorders>
              <w:top w:val="nil"/>
              <w:left w:val="nil"/>
              <w:bottom w:val="single" w:color="auto" w:sz="4" w:space="0"/>
              <w:right w:val="single" w:color="auto" w:sz="4" w:space="0"/>
            </w:tcBorders>
            <w:shd w:val="clear" w:color="auto" w:fill="auto"/>
            <w:noWrap/>
          </w:tcPr>
          <w:p>
            <w:pPr>
              <w:rPr>
                <w:rFonts w:hint="eastAsia"/>
              </w:rPr>
            </w:pPr>
            <w:r>
              <w:rPr>
                <w:rFonts w:hint="eastAsia"/>
              </w:rPr>
              <w:t>2,500.00</w:t>
            </w:r>
          </w:p>
        </w:tc>
        <w:tc>
          <w:tcPr>
            <w:tcW w:w="724" w:type="pct"/>
            <w:tcBorders>
              <w:top w:val="nil"/>
              <w:left w:val="nil"/>
              <w:bottom w:val="single" w:color="auto" w:sz="4" w:space="0"/>
              <w:right w:val="single" w:color="auto" w:sz="4" w:space="0"/>
            </w:tcBorders>
            <w:shd w:val="clear" w:color="auto" w:fill="auto"/>
            <w:noWrap/>
          </w:tcPr>
          <w:p>
            <w:pPr>
              <w:rPr>
                <w:rFonts w:hint="eastAsia"/>
              </w:rPr>
            </w:pPr>
            <w:r>
              <w:rPr>
                <w:rFonts w:hint="eastAsia"/>
              </w:rPr>
              <w:t>83.50</w:t>
            </w:r>
          </w:p>
        </w:tc>
        <w:tc>
          <w:tcPr>
            <w:tcW w:w="805" w:type="pct"/>
            <w:tcBorders>
              <w:top w:val="nil"/>
              <w:left w:val="nil"/>
              <w:bottom w:val="single" w:color="auto" w:sz="4" w:space="0"/>
              <w:right w:val="single" w:color="auto" w:sz="4" w:space="0"/>
            </w:tcBorders>
            <w:shd w:val="clear" w:color="auto" w:fill="auto"/>
            <w:noWrap/>
          </w:tcPr>
          <w:p>
            <w:pPr>
              <w:rPr>
                <w:rFonts w:hint="eastAsia"/>
              </w:rPr>
            </w:pPr>
            <w:r>
              <w:rPr>
                <w:rFonts w:hint="eastAsia"/>
              </w:rPr>
              <w:t>83.50</w:t>
            </w:r>
          </w:p>
        </w:tc>
      </w:tr>
      <w:tr>
        <w:tblPrEx>
          <w:tblCellMar>
            <w:top w:w="0" w:type="dxa"/>
            <w:left w:w="108" w:type="dxa"/>
            <w:bottom w:w="0" w:type="dxa"/>
            <w:right w:w="108" w:type="dxa"/>
          </w:tblCellMar>
        </w:tblPrEx>
        <w:trPr>
          <w:trHeight w:val="270" w:hRule="atLeast"/>
        </w:trPr>
        <w:tc>
          <w:tcPr>
            <w:tcW w:w="571" w:type="pct"/>
            <w:tcBorders>
              <w:top w:val="nil"/>
              <w:left w:val="single" w:color="auto" w:sz="4" w:space="0"/>
              <w:bottom w:val="single" w:color="auto" w:sz="4" w:space="0"/>
              <w:right w:val="single" w:color="auto" w:sz="4" w:space="0"/>
            </w:tcBorders>
            <w:shd w:val="clear" w:color="auto" w:fill="auto"/>
            <w:noWrap/>
          </w:tcPr>
          <w:p>
            <w:pPr>
              <w:rPr>
                <w:rFonts w:hint="eastAsia"/>
              </w:rPr>
            </w:pPr>
            <w:r>
              <w:rPr>
                <w:rFonts w:hint="eastAsia"/>
              </w:rPr>
              <w:t>2025年</w:t>
            </w:r>
          </w:p>
        </w:tc>
        <w:tc>
          <w:tcPr>
            <w:tcW w:w="727" w:type="pct"/>
            <w:tcBorders>
              <w:top w:val="nil"/>
              <w:left w:val="nil"/>
              <w:bottom w:val="single" w:color="auto" w:sz="4" w:space="0"/>
              <w:right w:val="single" w:color="auto" w:sz="4" w:space="0"/>
            </w:tcBorders>
            <w:shd w:val="clear" w:color="auto" w:fill="auto"/>
            <w:noWrap/>
          </w:tcPr>
          <w:p>
            <w:pPr>
              <w:rPr>
                <w:rFonts w:hint="eastAsia"/>
              </w:rPr>
            </w:pPr>
            <w:r>
              <w:rPr>
                <w:rFonts w:hint="eastAsia"/>
              </w:rPr>
              <w:t>2,500.00</w:t>
            </w:r>
          </w:p>
        </w:tc>
        <w:tc>
          <w:tcPr>
            <w:tcW w:w="724" w:type="pct"/>
            <w:tcBorders>
              <w:top w:val="nil"/>
              <w:left w:val="nil"/>
              <w:bottom w:val="single" w:color="auto" w:sz="4" w:space="0"/>
              <w:right w:val="single" w:color="auto" w:sz="4" w:space="0"/>
            </w:tcBorders>
            <w:shd w:val="clear" w:color="auto" w:fill="auto"/>
            <w:noWrap/>
          </w:tcPr>
          <w:p>
            <w:pPr>
              <w:rPr>
                <w:rFonts w:hint="eastAsia"/>
              </w:rPr>
            </w:pPr>
          </w:p>
        </w:tc>
        <w:tc>
          <w:tcPr>
            <w:tcW w:w="724" w:type="pct"/>
            <w:tcBorders>
              <w:top w:val="nil"/>
              <w:left w:val="nil"/>
              <w:bottom w:val="single" w:color="auto" w:sz="4" w:space="0"/>
              <w:right w:val="single" w:color="auto" w:sz="4" w:space="0"/>
            </w:tcBorders>
            <w:shd w:val="clear" w:color="auto" w:fill="auto"/>
            <w:noWrap/>
          </w:tcPr>
          <w:p>
            <w:pPr>
              <w:rPr>
                <w:rFonts w:hint="eastAsia"/>
              </w:rPr>
            </w:pPr>
          </w:p>
        </w:tc>
        <w:tc>
          <w:tcPr>
            <w:tcW w:w="724" w:type="pct"/>
            <w:tcBorders>
              <w:top w:val="nil"/>
              <w:left w:val="nil"/>
              <w:bottom w:val="single" w:color="auto" w:sz="4" w:space="0"/>
              <w:right w:val="single" w:color="auto" w:sz="4" w:space="0"/>
            </w:tcBorders>
            <w:shd w:val="clear" w:color="auto" w:fill="auto"/>
            <w:noWrap/>
          </w:tcPr>
          <w:p>
            <w:pPr>
              <w:rPr>
                <w:rFonts w:hint="eastAsia"/>
              </w:rPr>
            </w:pPr>
            <w:r>
              <w:rPr>
                <w:rFonts w:hint="eastAsia"/>
              </w:rPr>
              <w:t>2,500.00</w:t>
            </w:r>
          </w:p>
        </w:tc>
        <w:tc>
          <w:tcPr>
            <w:tcW w:w="724" w:type="pct"/>
            <w:tcBorders>
              <w:top w:val="nil"/>
              <w:left w:val="nil"/>
              <w:bottom w:val="single" w:color="auto" w:sz="4" w:space="0"/>
              <w:right w:val="single" w:color="auto" w:sz="4" w:space="0"/>
            </w:tcBorders>
            <w:shd w:val="clear" w:color="auto" w:fill="auto"/>
            <w:noWrap/>
          </w:tcPr>
          <w:p>
            <w:pPr>
              <w:rPr>
                <w:rFonts w:hint="eastAsia"/>
              </w:rPr>
            </w:pPr>
            <w:r>
              <w:rPr>
                <w:rFonts w:hint="eastAsia"/>
              </w:rPr>
              <w:t>83.50</w:t>
            </w:r>
          </w:p>
        </w:tc>
        <w:tc>
          <w:tcPr>
            <w:tcW w:w="805" w:type="pct"/>
            <w:tcBorders>
              <w:top w:val="nil"/>
              <w:left w:val="nil"/>
              <w:bottom w:val="single" w:color="auto" w:sz="4" w:space="0"/>
              <w:right w:val="single" w:color="auto" w:sz="4" w:space="0"/>
            </w:tcBorders>
            <w:shd w:val="clear" w:color="auto" w:fill="auto"/>
            <w:noWrap/>
          </w:tcPr>
          <w:p>
            <w:pPr>
              <w:rPr>
                <w:rFonts w:hint="eastAsia"/>
              </w:rPr>
            </w:pPr>
            <w:r>
              <w:rPr>
                <w:rFonts w:hint="eastAsia"/>
              </w:rPr>
              <w:t>83.50</w:t>
            </w:r>
          </w:p>
        </w:tc>
      </w:tr>
      <w:tr>
        <w:tblPrEx>
          <w:tblCellMar>
            <w:top w:w="0" w:type="dxa"/>
            <w:left w:w="108" w:type="dxa"/>
            <w:bottom w:w="0" w:type="dxa"/>
            <w:right w:w="108" w:type="dxa"/>
          </w:tblCellMar>
        </w:tblPrEx>
        <w:trPr>
          <w:trHeight w:val="270" w:hRule="atLeast"/>
        </w:trPr>
        <w:tc>
          <w:tcPr>
            <w:tcW w:w="571" w:type="pct"/>
            <w:tcBorders>
              <w:top w:val="nil"/>
              <w:left w:val="single" w:color="auto" w:sz="4" w:space="0"/>
              <w:bottom w:val="single" w:color="auto" w:sz="4" w:space="0"/>
              <w:right w:val="single" w:color="auto" w:sz="4" w:space="0"/>
            </w:tcBorders>
            <w:shd w:val="clear" w:color="auto" w:fill="auto"/>
            <w:noWrap/>
          </w:tcPr>
          <w:p>
            <w:pPr>
              <w:rPr>
                <w:rFonts w:hint="eastAsia"/>
              </w:rPr>
            </w:pPr>
            <w:r>
              <w:rPr>
                <w:rFonts w:hint="eastAsia"/>
              </w:rPr>
              <w:t>2026年</w:t>
            </w:r>
          </w:p>
        </w:tc>
        <w:tc>
          <w:tcPr>
            <w:tcW w:w="727" w:type="pct"/>
            <w:tcBorders>
              <w:top w:val="nil"/>
              <w:left w:val="nil"/>
              <w:bottom w:val="single" w:color="auto" w:sz="4" w:space="0"/>
              <w:right w:val="single" w:color="auto" w:sz="4" w:space="0"/>
            </w:tcBorders>
            <w:shd w:val="clear" w:color="auto" w:fill="auto"/>
            <w:noWrap/>
          </w:tcPr>
          <w:p>
            <w:pPr>
              <w:rPr>
                <w:rFonts w:hint="eastAsia"/>
              </w:rPr>
            </w:pPr>
            <w:r>
              <w:rPr>
                <w:rFonts w:hint="eastAsia"/>
              </w:rPr>
              <w:t>2,500.00</w:t>
            </w:r>
          </w:p>
        </w:tc>
        <w:tc>
          <w:tcPr>
            <w:tcW w:w="724" w:type="pct"/>
            <w:tcBorders>
              <w:top w:val="nil"/>
              <w:left w:val="nil"/>
              <w:bottom w:val="single" w:color="auto" w:sz="4" w:space="0"/>
              <w:right w:val="single" w:color="auto" w:sz="4" w:space="0"/>
            </w:tcBorders>
            <w:shd w:val="clear" w:color="auto" w:fill="auto"/>
            <w:noWrap/>
          </w:tcPr>
          <w:p>
            <w:pPr>
              <w:rPr>
                <w:rFonts w:hint="eastAsia"/>
              </w:rPr>
            </w:pPr>
          </w:p>
        </w:tc>
        <w:tc>
          <w:tcPr>
            <w:tcW w:w="724" w:type="pct"/>
            <w:tcBorders>
              <w:top w:val="nil"/>
              <w:left w:val="nil"/>
              <w:bottom w:val="single" w:color="auto" w:sz="4" w:space="0"/>
              <w:right w:val="single" w:color="auto" w:sz="4" w:space="0"/>
            </w:tcBorders>
            <w:shd w:val="clear" w:color="auto" w:fill="auto"/>
            <w:noWrap/>
          </w:tcPr>
          <w:p>
            <w:pPr>
              <w:rPr>
                <w:rFonts w:hint="eastAsia"/>
              </w:rPr>
            </w:pPr>
          </w:p>
        </w:tc>
        <w:tc>
          <w:tcPr>
            <w:tcW w:w="724" w:type="pct"/>
            <w:tcBorders>
              <w:top w:val="nil"/>
              <w:left w:val="nil"/>
              <w:bottom w:val="single" w:color="auto" w:sz="4" w:space="0"/>
              <w:right w:val="single" w:color="auto" w:sz="4" w:space="0"/>
            </w:tcBorders>
            <w:shd w:val="clear" w:color="auto" w:fill="auto"/>
            <w:noWrap/>
          </w:tcPr>
          <w:p>
            <w:pPr>
              <w:rPr>
                <w:rFonts w:hint="eastAsia"/>
              </w:rPr>
            </w:pPr>
            <w:r>
              <w:rPr>
                <w:rFonts w:hint="eastAsia"/>
              </w:rPr>
              <w:t>2,500.00</w:t>
            </w:r>
          </w:p>
        </w:tc>
        <w:tc>
          <w:tcPr>
            <w:tcW w:w="724" w:type="pct"/>
            <w:tcBorders>
              <w:top w:val="nil"/>
              <w:left w:val="nil"/>
              <w:bottom w:val="single" w:color="auto" w:sz="4" w:space="0"/>
              <w:right w:val="single" w:color="auto" w:sz="4" w:space="0"/>
            </w:tcBorders>
            <w:shd w:val="clear" w:color="auto" w:fill="auto"/>
            <w:noWrap/>
          </w:tcPr>
          <w:p>
            <w:pPr>
              <w:rPr>
                <w:rFonts w:hint="eastAsia"/>
              </w:rPr>
            </w:pPr>
            <w:r>
              <w:rPr>
                <w:rFonts w:hint="eastAsia"/>
              </w:rPr>
              <w:t>83.50</w:t>
            </w:r>
          </w:p>
        </w:tc>
        <w:tc>
          <w:tcPr>
            <w:tcW w:w="805" w:type="pct"/>
            <w:tcBorders>
              <w:top w:val="nil"/>
              <w:left w:val="nil"/>
              <w:bottom w:val="single" w:color="auto" w:sz="4" w:space="0"/>
              <w:right w:val="single" w:color="auto" w:sz="4" w:space="0"/>
            </w:tcBorders>
            <w:shd w:val="clear" w:color="auto" w:fill="auto"/>
            <w:noWrap/>
          </w:tcPr>
          <w:p>
            <w:pPr>
              <w:rPr>
                <w:rFonts w:hint="eastAsia"/>
              </w:rPr>
            </w:pPr>
            <w:r>
              <w:rPr>
                <w:rFonts w:hint="eastAsia"/>
              </w:rPr>
              <w:t>83.50</w:t>
            </w:r>
          </w:p>
        </w:tc>
      </w:tr>
      <w:tr>
        <w:tblPrEx>
          <w:tblCellMar>
            <w:top w:w="0" w:type="dxa"/>
            <w:left w:w="108" w:type="dxa"/>
            <w:bottom w:w="0" w:type="dxa"/>
            <w:right w:w="108" w:type="dxa"/>
          </w:tblCellMar>
        </w:tblPrEx>
        <w:trPr>
          <w:trHeight w:val="270" w:hRule="atLeast"/>
        </w:trPr>
        <w:tc>
          <w:tcPr>
            <w:tcW w:w="571" w:type="pct"/>
            <w:tcBorders>
              <w:top w:val="nil"/>
              <w:left w:val="single" w:color="auto" w:sz="4" w:space="0"/>
              <w:bottom w:val="single" w:color="auto" w:sz="4" w:space="0"/>
              <w:right w:val="single" w:color="auto" w:sz="4" w:space="0"/>
            </w:tcBorders>
            <w:shd w:val="clear" w:color="auto" w:fill="auto"/>
            <w:noWrap/>
          </w:tcPr>
          <w:p>
            <w:pPr>
              <w:rPr>
                <w:rFonts w:hint="eastAsia"/>
              </w:rPr>
            </w:pPr>
            <w:r>
              <w:rPr>
                <w:rFonts w:hint="eastAsia"/>
              </w:rPr>
              <w:t>2027年</w:t>
            </w:r>
          </w:p>
        </w:tc>
        <w:tc>
          <w:tcPr>
            <w:tcW w:w="727" w:type="pct"/>
            <w:tcBorders>
              <w:top w:val="nil"/>
              <w:left w:val="nil"/>
              <w:bottom w:val="single" w:color="auto" w:sz="4" w:space="0"/>
              <w:right w:val="single" w:color="auto" w:sz="4" w:space="0"/>
            </w:tcBorders>
            <w:shd w:val="clear" w:color="auto" w:fill="auto"/>
            <w:noWrap/>
          </w:tcPr>
          <w:p>
            <w:pPr>
              <w:rPr>
                <w:rFonts w:hint="eastAsia"/>
              </w:rPr>
            </w:pPr>
            <w:r>
              <w:rPr>
                <w:rFonts w:hint="eastAsia"/>
              </w:rPr>
              <w:t>2,500.00</w:t>
            </w:r>
          </w:p>
        </w:tc>
        <w:tc>
          <w:tcPr>
            <w:tcW w:w="724" w:type="pct"/>
            <w:tcBorders>
              <w:top w:val="nil"/>
              <w:left w:val="nil"/>
              <w:bottom w:val="single" w:color="auto" w:sz="4" w:space="0"/>
              <w:right w:val="single" w:color="auto" w:sz="4" w:space="0"/>
            </w:tcBorders>
            <w:shd w:val="clear" w:color="auto" w:fill="auto"/>
            <w:noWrap/>
          </w:tcPr>
          <w:p>
            <w:pPr>
              <w:rPr>
                <w:rFonts w:hint="eastAsia"/>
              </w:rPr>
            </w:pPr>
          </w:p>
        </w:tc>
        <w:tc>
          <w:tcPr>
            <w:tcW w:w="724" w:type="pct"/>
            <w:tcBorders>
              <w:top w:val="nil"/>
              <w:left w:val="nil"/>
              <w:bottom w:val="single" w:color="auto" w:sz="4" w:space="0"/>
              <w:right w:val="single" w:color="auto" w:sz="4" w:space="0"/>
            </w:tcBorders>
            <w:shd w:val="clear" w:color="auto" w:fill="auto"/>
            <w:noWrap/>
          </w:tcPr>
          <w:p>
            <w:pPr>
              <w:rPr>
                <w:rFonts w:hint="eastAsia"/>
              </w:rPr>
            </w:pPr>
          </w:p>
        </w:tc>
        <w:tc>
          <w:tcPr>
            <w:tcW w:w="724" w:type="pct"/>
            <w:tcBorders>
              <w:top w:val="nil"/>
              <w:left w:val="nil"/>
              <w:bottom w:val="single" w:color="auto" w:sz="4" w:space="0"/>
              <w:right w:val="single" w:color="auto" w:sz="4" w:space="0"/>
            </w:tcBorders>
            <w:shd w:val="clear" w:color="auto" w:fill="auto"/>
            <w:noWrap/>
          </w:tcPr>
          <w:p>
            <w:pPr>
              <w:rPr>
                <w:rFonts w:hint="eastAsia"/>
              </w:rPr>
            </w:pPr>
            <w:r>
              <w:rPr>
                <w:rFonts w:hint="eastAsia"/>
              </w:rPr>
              <w:t>2,500.00</w:t>
            </w:r>
          </w:p>
        </w:tc>
        <w:tc>
          <w:tcPr>
            <w:tcW w:w="724" w:type="pct"/>
            <w:tcBorders>
              <w:top w:val="nil"/>
              <w:left w:val="nil"/>
              <w:bottom w:val="single" w:color="auto" w:sz="4" w:space="0"/>
              <w:right w:val="single" w:color="auto" w:sz="4" w:space="0"/>
            </w:tcBorders>
            <w:shd w:val="clear" w:color="auto" w:fill="auto"/>
            <w:noWrap/>
          </w:tcPr>
          <w:p>
            <w:pPr>
              <w:rPr>
                <w:rFonts w:hint="eastAsia"/>
              </w:rPr>
            </w:pPr>
            <w:r>
              <w:rPr>
                <w:rFonts w:hint="eastAsia"/>
              </w:rPr>
              <w:t>83.50</w:t>
            </w:r>
          </w:p>
        </w:tc>
        <w:tc>
          <w:tcPr>
            <w:tcW w:w="805" w:type="pct"/>
            <w:tcBorders>
              <w:top w:val="nil"/>
              <w:left w:val="nil"/>
              <w:bottom w:val="single" w:color="auto" w:sz="4" w:space="0"/>
              <w:right w:val="single" w:color="auto" w:sz="4" w:space="0"/>
            </w:tcBorders>
            <w:shd w:val="clear" w:color="auto" w:fill="auto"/>
            <w:noWrap/>
          </w:tcPr>
          <w:p>
            <w:pPr>
              <w:rPr>
                <w:rFonts w:hint="eastAsia"/>
              </w:rPr>
            </w:pPr>
            <w:r>
              <w:rPr>
                <w:rFonts w:hint="eastAsia"/>
              </w:rPr>
              <w:t>83.50</w:t>
            </w:r>
          </w:p>
        </w:tc>
      </w:tr>
      <w:tr>
        <w:tblPrEx>
          <w:tblCellMar>
            <w:top w:w="0" w:type="dxa"/>
            <w:left w:w="108" w:type="dxa"/>
            <w:bottom w:w="0" w:type="dxa"/>
            <w:right w:w="108" w:type="dxa"/>
          </w:tblCellMar>
        </w:tblPrEx>
        <w:trPr>
          <w:trHeight w:val="270" w:hRule="atLeast"/>
        </w:trPr>
        <w:tc>
          <w:tcPr>
            <w:tcW w:w="571" w:type="pct"/>
            <w:tcBorders>
              <w:top w:val="nil"/>
              <w:left w:val="single" w:color="auto" w:sz="4" w:space="0"/>
              <w:bottom w:val="single" w:color="auto" w:sz="4" w:space="0"/>
              <w:right w:val="single" w:color="auto" w:sz="4" w:space="0"/>
            </w:tcBorders>
            <w:shd w:val="clear" w:color="auto" w:fill="auto"/>
            <w:noWrap/>
          </w:tcPr>
          <w:p>
            <w:pPr>
              <w:rPr>
                <w:rFonts w:hint="eastAsia"/>
              </w:rPr>
            </w:pPr>
            <w:r>
              <w:rPr>
                <w:rFonts w:hint="eastAsia"/>
              </w:rPr>
              <w:t>2028年</w:t>
            </w:r>
          </w:p>
        </w:tc>
        <w:tc>
          <w:tcPr>
            <w:tcW w:w="727" w:type="pct"/>
            <w:tcBorders>
              <w:top w:val="nil"/>
              <w:left w:val="nil"/>
              <w:bottom w:val="single" w:color="auto" w:sz="4" w:space="0"/>
              <w:right w:val="single" w:color="auto" w:sz="4" w:space="0"/>
            </w:tcBorders>
            <w:shd w:val="clear" w:color="auto" w:fill="auto"/>
            <w:noWrap/>
          </w:tcPr>
          <w:p>
            <w:pPr>
              <w:rPr>
                <w:rFonts w:hint="eastAsia"/>
              </w:rPr>
            </w:pPr>
            <w:r>
              <w:rPr>
                <w:rFonts w:hint="eastAsia"/>
              </w:rPr>
              <w:t>2,500.00</w:t>
            </w:r>
          </w:p>
        </w:tc>
        <w:tc>
          <w:tcPr>
            <w:tcW w:w="724" w:type="pct"/>
            <w:tcBorders>
              <w:top w:val="nil"/>
              <w:left w:val="nil"/>
              <w:bottom w:val="single" w:color="auto" w:sz="4" w:space="0"/>
              <w:right w:val="single" w:color="auto" w:sz="4" w:space="0"/>
            </w:tcBorders>
            <w:shd w:val="clear" w:color="auto" w:fill="auto"/>
            <w:noWrap/>
          </w:tcPr>
          <w:p>
            <w:pPr>
              <w:rPr>
                <w:rFonts w:hint="eastAsia"/>
              </w:rPr>
            </w:pPr>
          </w:p>
        </w:tc>
        <w:tc>
          <w:tcPr>
            <w:tcW w:w="724" w:type="pct"/>
            <w:tcBorders>
              <w:top w:val="nil"/>
              <w:left w:val="nil"/>
              <w:bottom w:val="single" w:color="auto" w:sz="4" w:space="0"/>
              <w:right w:val="single" w:color="auto" w:sz="4" w:space="0"/>
            </w:tcBorders>
            <w:shd w:val="clear" w:color="auto" w:fill="auto"/>
            <w:noWrap/>
          </w:tcPr>
          <w:p>
            <w:pPr>
              <w:rPr>
                <w:rFonts w:hint="eastAsia"/>
              </w:rPr>
            </w:pPr>
          </w:p>
        </w:tc>
        <w:tc>
          <w:tcPr>
            <w:tcW w:w="724" w:type="pct"/>
            <w:tcBorders>
              <w:top w:val="nil"/>
              <w:left w:val="nil"/>
              <w:bottom w:val="single" w:color="auto" w:sz="4" w:space="0"/>
              <w:right w:val="single" w:color="auto" w:sz="4" w:space="0"/>
            </w:tcBorders>
            <w:shd w:val="clear" w:color="auto" w:fill="auto"/>
            <w:noWrap/>
          </w:tcPr>
          <w:p>
            <w:pPr>
              <w:rPr>
                <w:rFonts w:hint="eastAsia"/>
              </w:rPr>
            </w:pPr>
            <w:r>
              <w:rPr>
                <w:rFonts w:hint="eastAsia"/>
              </w:rPr>
              <w:t>2,500.00</w:t>
            </w:r>
          </w:p>
        </w:tc>
        <w:tc>
          <w:tcPr>
            <w:tcW w:w="724" w:type="pct"/>
            <w:tcBorders>
              <w:top w:val="nil"/>
              <w:left w:val="nil"/>
              <w:bottom w:val="single" w:color="auto" w:sz="4" w:space="0"/>
              <w:right w:val="single" w:color="auto" w:sz="4" w:space="0"/>
            </w:tcBorders>
            <w:shd w:val="clear" w:color="auto" w:fill="auto"/>
            <w:noWrap/>
          </w:tcPr>
          <w:p>
            <w:pPr>
              <w:rPr>
                <w:rFonts w:hint="eastAsia"/>
              </w:rPr>
            </w:pPr>
            <w:r>
              <w:rPr>
                <w:rFonts w:hint="eastAsia"/>
              </w:rPr>
              <w:t>83.50</w:t>
            </w:r>
          </w:p>
        </w:tc>
        <w:tc>
          <w:tcPr>
            <w:tcW w:w="805" w:type="pct"/>
            <w:tcBorders>
              <w:top w:val="nil"/>
              <w:left w:val="nil"/>
              <w:bottom w:val="single" w:color="auto" w:sz="4" w:space="0"/>
              <w:right w:val="single" w:color="auto" w:sz="4" w:space="0"/>
            </w:tcBorders>
            <w:shd w:val="clear" w:color="auto" w:fill="auto"/>
            <w:noWrap/>
          </w:tcPr>
          <w:p>
            <w:pPr>
              <w:rPr>
                <w:rFonts w:hint="eastAsia"/>
              </w:rPr>
            </w:pPr>
            <w:r>
              <w:rPr>
                <w:rFonts w:hint="eastAsia"/>
              </w:rPr>
              <w:t>83.50</w:t>
            </w:r>
          </w:p>
        </w:tc>
      </w:tr>
      <w:tr>
        <w:tblPrEx>
          <w:tblCellMar>
            <w:top w:w="0" w:type="dxa"/>
            <w:left w:w="108" w:type="dxa"/>
            <w:bottom w:w="0" w:type="dxa"/>
            <w:right w:w="108" w:type="dxa"/>
          </w:tblCellMar>
        </w:tblPrEx>
        <w:trPr>
          <w:trHeight w:val="270" w:hRule="atLeast"/>
        </w:trPr>
        <w:tc>
          <w:tcPr>
            <w:tcW w:w="571" w:type="pct"/>
            <w:tcBorders>
              <w:top w:val="nil"/>
              <w:left w:val="single" w:color="auto" w:sz="4" w:space="0"/>
              <w:bottom w:val="single" w:color="auto" w:sz="4" w:space="0"/>
              <w:right w:val="single" w:color="auto" w:sz="4" w:space="0"/>
            </w:tcBorders>
            <w:shd w:val="clear" w:color="auto" w:fill="auto"/>
            <w:noWrap/>
          </w:tcPr>
          <w:p>
            <w:pPr>
              <w:rPr>
                <w:rFonts w:hint="eastAsia"/>
              </w:rPr>
            </w:pPr>
            <w:r>
              <w:rPr>
                <w:rFonts w:hint="eastAsia"/>
              </w:rPr>
              <w:t>2029年</w:t>
            </w:r>
          </w:p>
        </w:tc>
        <w:tc>
          <w:tcPr>
            <w:tcW w:w="727" w:type="pct"/>
            <w:tcBorders>
              <w:top w:val="nil"/>
              <w:left w:val="nil"/>
              <w:bottom w:val="single" w:color="auto" w:sz="4" w:space="0"/>
              <w:right w:val="single" w:color="auto" w:sz="4" w:space="0"/>
            </w:tcBorders>
            <w:shd w:val="clear" w:color="auto" w:fill="auto"/>
            <w:noWrap/>
          </w:tcPr>
          <w:p>
            <w:pPr>
              <w:rPr>
                <w:rFonts w:hint="eastAsia"/>
              </w:rPr>
            </w:pPr>
            <w:r>
              <w:rPr>
                <w:rFonts w:hint="eastAsia"/>
              </w:rPr>
              <w:t>2,500.00</w:t>
            </w:r>
          </w:p>
        </w:tc>
        <w:tc>
          <w:tcPr>
            <w:tcW w:w="724" w:type="pct"/>
            <w:tcBorders>
              <w:top w:val="nil"/>
              <w:left w:val="nil"/>
              <w:bottom w:val="single" w:color="auto" w:sz="4" w:space="0"/>
              <w:right w:val="single" w:color="auto" w:sz="4" w:space="0"/>
            </w:tcBorders>
            <w:shd w:val="clear" w:color="auto" w:fill="auto"/>
            <w:noWrap/>
          </w:tcPr>
          <w:p>
            <w:pPr>
              <w:rPr>
                <w:rFonts w:hint="eastAsia"/>
              </w:rPr>
            </w:pPr>
          </w:p>
        </w:tc>
        <w:tc>
          <w:tcPr>
            <w:tcW w:w="724" w:type="pct"/>
            <w:tcBorders>
              <w:top w:val="nil"/>
              <w:left w:val="nil"/>
              <w:bottom w:val="single" w:color="auto" w:sz="4" w:space="0"/>
              <w:right w:val="single" w:color="auto" w:sz="4" w:space="0"/>
            </w:tcBorders>
            <w:shd w:val="clear" w:color="auto" w:fill="auto"/>
            <w:noWrap/>
          </w:tcPr>
          <w:p>
            <w:pPr>
              <w:rPr>
                <w:rFonts w:hint="eastAsia"/>
              </w:rPr>
            </w:pPr>
          </w:p>
        </w:tc>
        <w:tc>
          <w:tcPr>
            <w:tcW w:w="724" w:type="pct"/>
            <w:tcBorders>
              <w:top w:val="nil"/>
              <w:left w:val="nil"/>
              <w:bottom w:val="single" w:color="auto" w:sz="4" w:space="0"/>
              <w:right w:val="single" w:color="auto" w:sz="4" w:space="0"/>
            </w:tcBorders>
            <w:shd w:val="clear" w:color="auto" w:fill="auto"/>
            <w:noWrap/>
          </w:tcPr>
          <w:p>
            <w:pPr>
              <w:rPr>
                <w:rFonts w:hint="eastAsia"/>
              </w:rPr>
            </w:pPr>
            <w:r>
              <w:rPr>
                <w:rFonts w:hint="eastAsia"/>
              </w:rPr>
              <w:t>2,500.00</w:t>
            </w:r>
          </w:p>
        </w:tc>
        <w:tc>
          <w:tcPr>
            <w:tcW w:w="724" w:type="pct"/>
            <w:tcBorders>
              <w:top w:val="nil"/>
              <w:left w:val="nil"/>
              <w:bottom w:val="single" w:color="auto" w:sz="4" w:space="0"/>
              <w:right w:val="single" w:color="auto" w:sz="4" w:space="0"/>
            </w:tcBorders>
            <w:shd w:val="clear" w:color="auto" w:fill="auto"/>
            <w:noWrap/>
          </w:tcPr>
          <w:p>
            <w:pPr>
              <w:rPr>
                <w:rFonts w:hint="eastAsia"/>
              </w:rPr>
            </w:pPr>
            <w:r>
              <w:rPr>
                <w:rFonts w:hint="eastAsia"/>
              </w:rPr>
              <w:t>83.50</w:t>
            </w:r>
          </w:p>
        </w:tc>
        <w:tc>
          <w:tcPr>
            <w:tcW w:w="805" w:type="pct"/>
            <w:tcBorders>
              <w:top w:val="nil"/>
              <w:left w:val="nil"/>
              <w:bottom w:val="single" w:color="auto" w:sz="4" w:space="0"/>
              <w:right w:val="single" w:color="auto" w:sz="4" w:space="0"/>
            </w:tcBorders>
            <w:shd w:val="clear" w:color="auto" w:fill="auto"/>
            <w:noWrap/>
          </w:tcPr>
          <w:p>
            <w:pPr>
              <w:rPr>
                <w:rFonts w:hint="eastAsia"/>
              </w:rPr>
            </w:pPr>
            <w:r>
              <w:rPr>
                <w:rFonts w:hint="eastAsia"/>
              </w:rPr>
              <w:t>83.50</w:t>
            </w:r>
          </w:p>
        </w:tc>
      </w:tr>
      <w:tr>
        <w:tblPrEx>
          <w:tblCellMar>
            <w:top w:w="0" w:type="dxa"/>
            <w:left w:w="108" w:type="dxa"/>
            <w:bottom w:w="0" w:type="dxa"/>
            <w:right w:w="108" w:type="dxa"/>
          </w:tblCellMar>
        </w:tblPrEx>
        <w:trPr>
          <w:trHeight w:val="270" w:hRule="atLeast"/>
        </w:trPr>
        <w:tc>
          <w:tcPr>
            <w:tcW w:w="571" w:type="pct"/>
            <w:tcBorders>
              <w:top w:val="nil"/>
              <w:left w:val="single" w:color="auto" w:sz="4" w:space="0"/>
              <w:bottom w:val="single" w:color="auto" w:sz="4" w:space="0"/>
              <w:right w:val="single" w:color="auto" w:sz="4" w:space="0"/>
            </w:tcBorders>
            <w:shd w:val="clear" w:color="auto" w:fill="auto"/>
            <w:noWrap/>
          </w:tcPr>
          <w:p>
            <w:pPr>
              <w:rPr>
                <w:rFonts w:hint="eastAsia"/>
              </w:rPr>
            </w:pPr>
            <w:r>
              <w:rPr>
                <w:rFonts w:hint="eastAsia"/>
              </w:rPr>
              <w:t>2030年</w:t>
            </w:r>
          </w:p>
        </w:tc>
        <w:tc>
          <w:tcPr>
            <w:tcW w:w="727" w:type="pct"/>
            <w:tcBorders>
              <w:top w:val="nil"/>
              <w:left w:val="nil"/>
              <w:bottom w:val="single" w:color="auto" w:sz="4" w:space="0"/>
              <w:right w:val="single" w:color="auto" w:sz="4" w:space="0"/>
            </w:tcBorders>
            <w:shd w:val="clear" w:color="auto" w:fill="auto"/>
            <w:noWrap/>
          </w:tcPr>
          <w:p>
            <w:pPr>
              <w:rPr>
                <w:rFonts w:hint="eastAsia"/>
              </w:rPr>
            </w:pPr>
            <w:r>
              <w:rPr>
                <w:rFonts w:hint="eastAsia"/>
              </w:rPr>
              <w:t>2,500.00</w:t>
            </w:r>
          </w:p>
        </w:tc>
        <w:tc>
          <w:tcPr>
            <w:tcW w:w="724" w:type="pct"/>
            <w:tcBorders>
              <w:top w:val="nil"/>
              <w:left w:val="nil"/>
              <w:bottom w:val="single" w:color="auto" w:sz="4" w:space="0"/>
              <w:right w:val="single" w:color="auto" w:sz="4" w:space="0"/>
            </w:tcBorders>
            <w:shd w:val="clear" w:color="auto" w:fill="auto"/>
            <w:noWrap/>
          </w:tcPr>
          <w:p>
            <w:pPr>
              <w:rPr>
                <w:rFonts w:hint="eastAsia"/>
              </w:rPr>
            </w:pPr>
          </w:p>
        </w:tc>
        <w:tc>
          <w:tcPr>
            <w:tcW w:w="724" w:type="pct"/>
            <w:tcBorders>
              <w:top w:val="nil"/>
              <w:left w:val="nil"/>
              <w:bottom w:val="single" w:color="auto" w:sz="4" w:space="0"/>
              <w:right w:val="single" w:color="auto" w:sz="4" w:space="0"/>
            </w:tcBorders>
            <w:shd w:val="clear" w:color="auto" w:fill="auto"/>
            <w:noWrap/>
          </w:tcPr>
          <w:p>
            <w:pPr>
              <w:rPr>
                <w:rFonts w:hint="eastAsia"/>
              </w:rPr>
            </w:pPr>
            <w:r>
              <w:rPr>
                <w:rFonts w:hint="eastAsia"/>
              </w:rPr>
              <w:t>2,500.00</w:t>
            </w:r>
          </w:p>
        </w:tc>
        <w:tc>
          <w:tcPr>
            <w:tcW w:w="724" w:type="pct"/>
            <w:tcBorders>
              <w:top w:val="nil"/>
              <w:left w:val="nil"/>
              <w:bottom w:val="single" w:color="auto" w:sz="4" w:space="0"/>
              <w:right w:val="single" w:color="auto" w:sz="4" w:space="0"/>
            </w:tcBorders>
            <w:shd w:val="clear" w:color="auto" w:fill="auto"/>
            <w:noWrap/>
          </w:tcPr>
          <w:p>
            <w:pPr>
              <w:rPr>
                <w:rFonts w:hint="eastAsia"/>
              </w:rPr>
            </w:pPr>
          </w:p>
        </w:tc>
        <w:tc>
          <w:tcPr>
            <w:tcW w:w="724" w:type="pct"/>
            <w:tcBorders>
              <w:top w:val="nil"/>
              <w:left w:val="nil"/>
              <w:bottom w:val="single" w:color="auto" w:sz="4" w:space="0"/>
              <w:right w:val="single" w:color="auto" w:sz="4" w:space="0"/>
            </w:tcBorders>
            <w:shd w:val="clear" w:color="auto" w:fill="auto"/>
            <w:noWrap/>
          </w:tcPr>
          <w:p>
            <w:pPr>
              <w:rPr>
                <w:rFonts w:hint="eastAsia"/>
              </w:rPr>
            </w:pPr>
            <w:r>
              <w:rPr>
                <w:rFonts w:hint="eastAsia"/>
              </w:rPr>
              <w:t>41.75</w:t>
            </w:r>
          </w:p>
        </w:tc>
        <w:tc>
          <w:tcPr>
            <w:tcW w:w="805" w:type="pct"/>
            <w:tcBorders>
              <w:top w:val="nil"/>
              <w:left w:val="nil"/>
              <w:bottom w:val="single" w:color="auto" w:sz="4" w:space="0"/>
              <w:right w:val="single" w:color="auto" w:sz="4" w:space="0"/>
            </w:tcBorders>
            <w:shd w:val="clear" w:color="auto" w:fill="auto"/>
            <w:noWrap/>
          </w:tcPr>
          <w:p>
            <w:pPr>
              <w:rPr>
                <w:rFonts w:hint="eastAsia"/>
              </w:rPr>
            </w:pPr>
            <w:r>
              <w:rPr>
                <w:rFonts w:hint="eastAsia"/>
              </w:rPr>
              <w:t>2,541.75</w:t>
            </w:r>
          </w:p>
        </w:tc>
      </w:tr>
      <w:tr>
        <w:tblPrEx>
          <w:tblCellMar>
            <w:top w:w="0" w:type="dxa"/>
            <w:left w:w="108" w:type="dxa"/>
            <w:bottom w:w="0" w:type="dxa"/>
            <w:right w:w="108" w:type="dxa"/>
          </w:tblCellMar>
        </w:tblPrEx>
        <w:trPr>
          <w:trHeight w:val="270" w:hRule="atLeast"/>
        </w:trPr>
        <w:tc>
          <w:tcPr>
            <w:tcW w:w="571" w:type="pct"/>
            <w:tcBorders>
              <w:top w:val="nil"/>
              <w:left w:val="single" w:color="auto" w:sz="4" w:space="0"/>
              <w:bottom w:val="single" w:color="auto" w:sz="4" w:space="0"/>
              <w:right w:val="single" w:color="auto" w:sz="4" w:space="0"/>
            </w:tcBorders>
            <w:shd w:val="clear" w:color="auto" w:fill="auto"/>
            <w:noWrap/>
          </w:tcPr>
          <w:p>
            <w:pPr>
              <w:rPr>
                <w:rFonts w:hint="eastAsia"/>
              </w:rPr>
            </w:pPr>
            <w:r>
              <w:rPr>
                <w:rFonts w:hint="eastAsia"/>
              </w:rPr>
              <w:t>合计</w:t>
            </w:r>
          </w:p>
        </w:tc>
        <w:tc>
          <w:tcPr>
            <w:tcW w:w="727" w:type="pct"/>
            <w:tcBorders>
              <w:top w:val="nil"/>
              <w:left w:val="nil"/>
              <w:bottom w:val="single" w:color="auto" w:sz="4" w:space="0"/>
              <w:right w:val="single" w:color="auto" w:sz="4" w:space="0"/>
            </w:tcBorders>
            <w:shd w:val="clear" w:color="auto" w:fill="auto"/>
            <w:noWrap/>
          </w:tcPr>
          <w:p>
            <w:pPr>
              <w:rPr>
                <w:rFonts w:hint="eastAsia"/>
              </w:rPr>
            </w:pPr>
          </w:p>
        </w:tc>
        <w:tc>
          <w:tcPr>
            <w:tcW w:w="724" w:type="pct"/>
            <w:tcBorders>
              <w:top w:val="nil"/>
              <w:left w:val="nil"/>
              <w:bottom w:val="single" w:color="auto" w:sz="4" w:space="0"/>
              <w:right w:val="single" w:color="auto" w:sz="4" w:space="0"/>
            </w:tcBorders>
            <w:shd w:val="clear" w:color="auto" w:fill="auto"/>
            <w:noWrap/>
          </w:tcPr>
          <w:p>
            <w:pPr>
              <w:rPr>
                <w:rFonts w:hint="eastAsia"/>
              </w:rPr>
            </w:pPr>
            <w:r>
              <w:rPr>
                <w:rFonts w:hint="eastAsia"/>
              </w:rPr>
              <w:t>2,500.00</w:t>
            </w:r>
          </w:p>
        </w:tc>
        <w:tc>
          <w:tcPr>
            <w:tcW w:w="724" w:type="pct"/>
            <w:tcBorders>
              <w:top w:val="nil"/>
              <w:left w:val="nil"/>
              <w:bottom w:val="single" w:color="auto" w:sz="4" w:space="0"/>
              <w:right w:val="single" w:color="auto" w:sz="4" w:space="0"/>
            </w:tcBorders>
            <w:shd w:val="clear" w:color="auto" w:fill="auto"/>
            <w:noWrap/>
          </w:tcPr>
          <w:p>
            <w:pPr>
              <w:rPr>
                <w:rFonts w:hint="eastAsia"/>
              </w:rPr>
            </w:pPr>
            <w:r>
              <w:rPr>
                <w:rFonts w:hint="eastAsia"/>
              </w:rPr>
              <w:t>2,500.00</w:t>
            </w:r>
          </w:p>
        </w:tc>
        <w:tc>
          <w:tcPr>
            <w:tcW w:w="724" w:type="pct"/>
            <w:tcBorders>
              <w:top w:val="nil"/>
              <w:left w:val="nil"/>
              <w:bottom w:val="single" w:color="auto" w:sz="4" w:space="0"/>
              <w:right w:val="single" w:color="auto" w:sz="4" w:space="0"/>
            </w:tcBorders>
            <w:shd w:val="clear" w:color="auto" w:fill="auto"/>
            <w:noWrap/>
          </w:tcPr>
          <w:p>
            <w:pPr>
              <w:rPr>
                <w:rFonts w:hint="eastAsia"/>
              </w:rPr>
            </w:pPr>
          </w:p>
        </w:tc>
        <w:tc>
          <w:tcPr>
            <w:tcW w:w="724" w:type="pct"/>
            <w:tcBorders>
              <w:top w:val="nil"/>
              <w:left w:val="nil"/>
              <w:bottom w:val="single" w:color="auto" w:sz="4" w:space="0"/>
              <w:right w:val="single" w:color="auto" w:sz="4" w:space="0"/>
            </w:tcBorders>
            <w:shd w:val="clear" w:color="auto" w:fill="auto"/>
            <w:noWrap/>
          </w:tcPr>
          <w:p>
            <w:pPr>
              <w:rPr>
                <w:rFonts w:hint="eastAsia"/>
              </w:rPr>
            </w:pPr>
            <w:r>
              <w:rPr>
                <w:rFonts w:hint="eastAsia"/>
              </w:rPr>
              <w:t>876.75</w:t>
            </w:r>
          </w:p>
        </w:tc>
        <w:tc>
          <w:tcPr>
            <w:tcW w:w="805" w:type="pct"/>
            <w:tcBorders>
              <w:top w:val="nil"/>
              <w:left w:val="nil"/>
              <w:bottom w:val="single" w:color="auto" w:sz="4" w:space="0"/>
              <w:right w:val="single" w:color="auto" w:sz="4" w:space="0"/>
            </w:tcBorders>
            <w:shd w:val="clear" w:color="auto" w:fill="auto"/>
            <w:noWrap/>
          </w:tcPr>
          <w:p>
            <w:r>
              <w:rPr>
                <w:rFonts w:hint="eastAsia"/>
              </w:rPr>
              <w:t>3,376.75</w:t>
            </w:r>
          </w:p>
        </w:tc>
      </w:tr>
    </w:tbl>
    <w:p/>
    <w:p>
      <w:pPr>
        <w:pStyle w:val="6"/>
        <w:spacing w:line="360" w:lineRule="auto"/>
        <w:ind w:firstLine="562" w:firstLineChars="200"/>
        <w:rPr>
          <w:rFonts w:ascii="仿宋" w:hAnsi="仿宋" w:cs="仿宋"/>
        </w:rPr>
      </w:pPr>
      <w:r>
        <w:rPr>
          <w:rFonts w:hint="eastAsia" w:ascii="仿宋" w:hAnsi="仿宋" w:cs="仿宋"/>
        </w:rPr>
        <w:t>（3）自求平衡情况</w:t>
      </w:r>
    </w:p>
    <w:p>
      <w:pPr>
        <w:autoSpaceDE w:val="0"/>
        <w:autoSpaceDN w:val="0"/>
        <w:adjustRightInd w:val="0"/>
        <w:spacing w:line="360" w:lineRule="auto"/>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根据项目产生的现金流收入与资金使用计划分析结果，</w:t>
      </w:r>
      <w:r>
        <w:rPr>
          <w:rFonts w:hint="eastAsia" w:ascii="仿宋" w:hAnsi="仿宋" w:eastAsia="仿宋" w:cs="仿宋"/>
          <w:sz w:val="28"/>
          <w:szCs w:val="28"/>
        </w:rPr>
        <w:t>龙栖山森林康养基础设施建设项目</w:t>
      </w:r>
      <w:r>
        <w:rPr>
          <w:rFonts w:hint="eastAsia" w:ascii="仿宋" w:hAnsi="仿宋" w:eastAsia="仿宋" w:cs="Times New Roman"/>
          <w:sz w:val="28"/>
          <w:szCs w:val="28"/>
        </w:rPr>
        <w:t>债券资金覆盖率可以达到1</w:t>
      </w:r>
      <w:r>
        <w:rPr>
          <w:rFonts w:ascii="仿宋" w:hAnsi="仿宋" w:eastAsia="仿宋" w:cs="Times New Roman"/>
          <w:sz w:val="28"/>
          <w:szCs w:val="28"/>
        </w:rPr>
        <w:t>.</w:t>
      </w:r>
      <w:r>
        <w:rPr>
          <w:rFonts w:hint="eastAsia" w:ascii="仿宋" w:hAnsi="仿宋" w:eastAsia="仿宋" w:cs="Times New Roman"/>
          <w:sz w:val="28"/>
          <w:szCs w:val="28"/>
        </w:rPr>
        <w:t>1</w:t>
      </w:r>
      <w:r>
        <w:rPr>
          <w:rFonts w:ascii="仿宋" w:hAnsi="仿宋" w:eastAsia="仿宋" w:cs="Times New Roman"/>
          <w:sz w:val="28"/>
          <w:szCs w:val="28"/>
        </w:rPr>
        <w:t>3</w:t>
      </w:r>
      <w:r>
        <w:rPr>
          <w:rFonts w:hint="eastAsia" w:ascii="仿宋" w:hAnsi="仿宋" w:eastAsia="仿宋" w:cs="Times New Roman"/>
          <w:sz w:val="28"/>
          <w:szCs w:val="28"/>
        </w:rPr>
        <w:t>倍。系专项收入与本项目已发行及预计发行的所有债券还本付息总额之比率。项目收益可以覆盖融资成本，债券资金偿还安全度较高。</w:t>
      </w:r>
    </w:p>
    <w:p>
      <w:pPr>
        <w:autoSpaceDE w:val="0"/>
        <w:autoSpaceDN w:val="0"/>
        <w:adjustRightInd w:val="0"/>
        <w:spacing w:line="360" w:lineRule="auto"/>
        <w:ind w:firstLine="560" w:firstLineChars="200"/>
        <w:rPr>
          <w:rFonts w:ascii="仿宋" w:hAnsi="仿宋" w:eastAsia="仿宋" w:cs="Times New Roman"/>
          <w:sz w:val="28"/>
          <w:szCs w:val="28"/>
        </w:rPr>
      </w:pPr>
    </w:p>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602639731"/>
    </w:sdtPr>
    <w:sdtEndPr>
      <w:rPr>
        <w:rFonts w:ascii="Times New Roman" w:hAnsi="Times New Roman"/>
      </w:rPr>
    </w:sdtEndPr>
    <w:sdtContent>
      <w:p>
        <w:pPr>
          <w:pStyle w:val="8"/>
          <w:jc w:val="center"/>
          <w:rPr>
            <w:rFonts w:ascii="Times New Roman" w:hAnsi="Times New Roman"/>
          </w:rPr>
        </w:pPr>
        <w:r>
          <w:rPr>
            <w:rFonts w:ascii="Times New Roman" w:hAnsi="Times New Roman"/>
          </w:rPr>
          <w:fldChar w:fldCharType="begin"/>
        </w:r>
        <w:r>
          <w:rPr>
            <w:rFonts w:ascii="Times New Roman" w:hAnsi="Times New Roman"/>
          </w:rPr>
          <w:instrText xml:space="preserve">PAGE   \* MERGEFORMAT</w:instrText>
        </w:r>
        <w:r>
          <w:rPr>
            <w:rFonts w:ascii="Times New Roman" w:hAnsi="Times New Roman"/>
          </w:rPr>
          <w:fldChar w:fldCharType="separate"/>
        </w:r>
        <w:r>
          <w:rPr>
            <w:rFonts w:ascii="Times New Roman" w:hAnsi="Times New Roman"/>
            <w:lang w:val="zh-CN"/>
          </w:rPr>
          <w:t>4</w:t>
        </w:r>
        <w:r>
          <w:rPr>
            <w:rFonts w:ascii="Times New Roman" w:hAnsi="Times New Roman"/>
          </w:rPr>
          <w:fldChar w:fldCharType="end"/>
        </w:r>
      </w:p>
    </w:sdtContent>
  </w:sdt>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C9D10D3"/>
    <w:rsid w:val="000310C5"/>
    <w:rsid w:val="00053185"/>
    <w:rsid w:val="00081F5B"/>
    <w:rsid w:val="00130126"/>
    <w:rsid w:val="00153FDD"/>
    <w:rsid w:val="004737EB"/>
    <w:rsid w:val="00586979"/>
    <w:rsid w:val="00586CDA"/>
    <w:rsid w:val="00694640"/>
    <w:rsid w:val="007C14BE"/>
    <w:rsid w:val="00955426"/>
    <w:rsid w:val="009C7D41"/>
    <w:rsid w:val="009F71A6"/>
    <w:rsid w:val="00AB14F2"/>
    <w:rsid w:val="00B020A4"/>
    <w:rsid w:val="00BC1F83"/>
    <w:rsid w:val="00C019DD"/>
    <w:rsid w:val="00CE1FAB"/>
    <w:rsid w:val="00D16840"/>
    <w:rsid w:val="00E0250D"/>
    <w:rsid w:val="00E210FC"/>
    <w:rsid w:val="00ED6B10"/>
    <w:rsid w:val="00EE48D6"/>
    <w:rsid w:val="00F029D5"/>
    <w:rsid w:val="00F04E9C"/>
    <w:rsid w:val="00F62291"/>
    <w:rsid w:val="00FA2E9D"/>
    <w:rsid w:val="363B2C06"/>
    <w:rsid w:val="4C324252"/>
    <w:rsid w:val="4C9D10D3"/>
    <w:rsid w:val="54393E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qFormat="1" w:uiPriority="99" w:semiHidden="0" w:name="Normal Indent"/>
    <w:lsdException w:uiPriority="0" w:name="footnote text"/>
    <w:lsdException w:uiPriority="0" w:name="annotation text"/>
    <w:lsdException w:unhideWhenUsed="0" w:uiPriority="0" w:semiHidden="0" w:name="header"/>
    <w:lsdException w:qFormat="1"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
    <w:pPr>
      <w:keepNext/>
      <w:keepLines/>
      <w:spacing w:before="120" w:after="120"/>
      <w:jc w:val="left"/>
      <w:outlineLvl w:val="0"/>
    </w:pPr>
    <w:rPr>
      <w:rFonts w:ascii="Times New Roman" w:hAnsi="Times New Roman" w:eastAsia="仿宋"/>
      <w:b/>
      <w:bCs/>
      <w:kern w:val="44"/>
      <w:sz w:val="28"/>
      <w:szCs w:val="44"/>
    </w:rPr>
  </w:style>
  <w:style w:type="paragraph" w:styleId="3">
    <w:name w:val="heading 2"/>
    <w:basedOn w:val="1"/>
    <w:next w:val="4"/>
    <w:unhideWhenUsed/>
    <w:qFormat/>
    <w:uiPriority w:val="9"/>
    <w:pPr>
      <w:keepNext/>
      <w:keepLines/>
      <w:spacing w:before="120" w:after="120"/>
      <w:outlineLvl w:val="1"/>
    </w:pPr>
    <w:rPr>
      <w:rFonts w:ascii="Arial" w:hAnsi="Arial" w:eastAsia="仿宋"/>
      <w:b/>
      <w:sz w:val="28"/>
      <w:szCs w:val="20"/>
    </w:rPr>
  </w:style>
  <w:style w:type="paragraph" w:styleId="5">
    <w:name w:val="heading 3"/>
    <w:basedOn w:val="1"/>
    <w:next w:val="1"/>
    <w:unhideWhenUsed/>
    <w:qFormat/>
    <w:uiPriority w:val="9"/>
    <w:pPr>
      <w:keepNext/>
      <w:keepLines/>
      <w:outlineLvl w:val="2"/>
    </w:pPr>
    <w:rPr>
      <w:rFonts w:ascii="Times New Roman" w:hAnsi="Times New Roman" w:eastAsia="仿宋"/>
      <w:b/>
      <w:bCs/>
      <w:sz w:val="28"/>
      <w:szCs w:val="32"/>
    </w:rPr>
  </w:style>
  <w:style w:type="paragraph" w:styleId="6">
    <w:name w:val="heading 4"/>
    <w:basedOn w:val="1"/>
    <w:next w:val="1"/>
    <w:unhideWhenUsed/>
    <w:qFormat/>
    <w:uiPriority w:val="9"/>
    <w:pPr>
      <w:keepNext/>
      <w:keepLines/>
      <w:outlineLvl w:val="3"/>
    </w:pPr>
    <w:rPr>
      <w:rFonts w:ascii="Arial" w:hAnsi="Arial" w:eastAsia="仿宋"/>
      <w:b/>
      <w:bCs/>
      <w:sz w:val="28"/>
      <w:szCs w:val="28"/>
    </w:rPr>
  </w:style>
  <w:style w:type="character" w:default="1" w:styleId="12">
    <w:name w:val="Default Paragraph Font"/>
    <w:semiHidden/>
    <w:unhideWhenUsed/>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4">
    <w:name w:val="Normal Indent"/>
    <w:basedOn w:val="1"/>
    <w:unhideWhenUsed/>
    <w:qFormat/>
    <w:uiPriority w:val="99"/>
    <w:pPr>
      <w:ind w:firstLine="420" w:firstLineChars="200"/>
    </w:pPr>
  </w:style>
  <w:style w:type="paragraph" w:styleId="7">
    <w:name w:val="Balloon Text"/>
    <w:basedOn w:val="1"/>
    <w:link w:val="13"/>
    <w:qFormat/>
    <w:uiPriority w:val="0"/>
    <w:rPr>
      <w:sz w:val="18"/>
      <w:szCs w:val="18"/>
    </w:rPr>
  </w:style>
  <w:style w:type="paragraph" w:styleId="8">
    <w:name w:val="footer"/>
    <w:basedOn w:val="1"/>
    <w:unhideWhenUsed/>
    <w:qFormat/>
    <w:uiPriority w:val="99"/>
    <w:pPr>
      <w:tabs>
        <w:tab w:val="center" w:pos="4153"/>
        <w:tab w:val="right" w:pos="8306"/>
      </w:tabs>
      <w:snapToGrid w:val="0"/>
      <w:jc w:val="left"/>
    </w:pPr>
    <w:rPr>
      <w:sz w:val="18"/>
      <w:szCs w:val="18"/>
    </w:rPr>
  </w:style>
  <w:style w:type="paragraph" w:styleId="9">
    <w:name w:val="header"/>
    <w:basedOn w:val="1"/>
    <w:link w:val="14"/>
    <w:uiPriority w:val="0"/>
    <w:pPr>
      <w:pBdr>
        <w:bottom w:val="single" w:color="auto" w:sz="6" w:space="1"/>
      </w:pBdr>
      <w:tabs>
        <w:tab w:val="center" w:pos="4153"/>
        <w:tab w:val="right" w:pos="8306"/>
      </w:tabs>
      <w:snapToGrid w:val="0"/>
      <w:jc w:val="center"/>
    </w:pPr>
    <w:rPr>
      <w:sz w:val="18"/>
      <w:szCs w:val="18"/>
    </w:rPr>
  </w:style>
  <w:style w:type="table" w:styleId="11">
    <w:name w:val="Table Grid"/>
    <w:basedOn w:val="10"/>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
    <w:name w:val="批注框文本 Char"/>
    <w:basedOn w:val="12"/>
    <w:link w:val="7"/>
    <w:qFormat/>
    <w:uiPriority w:val="0"/>
    <w:rPr>
      <w:rFonts w:asciiTheme="minorHAnsi" w:hAnsiTheme="minorHAnsi" w:eastAsiaTheme="minorEastAsia" w:cstheme="minorBidi"/>
      <w:kern w:val="2"/>
      <w:sz w:val="18"/>
      <w:szCs w:val="18"/>
    </w:rPr>
  </w:style>
  <w:style w:type="character" w:customStyle="1" w:styleId="14">
    <w:name w:val="页眉 Char"/>
    <w:basedOn w:val="12"/>
    <w:link w:val="9"/>
    <w:qFormat/>
    <w:uiPriority w:val="0"/>
    <w:rPr>
      <w:rFonts w:asciiTheme="minorHAnsi" w:hAnsiTheme="minorHAnsi" w:eastAsiaTheme="minorEastAsia" w:cstheme="minorBidi"/>
      <w:kern w:val="2"/>
      <w:sz w:val="18"/>
      <w:szCs w:val="18"/>
    </w:rPr>
  </w:style>
  <w:style w:type="paragraph" w:styleId="15">
    <w:name w:val="List Paragraph"/>
    <w:basedOn w:val="1"/>
    <w:unhideWhenUsed/>
    <w:qFormat/>
    <w:uiPriority w:val="99"/>
    <w:pPr>
      <w:ind w:firstLine="420" w:firstLineChars="200"/>
    </w:pPr>
  </w:style>
  <w:style w:type="character" w:customStyle="1" w:styleId="16">
    <w:name w:val="Other|1_"/>
    <w:basedOn w:val="12"/>
    <w:link w:val="17"/>
    <w:qFormat/>
    <w:uiPriority w:val="0"/>
    <w:rPr>
      <w:rFonts w:ascii="宋体" w:hAnsi="宋体" w:cs="宋体"/>
      <w:sz w:val="14"/>
      <w:szCs w:val="14"/>
    </w:rPr>
  </w:style>
  <w:style w:type="paragraph" w:customStyle="1" w:styleId="17">
    <w:name w:val="Other|1"/>
    <w:basedOn w:val="1"/>
    <w:link w:val="16"/>
    <w:uiPriority w:val="0"/>
    <w:pPr>
      <w:jc w:val="left"/>
    </w:pPr>
    <w:rPr>
      <w:rFonts w:ascii="宋体" w:hAnsi="宋体" w:eastAsia="宋体" w:cs="宋体"/>
      <w:kern w:val="0"/>
      <w:sz w:val="14"/>
      <w:szCs w:val="14"/>
    </w:rPr>
  </w:style>
  <w:style w:type="paragraph" w:customStyle="1" w:styleId="18">
    <w:name w:val="Body text|1"/>
    <w:basedOn w:val="1"/>
    <w:qFormat/>
    <w:uiPriority w:val="0"/>
    <w:pPr>
      <w:widowControl w:val="0"/>
      <w:spacing w:line="444" w:lineRule="auto"/>
      <w:ind w:firstLine="400" w:firstLineChars="0"/>
      <w:jc w:val="left"/>
    </w:pPr>
    <w:rPr>
      <w:rFonts w:ascii="宋体" w:hAnsi="宋体" w:cs="宋体"/>
      <w:sz w:val="26"/>
      <w:szCs w:val="26"/>
      <w:lang w:val="zh-TW" w:eastAsia="zh-TW" w:bidi="zh-TW"/>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7E47260-2981-4C87-BBA8-82210546D190}">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4</Pages>
  <Words>321</Words>
  <Characters>1834</Characters>
  <Lines>15</Lines>
  <Paragraphs>4</Paragraphs>
  <TotalTime>0</TotalTime>
  <ScaleCrop>false</ScaleCrop>
  <LinksUpToDate>false</LinksUpToDate>
  <CharactersWithSpaces>2151</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2020-05-19T12:31:00Z</dcterms:created>
  <dc:creator>FZ09259566</dc:creator>
  <cp:lastModifiedBy>陈肇远</cp:lastModifiedBy>
  <dcterms:modified xsi:type="dcterms:W3CDTF">2020-11-16T16:06:50Z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