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20</w:t>
      </w:r>
      <w:r>
        <w:rPr>
          <w:rFonts w:hint="eastAsia" w:ascii="仿宋" w:hAnsi="仿宋" w:eastAsia="仿宋" w:cs="仿宋"/>
          <w:b/>
          <w:sz w:val="32"/>
          <w:szCs w:val="32"/>
          <w:lang w:val="en-US" w:eastAsia="zh-CN"/>
        </w:rPr>
        <w:t>19</w:t>
      </w:r>
      <w:r>
        <w:rPr>
          <w:rFonts w:hint="eastAsia" w:ascii="仿宋" w:hAnsi="仿宋" w:eastAsia="仿宋" w:cs="仿宋"/>
          <w:b/>
          <w:sz w:val="32"/>
          <w:szCs w:val="32"/>
          <w:lang w:val="en-US" w:eastAsia="zh-CN"/>
        </w:rPr>
        <w:t>年福建省政府专项债券（</w:t>
      </w:r>
      <w:r>
        <w:rPr>
          <w:rFonts w:hint="eastAsia" w:ascii="仿宋" w:hAnsi="仿宋" w:eastAsia="仿宋" w:cs="仿宋"/>
          <w:b/>
          <w:sz w:val="32"/>
          <w:szCs w:val="32"/>
          <w:lang w:val="en-US" w:eastAsia="zh-CN"/>
        </w:rPr>
        <w:t>二十一</w:t>
      </w:r>
      <w:r>
        <w:rPr>
          <w:rFonts w:hint="eastAsia" w:ascii="仿宋" w:hAnsi="仿宋" w:eastAsia="仿宋" w:cs="仿宋"/>
          <w:b/>
          <w:sz w:val="32"/>
          <w:szCs w:val="32"/>
          <w:lang w:val="en-US" w:eastAsia="zh-CN"/>
        </w:rPr>
        <w:t>期）</w:t>
      </w:r>
    </w:p>
    <w:p>
      <w:pPr>
        <w:spacing w:line="360" w:lineRule="auto"/>
        <w:jc w:val="center"/>
        <w:rPr>
          <w:rFonts w:hint="default" w:ascii="仿宋" w:hAnsi="仿宋" w:eastAsia="仿宋" w:cs="仿宋"/>
          <w:b/>
          <w:sz w:val="32"/>
          <w:szCs w:val="32"/>
          <w:lang w:val="en-US" w:eastAsia="zh-CN"/>
        </w:rPr>
      </w:pPr>
      <w:r>
        <w:rPr>
          <w:rFonts w:hint="eastAsia" w:ascii="仿宋" w:hAnsi="仿宋" w:eastAsia="仿宋" w:cs="仿宋"/>
          <w:b/>
          <w:sz w:val="32"/>
          <w:szCs w:val="32"/>
          <w:lang w:val="en-US" w:eastAsia="zh-CN"/>
        </w:rPr>
        <w:t>之漳州市项目调整情况说明</w:t>
      </w:r>
    </w:p>
    <w:p>
      <w:pPr>
        <w:spacing w:line="360" w:lineRule="auto"/>
        <w:rPr>
          <w:rFonts w:ascii="仿宋" w:hAnsi="仿宋" w:eastAsia="仿宋" w:cs="仿宋"/>
          <w:sz w:val="28"/>
          <w:szCs w:val="28"/>
        </w:rPr>
      </w:pPr>
    </w:p>
    <w:p>
      <w:pPr>
        <w:spacing w:line="360" w:lineRule="auto"/>
        <w:ind w:firstLine="560" w:firstLineChars="200"/>
        <w:rPr>
          <w:rFonts w:hint="default" w:ascii="仿宋" w:hAnsi="仿宋" w:eastAsia="仿宋" w:cs="仿宋"/>
          <w:sz w:val="28"/>
          <w:szCs w:val="28"/>
          <w:lang w:val="en-US"/>
        </w:rPr>
      </w:pPr>
      <w:r>
        <w:rPr>
          <w:rFonts w:hint="eastAsia" w:ascii="仿宋" w:hAnsi="仿宋" w:eastAsia="仿宋" w:cs="仿宋"/>
          <w:sz w:val="28"/>
          <w:szCs w:val="28"/>
        </w:rPr>
        <w:t>20</w:t>
      </w:r>
      <w:r>
        <w:rPr>
          <w:rFonts w:hint="eastAsia" w:ascii="仿宋" w:hAnsi="仿宋" w:eastAsia="仿宋" w:cs="仿宋"/>
          <w:sz w:val="28"/>
          <w:szCs w:val="28"/>
          <w:lang w:val="en-US" w:eastAsia="zh-CN"/>
        </w:rPr>
        <w:t>19</w:t>
      </w:r>
      <w:r>
        <w:rPr>
          <w:rFonts w:hint="eastAsia" w:ascii="仿宋" w:hAnsi="仿宋" w:eastAsia="仿宋" w:cs="仿宋"/>
          <w:sz w:val="28"/>
          <w:szCs w:val="28"/>
        </w:rPr>
        <w:t>年福建省政府专项债券（</w:t>
      </w:r>
      <w:r>
        <w:rPr>
          <w:rFonts w:hint="eastAsia" w:ascii="仿宋" w:hAnsi="仿宋" w:eastAsia="仿宋" w:cs="仿宋"/>
          <w:sz w:val="28"/>
          <w:szCs w:val="28"/>
          <w:lang w:eastAsia="zh-CN"/>
        </w:rPr>
        <w:t>二十一</w:t>
      </w:r>
      <w:r>
        <w:rPr>
          <w:rFonts w:hint="eastAsia" w:ascii="仿宋" w:hAnsi="仿宋" w:eastAsia="仿宋" w:cs="仿宋"/>
          <w:sz w:val="28"/>
          <w:szCs w:val="28"/>
        </w:rPr>
        <w:t>期）</w:t>
      </w:r>
      <w:r>
        <w:rPr>
          <w:rFonts w:hint="eastAsia" w:ascii="仿宋" w:hAnsi="仿宋" w:eastAsia="仿宋" w:cs="仿宋"/>
          <w:sz w:val="28"/>
          <w:szCs w:val="28"/>
          <w:lang w:val="en-US" w:eastAsia="zh-CN"/>
        </w:rPr>
        <w:t>中“九龙公园地下停车场项目”已</w:t>
      </w:r>
      <w:r>
        <w:rPr>
          <w:rFonts w:hint="eastAsia" w:ascii="仿宋" w:hAnsi="仿宋" w:eastAsia="仿宋" w:cs="仿宋"/>
          <w:sz w:val="28"/>
          <w:szCs w:val="28"/>
        </w:rPr>
        <w:t>发行</w:t>
      </w:r>
      <w:r>
        <w:rPr>
          <w:rFonts w:hint="eastAsia" w:ascii="仿宋" w:hAnsi="仿宋" w:eastAsia="仿宋" w:cs="仿宋"/>
          <w:sz w:val="28"/>
          <w:szCs w:val="28"/>
          <w:lang w:val="en-US" w:eastAsia="zh-CN"/>
        </w:rPr>
        <w:t>债券金额8000万</w:t>
      </w:r>
      <w:r>
        <w:rPr>
          <w:rFonts w:hint="eastAsia" w:ascii="仿宋" w:hAnsi="仿宋" w:eastAsia="仿宋" w:cs="仿宋"/>
          <w:sz w:val="28"/>
          <w:szCs w:val="28"/>
        </w:rPr>
        <w:t>元，期限</w:t>
      </w:r>
      <w:r>
        <w:rPr>
          <w:rFonts w:hint="eastAsia" w:ascii="仿宋" w:hAnsi="仿宋" w:eastAsia="仿宋" w:cs="仿宋"/>
          <w:sz w:val="28"/>
          <w:szCs w:val="28"/>
          <w:lang w:val="en-US" w:eastAsia="zh-CN"/>
        </w:rPr>
        <w:t>10</w:t>
      </w:r>
      <w:r>
        <w:rPr>
          <w:rFonts w:hint="eastAsia" w:ascii="仿宋" w:hAnsi="仿宋" w:eastAsia="仿宋" w:cs="仿宋"/>
          <w:sz w:val="28"/>
          <w:szCs w:val="28"/>
        </w:rPr>
        <w:t>年，</w:t>
      </w:r>
      <w:r>
        <w:rPr>
          <w:rFonts w:hint="eastAsia" w:ascii="仿宋" w:hAnsi="仿宋" w:eastAsia="仿宋" w:cs="仿宋"/>
          <w:sz w:val="28"/>
          <w:szCs w:val="28"/>
          <w:lang w:val="en-US" w:eastAsia="zh-CN"/>
        </w:rPr>
        <w:t>因项目推进慢，资金2020年底无法全部支出的原因，故将“九龙公园地下停车场项目”1100万元调整用于“2020年漳州卫生职业学院体育艺术中心及地下人防工程项目及漳州卫生职业学院北仓片区一期工程9#、10#宿舍楼、3#食堂”项目。</w:t>
      </w:r>
    </w:p>
    <w:p>
      <w:pPr>
        <w:pStyle w:val="4"/>
        <w:numPr>
          <w:ilvl w:val="0"/>
          <w:numId w:val="1"/>
        </w:numPr>
        <w:spacing w:line="360" w:lineRule="auto"/>
        <w:ind w:firstLine="562" w:firstLineChars="200"/>
      </w:pPr>
      <w:r>
        <w:rPr>
          <w:rFonts w:hint="eastAsia" w:ascii="仿宋" w:hAnsi="仿宋" w:cs="仿宋"/>
        </w:rPr>
        <w:t>资金投向说</w:t>
      </w:r>
      <w:r>
        <w:rPr>
          <w:rFonts w:hint="eastAsia" w:ascii="仿宋" w:hAnsi="仿宋" w:cs="仿宋"/>
          <w:lang w:val="en-US" w:eastAsia="zh-CN"/>
        </w:rPr>
        <w:t>明</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本次</w:t>
      </w:r>
      <w:r>
        <w:rPr>
          <w:rFonts w:hint="eastAsia" w:ascii="仿宋" w:hAnsi="仿宋" w:eastAsia="仿宋" w:cs="仿宋"/>
          <w:sz w:val="28"/>
          <w:szCs w:val="28"/>
        </w:rPr>
        <w:t>专项债券资金拟使用规模情况如下：</w:t>
      </w:r>
    </w:p>
    <w:tbl>
      <w:tblPr>
        <w:tblStyle w:val="16"/>
        <w:tblW w:w="90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065"/>
        <w:gridCol w:w="1319"/>
        <w:gridCol w:w="1319"/>
        <w:gridCol w:w="2217"/>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jc w:val="center"/>
        </w:trPr>
        <w:tc>
          <w:tcPr>
            <w:tcW w:w="1328"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调整债券名称</w:t>
            </w:r>
          </w:p>
        </w:tc>
        <w:tc>
          <w:tcPr>
            <w:tcW w:w="1065"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原项目</w:t>
            </w:r>
          </w:p>
        </w:tc>
        <w:tc>
          <w:tcPr>
            <w:tcW w:w="1319"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调整后项目</w:t>
            </w:r>
          </w:p>
        </w:tc>
        <w:tc>
          <w:tcPr>
            <w:tcW w:w="1319"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项目总投资（万元）</w:t>
            </w:r>
          </w:p>
        </w:tc>
        <w:tc>
          <w:tcPr>
            <w:tcW w:w="2217"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拟调整专项债金额</w:t>
            </w:r>
            <w:r>
              <w:rPr>
                <w:rFonts w:hint="eastAsia" w:ascii="仿宋" w:hAnsi="仿宋" w:eastAsia="仿宋" w:cs="仿宋"/>
                <w:b/>
                <w:sz w:val="24"/>
                <w:szCs w:val="24"/>
              </w:rPr>
              <w:t>（万元）</w:t>
            </w:r>
          </w:p>
        </w:tc>
        <w:tc>
          <w:tcPr>
            <w:tcW w:w="180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jc w:val="center"/>
        </w:trPr>
        <w:tc>
          <w:tcPr>
            <w:tcW w:w="1328"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2019年福建省政府专项债券（二十一期）</w:t>
            </w:r>
            <w:r>
              <w:rPr>
                <w:rFonts w:hint="default" w:ascii="仿宋" w:hAnsi="仿宋" w:eastAsia="仿宋" w:cs="仿宋"/>
                <w:sz w:val="24"/>
                <w:szCs w:val="24"/>
                <w:lang w:val="en-US" w:eastAsia="zh-CN"/>
              </w:rPr>
              <w:t>）</w:t>
            </w:r>
          </w:p>
          <w:p>
            <w:pPr>
              <w:widowControl/>
              <w:jc w:val="left"/>
              <w:textAlignment w:val="center"/>
              <w:rPr>
                <w:rFonts w:hint="default" w:ascii="仿宋" w:hAnsi="仿宋" w:eastAsia="仿宋" w:cs="仿宋"/>
                <w:sz w:val="24"/>
                <w:szCs w:val="24"/>
                <w:lang w:val="en-US" w:eastAsia="zh-CN"/>
              </w:rPr>
            </w:pPr>
          </w:p>
        </w:tc>
        <w:tc>
          <w:tcPr>
            <w:tcW w:w="1065"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九龙公园地下停车场项目</w:t>
            </w:r>
          </w:p>
        </w:tc>
        <w:tc>
          <w:tcPr>
            <w:tcW w:w="1319" w:type="dxa"/>
            <w:vAlign w:val="center"/>
          </w:tcPr>
          <w:p>
            <w:pPr>
              <w:widowControl/>
              <w:jc w:val="left"/>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2020年漳州卫生职业学院体育艺术中心及地下人防工程项目及漳州卫生</w:t>
            </w:r>
            <w:bookmarkStart w:id="2" w:name="_GoBack"/>
            <w:bookmarkEnd w:id="2"/>
            <w:r>
              <w:rPr>
                <w:rFonts w:hint="default" w:ascii="仿宋" w:hAnsi="仿宋" w:eastAsia="仿宋" w:cs="仿宋"/>
                <w:sz w:val="24"/>
                <w:szCs w:val="24"/>
                <w:lang w:val="en-US" w:eastAsia="zh-CN"/>
              </w:rPr>
              <w:t>职业学院北仓片区一期工程9#、10#宿舍楼、3#食堂项目</w:t>
            </w:r>
          </w:p>
        </w:tc>
        <w:tc>
          <w:tcPr>
            <w:tcW w:w="1319" w:type="dxa"/>
            <w:vAlign w:val="center"/>
          </w:tcPr>
          <w:p>
            <w:pPr>
              <w:pageBreakBefore w:val="0"/>
              <w:kinsoku/>
              <w:overflowPunct/>
              <w:topLinePunct w:val="0"/>
              <w:autoSpaceDE/>
              <w:autoSpaceDN/>
              <w:bidi w:val="0"/>
              <w:spacing w:line="360" w:lineRule="auto"/>
              <w:jc w:val="right"/>
              <w:rPr>
                <w:rFonts w:hint="eastAsia" w:ascii="仿宋" w:hAnsi="仿宋" w:eastAsia="仿宋" w:cs="仿宋"/>
                <w:sz w:val="24"/>
                <w:szCs w:val="24"/>
                <w:lang w:eastAsia="zh-CN"/>
              </w:rPr>
            </w:pPr>
            <w:r>
              <w:rPr>
                <w:rFonts w:hint="eastAsia" w:ascii="仿宋" w:hAnsi="仿宋" w:eastAsia="仿宋" w:cs="仿宋"/>
                <w:sz w:val="24"/>
                <w:szCs w:val="24"/>
                <w:lang w:val="en-US" w:eastAsia="zh-CN"/>
              </w:rPr>
              <w:t>21，392.04</w:t>
            </w:r>
          </w:p>
        </w:tc>
        <w:tc>
          <w:tcPr>
            <w:tcW w:w="2217" w:type="dxa"/>
            <w:vAlign w:val="center"/>
          </w:tcPr>
          <w:p>
            <w:pPr>
              <w:pageBreakBefore w:val="0"/>
              <w:kinsoku/>
              <w:overflowPunct/>
              <w:topLinePunct w:val="0"/>
              <w:autoSpaceDE/>
              <w:autoSpaceDN/>
              <w:bidi w:val="0"/>
              <w:spacing w:line="360" w:lineRule="auto"/>
              <w:jc w:val="center"/>
              <w:rPr>
                <w:rFonts w:hint="eastAsia" w:ascii="仿宋" w:hAnsi="仿宋" w:eastAsia="仿宋" w:cs="仿宋"/>
                <w:color w:val="000000"/>
                <w:sz w:val="22"/>
                <w:lang w:eastAsia="zh-CN"/>
              </w:rPr>
            </w:pPr>
            <w:r>
              <w:rPr>
                <w:rFonts w:hint="eastAsia" w:ascii="仿宋" w:hAnsi="仿宋" w:eastAsia="仿宋" w:cs="仿宋"/>
                <w:sz w:val="24"/>
                <w:szCs w:val="24"/>
                <w:lang w:val="en-US" w:eastAsia="zh-CN"/>
              </w:rPr>
              <w:t>1,100</w:t>
            </w:r>
            <w:r>
              <w:rPr>
                <w:rFonts w:hint="eastAsia" w:ascii="仿宋" w:hAnsi="仿宋" w:eastAsia="仿宋" w:cs="仿宋"/>
                <w:sz w:val="24"/>
                <w:szCs w:val="24"/>
              </w:rPr>
              <w:t>.00</w:t>
            </w:r>
          </w:p>
        </w:tc>
        <w:tc>
          <w:tcPr>
            <w:tcW w:w="1800" w:type="dxa"/>
            <w:vAlign w:val="center"/>
          </w:tcPr>
          <w:p>
            <w:pPr>
              <w:pageBreakBefore w:val="0"/>
              <w:kinsoku/>
              <w:overflowPunct/>
              <w:topLinePunct w:val="0"/>
              <w:autoSpaceDE/>
              <w:autoSpaceDN/>
              <w:bidi w:val="0"/>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漳州卫生职业学院</w:t>
            </w:r>
          </w:p>
        </w:tc>
      </w:tr>
    </w:tbl>
    <w:p>
      <w:pPr>
        <w:pStyle w:val="4"/>
        <w:spacing w:line="360" w:lineRule="auto"/>
        <w:ind w:firstLine="562" w:firstLineChars="200"/>
        <w:rPr>
          <w:rFonts w:ascii="仿宋" w:hAnsi="仿宋" w:cs="仿宋"/>
        </w:rPr>
      </w:pPr>
      <w:r>
        <w:rPr>
          <w:rFonts w:hint="eastAsia" w:ascii="仿宋" w:hAnsi="仿宋" w:cs="仿宋"/>
        </w:rPr>
        <w:t>二、项目情况</w:t>
      </w:r>
    </w:p>
    <w:p>
      <w:pPr>
        <w:pStyle w:val="5"/>
        <w:spacing w:line="360" w:lineRule="auto"/>
        <w:ind w:firstLine="562" w:firstLineChars="200"/>
        <w:rPr>
          <w:rFonts w:ascii="仿宋" w:hAnsi="仿宋" w:cs="仿宋"/>
          <w:szCs w:val="28"/>
        </w:rPr>
      </w:pPr>
      <w:bookmarkStart w:id="0" w:name="_Hlk524441701"/>
      <w:r>
        <w:rPr>
          <w:rFonts w:hint="eastAsia" w:ascii="仿宋" w:hAnsi="仿宋" w:cs="仿宋"/>
          <w:szCs w:val="28"/>
        </w:rPr>
        <w:t>（一）漳州卫生职业学院体育艺术中心及地下人防工程项目及漳州卫生职业学院北仓片区一期工程9#、10#宿舍楼、3#食堂项目</w:t>
      </w:r>
    </w:p>
    <w:p>
      <w:pPr>
        <w:pStyle w:val="7"/>
        <w:spacing w:line="360" w:lineRule="auto"/>
        <w:ind w:firstLine="562" w:firstLineChars="200"/>
        <w:rPr>
          <w:rFonts w:hint="eastAsia" w:ascii="仿宋" w:hAnsi="仿宋" w:cs="仿宋"/>
        </w:rPr>
      </w:pPr>
      <w:r>
        <w:rPr>
          <w:rFonts w:hint="eastAsia" w:ascii="仿宋" w:hAnsi="仿宋" w:cs="仿宋"/>
        </w:rPr>
        <w:t>1、项目概况</w:t>
      </w:r>
    </w:p>
    <w:p>
      <w:pPr>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1.1、体育艺术中心及地下人防工程项目：</w:t>
      </w:r>
    </w:p>
    <w:p>
      <w:pPr>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项目用地面积约89.73亩，建筑面积17182.7平方米，其中计容建筑面积11850平方米，地下建筑面积</w:t>
      </w:r>
      <w:r>
        <w:rPr>
          <w:rFonts w:hint="eastAsia" w:ascii="仿宋" w:hAnsi="仿宋" w:eastAsia="仿宋" w:cs="仿宋"/>
          <w:sz w:val="28"/>
          <w:szCs w:val="28"/>
          <w:lang w:val="en-US" w:eastAsia="en-US"/>
        </w:rPr>
        <w:t>5332.7</w:t>
      </w:r>
      <w:r>
        <w:rPr>
          <w:rFonts w:hint="eastAsia" w:ascii="仿宋" w:hAnsi="仿宋" w:eastAsia="仿宋" w:cs="仿宋"/>
          <w:sz w:val="28"/>
          <w:szCs w:val="28"/>
          <w:lang w:val="en-US" w:eastAsia="zh-CN"/>
        </w:rPr>
        <w:t>平方米，主要建设项目为：建设一幢地上三层体育艺术中心建筑及地下人防工程，项目主要建设包括建筑工程、基坑及支护工程、 结构工程、装配式工程、园林绿化工程，室外工程、智能化工程、室外管网工程、变配电工程、抗震支架工程、舞台设备、灯光工程、电梯等。</w:t>
      </w:r>
    </w:p>
    <w:p>
      <w:pPr>
        <w:numPr>
          <w:ilvl w:val="0"/>
          <w:numId w:val="0"/>
        </w:numPr>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1.2北仓片区一期工程9#、10#宿舍楼、3#食堂项目：</w:t>
      </w:r>
    </w:p>
    <w:p>
      <w:pPr>
        <w:spacing w:line="360" w:lineRule="auto"/>
        <w:ind w:firstLine="560" w:firstLineChars="200"/>
      </w:pPr>
      <w:r>
        <w:rPr>
          <w:rFonts w:hint="eastAsia" w:ascii="仿宋" w:hAnsi="仿宋" w:eastAsia="仿宋" w:cs="仿宋"/>
          <w:sz w:val="28"/>
          <w:szCs w:val="28"/>
          <w:lang w:val="en-US" w:eastAsia="zh-CN"/>
        </w:rPr>
        <w:t>北仓片区一期学生公寓及食堂的建筑工程、装饰装修、给排水工程、电气工程、通风工程（消防排烟）、消防工程以及室外的广场、道路、绿化及桥梁等。本次新建单体3栋，其中9#宿舍楼8层，占地面积约1624平方米，建筑面积约13940平方米；10#宿舍楼10层，占地面积1624平方米，建筑面积17425平方米；3#食堂3层，占地面积3663.24平方米，建筑面积8659.60平方米。</w:t>
      </w:r>
    </w:p>
    <w:bookmarkEnd w:id="0"/>
    <w:p>
      <w:pPr>
        <w:pStyle w:val="7"/>
        <w:spacing w:line="360" w:lineRule="auto"/>
        <w:ind w:firstLine="562" w:firstLineChars="200"/>
        <w:rPr>
          <w:rFonts w:ascii="仿宋" w:hAnsi="仿宋" w:cs="仿宋"/>
        </w:rPr>
      </w:pPr>
      <w:r>
        <w:rPr>
          <w:rFonts w:hint="eastAsia" w:ascii="仿宋" w:hAnsi="仿宋" w:cs="仿宋"/>
        </w:rPr>
        <w:t>2、项目投资情况</w:t>
      </w:r>
    </w:p>
    <w:p>
      <w:pPr>
        <w:pageBreakBefore w:val="0"/>
        <w:kinsoku/>
        <w:overflowPunct/>
        <w:topLinePunct w:val="0"/>
        <w:autoSpaceDE/>
        <w:autoSpaceDN/>
        <w:bidi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漳州卫生职业学院体育艺术中心及地下人防工程项目及漳州卫生职业学院北仓片区一期工程9#、10#宿舍楼、3#食堂项目总投资21,392.04万</w:t>
      </w:r>
      <w:r>
        <w:rPr>
          <w:rFonts w:hint="eastAsia" w:ascii="仿宋" w:hAnsi="仿宋" w:eastAsia="仿宋" w:cs="仿宋"/>
          <w:sz w:val="28"/>
          <w:szCs w:val="28"/>
        </w:rPr>
        <w:t>元，估算表如下：</w:t>
      </w:r>
    </w:p>
    <w:p>
      <w:pPr>
        <w:widowControl/>
        <w:spacing w:after="120" w:line="360" w:lineRule="auto"/>
        <w:ind w:firstLine="562" w:firstLineChars="200"/>
        <w:contextualSpacing/>
        <w:jc w:val="center"/>
        <w:rPr>
          <w:rFonts w:hint="eastAsia" w:ascii="仿宋" w:hAnsi="仿宋" w:eastAsia="仿宋" w:cs="仿宋"/>
          <w:b/>
          <w:kern w:val="0"/>
          <w:sz w:val="28"/>
          <w:lang w:val="en-GB"/>
        </w:rPr>
      </w:pPr>
      <w:r>
        <w:rPr>
          <w:rFonts w:hint="eastAsia" w:ascii="仿宋" w:hAnsi="仿宋" w:eastAsia="仿宋" w:cs="仿宋"/>
          <w:b/>
          <w:kern w:val="0"/>
          <w:sz w:val="28"/>
          <w:lang w:val="en-GB"/>
        </w:rPr>
        <w:t>项目总投资估算表</w:t>
      </w:r>
    </w:p>
    <w:p>
      <w:pPr>
        <w:pageBreakBefore w:val="0"/>
        <w:widowControl/>
        <w:kinsoku/>
        <w:overflowPunct/>
        <w:topLinePunct w:val="0"/>
        <w:autoSpaceDE/>
        <w:autoSpaceDN/>
        <w:bidi w:val="0"/>
        <w:spacing w:after="120" w:line="360" w:lineRule="auto"/>
        <w:ind w:firstLine="480" w:firstLineChars="200"/>
        <w:contextualSpacing/>
        <w:jc w:val="center"/>
        <w:rPr>
          <w:rFonts w:hint="eastAsia" w:ascii="仿宋" w:hAnsi="仿宋" w:eastAsia="仿宋" w:cs="仿宋"/>
          <w:kern w:val="0"/>
          <w:sz w:val="24"/>
          <w:lang w:val="en-GB"/>
        </w:rPr>
      </w:pPr>
      <w:r>
        <w:rPr>
          <w:rFonts w:hint="eastAsia" w:ascii="仿宋" w:hAnsi="仿宋" w:eastAsia="仿宋" w:cs="仿宋"/>
          <w:kern w:val="0"/>
          <w:sz w:val="24"/>
          <w:lang w:val="en-US" w:eastAsia="zh-CN"/>
        </w:rPr>
        <w:t xml:space="preserve">                                                </w:t>
      </w:r>
      <w:r>
        <w:rPr>
          <w:rFonts w:hint="eastAsia" w:ascii="仿宋" w:hAnsi="仿宋" w:eastAsia="仿宋" w:cs="仿宋"/>
          <w:kern w:val="0"/>
          <w:sz w:val="24"/>
          <w:lang w:val="en-GB"/>
        </w:rPr>
        <w:t xml:space="preserve"> 单位：人民币万元</w:t>
      </w:r>
    </w:p>
    <w:p>
      <w:pPr>
        <w:pageBreakBefore w:val="0"/>
        <w:kinsoku/>
        <w:overflowPunct/>
        <w:topLinePunct w:val="0"/>
        <w:autoSpaceDE/>
        <w:autoSpaceDN/>
        <w:bidi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该项目未来年度投资计划如下：</w:t>
      </w:r>
    </w:p>
    <w:tbl>
      <w:tblPr>
        <w:tblStyle w:val="15"/>
        <w:tblW w:w="8303" w:type="dxa"/>
        <w:jc w:val="center"/>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613"/>
        <w:gridCol w:w="2214"/>
        <w:gridCol w:w="1476"/>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项目名称</w:t>
            </w:r>
          </w:p>
        </w:tc>
        <w:tc>
          <w:tcPr>
            <w:tcW w:w="2214" w:type="dxa"/>
            <w:noWrap w:val="0"/>
            <w:vAlign w:val="center"/>
          </w:tcPr>
          <w:p>
            <w:pPr>
              <w:spacing w:line="360" w:lineRule="auto"/>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金额</w:t>
            </w:r>
          </w:p>
        </w:tc>
        <w:tc>
          <w:tcPr>
            <w:tcW w:w="1476" w:type="dxa"/>
            <w:noWrap w:val="0"/>
            <w:vAlign w:val="center"/>
          </w:tcPr>
          <w:p>
            <w:pPr>
              <w:spacing w:line="360" w:lineRule="auto"/>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占比</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rPr>
                <w:rFonts w:ascii="Times New Roman" w:hAnsi="Times New Roman" w:eastAsia="仿宋"/>
                <w:color w:val="000000"/>
                <w:szCs w:val="21"/>
              </w:rPr>
            </w:pPr>
            <w:r>
              <w:rPr>
                <w:rFonts w:ascii="Times New Roman" w:hAnsi="Times New Roman" w:eastAsia="仿宋"/>
                <w:color w:val="000000"/>
                <w:szCs w:val="21"/>
              </w:rPr>
              <w:t>1、工程费用</w:t>
            </w:r>
          </w:p>
        </w:tc>
        <w:tc>
          <w:tcPr>
            <w:tcW w:w="2214" w:type="dxa"/>
            <w:noWrap w:val="0"/>
            <w:vAlign w:val="center"/>
          </w:tcPr>
          <w:p>
            <w:pPr>
              <w:keepNext w:val="0"/>
              <w:keepLines w:val="0"/>
              <w:widowControl/>
              <w:suppressLineNumbers w:val="0"/>
              <w:jc w:val="center"/>
              <w:textAlignment w:val="center"/>
              <w:rPr>
                <w:rFonts w:hint="default" w:ascii="Times New Roman" w:hAnsi="Times New Roman" w:eastAsia="仿宋"/>
                <w:color w:val="000000"/>
                <w:szCs w:val="21"/>
                <w:lang w:val="en-US"/>
              </w:rPr>
            </w:pPr>
            <w:r>
              <w:rPr>
                <w:rFonts w:hint="default" w:ascii="Times New Roman" w:hAnsi="Times New Roman" w:eastAsia="宋体" w:cs="Times New Roman"/>
                <w:i w:val="0"/>
                <w:color w:val="000000"/>
                <w:kern w:val="0"/>
                <w:sz w:val="22"/>
                <w:szCs w:val="22"/>
                <w:u w:val="none"/>
                <w:lang w:val="en-US" w:eastAsia="zh-CN" w:bidi="ar"/>
              </w:rPr>
              <w:t>17886.5</w:t>
            </w:r>
            <w:r>
              <w:rPr>
                <w:rFonts w:hint="eastAsia" w:ascii="Times New Roman" w:hAnsi="Times New Roman" w:eastAsia="宋体" w:cs="Times New Roman"/>
                <w:i w:val="0"/>
                <w:color w:val="000000"/>
                <w:kern w:val="0"/>
                <w:sz w:val="22"/>
                <w:szCs w:val="22"/>
                <w:u w:val="none"/>
                <w:lang w:val="en-US" w:eastAsia="zh-CN" w:bidi="ar"/>
              </w:rPr>
              <w:t>0</w:t>
            </w:r>
          </w:p>
        </w:tc>
        <w:tc>
          <w:tcPr>
            <w:tcW w:w="1476" w:type="dxa"/>
            <w:noWrap w:val="0"/>
            <w:vAlign w:val="center"/>
          </w:tcPr>
          <w:p>
            <w:pPr>
              <w:keepNext w:val="0"/>
              <w:keepLines w:val="0"/>
              <w:widowControl/>
              <w:suppressLineNumbers w:val="0"/>
              <w:jc w:val="center"/>
              <w:textAlignment w:val="center"/>
              <w:rPr>
                <w:rFonts w:hint="eastAsia" w:ascii="Times New Roman" w:hAnsi="Times New Roman" w:eastAsia="仿宋" w:cs="Times New Roman"/>
                <w:kern w:val="2"/>
                <w:sz w:val="21"/>
                <w:szCs w:val="21"/>
                <w:lang w:val="en-US" w:eastAsia="zh-CN" w:bidi="ar-SA"/>
              </w:rPr>
            </w:pPr>
            <w:r>
              <w:rPr>
                <w:rFonts w:hint="eastAsia" w:ascii="Times New Roman" w:hAnsi="Times New Roman" w:eastAsia="仿宋" w:cs="Times New Roman"/>
                <w:kern w:val="2"/>
                <w:sz w:val="21"/>
                <w:szCs w:val="21"/>
                <w:lang w:val="en-US" w:eastAsia="zh-CN" w:bidi="ar-SA"/>
              </w:rPr>
              <w:t>83.</w:t>
            </w:r>
            <w:r>
              <w:rPr>
                <w:rFonts w:hint="eastAsia" w:eastAsia="仿宋" w:cs="Times New Roman"/>
                <w:kern w:val="2"/>
                <w:sz w:val="21"/>
                <w:szCs w:val="21"/>
                <w:lang w:val="en-US" w:eastAsia="zh-CN" w:bidi="ar-SA"/>
              </w:rPr>
              <w:t>61</w:t>
            </w:r>
            <w:r>
              <w:rPr>
                <w:rFonts w:hint="eastAsia" w:ascii="Times New Roman" w:hAnsi="Times New Roman" w:eastAsia="仿宋" w:cs="Times New Roman"/>
                <w:kern w:val="2"/>
                <w:sz w:val="21"/>
                <w:szCs w:val="21"/>
                <w:lang w:val="en-US" w:eastAsia="zh-CN" w:bidi="ar-SA"/>
              </w:rPr>
              <w:t>%</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613" w:type="dxa"/>
            <w:noWrap w:val="0"/>
            <w:vAlign w:val="center"/>
          </w:tcPr>
          <w:p>
            <w:pPr>
              <w:spacing w:line="360" w:lineRule="auto"/>
              <w:ind w:right="45"/>
              <w:contextualSpacing/>
              <w:rPr>
                <w:rFonts w:ascii="Times New Roman" w:hAnsi="Times New Roman" w:eastAsia="仿宋"/>
                <w:color w:val="000000"/>
                <w:szCs w:val="21"/>
              </w:rPr>
            </w:pPr>
            <w:r>
              <w:rPr>
                <w:rFonts w:ascii="Times New Roman" w:hAnsi="Times New Roman" w:eastAsia="仿宋"/>
                <w:color w:val="000000"/>
                <w:szCs w:val="21"/>
              </w:rPr>
              <w:t>2、工程建设其它费用</w:t>
            </w:r>
          </w:p>
        </w:tc>
        <w:tc>
          <w:tcPr>
            <w:tcW w:w="2214" w:type="dxa"/>
            <w:noWrap w:val="0"/>
            <w:vAlign w:val="center"/>
          </w:tcPr>
          <w:p>
            <w:pPr>
              <w:keepNext w:val="0"/>
              <w:keepLines w:val="0"/>
              <w:widowControl/>
              <w:suppressLineNumbers w:val="0"/>
              <w:jc w:val="center"/>
              <w:textAlignment w:val="center"/>
              <w:rPr>
                <w:rFonts w:ascii="Times New Roman" w:hAnsi="Times New Roman" w:eastAsia="仿宋"/>
                <w:color w:val="000000"/>
                <w:szCs w:val="21"/>
              </w:rPr>
            </w:pPr>
            <w:r>
              <w:rPr>
                <w:rFonts w:hint="default" w:ascii="Times New Roman" w:hAnsi="Times New Roman" w:eastAsia="宋体" w:cs="Times New Roman"/>
                <w:i w:val="0"/>
                <w:color w:val="000000"/>
                <w:kern w:val="0"/>
                <w:sz w:val="22"/>
                <w:szCs w:val="22"/>
                <w:u w:val="none"/>
                <w:lang w:val="en-US" w:eastAsia="zh-CN" w:bidi="ar"/>
              </w:rPr>
              <w:t>1820.34</w:t>
            </w:r>
          </w:p>
        </w:tc>
        <w:tc>
          <w:tcPr>
            <w:tcW w:w="1476" w:type="dxa"/>
            <w:noWrap w:val="0"/>
            <w:vAlign w:val="center"/>
          </w:tcPr>
          <w:p>
            <w:pPr>
              <w:keepNext w:val="0"/>
              <w:keepLines w:val="0"/>
              <w:widowControl/>
              <w:suppressLineNumbers w:val="0"/>
              <w:jc w:val="center"/>
              <w:textAlignment w:val="center"/>
              <w:rPr>
                <w:rFonts w:hint="eastAsia" w:ascii="Times New Roman" w:hAnsi="Times New Roman" w:eastAsia="仿宋" w:cs="Times New Roman"/>
                <w:kern w:val="2"/>
                <w:sz w:val="21"/>
                <w:szCs w:val="21"/>
                <w:lang w:val="en-US" w:eastAsia="zh-CN" w:bidi="ar-SA"/>
              </w:rPr>
            </w:pPr>
            <w:r>
              <w:rPr>
                <w:rFonts w:hint="eastAsia" w:ascii="Times New Roman" w:hAnsi="Times New Roman" w:eastAsia="仿宋" w:cs="Times New Roman"/>
                <w:kern w:val="2"/>
                <w:sz w:val="21"/>
                <w:szCs w:val="21"/>
                <w:lang w:val="en-US" w:eastAsia="zh-CN" w:bidi="ar-SA"/>
              </w:rPr>
              <w:t>8.5</w:t>
            </w:r>
            <w:r>
              <w:rPr>
                <w:rFonts w:hint="eastAsia" w:eastAsia="仿宋" w:cs="Times New Roman"/>
                <w:kern w:val="2"/>
                <w:sz w:val="21"/>
                <w:szCs w:val="21"/>
                <w:lang w:val="en-US" w:eastAsia="zh-CN" w:bidi="ar-SA"/>
              </w:rPr>
              <w:t>1</w:t>
            </w:r>
            <w:r>
              <w:rPr>
                <w:rFonts w:hint="eastAsia" w:ascii="Times New Roman" w:hAnsi="Times New Roman" w:eastAsia="仿宋" w:cs="Times New Roman"/>
                <w:kern w:val="2"/>
                <w:sz w:val="21"/>
                <w:szCs w:val="21"/>
                <w:lang w:val="en-US" w:eastAsia="zh-CN" w:bidi="ar-SA"/>
              </w:rPr>
              <w:t>%</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rPr>
                <w:rFonts w:ascii="Times New Roman" w:hAnsi="Times New Roman" w:eastAsia="仿宋"/>
                <w:color w:val="000000"/>
                <w:szCs w:val="21"/>
              </w:rPr>
            </w:pPr>
            <w:r>
              <w:rPr>
                <w:rFonts w:ascii="Times New Roman" w:hAnsi="Times New Roman" w:eastAsia="仿宋"/>
                <w:color w:val="000000"/>
                <w:szCs w:val="21"/>
              </w:rPr>
              <w:t>3、预备费</w:t>
            </w:r>
          </w:p>
        </w:tc>
        <w:tc>
          <w:tcPr>
            <w:tcW w:w="2214" w:type="dxa"/>
            <w:noWrap w:val="0"/>
            <w:vAlign w:val="center"/>
          </w:tcPr>
          <w:p>
            <w:pPr>
              <w:keepNext w:val="0"/>
              <w:keepLines w:val="0"/>
              <w:widowControl/>
              <w:suppressLineNumbers w:val="0"/>
              <w:jc w:val="center"/>
              <w:textAlignment w:val="center"/>
              <w:rPr>
                <w:rFonts w:ascii="Times New Roman" w:hAnsi="Times New Roman" w:eastAsia="仿宋"/>
                <w:color w:val="000000"/>
                <w:szCs w:val="21"/>
              </w:rPr>
            </w:pPr>
            <w:r>
              <w:rPr>
                <w:rFonts w:hint="default" w:ascii="Times New Roman" w:hAnsi="Times New Roman" w:eastAsia="宋体" w:cs="Times New Roman"/>
                <w:i w:val="0"/>
                <w:color w:val="000000"/>
                <w:kern w:val="0"/>
                <w:sz w:val="22"/>
                <w:szCs w:val="22"/>
                <w:u w:val="none"/>
                <w:lang w:val="en-US" w:eastAsia="zh-CN" w:bidi="ar"/>
              </w:rPr>
              <w:t>985.34</w:t>
            </w:r>
          </w:p>
        </w:tc>
        <w:tc>
          <w:tcPr>
            <w:tcW w:w="1476" w:type="dxa"/>
            <w:noWrap w:val="0"/>
            <w:vAlign w:val="center"/>
          </w:tcPr>
          <w:p>
            <w:pPr>
              <w:keepNext w:val="0"/>
              <w:keepLines w:val="0"/>
              <w:widowControl/>
              <w:suppressLineNumbers w:val="0"/>
              <w:jc w:val="center"/>
              <w:textAlignment w:val="center"/>
              <w:rPr>
                <w:rFonts w:hint="eastAsia" w:ascii="Times New Roman" w:hAnsi="Times New Roman" w:eastAsia="仿宋" w:cs="Times New Roman"/>
                <w:kern w:val="2"/>
                <w:sz w:val="21"/>
                <w:szCs w:val="21"/>
                <w:lang w:val="en-US" w:eastAsia="zh-CN" w:bidi="ar-SA"/>
              </w:rPr>
            </w:pPr>
            <w:r>
              <w:rPr>
                <w:rFonts w:hint="eastAsia" w:ascii="Times New Roman" w:hAnsi="Times New Roman" w:eastAsia="仿宋" w:cs="Times New Roman"/>
                <w:kern w:val="2"/>
                <w:sz w:val="21"/>
                <w:szCs w:val="21"/>
                <w:lang w:val="en-US" w:eastAsia="zh-CN" w:bidi="ar-SA"/>
              </w:rPr>
              <w:t>4.61%</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rPr>
                <w:rFonts w:ascii="Times New Roman" w:hAnsi="Times New Roman" w:eastAsia="仿宋"/>
                <w:color w:val="000000"/>
                <w:szCs w:val="21"/>
              </w:rPr>
            </w:pPr>
            <w:r>
              <w:rPr>
                <w:rFonts w:ascii="Times New Roman" w:hAnsi="Times New Roman" w:eastAsia="仿宋"/>
                <w:color w:val="000000"/>
                <w:szCs w:val="21"/>
              </w:rPr>
              <w:t>4、建设期利息</w:t>
            </w:r>
          </w:p>
        </w:tc>
        <w:tc>
          <w:tcPr>
            <w:tcW w:w="2214" w:type="dxa"/>
            <w:noWrap w:val="0"/>
            <w:vAlign w:val="center"/>
          </w:tcPr>
          <w:p>
            <w:pPr>
              <w:keepNext w:val="0"/>
              <w:keepLines w:val="0"/>
              <w:widowControl/>
              <w:suppressLineNumbers w:val="0"/>
              <w:jc w:val="center"/>
              <w:textAlignment w:val="center"/>
              <w:rPr>
                <w:rFonts w:ascii="Times New Roman" w:hAnsi="Times New Roman" w:eastAsia="仿宋"/>
                <w:color w:val="000000"/>
                <w:szCs w:val="21"/>
              </w:rPr>
            </w:pPr>
            <w:r>
              <w:rPr>
                <w:rFonts w:hint="eastAsia" w:cs="Times New Roman"/>
                <w:i w:val="0"/>
                <w:color w:val="000000"/>
                <w:kern w:val="0"/>
                <w:sz w:val="22"/>
                <w:szCs w:val="22"/>
                <w:u w:val="none"/>
                <w:lang w:val="en-US" w:eastAsia="zh-CN" w:bidi="ar"/>
              </w:rPr>
              <w:t>699.86</w:t>
            </w:r>
          </w:p>
        </w:tc>
        <w:tc>
          <w:tcPr>
            <w:tcW w:w="1476" w:type="dxa"/>
            <w:noWrap w:val="0"/>
            <w:vAlign w:val="center"/>
          </w:tcPr>
          <w:p>
            <w:pPr>
              <w:keepNext w:val="0"/>
              <w:keepLines w:val="0"/>
              <w:widowControl/>
              <w:suppressLineNumbers w:val="0"/>
              <w:jc w:val="center"/>
              <w:textAlignment w:val="center"/>
              <w:rPr>
                <w:rFonts w:hint="eastAsia" w:ascii="Times New Roman" w:hAnsi="Times New Roman" w:eastAsia="仿宋" w:cs="Times New Roman"/>
                <w:kern w:val="2"/>
                <w:sz w:val="21"/>
                <w:szCs w:val="21"/>
                <w:lang w:val="en-US" w:eastAsia="zh-CN" w:bidi="ar-SA"/>
              </w:rPr>
            </w:pPr>
            <w:r>
              <w:rPr>
                <w:rFonts w:hint="eastAsia" w:ascii="Times New Roman" w:hAnsi="Times New Roman" w:eastAsia="仿宋" w:cs="Times New Roman"/>
                <w:kern w:val="2"/>
                <w:sz w:val="21"/>
                <w:szCs w:val="21"/>
                <w:lang w:val="en-US" w:eastAsia="zh-CN" w:bidi="ar-SA"/>
              </w:rPr>
              <w:t>3.</w:t>
            </w:r>
            <w:r>
              <w:rPr>
                <w:rFonts w:hint="eastAsia" w:eastAsia="仿宋" w:cs="Times New Roman"/>
                <w:kern w:val="2"/>
                <w:sz w:val="21"/>
                <w:szCs w:val="21"/>
                <w:lang w:val="en-US" w:eastAsia="zh-CN" w:bidi="ar-SA"/>
              </w:rPr>
              <w:t>27</w:t>
            </w:r>
            <w:r>
              <w:rPr>
                <w:rFonts w:hint="eastAsia" w:ascii="Times New Roman" w:hAnsi="Times New Roman" w:eastAsia="仿宋" w:cs="Times New Roman"/>
                <w:kern w:val="2"/>
                <w:sz w:val="21"/>
                <w:szCs w:val="21"/>
                <w:lang w:val="en-US" w:eastAsia="zh-CN" w:bidi="ar-SA"/>
              </w:rPr>
              <w:t>%</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rPr>
                <w:rFonts w:ascii="Times New Roman" w:hAnsi="Times New Roman" w:eastAsia="仿宋"/>
                <w:b/>
                <w:bCs/>
                <w:color w:val="000000"/>
                <w:szCs w:val="21"/>
              </w:rPr>
            </w:pPr>
            <w:r>
              <w:rPr>
                <w:rFonts w:ascii="Times New Roman" w:hAnsi="Times New Roman" w:eastAsia="仿宋"/>
                <w:b/>
                <w:bCs/>
                <w:color w:val="000000"/>
                <w:szCs w:val="21"/>
              </w:rPr>
              <w:t>合计：</w:t>
            </w:r>
          </w:p>
        </w:tc>
        <w:tc>
          <w:tcPr>
            <w:tcW w:w="2214" w:type="dxa"/>
            <w:noWrap w:val="0"/>
            <w:vAlign w:val="center"/>
          </w:tcPr>
          <w:p>
            <w:pPr>
              <w:keepNext w:val="0"/>
              <w:keepLines w:val="0"/>
              <w:widowControl/>
              <w:suppressLineNumbers w:val="0"/>
              <w:jc w:val="center"/>
              <w:textAlignment w:val="center"/>
              <w:rPr>
                <w:rFonts w:ascii="Times New Roman" w:hAnsi="Times New Roman" w:eastAsia="仿宋"/>
                <w:b/>
                <w:bCs/>
                <w:color w:val="000000"/>
                <w:szCs w:val="21"/>
              </w:rPr>
            </w:pPr>
            <w:r>
              <w:rPr>
                <w:rFonts w:hint="eastAsia" w:cs="Times New Roman"/>
                <w:i w:val="0"/>
                <w:color w:val="000000"/>
                <w:kern w:val="0"/>
                <w:sz w:val="22"/>
                <w:szCs w:val="22"/>
                <w:u w:val="none"/>
                <w:lang w:val="en-US" w:eastAsia="zh-CN" w:bidi="ar"/>
              </w:rPr>
              <w:t xml:space="preserve">21392.04 </w:t>
            </w:r>
            <w:r>
              <w:rPr>
                <w:rFonts w:hint="eastAsia" w:ascii="Times New Roman" w:hAnsi="Times New Roman" w:eastAsia="宋体" w:cs="Times New Roman"/>
                <w:i w:val="0"/>
                <w:color w:val="000000"/>
                <w:kern w:val="0"/>
                <w:sz w:val="22"/>
                <w:szCs w:val="22"/>
                <w:u w:val="none"/>
                <w:lang w:val="en-US" w:eastAsia="zh-CN" w:bidi="ar"/>
              </w:rPr>
              <w:t xml:space="preserve"> </w:t>
            </w:r>
          </w:p>
        </w:tc>
        <w:tc>
          <w:tcPr>
            <w:tcW w:w="1476" w:type="dxa"/>
            <w:noWrap w:val="0"/>
            <w:vAlign w:val="center"/>
          </w:tcPr>
          <w:p>
            <w:pPr>
              <w:widowControl/>
              <w:spacing w:line="360" w:lineRule="auto"/>
              <w:jc w:val="center"/>
              <w:textAlignment w:val="center"/>
              <w:rPr>
                <w:rFonts w:ascii="Times New Roman" w:hAnsi="Times New Roman" w:eastAsia="仿宋"/>
                <w:b/>
                <w:bCs/>
                <w:color w:val="000000"/>
                <w:szCs w:val="21"/>
              </w:rPr>
            </w:pPr>
            <w:r>
              <w:rPr>
                <w:rFonts w:ascii="Times New Roman" w:hAnsi="Times New Roman" w:eastAsia="仿宋"/>
                <w:b/>
                <w:bCs/>
                <w:color w:val="000000"/>
                <w:szCs w:val="21"/>
              </w:rPr>
              <w:t>100.00%</w:t>
            </w:r>
          </w:p>
        </w:tc>
      </w:tr>
    </w:tbl>
    <w:p>
      <w:pPr>
        <w:pStyle w:val="2"/>
        <w:rPr>
          <w:rFonts w:hint="eastAsia"/>
        </w:rPr>
      </w:pPr>
    </w:p>
    <w:p>
      <w:pPr>
        <w:pageBreakBefore w:val="0"/>
        <w:kinsoku/>
        <w:overflowPunct/>
        <w:topLinePunct w:val="0"/>
        <w:autoSpaceDE/>
        <w:autoSpaceDN/>
        <w:bidi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项目投资计划表</w:t>
      </w:r>
    </w:p>
    <w:p>
      <w:pPr>
        <w:pageBreakBefore w:val="0"/>
        <w:kinsoku/>
        <w:overflowPunct/>
        <w:topLinePunct w:val="0"/>
        <w:autoSpaceDE/>
        <w:autoSpaceDN/>
        <w:bidi w:val="0"/>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单位：</w:t>
      </w:r>
      <w:r>
        <w:rPr>
          <w:rFonts w:hint="eastAsia" w:ascii="仿宋" w:hAnsi="仿宋" w:eastAsia="仿宋" w:cs="仿宋"/>
          <w:kern w:val="0"/>
          <w:sz w:val="24"/>
          <w:lang w:val="en-GB"/>
        </w:rPr>
        <w:t>人民币万元</w:t>
      </w:r>
    </w:p>
    <w:tbl>
      <w:tblPr>
        <w:tblStyle w:val="15"/>
        <w:tblW w:w="82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9"/>
        <w:gridCol w:w="2442"/>
        <w:gridCol w:w="1218"/>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199"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资金使用</w:t>
            </w:r>
          </w:p>
        </w:tc>
        <w:tc>
          <w:tcPr>
            <w:tcW w:w="2442"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以前年度至本报告日</w:t>
            </w:r>
          </w:p>
        </w:tc>
        <w:tc>
          <w:tcPr>
            <w:tcW w:w="1218"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2020年</w:t>
            </w:r>
          </w:p>
        </w:tc>
        <w:tc>
          <w:tcPr>
            <w:tcW w:w="1217"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2021年</w:t>
            </w:r>
          </w:p>
        </w:tc>
        <w:tc>
          <w:tcPr>
            <w:tcW w:w="1217"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199" w:type="dxa"/>
            <w:shd w:val="clear" w:color="auto" w:fill="auto"/>
            <w:vAlign w:val="center"/>
          </w:tcPr>
          <w:p>
            <w:pPr>
              <w:pageBreakBefore w:val="0"/>
              <w:widowControl/>
              <w:kinsoku/>
              <w:overflowPunct/>
              <w:topLinePunct w:val="0"/>
              <w:autoSpaceDE/>
              <w:autoSpaceDN/>
              <w:bidi w:val="0"/>
              <w:spacing w:line="360" w:lineRule="auto"/>
              <w:jc w:val="left"/>
              <w:rPr>
                <w:rFonts w:hint="eastAsia" w:ascii="仿宋" w:hAnsi="仿宋" w:eastAsia="仿宋" w:cs="仿宋"/>
                <w:b/>
                <w:bCs/>
                <w:kern w:val="0"/>
                <w:szCs w:val="21"/>
              </w:rPr>
            </w:pPr>
            <w:r>
              <w:rPr>
                <w:rFonts w:hint="eastAsia" w:ascii="仿宋" w:hAnsi="仿宋" w:eastAsia="仿宋" w:cs="仿宋"/>
                <w:b/>
                <w:bCs/>
                <w:kern w:val="0"/>
                <w:szCs w:val="21"/>
              </w:rPr>
              <w:t>建设资金使用金额</w:t>
            </w:r>
          </w:p>
        </w:tc>
        <w:tc>
          <w:tcPr>
            <w:tcW w:w="2442" w:type="dxa"/>
            <w:shd w:val="clear" w:color="auto" w:fill="auto"/>
            <w:vAlign w:val="center"/>
          </w:tcPr>
          <w:p>
            <w:pPr>
              <w:pageBreakBefore w:val="0"/>
              <w:kinsoku/>
              <w:overflowPunct/>
              <w:topLinePunct w:val="0"/>
              <w:autoSpaceDE/>
              <w:autoSpaceDN/>
              <w:bidi w:val="0"/>
              <w:spacing w:line="360" w:lineRule="auto"/>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 xml:space="preserve"> 8,000.00</w:t>
            </w:r>
          </w:p>
        </w:tc>
        <w:tc>
          <w:tcPr>
            <w:tcW w:w="1218" w:type="dxa"/>
            <w:shd w:val="clear" w:color="auto" w:fill="auto"/>
            <w:vAlign w:val="center"/>
          </w:tcPr>
          <w:p>
            <w:pPr>
              <w:pageBreakBefore w:val="0"/>
              <w:kinsoku/>
              <w:overflowPunct/>
              <w:topLinePunct w:val="0"/>
              <w:autoSpaceDE/>
              <w:autoSpaceDN/>
              <w:bidi w:val="0"/>
              <w:spacing w:line="360" w:lineRule="auto"/>
              <w:jc w:val="center"/>
              <w:rPr>
                <w:rFonts w:hint="default" w:ascii="Times New Roman" w:hAnsi="Times New Roman"/>
                <w:sz w:val="21"/>
                <w:szCs w:val="21"/>
                <w:lang w:val="en-US" w:eastAsia="zh-CN"/>
              </w:rPr>
            </w:pPr>
            <w:r>
              <w:rPr>
                <w:rFonts w:hint="default" w:ascii="Times New Roman" w:hAnsi="Times New Roman"/>
                <w:sz w:val="21"/>
                <w:szCs w:val="21"/>
                <w:lang w:val="en-US" w:eastAsia="zh-CN"/>
              </w:rPr>
              <w:t xml:space="preserve"> 9,665.13</w:t>
            </w:r>
          </w:p>
        </w:tc>
        <w:tc>
          <w:tcPr>
            <w:tcW w:w="1217" w:type="dxa"/>
            <w:shd w:val="clear" w:color="auto" w:fill="auto"/>
            <w:vAlign w:val="center"/>
          </w:tcPr>
          <w:p>
            <w:pPr>
              <w:pageBreakBefore w:val="0"/>
              <w:kinsoku/>
              <w:overflowPunct/>
              <w:topLinePunct w:val="0"/>
              <w:autoSpaceDE/>
              <w:autoSpaceDN/>
              <w:bidi w:val="0"/>
              <w:spacing w:line="360" w:lineRule="auto"/>
              <w:jc w:val="center"/>
              <w:rPr>
                <w:rFonts w:hint="default" w:ascii="Times New Roman" w:hAnsi="Times New Roman"/>
                <w:sz w:val="21"/>
                <w:szCs w:val="21"/>
                <w:lang w:val="en-US" w:eastAsia="zh-CN"/>
              </w:rPr>
            </w:pPr>
            <w:r>
              <w:rPr>
                <w:rFonts w:hint="default" w:ascii="Times New Roman" w:hAnsi="Times New Roman"/>
                <w:sz w:val="21"/>
                <w:szCs w:val="21"/>
                <w:lang w:val="en-US" w:eastAsia="zh-CN"/>
              </w:rPr>
              <w:t>3,726.91</w:t>
            </w:r>
          </w:p>
        </w:tc>
        <w:tc>
          <w:tcPr>
            <w:tcW w:w="1217" w:type="dxa"/>
            <w:shd w:val="clear" w:color="auto" w:fill="auto"/>
            <w:vAlign w:val="center"/>
          </w:tcPr>
          <w:p>
            <w:pPr>
              <w:pageBreakBefore w:val="0"/>
              <w:kinsoku/>
              <w:overflowPunct/>
              <w:topLinePunct w:val="0"/>
              <w:autoSpaceDE/>
              <w:autoSpaceDN/>
              <w:bidi w:val="0"/>
              <w:spacing w:line="360" w:lineRule="auto"/>
              <w:jc w:val="center"/>
              <w:rPr>
                <w:rFonts w:hint="eastAsia" w:ascii="仿宋" w:hAnsi="仿宋" w:eastAsia="仿宋" w:cs="仿宋"/>
                <w:snapToGrid w:val="0"/>
                <w:color w:val="000000"/>
                <w:kern w:val="0"/>
                <w:szCs w:val="21"/>
                <w:lang w:val="en-US" w:eastAsia="zh-CN"/>
              </w:rPr>
            </w:pPr>
            <w:r>
              <w:rPr>
                <w:rFonts w:hint="eastAsia" w:ascii="Times New Roman" w:hAnsi="Times New Roman"/>
                <w:sz w:val="21"/>
                <w:szCs w:val="21"/>
                <w:lang w:val="en-US" w:eastAsia="zh-CN"/>
              </w:rPr>
              <w:t>21392.04</w:t>
            </w:r>
          </w:p>
        </w:tc>
      </w:tr>
    </w:tbl>
    <w:p>
      <w:pPr>
        <w:pStyle w:val="7"/>
        <w:spacing w:line="360" w:lineRule="auto"/>
        <w:ind w:firstLine="562" w:firstLineChars="200"/>
        <w:rPr>
          <w:rFonts w:ascii="仿宋" w:hAnsi="仿宋" w:cs="仿宋"/>
        </w:rPr>
      </w:pPr>
      <w:r>
        <w:rPr>
          <w:rFonts w:hint="eastAsia" w:ascii="仿宋" w:hAnsi="仿宋" w:cs="仿宋"/>
        </w:rPr>
        <w:t>3、项目资金来源</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本项目资金来源分为：企业自筹</w:t>
      </w:r>
      <w:r>
        <w:rPr>
          <w:rFonts w:hint="eastAsia" w:ascii="仿宋" w:hAnsi="仿宋" w:eastAsia="仿宋" w:cs="仿宋"/>
          <w:sz w:val="28"/>
          <w:szCs w:val="28"/>
          <w:lang w:val="en-US" w:eastAsia="zh-CN"/>
        </w:rPr>
        <w:t>8,392.04</w:t>
      </w:r>
      <w:r>
        <w:rPr>
          <w:rFonts w:hint="eastAsia" w:ascii="仿宋" w:hAnsi="仿宋" w:eastAsia="仿宋" w:cs="仿宋"/>
          <w:sz w:val="28"/>
          <w:szCs w:val="28"/>
        </w:rPr>
        <w:t>万元，剩余资金</w:t>
      </w:r>
      <w:r>
        <w:rPr>
          <w:rFonts w:hint="eastAsia" w:ascii="仿宋" w:hAnsi="仿宋" w:eastAsia="仿宋" w:cs="仿宋"/>
          <w:sz w:val="28"/>
          <w:szCs w:val="28"/>
          <w:lang w:val="en-US" w:eastAsia="zh-CN"/>
        </w:rPr>
        <w:t>13</w:t>
      </w:r>
      <w:r>
        <w:rPr>
          <w:rFonts w:hint="eastAsia" w:ascii="仿宋" w:hAnsi="仿宋" w:eastAsia="仿宋" w:cs="仿宋"/>
          <w:sz w:val="28"/>
          <w:szCs w:val="28"/>
        </w:rPr>
        <w:t>,000</w:t>
      </w:r>
      <w:r>
        <w:rPr>
          <w:rFonts w:hint="eastAsia" w:ascii="仿宋" w:hAnsi="仿宋" w:eastAsia="仿宋" w:cs="仿宋"/>
          <w:sz w:val="28"/>
          <w:szCs w:val="28"/>
          <w:lang w:val="en-US" w:eastAsia="zh-CN"/>
        </w:rPr>
        <w:t>.00</w:t>
      </w:r>
      <w:r>
        <w:rPr>
          <w:rFonts w:hint="eastAsia" w:ascii="仿宋" w:hAnsi="仿宋" w:eastAsia="仿宋" w:cs="仿宋"/>
          <w:sz w:val="28"/>
          <w:szCs w:val="28"/>
        </w:rPr>
        <w:t>万元通过发行专项债券筹集</w:t>
      </w:r>
      <w:r>
        <w:rPr>
          <w:rFonts w:hint="eastAsia" w:ascii="仿宋" w:hAnsi="仿宋" w:eastAsia="仿宋" w:cs="仿宋"/>
          <w:sz w:val="28"/>
          <w:szCs w:val="28"/>
          <w:lang w:eastAsia="zh-CN"/>
        </w:rPr>
        <w:t>。</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资金筹措表</w:t>
      </w:r>
    </w:p>
    <w:p>
      <w:pPr>
        <w:spacing w:line="360" w:lineRule="auto"/>
        <w:ind w:firstLine="480" w:firstLineChars="200"/>
        <w:jc w:val="right"/>
        <w:rPr>
          <w:rFonts w:ascii="仿宋" w:hAnsi="仿宋" w:eastAsia="仿宋" w:cs="仿宋"/>
          <w:sz w:val="28"/>
          <w:szCs w:val="28"/>
        </w:rPr>
      </w:pPr>
      <w:r>
        <w:rPr>
          <w:rFonts w:hint="eastAsia" w:ascii="仿宋" w:hAnsi="仿宋" w:eastAsia="仿宋" w:cs="仿宋"/>
          <w:sz w:val="24"/>
          <w:szCs w:val="24"/>
        </w:rPr>
        <w:t>单位：人民币万元</w:t>
      </w:r>
    </w:p>
    <w:tbl>
      <w:tblPr>
        <w:tblStyle w:val="15"/>
        <w:tblW w:w="8520" w:type="dxa"/>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3588"/>
        <w:gridCol w:w="3712"/>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4808"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bookmarkStart w:id="1" w:name="_Hlk50330660"/>
            <w:r>
              <w:rPr>
                <w:rFonts w:hint="eastAsia" w:ascii="仿宋" w:hAnsi="仿宋" w:eastAsia="仿宋" w:cs="仿宋"/>
                <w:b/>
                <w:bCs/>
                <w:kern w:val="0"/>
                <w:szCs w:val="21"/>
              </w:rPr>
              <w:t>建设资金筹集</w:t>
            </w:r>
          </w:p>
        </w:tc>
        <w:tc>
          <w:tcPr>
            <w:tcW w:w="371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r>
              <w:rPr>
                <w:rFonts w:hint="eastAsia" w:ascii="仿宋" w:hAnsi="仿宋" w:eastAsia="仿宋" w:cs="仿宋"/>
                <w:b/>
                <w:bCs/>
                <w:kern w:val="0"/>
                <w:szCs w:val="21"/>
              </w:rPr>
              <w:t>金额</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1</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企业自筹</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val="en-US" w:eastAsia="zh-CN"/>
              </w:rPr>
              <w:t>8,392.04</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2</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专项债券</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val="en-US" w:eastAsia="zh-CN"/>
              </w:rPr>
              <w:t>13</w:t>
            </w:r>
            <w:r>
              <w:rPr>
                <w:rFonts w:hint="eastAsia" w:ascii="仿宋" w:hAnsi="仿宋" w:eastAsia="仿宋" w:cs="仿宋"/>
                <w:bCs/>
                <w:w w:val="105"/>
                <w:kern w:val="0"/>
                <w:szCs w:val="21"/>
                <w:lang w:eastAsia="zh-CN"/>
              </w:rPr>
              <w:t>,000</w:t>
            </w:r>
            <w:r>
              <w:rPr>
                <w:rFonts w:hint="eastAsia" w:ascii="仿宋" w:hAnsi="仿宋" w:eastAsia="仿宋" w:cs="仿宋"/>
                <w:bCs/>
                <w:w w:val="105"/>
                <w:kern w:val="0"/>
                <w:szCs w:val="21"/>
                <w:lang w:val="en-US" w:eastAsia="zh-CN"/>
              </w:rPr>
              <w:t>.00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3</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银行融资</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val="en-US" w:eastAsia="zh-CN"/>
              </w:rPr>
              <w:t>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
                <w:w w:val="105"/>
                <w:kern w:val="0"/>
                <w:szCs w:val="21"/>
              </w:rPr>
            </w:pPr>
            <w:r>
              <w:rPr>
                <w:rFonts w:hint="eastAsia" w:ascii="仿宋" w:hAnsi="仿宋" w:eastAsia="仿宋" w:cs="仿宋"/>
                <w:b/>
                <w:w w:val="105"/>
                <w:kern w:val="0"/>
                <w:szCs w:val="21"/>
              </w:rPr>
              <w:t>合计：</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
                <w:w w:val="105"/>
                <w:kern w:val="0"/>
                <w:szCs w:val="21"/>
                <w:lang w:eastAsia="zh-CN"/>
              </w:rPr>
            </w:pPr>
            <w:r>
              <w:rPr>
                <w:rFonts w:hint="eastAsia" w:ascii="仿宋" w:hAnsi="仿宋" w:eastAsia="仿宋" w:cs="仿宋"/>
                <w:b/>
                <w:w w:val="105"/>
                <w:kern w:val="0"/>
                <w:szCs w:val="21"/>
                <w:lang w:val="en-US" w:eastAsia="zh-CN"/>
              </w:rPr>
              <w:t>21，392.04</w:t>
            </w:r>
          </w:p>
        </w:tc>
      </w:tr>
      <w:bookmarkEnd w:id="1"/>
    </w:tbl>
    <w:p>
      <w:pPr>
        <w:pStyle w:val="7"/>
        <w:spacing w:line="360" w:lineRule="auto"/>
        <w:ind w:firstLine="562" w:firstLineChars="200"/>
        <w:rPr>
          <w:rFonts w:ascii="仿宋" w:hAnsi="仿宋" w:cs="仿宋"/>
        </w:rPr>
      </w:pPr>
      <w:r>
        <w:rPr>
          <w:rFonts w:hint="eastAsia" w:ascii="仿宋" w:hAnsi="仿宋" w:cs="仿宋"/>
        </w:rPr>
        <w:t>4、项目预期收益与融资自求平衡情况</w:t>
      </w:r>
    </w:p>
    <w:p>
      <w:pPr>
        <w:pStyle w:val="8"/>
        <w:spacing w:line="360" w:lineRule="auto"/>
        <w:ind w:firstLine="562" w:firstLineChars="200"/>
        <w:rPr>
          <w:rFonts w:ascii="仿宋" w:hAnsi="仿宋" w:cs="仿宋"/>
        </w:rPr>
      </w:pPr>
      <w:r>
        <w:rPr>
          <w:rFonts w:hint="eastAsia" w:ascii="仿宋" w:hAnsi="仿宋" w:cs="仿宋"/>
        </w:rPr>
        <w:t>（1）项目收益情况</w:t>
      </w:r>
    </w:p>
    <w:p>
      <w:pPr>
        <w:pageBreakBefore w:val="0"/>
        <w:kinsoku/>
        <w:overflowPunct/>
        <w:topLinePunct w:val="0"/>
        <w:autoSpaceDE/>
        <w:autoSpaceDN/>
        <w:bidi w:val="0"/>
        <w:adjustRightInd w:val="0"/>
        <w:snapToGrid w:val="0"/>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漳州卫生职业学院体育艺术中心及地下人防工程项目及漳州卫生职业学院北仓片区一期工程9#、10#宿舍楼、3#食堂项目</w:t>
      </w:r>
      <w:r>
        <w:rPr>
          <w:rFonts w:hint="eastAsia" w:ascii="仿宋" w:hAnsi="仿宋" w:eastAsia="仿宋" w:cs="仿宋"/>
          <w:sz w:val="28"/>
          <w:szCs w:val="28"/>
        </w:rPr>
        <w:t>在专项债券存续期间有稳定的现金流入，收入主要来源于</w:t>
      </w:r>
      <w:r>
        <w:rPr>
          <w:rFonts w:hint="eastAsia" w:ascii="仿宋" w:hAnsi="仿宋" w:eastAsia="仿宋" w:cs="仿宋"/>
          <w:sz w:val="28"/>
          <w:szCs w:val="28"/>
          <w:lang w:eastAsia="zh-CN"/>
        </w:rPr>
        <w:t>学生学费和财政补贴</w:t>
      </w:r>
      <w:r>
        <w:rPr>
          <w:rFonts w:hint="eastAsia" w:ascii="仿宋" w:hAnsi="仿宋" w:eastAsia="仿宋" w:cs="仿宋"/>
          <w:sz w:val="28"/>
          <w:szCs w:val="28"/>
        </w:rPr>
        <w:t>。经测算，债券存续期内，累计运营总收入为</w:t>
      </w:r>
      <w:r>
        <w:rPr>
          <w:rFonts w:hint="eastAsia" w:ascii="仿宋" w:hAnsi="仿宋" w:eastAsia="仿宋" w:cs="仿宋"/>
          <w:sz w:val="28"/>
          <w:szCs w:val="28"/>
          <w:lang w:val="en-US" w:eastAsia="zh-CN"/>
        </w:rPr>
        <w:t>121,176.00</w:t>
      </w:r>
      <w:r>
        <w:rPr>
          <w:rFonts w:hint="eastAsia" w:ascii="仿宋" w:hAnsi="仿宋" w:eastAsia="仿宋" w:cs="仿宋"/>
          <w:sz w:val="28"/>
          <w:szCs w:val="28"/>
        </w:rPr>
        <w:t>万元</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可还款资金为55,688.86万元，可覆盖债券存续期间各年的项目投资及债券本息偿还的需求，在</w:t>
      </w:r>
      <w:r>
        <w:rPr>
          <w:rFonts w:hint="eastAsia" w:ascii="仿宋" w:hAnsi="仿宋" w:eastAsia="仿宋" w:cs="仿宋"/>
          <w:sz w:val="28"/>
          <w:szCs w:val="28"/>
        </w:rPr>
        <w:t>项目涉及专项债券本息全部偿还后仍有</w:t>
      </w:r>
      <w:r>
        <w:rPr>
          <w:rFonts w:hint="eastAsia" w:ascii="仿宋" w:hAnsi="仿宋" w:eastAsia="仿宋" w:cs="仿宋"/>
          <w:sz w:val="28"/>
          <w:szCs w:val="28"/>
          <w:lang w:val="en-US" w:eastAsia="zh-CN"/>
        </w:rPr>
        <w:t>38,198.36</w:t>
      </w:r>
      <w:r>
        <w:rPr>
          <w:rFonts w:ascii="Times New Roman" w:hAnsi="Times New Roman" w:eastAsia="仿宋"/>
          <w:sz w:val="28"/>
          <w:szCs w:val="28"/>
        </w:rPr>
        <w:t>万元</w:t>
      </w:r>
      <w:r>
        <w:rPr>
          <w:rFonts w:hint="eastAsia" w:ascii="仿宋" w:hAnsi="仿宋" w:eastAsia="仿宋" w:cs="仿宋"/>
          <w:sz w:val="28"/>
          <w:szCs w:val="28"/>
        </w:rPr>
        <w:t>期末结余</w:t>
      </w:r>
      <w:r>
        <w:rPr>
          <w:rFonts w:hint="eastAsia" w:ascii="仿宋" w:hAnsi="仿宋" w:eastAsia="仿宋" w:cs="仿宋"/>
          <w:sz w:val="28"/>
          <w:szCs w:val="28"/>
          <w:lang w:eastAsia="zh-CN"/>
        </w:rPr>
        <w:t>。</w:t>
      </w:r>
    </w:p>
    <w:p>
      <w:pPr>
        <w:pStyle w:val="8"/>
        <w:spacing w:line="360" w:lineRule="auto"/>
        <w:ind w:firstLine="562" w:firstLineChars="200"/>
        <w:rPr>
          <w:rFonts w:ascii="仿宋" w:hAnsi="仿宋" w:cs="仿宋"/>
        </w:rPr>
      </w:pPr>
      <w:r>
        <w:rPr>
          <w:rFonts w:hint="eastAsia" w:ascii="仿宋" w:hAnsi="仿宋" w:cs="仿宋"/>
        </w:rPr>
        <w:t>（2）项目融资还本付息情况</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本项目计划使用本期债券资金1,100.00万元，本期专项债券利率按“九龙公园地下停车场项目”已发行债券利率3.41%，剩余期限9年进行测算。专项债本息合计4,490.50万元本项目债券应还本付息情况如下表：</w:t>
      </w:r>
    </w:p>
    <w:p>
      <w:pPr>
        <w:spacing w:line="360" w:lineRule="auto"/>
        <w:rPr>
          <w:rFonts w:hint="eastAsia" w:ascii="仿宋" w:hAnsi="仿宋" w:eastAsia="仿宋" w:cs="仿宋"/>
          <w:sz w:val="28"/>
          <w:szCs w:val="28"/>
        </w:rPr>
      </w:pP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项目还本付息情况表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5"/>
        <w:tblW w:w="9078" w:type="dxa"/>
        <w:jc w:val="center"/>
        <w:tblInd w:w="0" w:type="dxa"/>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727"/>
        <w:gridCol w:w="1320"/>
        <w:gridCol w:w="1320"/>
        <w:gridCol w:w="1320"/>
        <w:gridCol w:w="1320"/>
        <w:gridCol w:w="1321"/>
        <w:gridCol w:w="1750"/>
      </w:tblGrid>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年度</w:t>
            </w: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期初本金余额</w:t>
            </w: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本年募集资金</w:t>
            </w: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本年偿还本金</w:t>
            </w: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期末本金余额</w:t>
            </w:r>
          </w:p>
        </w:tc>
        <w:tc>
          <w:tcPr>
            <w:tcW w:w="1321"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本年应付利息</w:t>
            </w:r>
          </w:p>
        </w:tc>
        <w:tc>
          <w:tcPr>
            <w:tcW w:w="175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本年还本付息合计</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hint="default" w:ascii="Times New Roman" w:hAnsi="Times New Roman" w:eastAsia="仿宋"/>
                <w:b/>
                <w:color w:val="000000"/>
                <w:szCs w:val="21"/>
                <w:lang w:val="en-US" w:eastAsia="zh-CN"/>
              </w:rPr>
            </w:pPr>
            <w:r>
              <w:rPr>
                <w:rFonts w:hint="eastAsia" w:eastAsia="仿宋"/>
                <w:b w:val="0"/>
                <w:bCs/>
                <w:color w:val="000000"/>
                <w:szCs w:val="21"/>
                <w:lang w:val="en-US" w:eastAsia="zh-CN"/>
              </w:rPr>
              <w:t>2019年</w:t>
            </w:r>
          </w:p>
        </w:tc>
        <w:tc>
          <w:tcPr>
            <w:tcW w:w="1320" w:type="dxa"/>
            <w:noWrap w:val="0"/>
            <w:tcMar>
              <w:top w:w="15" w:type="dxa"/>
              <w:left w:w="15" w:type="dxa"/>
              <w:right w:w="15" w:type="dxa"/>
            </w:tcMar>
            <w:vAlign w:val="center"/>
          </w:tcPr>
          <w:p>
            <w:pPr>
              <w:widowControl/>
              <w:spacing w:line="360" w:lineRule="auto"/>
              <w:jc w:val="center"/>
              <w:textAlignment w:val="center"/>
              <w:rPr>
                <w:rFonts w:hint="eastAsia" w:ascii="Times New Roman" w:hAnsi="Times New Roman" w:eastAsia="仿宋"/>
                <w:b/>
                <w:color w:val="000000"/>
                <w:szCs w:val="21"/>
                <w:lang w:val="en-US" w:eastAsia="zh-CN"/>
              </w:rPr>
            </w:pPr>
            <w:r>
              <w:rPr>
                <w:rFonts w:hint="eastAsia" w:eastAsia="仿宋"/>
                <w:b/>
                <w:color w:val="000000"/>
                <w:szCs w:val="21"/>
                <w:lang w:val="en-US" w:eastAsia="zh-CN"/>
              </w:rPr>
              <w:t>-</w:t>
            </w:r>
          </w:p>
        </w:tc>
        <w:tc>
          <w:tcPr>
            <w:tcW w:w="1320" w:type="dxa"/>
            <w:noWrap w:val="0"/>
            <w:tcMar>
              <w:top w:w="15" w:type="dxa"/>
              <w:left w:w="15" w:type="dxa"/>
              <w:right w:w="15" w:type="dxa"/>
            </w:tcMar>
            <w:vAlign w:val="center"/>
          </w:tcPr>
          <w:p>
            <w:pPr>
              <w:widowControl/>
              <w:spacing w:line="360" w:lineRule="auto"/>
              <w:jc w:val="center"/>
              <w:textAlignment w:val="center"/>
              <w:rPr>
                <w:rFonts w:hint="default" w:ascii="Times New Roman" w:hAnsi="Times New Roman" w:eastAsia="仿宋"/>
                <w:b/>
                <w:color w:val="000000"/>
                <w:szCs w:val="21"/>
                <w:lang w:val="en-US" w:eastAsia="zh-CN"/>
              </w:rPr>
            </w:pPr>
            <w:r>
              <w:rPr>
                <w:rFonts w:hint="eastAsia" w:eastAsia="仿宋"/>
                <w:b/>
                <w:color w:val="000000"/>
                <w:szCs w:val="21"/>
                <w:lang w:val="en-US" w:eastAsia="zh-CN"/>
              </w:rPr>
              <w:t>6,000.00</w:t>
            </w: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hint="eastAsia" w:eastAsia="仿宋"/>
                <w:b/>
                <w:color w:val="000000"/>
                <w:szCs w:val="21"/>
                <w:lang w:val="en-US" w:eastAsia="zh-CN"/>
              </w:rPr>
              <w:t>6,000.00</w:t>
            </w:r>
          </w:p>
        </w:tc>
        <w:tc>
          <w:tcPr>
            <w:tcW w:w="1321"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p>
        </w:tc>
        <w:tc>
          <w:tcPr>
            <w:tcW w:w="175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cantSplit/>
          <w:trHeight w:val="112" w:hRule="atLeast"/>
          <w:jc w:val="center"/>
        </w:trPr>
        <w:tc>
          <w:tcPr>
            <w:tcW w:w="727" w:type="dxa"/>
            <w:noWrap w:val="0"/>
            <w:tcMar>
              <w:top w:w="15" w:type="dxa"/>
              <w:left w:w="15" w:type="dxa"/>
              <w:right w:w="15" w:type="dxa"/>
            </w:tcMar>
            <w:vAlign w:val="center"/>
          </w:tcPr>
          <w:p>
            <w:pPr>
              <w:widowControl/>
              <w:adjustRightInd w:val="0"/>
              <w:spacing w:line="360" w:lineRule="auto"/>
              <w:jc w:val="center"/>
              <w:textAlignment w:val="center"/>
              <w:rPr>
                <w:rFonts w:ascii="Times New Roman" w:hAnsi="Times New Roman" w:eastAsia="仿宋"/>
                <w:szCs w:val="21"/>
              </w:rPr>
            </w:pPr>
            <w:r>
              <w:rPr>
                <w:rFonts w:ascii="Times New Roman" w:hAnsi="Times New Roman" w:eastAsia="仿宋"/>
                <w:szCs w:val="21"/>
              </w:rPr>
              <w:t>2020年</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b/>
                <w:color w:val="000000"/>
                <w:szCs w:val="21"/>
                <w:lang w:val="en-US" w:eastAsia="zh-CN"/>
              </w:rPr>
              <w:t>6,000.00</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7</w:t>
            </w:r>
            <w:r>
              <w:rPr>
                <w:rFonts w:ascii="Times New Roman" w:hAnsi="Times New Roman" w:eastAsia="仿宋"/>
                <w:color w:val="000000"/>
                <w:kern w:val="0"/>
                <w:szCs w:val="21"/>
              </w:rPr>
              <w:t>,</w:t>
            </w:r>
            <w:r>
              <w:rPr>
                <w:rFonts w:hint="eastAsia" w:eastAsia="仿宋"/>
                <w:color w:val="000000"/>
                <w:kern w:val="0"/>
                <w:szCs w:val="21"/>
                <w:lang w:val="en-US" w:eastAsia="zh-CN"/>
              </w:rPr>
              <w:t>000</w:t>
            </w:r>
            <w:r>
              <w:rPr>
                <w:rFonts w:ascii="Times New Roman" w:hAnsi="Times New Roman" w:eastAsia="仿宋"/>
                <w:color w:val="000000"/>
                <w:kern w:val="0"/>
                <w:szCs w:val="21"/>
              </w:rPr>
              <w:t>.00</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 w:val="21"/>
                <w:szCs w:val="21"/>
                <w:lang w:val="en-US" w:eastAsia="zh-CN" w:bidi="ar-SA"/>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213</w:t>
            </w:r>
            <w:r>
              <w:rPr>
                <w:rFonts w:hint="eastAsia" w:ascii="Times New Roman" w:hAnsi="Times New Roman" w:eastAsia="仿宋"/>
                <w:color w:val="000000"/>
                <w:kern w:val="0"/>
                <w:szCs w:val="21"/>
                <w:lang w:val="en-US" w:eastAsia="zh-CN"/>
              </w:rPr>
              <w:t>.</w:t>
            </w:r>
            <w:r>
              <w:rPr>
                <w:rFonts w:hint="eastAsia" w:eastAsia="仿宋"/>
                <w:color w:val="000000"/>
                <w:kern w:val="0"/>
                <w:szCs w:val="21"/>
                <w:lang w:val="en-US" w:eastAsia="zh-CN"/>
              </w:rPr>
              <w:t>30</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250.81</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2021年</w:t>
            </w:r>
          </w:p>
        </w:tc>
        <w:tc>
          <w:tcPr>
            <w:tcW w:w="132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color w:val="000000"/>
                <w:kern w:val="0"/>
                <w:sz w:val="21"/>
                <w:szCs w:val="21"/>
                <w:lang w:val="en-US" w:eastAsia="zh-CN" w:bidi="ar-SA"/>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449.05</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2022年</w:t>
            </w:r>
          </w:p>
        </w:tc>
        <w:tc>
          <w:tcPr>
            <w:tcW w:w="132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hint="eastAsia"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449.05</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2023年</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449.05</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2024年</w:t>
            </w:r>
          </w:p>
        </w:tc>
        <w:tc>
          <w:tcPr>
            <w:tcW w:w="1320" w:type="dxa"/>
            <w:noWrap w:val="0"/>
            <w:tcMar>
              <w:top w:w="15" w:type="dxa"/>
              <w:left w:w="15" w:type="dxa"/>
              <w:right w:w="15" w:type="dxa"/>
            </w:tcMar>
            <w:vAlign w:val="center"/>
          </w:tcPr>
          <w:p>
            <w:pPr>
              <w:jc w:val="cente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449.05</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2025年</w:t>
            </w:r>
          </w:p>
        </w:tc>
        <w:tc>
          <w:tcPr>
            <w:tcW w:w="1320" w:type="dxa"/>
            <w:noWrap w:val="0"/>
            <w:tcMar>
              <w:top w:w="15" w:type="dxa"/>
              <w:left w:w="15" w:type="dxa"/>
              <w:right w:w="15" w:type="dxa"/>
            </w:tcMar>
            <w:vAlign w:val="center"/>
          </w:tcPr>
          <w:p>
            <w:pPr>
              <w:jc w:val="cente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449.05</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2026年</w:t>
            </w:r>
          </w:p>
        </w:tc>
        <w:tc>
          <w:tcPr>
            <w:tcW w:w="1320" w:type="dxa"/>
            <w:noWrap w:val="0"/>
            <w:tcMar>
              <w:top w:w="15" w:type="dxa"/>
              <w:left w:w="15" w:type="dxa"/>
              <w:right w:w="15" w:type="dxa"/>
            </w:tcMar>
            <w:vAlign w:val="center"/>
          </w:tcPr>
          <w:p>
            <w:pPr>
              <w:jc w:val="cente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449.05</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szCs w:val="21"/>
              </w:rPr>
              <w:t>2027年</w:t>
            </w:r>
          </w:p>
        </w:tc>
        <w:tc>
          <w:tcPr>
            <w:tcW w:w="1320" w:type="dxa"/>
            <w:noWrap w:val="0"/>
            <w:tcMar>
              <w:top w:w="15" w:type="dxa"/>
              <w:left w:w="15" w:type="dxa"/>
              <w:right w:w="15" w:type="dxa"/>
            </w:tcMar>
            <w:vAlign w:val="center"/>
          </w:tcPr>
          <w:p>
            <w:pPr>
              <w:jc w:val="cente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449.05</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szCs w:val="21"/>
              </w:rPr>
              <w:t>2028年</w:t>
            </w:r>
          </w:p>
        </w:tc>
        <w:tc>
          <w:tcPr>
            <w:tcW w:w="1320" w:type="dxa"/>
            <w:noWrap w:val="0"/>
            <w:tcMar>
              <w:top w:w="15" w:type="dxa"/>
              <w:left w:w="15" w:type="dxa"/>
              <w:right w:w="15" w:type="dxa"/>
            </w:tcMar>
            <w:vAlign w:val="center"/>
          </w:tcPr>
          <w:p>
            <w:pPr>
              <w:jc w:val="cente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449.05</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szCs w:val="21"/>
              </w:rPr>
              <w:t>2029年</w:t>
            </w:r>
          </w:p>
        </w:tc>
        <w:tc>
          <w:tcPr>
            <w:tcW w:w="1320" w:type="dxa"/>
            <w:noWrap w:val="0"/>
            <w:tcMar>
              <w:top w:w="15" w:type="dxa"/>
              <w:left w:w="15" w:type="dxa"/>
              <w:right w:w="15" w:type="dxa"/>
            </w:tcMar>
            <w:vAlign w:val="center"/>
          </w:tcPr>
          <w:p>
            <w:pPr>
              <w:jc w:val="center"/>
            </w:pPr>
            <w:r>
              <w:rPr>
                <w:rFonts w:hint="eastAsia" w:eastAsia="仿宋"/>
                <w:color w:val="000000"/>
                <w:kern w:val="0"/>
                <w:szCs w:val="21"/>
                <w:lang w:val="en-US" w:eastAsia="zh-CN"/>
              </w:rPr>
              <w:t>13,0</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7,100.00</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7,1</w:t>
            </w:r>
            <w:r>
              <w:rPr>
                <w:rFonts w:hint="eastAsia" w:ascii="Times New Roman" w:hAnsi="Times New Roman" w:eastAsia="仿宋"/>
                <w:color w:val="000000"/>
                <w:kern w:val="0"/>
                <w:szCs w:val="21"/>
                <w:lang w:val="en-US" w:eastAsia="zh-CN"/>
              </w:rPr>
              <w:t>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rPr>
            </w:pPr>
            <w:r>
              <w:rPr>
                <w:rFonts w:hint="eastAsia" w:eastAsia="仿宋"/>
                <w:color w:val="000000"/>
                <w:kern w:val="0"/>
                <w:szCs w:val="21"/>
                <w:lang w:val="en-US" w:eastAsia="zh-CN"/>
              </w:rPr>
              <w:t>7,450</w:t>
            </w:r>
            <w:r>
              <w:rPr>
                <w:rFonts w:hint="eastAsia" w:ascii="Times New Roman" w:hAnsi="Times New Roman" w:eastAsia="仿宋"/>
                <w:color w:val="000000"/>
                <w:kern w:val="0"/>
                <w:szCs w:val="21"/>
                <w:lang w:val="en-US" w:eastAsia="zh-CN"/>
              </w:rPr>
              <w:t>.</w:t>
            </w:r>
            <w:r>
              <w:rPr>
                <w:rFonts w:hint="eastAsia" w:eastAsia="仿宋"/>
                <w:color w:val="000000"/>
                <w:kern w:val="0"/>
                <w:szCs w:val="21"/>
                <w:lang w:val="en-US" w:eastAsia="zh-CN"/>
              </w:rPr>
              <w:t>05</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szCs w:val="21"/>
              </w:rPr>
              <w:t>2030年</w:t>
            </w:r>
          </w:p>
        </w:tc>
        <w:tc>
          <w:tcPr>
            <w:tcW w:w="1320" w:type="dxa"/>
            <w:noWrap w:val="0"/>
            <w:tcMar>
              <w:top w:w="15" w:type="dxa"/>
              <w:left w:w="15" w:type="dxa"/>
              <w:right w:w="15" w:type="dxa"/>
            </w:tcMar>
            <w:vAlign w:val="center"/>
          </w:tcPr>
          <w:p>
            <w:pPr>
              <w:jc w:val="center"/>
            </w:pPr>
            <w:r>
              <w:rPr>
                <w:rFonts w:hint="eastAsia" w:eastAsia="仿宋"/>
                <w:color w:val="000000"/>
                <w:kern w:val="0"/>
                <w:szCs w:val="21"/>
                <w:lang w:val="en-US" w:eastAsia="zh-CN"/>
              </w:rPr>
              <w:t>5</w:t>
            </w:r>
            <w:r>
              <w:rPr>
                <w:rFonts w:hint="eastAsia" w:ascii="Times New Roman" w:hAnsi="Times New Roman" w:eastAsia="仿宋"/>
                <w:color w:val="000000"/>
                <w:kern w:val="0"/>
                <w:szCs w:val="21"/>
                <w:lang w:val="en-US" w:eastAsia="zh-CN"/>
              </w:rPr>
              <w:t>,</w:t>
            </w:r>
            <w:r>
              <w:rPr>
                <w:rFonts w:hint="eastAsia" w:eastAsia="仿宋"/>
                <w:color w:val="000000"/>
                <w:kern w:val="0"/>
                <w:szCs w:val="21"/>
                <w:lang w:val="en-US" w:eastAsia="zh-CN"/>
              </w:rPr>
              <w:t>9</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 w:val="21"/>
                <w:szCs w:val="21"/>
                <w:lang w:val="en-US" w:eastAsia="zh-CN" w:bidi="ar-SA"/>
              </w:rPr>
            </w:pPr>
            <w:r>
              <w:rPr>
                <w:rFonts w:hint="eastAsia" w:eastAsia="仿宋"/>
                <w:color w:val="000000"/>
                <w:kern w:val="0"/>
                <w:szCs w:val="21"/>
                <w:lang w:val="en-US" w:eastAsia="zh-CN"/>
              </w:rPr>
              <w:t>5</w:t>
            </w:r>
            <w:r>
              <w:rPr>
                <w:rFonts w:hint="eastAsia" w:ascii="Times New Roman" w:hAnsi="Times New Roman" w:eastAsia="仿宋"/>
                <w:color w:val="000000"/>
                <w:kern w:val="0"/>
                <w:szCs w:val="21"/>
                <w:lang w:val="en-US" w:eastAsia="zh-CN"/>
              </w:rPr>
              <w:t>,</w:t>
            </w:r>
            <w:r>
              <w:rPr>
                <w:rFonts w:hint="eastAsia" w:eastAsia="仿宋"/>
                <w:color w:val="000000"/>
                <w:kern w:val="0"/>
                <w:szCs w:val="21"/>
                <w:lang w:val="en-US" w:eastAsia="zh-CN"/>
              </w:rPr>
              <w:t>9</w:t>
            </w:r>
            <w:r>
              <w:rPr>
                <w:rFonts w:hint="eastAsia" w:ascii="Times New Roman" w:hAnsi="Times New Roman" w:eastAsia="仿宋"/>
                <w:color w:val="000000"/>
                <w:kern w:val="0"/>
                <w:szCs w:val="21"/>
                <w:lang w:val="en-US" w:eastAsia="zh-CN"/>
              </w:rPr>
              <w:t>00.00</w:t>
            </w:r>
          </w:p>
        </w:tc>
        <w:tc>
          <w:tcPr>
            <w:tcW w:w="132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w:t>
            </w:r>
          </w:p>
        </w:tc>
        <w:tc>
          <w:tcPr>
            <w:tcW w:w="1321"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450.04</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eastAsia="仿宋"/>
                <w:color w:val="000000"/>
                <w:kern w:val="0"/>
                <w:szCs w:val="21"/>
                <w:lang w:val="en-US" w:eastAsia="zh-CN"/>
              </w:rPr>
              <w:t>6</w:t>
            </w:r>
            <w:r>
              <w:rPr>
                <w:rFonts w:hint="eastAsia" w:ascii="Times New Roman" w:hAnsi="Times New Roman" w:eastAsia="仿宋"/>
                <w:color w:val="000000"/>
                <w:kern w:val="0"/>
                <w:szCs w:val="21"/>
                <w:lang w:val="en-US" w:eastAsia="zh-CN"/>
              </w:rPr>
              <w:t>,</w:t>
            </w:r>
            <w:r>
              <w:rPr>
                <w:rFonts w:hint="eastAsia" w:eastAsia="仿宋"/>
                <w:color w:val="000000"/>
                <w:kern w:val="0"/>
                <w:szCs w:val="21"/>
                <w:lang w:val="en-US" w:eastAsia="zh-CN"/>
              </w:rPr>
              <w:t>098</w:t>
            </w:r>
            <w:r>
              <w:rPr>
                <w:rFonts w:hint="eastAsia" w:ascii="Times New Roman" w:hAnsi="Times New Roman" w:eastAsia="仿宋"/>
                <w:color w:val="000000"/>
                <w:kern w:val="0"/>
                <w:szCs w:val="21"/>
                <w:lang w:val="en-US" w:eastAsia="zh-CN"/>
              </w:rPr>
              <w:t>.</w:t>
            </w:r>
            <w:r>
              <w:rPr>
                <w:rFonts w:hint="eastAsia" w:eastAsia="仿宋"/>
                <w:color w:val="000000"/>
                <w:kern w:val="0"/>
                <w:szCs w:val="21"/>
                <w:lang w:val="en-US" w:eastAsia="zh-CN"/>
              </w:rPr>
              <w:t>24</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b/>
                <w:szCs w:val="21"/>
              </w:rPr>
              <w:t>合计</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b/>
                <w:szCs w:val="21"/>
              </w:rPr>
            </w:pP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b/>
                <w:szCs w:val="21"/>
              </w:rPr>
            </w:pPr>
            <w:r>
              <w:rPr>
                <w:rFonts w:hint="eastAsia" w:eastAsia="仿宋"/>
                <w:b/>
                <w:szCs w:val="21"/>
                <w:lang w:val="en-US" w:eastAsia="zh-CN"/>
              </w:rPr>
              <w:t>13</w:t>
            </w:r>
            <w:r>
              <w:rPr>
                <w:rFonts w:hint="eastAsia" w:ascii="Times New Roman" w:hAnsi="Times New Roman" w:eastAsia="仿宋"/>
                <w:b/>
                <w:szCs w:val="21"/>
                <w:lang w:val="en-US" w:eastAsia="zh-CN"/>
              </w:rPr>
              <w:t>,</w:t>
            </w:r>
            <w:r>
              <w:rPr>
                <w:rFonts w:hint="eastAsia" w:eastAsia="仿宋"/>
                <w:b/>
                <w:szCs w:val="21"/>
                <w:lang w:val="en-US" w:eastAsia="zh-CN"/>
              </w:rPr>
              <w:t>0</w:t>
            </w:r>
            <w:r>
              <w:rPr>
                <w:rFonts w:hint="eastAsia" w:ascii="Times New Roman" w:hAnsi="Times New Roman" w:eastAsia="仿宋"/>
                <w:b/>
                <w:szCs w:val="21"/>
                <w:lang w:val="en-US" w:eastAsia="zh-CN"/>
              </w:rPr>
              <w:t>00.00</w:t>
            </w:r>
          </w:p>
        </w:tc>
        <w:tc>
          <w:tcPr>
            <w:tcW w:w="1320"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b/>
                <w:szCs w:val="21"/>
                <w:lang w:val="en-US" w:eastAsia="zh-CN"/>
              </w:rPr>
            </w:pPr>
            <w:r>
              <w:rPr>
                <w:rFonts w:hint="eastAsia" w:eastAsia="仿宋"/>
                <w:b/>
                <w:szCs w:val="21"/>
                <w:lang w:val="en-US" w:eastAsia="zh-CN"/>
              </w:rPr>
              <w:t>1</w:t>
            </w:r>
            <w:r>
              <w:rPr>
                <w:rFonts w:hint="eastAsia" w:ascii="Times New Roman" w:hAnsi="Times New Roman" w:eastAsia="仿宋"/>
                <w:b/>
                <w:szCs w:val="21"/>
                <w:lang w:val="en-US" w:eastAsia="zh-CN"/>
              </w:rPr>
              <w:t>,</w:t>
            </w:r>
            <w:r>
              <w:rPr>
                <w:rFonts w:hint="eastAsia" w:eastAsia="仿宋"/>
                <w:b/>
                <w:szCs w:val="21"/>
                <w:lang w:val="en-US" w:eastAsia="zh-CN"/>
              </w:rPr>
              <w:t>3</w:t>
            </w:r>
            <w:r>
              <w:rPr>
                <w:rFonts w:hint="eastAsia" w:ascii="Times New Roman" w:hAnsi="Times New Roman" w:eastAsia="仿宋"/>
                <w:b/>
                <w:szCs w:val="21"/>
                <w:lang w:val="en-US" w:eastAsia="zh-CN"/>
              </w:rPr>
              <w:t>0</w:t>
            </w:r>
            <w:r>
              <w:rPr>
                <w:rFonts w:hint="eastAsia" w:eastAsia="仿宋"/>
                <w:b/>
                <w:szCs w:val="21"/>
                <w:lang w:val="en-US" w:eastAsia="zh-CN"/>
              </w:rPr>
              <w:t>0</w:t>
            </w:r>
            <w:r>
              <w:rPr>
                <w:rFonts w:hint="eastAsia" w:ascii="Times New Roman" w:hAnsi="Times New Roman" w:eastAsia="仿宋"/>
                <w:b/>
                <w:szCs w:val="21"/>
                <w:lang w:val="en-US" w:eastAsia="zh-CN"/>
              </w:rPr>
              <w:t>0.00</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b/>
                <w:szCs w:val="21"/>
              </w:rPr>
            </w:pPr>
          </w:p>
        </w:tc>
        <w:tc>
          <w:tcPr>
            <w:tcW w:w="1321"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b/>
                <w:szCs w:val="21"/>
                <w:lang w:val="en-US" w:eastAsia="zh-CN"/>
              </w:rPr>
            </w:pPr>
            <w:r>
              <w:rPr>
                <w:rFonts w:hint="eastAsia" w:eastAsia="仿宋"/>
                <w:b/>
                <w:szCs w:val="21"/>
                <w:lang w:val="en-US" w:eastAsia="zh-CN"/>
              </w:rPr>
              <w:t>4,490.50</w:t>
            </w:r>
          </w:p>
        </w:tc>
        <w:tc>
          <w:tcPr>
            <w:tcW w:w="1750"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b/>
                <w:szCs w:val="21"/>
                <w:lang w:val="en-US" w:eastAsia="zh-CN"/>
              </w:rPr>
            </w:pPr>
            <w:r>
              <w:rPr>
                <w:rFonts w:hint="eastAsia" w:eastAsia="仿宋"/>
                <w:b/>
                <w:szCs w:val="21"/>
                <w:lang w:val="en-US" w:eastAsia="zh-CN"/>
              </w:rPr>
              <w:t>17</w:t>
            </w:r>
            <w:r>
              <w:rPr>
                <w:rFonts w:hint="eastAsia" w:ascii="Times New Roman" w:hAnsi="Times New Roman" w:eastAsia="仿宋"/>
                <w:b/>
                <w:szCs w:val="21"/>
                <w:lang w:val="en-US" w:eastAsia="zh-CN"/>
              </w:rPr>
              <w:t>,</w:t>
            </w:r>
            <w:r>
              <w:rPr>
                <w:rFonts w:hint="eastAsia" w:eastAsia="仿宋"/>
                <w:b/>
                <w:szCs w:val="21"/>
                <w:lang w:val="en-US" w:eastAsia="zh-CN"/>
              </w:rPr>
              <w:t>490</w:t>
            </w:r>
            <w:r>
              <w:rPr>
                <w:rFonts w:hint="eastAsia" w:ascii="Times New Roman" w:hAnsi="Times New Roman" w:eastAsia="仿宋"/>
                <w:b/>
                <w:szCs w:val="21"/>
                <w:lang w:val="en-US" w:eastAsia="zh-CN"/>
              </w:rPr>
              <w:t>.</w:t>
            </w:r>
            <w:r>
              <w:rPr>
                <w:rFonts w:hint="eastAsia" w:eastAsia="仿宋"/>
                <w:b/>
                <w:szCs w:val="21"/>
                <w:lang w:val="en-US" w:eastAsia="zh-CN"/>
              </w:rPr>
              <w:t>50</w:t>
            </w:r>
          </w:p>
        </w:tc>
      </w:tr>
    </w:tbl>
    <w:p>
      <w:pPr>
        <w:rPr>
          <w:rFonts w:ascii="仿宋" w:hAnsi="仿宋" w:eastAsia="仿宋" w:cs="仿宋"/>
        </w:rPr>
      </w:pPr>
    </w:p>
    <w:p>
      <w:pPr>
        <w:pStyle w:val="8"/>
        <w:spacing w:line="360" w:lineRule="auto"/>
        <w:ind w:firstLine="562" w:firstLineChars="200"/>
        <w:rPr>
          <w:rFonts w:ascii="仿宋" w:hAnsi="仿宋" w:cs="仿宋"/>
        </w:rPr>
      </w:pPr>
      <w:r>
        <w:rPr>
          <w:rFonts w:hint="eastAsia" w:ascii="仿宋" w:hAnsi="仿宋" w:cs="仿宋"/>
        </w:rPr>
        <w:t>（3）自求平衡情况</w:t>
      </w:r>
    </w:p>
    <w:p>
      <w:pPr>
        <w:spacing w:line="360" w:lineRule="auto"/>
        <w:ind w:firstLine="560" w:firstLineChars="200"/>
        <w:rPr>
          <w:rFonts w:hint="eastAsia" w:ascii="仿宋" w:hAnsi="仿宋" w:eastAsia="仿宋" w:cs="仿宋"/>
          <w:b/>
          <w:sz w:val="28"/>
          <w:szCs w:val="28"/>
          <w:lang w:eastAsia="zh-CN"/>
        </w:rPr>
      </w:pPr>
      <w:r>
        <w:rPr>
          <w:rFonts w:hint="eastAsia" w:ascii="仿宋" w:hAnsi="仿宋" w:eastAsia="仿宋" w:cs="仿宋"/>
          <w:sz w:val="28"/>
          <w:szCs w:val="28"/>
        </w:rPr>
        <w:t>根据项目产生的现金流收入与资金使用计划分析结果，漳州卫生职业学院体育艺术中心及地下人防工程项目及漳州卫生职业学院北仓片区一期工程9#、10#宿舍楼、3#食堂项目债券资金覆盖率可以达到</w:t>
      </w:r>
      <w:r>
        <w:rPr>
          <w:rFonts w:hint="eastAsia" w:ascii="仿宋" w:hAnsi="仿宋" w:eastAsia="仿宋" w:cs="仿宋"/>
          <w:sz w:val="28"/>
          <w:szCs w:val="28"/>
          <w:lang w:val="en-US" w:eastAsia="zh-CN"/>
        </w:rPr>
        <w:t>3.18</w:t>
      </w:r>
      <w:r>
        <w:rPr>
          <w:rFonts w:hint="eastAsia" w:ascii="仿宋" w:hAnsi="仿宋" w:eastAsia="仿宋" w:cs="仿宋"/>
          <w:sz w:val="28"/>
          <w:szCs w:val="28"/>
        </w:rPr>
        <w:t>倍。系专项收入与本项目已发行及预计发行的所有债券还本付息总额之比率。项目收益可以覆盖融资成本，债券资金偿还安全度较高</w:t>
      </w:r>
      <w:r>
        <w:rPr>
          <w:rFonts w:hint="eastAsia" w:ascii="仿宋" w:hAnsi="仿宋" w:eastAsia="仿宋" w:cs="仿宋"/>
          <w:sz w:val="28"/>
          <w:szCs w:val="28"/>
          <w:lang w:eastAsia="zh-CN"/>
        </w:rPr>
        <w:t>。</w:t>
      </w:r>
    </w:p>
    <w:p>
      <w:pPr>
        <w:spacing w:line="360" w:lineRule="auto"/>
        <w:ind w:firstLine="560" w:firstLineChars="200"/>
        <w:rPr>
          <w:rFonts w:ascii="仿宋" w:hAnsi="仿宋" w:eastAsia="仿宋" w:cs="仿宋"/>
          <w:sz w:val="28"/>
          <w:szCs w:val="28"/>
        </w:rPr>
      </w:pPr>
    </w:p>
    <w:p>
      <w:pPr>
        <w:spacing w:line="360" w:lineRule="auto"/>
        <w:ind w:firstLine="560" w:firstLineChars="200"/>
        <w:rPr>
          <w:rFonts w:ascii="仿宋" w:hAnsi="仿宋" w:eastAsia="仿宋" w:cs="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639731"/>
    </w:sdtPr>
    <w:sdtEndPr>
      <w:rPr>
        <w:rFonts w:ascii="Times New Roman" w:hAnsi="Times New Roman"/>
      </w:rPr>
    </w:sdtEndPr>
    <w:sdtContent>
      <w:p>
        <w:pPr>
          <w:pStyle w:val="11"/>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25</w:t>
        </w:r>
        <w:r>
          <w:rPr>
            <w:rFonts w:ascii="Times New Roman" w:hAnsi="Times New Roma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E36D6"/>
    <w:multiLevelType w:val="singleLevel"/>
    <w:tmpl w:val="5C8E36D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000141"/>
    <w:rsid w:val="000107CF"/>
    <w:rsid w:val="000D71D5"/>
    <w:rsid w:val="000F4ECE"/>
    <w:rsid w:val="0013082B"/>
    <w:rsid w:val="001E51FA"/>
    <w:rsid w:val="003215AE"/>
    <w:rsid w:val="00336B6F"/>
    <w:rsid w:val="00437A82"/>
    <w:rsid w:val="0058747F"/>
    <w:rsid w:val="00593554"/>
    <w:rsid w:val="00623B84"/>
    <w:rsid w:val="00710158"/>
    <w:rsid w:val="007564BB"/>
    <w:rsid w:val="00763819"/>
    <w:rsid w:val="00785963"/>
    <w:rsid w:val="007E5FD8"/>
    <w:rsid w:val="009F4874"/>
    <w:rsid w:val="00A36643"/>
    <w:rsid w:val="00A4674A"/>
    <w:rsid w:val="00A87F0E"/>
    <w:rsid w:val="00B045F7"/>
    <w:rsid w:val="00B5784F"/>
    <w:rsid w:val="00C42271"/>
    <w:rsid w:val="00C57D77"/>
    <w:rsid w:val="00C654D4"/>
    <w:rsid w:val="00C71460"/>
    <w:rsid w:val="00CE797F"/>
    <w:rsid w:val="00D9489C"/>
    <w:rsid w:val="00DE43B3"/>
    <w:rsid w:val="00E04B7D"/>
    <w:rsid w:val="00F04E9C"/>
    <w:rsid w:val="00F419D1"/>
    <w:rsid w:val="00F439A6"/>
    <w:rsid w:val="00FD088F"/>
    <w:rsid w:val="02311840"/>
    <w:rsid w:val="062E13D5"/>
    <w:rsid w:val="069549DE"/>
    <w:rsid w:val="06CF5A0A"/>
    <w:rsid w:val="0B815E16"/>
    <w:rsid w:val="0C2600E4"/>
    <w:rsid w:val="0D212569"/>
    <w:rsid w:val="133F4939"/>
    <w:rsid w:val="17325F98"/>
    <w:rsid w:val="187239E1"/>
    <w:rsid w:val="19F655F4"/>
    <w:rsid w:val="1C750FEB"/>
    <w:rsid w:val="1CD51EFC"/>
    <w:rsid w:val="1E7F51E4"/>
    <w:rsid w:val="234B4DA6"/>
    <w:rsid w:val="244A30BB"/>
    <w:rsid w:val="29D64710"/>
    <w:rsid w:val="304D6EB7"/>
    <w:rsid w:val="36BB7A2A"/>
    <w:rsid w:val="3ECC555A"/>
    <w:rsid w:val="41A3147E"/>
    <w:rsid w:val="45E52831"/>
    <w:rsid w:val="49F46925"/>
    <w:rsid w:val="4C9D10D3"/>
    <w:rsid w:val="4D9C7ECD"/>
    <w:rsid w:val="4F8D7EDC"/>
    <w:rsid w:val="50CD285B"/>
    <w:rsid w:val="51CA75EB"/>
    <w:rsid w:val="52022F8C"/>
    <w:rsid w:val="56D13A43"/>
    <w:rsid w:val="577A24F7"/>
    <w:rsid w:val="5B8E4E92"/>
    <w:rsid w:val="5F9533F4"/>
    <w:rsid w:val="60A07011"/>
    <w:rsid w:val="628063D4"/>
    <w:rsid w:val="65A979BD"/>
    <w:rsid w:val="6CCA08D8"/>
    <w:rsid w:val="6CCA5DF4"/>
    <w:rsid w:val="6DC276F7"/>
    <w:rsid w:val="71DC2D96"/>
    <w:rsid w:val="74D80A5A"/>
    <w:rsid w:val="75800876"/>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5">
    <w:name w:val="heading 2"/>
    <w:basedOn w:val="1"/>
    <w:next w:val="6"/>
    <w:unhideWhenUsed/>
    <w:qFormat/>
    <w:uiPriority w:val="9"/>
    <w:pPr>
      <w:keepNext/>
      <w:keepLines/>
      <w:spacing w:before="120" w:after="120"/>
      <w:outlineLvl w:val="1"/>
    </w:pPr>
    <w:rPr>
      <w:rFonts w:ascii="Arial" w:hAnsi="Arial" w:eastAsia="仿宋"/>
      <w:b/>
      <w:sz w:val="28"/>
      <w:szCs w:val="20"/>
    </w:rPr>
  </w:style>
  <w:style w:type="paragraph" w:styleId="7">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8">
    <w:name w:val="heading 4"/>
    <w:basedOn w:val="1"/>
    <w:next w:val="1"/>
    <w:unhideWhenUsed/>
    <w:qFormat/>
    <w:uiPriority w:val="9"/>
    <w:pPr>
      <w:keepNext/>
      <w:keepLines/>
      <w:outlineLvl w:val="3"/>
    </w:pPr>
    <w:rPr>
      <w:rFonts w:ascii="Arial" w:hAnsi="Arial" w:eastAsia="仿宋"/>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6">
    <w:name w:val="Normal Indent"/>
    <w:basedOn w:val="1"/>
    <w:unhideWhenUsed/>
    <w:qFormat/>
    <w:uiPriority w:val="99"/>
    <w:pPr>
      <w:ind w:firstLine="420" w:firstLineChars="200"/>
    </w:pPr>
  </w:style>
  <w:style w:type="paragraph" w:styleId="9">
    <w:name w:val="annotation text"/>
    <w:basedOn w:val="1"/>
    <w:link w:val="20"/>
    <w:qFormat/>
    <w:uiPriority w:val="0"/>
    <w:pPr>
      <w:jc w:val="left"/>
    </w:pPr>
  </w:style>
  <w:style w:type="paragraph" w:styleId="10">
    <w:name w:val="Balloon Text"/>
    <w:basedOn w:val="1"/>
    <w:link w:val="19"/>
    <w:qFormat/>
    <w:uiPriority w:val="0"/>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Body Text Indent 3"/>
    <w:basedOn w:val="1"/>
    <w:qFormat/>
    <w:uiPriority w:val="99"/>
    <w:pPr>
      <w:spacing w:after="120"/>
      <w:ind w:left="420" w:leftChars="200"/>
    </w:pPr>
    <w:rPr>
      <w:sz w:val="16"/>
      <w:szCs w:val="16"/>
    </w:rPr>
  </w:style>
  <w:style w:type="paragraph" w:styleId="14">
    <w:name w:val="annotation subject"/>
    <w:basedOn w:val="9"/>
    <w:next w:val="9"/>
    <w:link w:val="21"/>
    <w:qFormat/>
    <w:uiPriority w:val="0"/>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8">
    <w:name w:val="annotation reference"/>
    <w:basedOn w:val="17"/>
    <w:qFormat/>
    <w:uiPriority w:val="0"/>
    <w:rPr>
      <w:sz w:val="21"/>
      <w:szCs w:val="21"/>
    </w:rPr>
  </w:style>
  <w:style w:type="character" w:customStyle="1" w:styleId="19">
    <w:name w:val="批注框文本 Char"/>
    <w:basedOn w:val="17"/>
    <w:link w:val="10"/>
    <w:qFormat/>
    <w:uiPriority w:val="0"/>
    <w:rPr>
      <w:rFonts w:asciiTheme="minorHAnsi" w:hAnsiTheme="minorHAnsi" w:eastAsiaTheme="minorEastAsia" w:cstheme="minorBidi"/>
      <w:kern w:val="2"/>
      <w:sz w:val="18"/>
      <w:szCs w:val="18"/>
    </w:rPr>
  </w:style>
  <w:style w:type="character" w:customStyle="1" w:styleId="20">
    <w:name w:val="批注文字 Char"/>
    <w:basedOn w:val="17"/>
    <w:link w:val="9"/>
    <w:qFormat/>
    <w:uiPriority w:val="0"/>
    <w:rPr>
      <w:rFonts w:asciiTheme="minorHAnsi" w:hAnsiTheme="minorHAnsi" w:eastAsiaTheme="minorEastAsia" w:cstheme="minorBidi"/>
      <w:kern w:val="2"/>
      <w:sz w:val="21"/>
      <w:szCs w:val="22"/>
    </w:rPr>
  </w:style>
  <w:style w:type="character" w:customStyle="1" w:styleId="21">
    <w:name w:val="批注主题 Char"/>
    <w:basedOn w:val="20"/>
    <w:link w:val="14"/>
    <w:qFormat/>
    <w:uiPriority w:val="0"/>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29</Pages>
  <Words>2708</Words>
  <Characters>15441</Characters>
  <Lines>128</Lines>
  <Paragraphs>36</Paragraphs>
  <TotalTime>0</TotalTime>
  <ScaleCrop>false</ScaleCrop>
  <LinksUpToDate>false</LinksUpToDate>
  <CharactersWithSpaces>18113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2020-05-05T04:42:00Z</dcterms:created>
  <dc:creator>FZ09259566</dc:creator>
  <cp:lastModifiedBy>陈强</cp:lastModifiedBy>
  <dcterms:modified xsi:type="dcterms:W3CDTF">2020-11-18T06:40:37Z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