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autoSpaceDE/>
        <w:autoSpaceDN/>
        <w:bidi w:val="0"/>
        <w:spacing w:line="360" w:lineRule="auto"/>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2019年福建省政府专项债券（二十一期）</w:t>
      </w:r>
    </w:p>
    <w:p>
      <w:pPr>
        <w:pageBreakBefore w:val="0"/>
        <w:kinsoku/>
        <w:overflowPunct/>
        <w:topLinePunct w:val="0"/>
        <w:autoSpaceDE/>
        <w:autoSpaceDN/>
        <w:bidi w:val="0"/>
        <w:spacing w:line="360" w:lineRule="auto"/>
        <w:jc w:val="center"/>
        <w:rPr>
          <w:rFonts w:hint="eastAsia" w:ascii="仿宋" w:hAnsi="仿宋" w:eastAsia="仿宋" w:cs="仿宋"/>
          <w:b/>
          <w:color w:val="auto"/>
          <w:sz w:val="32"/>
          <w:szCs w:val="32"/>
        </w:rPr>
      </w:pPr>
      <w:r>
        <w:rPr>
          <w:rFonts w:hint="eastAsia" w:ascii="仿宋" w:hAnsi="仿宋" w:eastAsia="仿宋" w:cs="仿宋"/>
          <w:b/>
          <w:sz w:val="32"/>
          <w:szCs w:val="32"/>
          <w:lang w:val="en-US" w:eastAsia="zh-CN"/>
        </w:rPr>
        <w:t>之漳州市项目调整情况说明</w:t>
      </w:r>
    </w:p>
    <w:p>
      <w:pPr>
        <w:pageBreakBefore w:val="0"/>
        <w:kinsoku/>
        <w:overflowPunct/>
        <w:topLinePunct w:val="0"/>
        <w:autoSpaceDE/>
        <w:autoSpaceDN/>
        <w:bidi w:val="0"/>
        <w:spacing w:line="360" w:lineRule="auto"/>
        <w:rPr>
          <w:rFonts w:hint="eastAsia" w:ascii="仿宋" w:hAnsi="仿宋" w:eastAsia="仿宋" w:cs="仿宋"/>
          <w:color w:val="auto"/>
          <w:sz w:val="28"/>
          <w:szCs w:val="28"/>
        </w:rPr>
      </w:pPr>
    </w:p>
    <w:p>
      <w:pPr>
        <w:pageBreakBefore w:val="0"/>
        <w:kinsoku/>
        <w:overflowPunct/>
        <w:topLinePunct w:val="0"/>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2019年福建省政府专项债券（二十一期）</w:t>
      </w:r>
      <w:r>
        <w:rPr>
          <w:rFonts w:hint="eastAsia" w:ascii="仿宋" w:hAnsi="仿宋" w:eastAsia="仿宋" w:cs="仿宋"/>
          <w:color w:val="auto"/>
          <w:sz w:val="28"/>
          <w:szCs w:val="28"/>
          <w:lang w:val="en-US" w:eastAsia="zh-CN"/>
        </w:rPr>
        <w:t>中“九龙公园地下停车场项目”已发行债券金额8000万元，</w:t>
      </w:r>
      <w:r>
        <w:rPr>
          <w:rFonts w:hint="eastAsia" w:ascii="仿宋" w:hAnsi="仿宋" w:eastAsia="仿宋" w:cs="仿宋"/>
          <w:color w:val="auto"/>
          <w:sz w:val="28"/>
          <w:szCs w:val="28"/>
        </w:rPr>
        <w:t>期限</w:t>
      </w: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因项目推进慢，2020年度无法全部支出原因，故将“九龙公园地下停车场项目”1900万元调整用于漳州科技园</w:t>
      </w:r>
      <w:bookmarkStart w:id="1" w:name="_GoBack"/>
      <w:bookmarkEnd w:id="1"/>
      <w:r>
        <w:rPr>
          <w:rFonts w:hint="eastAsia" w:ascii="仿宋" w:hAnsi="仿宋" w:eastAsia="仿宋" w:cs="仿宋"/>
          <w:color w:val="auto"/>
          <w:sz w:val="28"/>
          <w:szCs w:val="28"/>
          <w:lang w:val="en-US" w:eastAsia="zh-CN"/>
        </w:rPr>
        <w:t>项目</w:t>
      </w:r>
      <w:r>
        <w:rPr>
          <w:rFonts w:hint="eastAsia" w:ascii="仿宋" w:hAnsi="仿宋" w:eastAsia="仿宋" w:cs="仿宋"/>
          <w:color w:val="auto"/>
          <w:sz w:val="28"/>
          <w:szCs w:val="28"/>
        </w:rPr>
        <w:t>。</w:t>
      </w:r>
    </w:p>
    <w:p>
      <w:pPr>
        <w:pStyle w:val="3"/>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一、募集资金投向说明</w:t>
      </w:r>
    </w:p>
    <w:p>
      <w:pPr>
        <w:pageBreakBefore w:val="0"/>
        <w:kinsoku/>
        <w:overflowPunct/>
        <w:topLinePunct w:val="0"/>
        <w:autoSpaceDE/>
        <w:autoSpaceDN/>
        <w:bidi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专项债券募集资金拟使用规模情况如下：</w:t>
      </w:r>
    </w:p>
    <w:tbl>
      <w:tblPr>
        <w:tblStyle w:val="9"/>
        <w:tblW w:w="98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1064"/>
        <w:gridCol w:w="1718"/>
        <w:gridCol w:w="1801"/>
        <w:gridCol w:w="1801"/>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9" w:hRule="atLeast"/>
          <w:jc w:val="center"/>
        </w:trPr>
        <w:tc>
          <w:tcPr>
            <w:tcW w:w="1634" w:type="dxa"/>
            <w:shd w:val="clear" w:color="auto" w:fill="auto"/>
            <w:vAlign w:val="center"/>
          </w:tcPr>
          <w:p>
            <w:pPr>
              <w:pageBreakBefore w:val="0"/>
              <w:kinsoku/>
              <w:overflowPunct/>
              <w:topLinePunct w:val="0"/>
              <w:autoSpaceDE/>
              <w:autoSpaceDN/>
              <w:bidi w:val="0"/>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4" w:type="dxa"/>
            <w:shd w:val="clear" w:color="auto" w:fill="auto"/>
            <w:vAlign w:val="center"/>
          </w:tcPr>
          <w:p>
            <w:pPr>
              <w:pageBreakBefore w:val="0"/>
              <w:kinsoku/>
              <w:overflowPunct/>
              <w:topLinePunct w:val="0"/>
              <w:autoSpaceDE/>
              <w:autoSpaceDN/>
              <w:bidi w:val="0"/>
              <w:spacing w:line="360" w:lineRule="auto"/>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718" w:type="dxa"/>
            <w:shd w:val="clear" w:color="auto" w:fill="auto"/>
            <w:vAlign w:val="center"/>
          </w:tcPr>
          <w:p>
            <w:pPr>
              <w:pageBreakBefore w:val="0"/>
              <w:kinsoku/>
              <w:overflowPunct/>
              <w:topLinePunct w:val="0"/>
              <w:autoSpaceDE/>
              <w:autoSpaceDN/>
              <w:bidi w:val="0"/>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801" w:type="dxa"/>
            <w:shd w:val="clear" w:color="auto" w:fill="auto"/>
            <w:vAlign w:val="center"/>
          </w:tcPr>
          <w:p>
            <w:pPr>
              <w:pageBreakBefore w:val="0"/>
              <w:kinsoku/>
              <w:overflowPunct/>
              <w:topLinePunct w:val="0"/>
              <w:autoSpaceDE/>
              <w:autoSpaceDN/>
              <w:bidi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1801" w:type="dxa"/>
            <w:shd w:val="clear" w:color="auto" w:fill="auto"/>
            <w:vAlign w:val="center"/>
          </w:tcPr>
          <w:p>
            <w:pPr>
              <w:pageBreakBefore w:val="0"/>
              <w:kinsoku/>
              <w:overflowPunct/>
              <w:topLinePunct w:val="0"/>
              <w:autoSpaceDE/>
              <w:autoSpaceDN/>
              <w:bidi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1" w:type="dxa"/>
            <w:shd w:val="clear" w:color="auto" w:fill="auto"/>
            <w:vAlign w:val="center"/>
          </w:tcPr>
          <w:p>
            <w:pPr>
              <w:pageBreakBefore w:val="0"/>
              <w:kinsoku/>
              <w:overflowPunct/>
              <w:topLinePunct w:val="0"/>
              <w:autoSpaceDE/>
              <w:autoSpaceDN/>
              <w:bidi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9" w:hRule="atLeast"/>
          <w:jc w:val="center"/>
        </w:trPr>
        <w:tc>
          <w:tcPr>
            <w:tcW w:w="1634"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2019年福建省政府专项债券（二十一期）</w:t>
            </w:r>
          </w:p>
        </w:tc>
        <w:tc>
          <w:tcPr>
            <w:tcW w:w="1064"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九龙公园地下停车场项目</w:t>
            </w:r>
          </w:p>
        </w:tc>
        <w:tc>
          <w:tcPr>
            <w:tcW w:w="1718"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漳州科技园</w:t>
            </w:r>
          </w:p>
        </w:tc>
        <w:tc>
          <w:tcPr>
            <w:tcW w:w="1801"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kern w:val="2"/>
                <w:sz w:val="21"/>
                <w:szCs w:val="21"/>
                <w:lang w:val="en-US" w:eastAsia="zh-CN" w:bidi="ar-SA"/>
              </w:rPr>
              <w:t>76,534.63</w:t>
            </w:r>
          </w:p>
        </w:tc>
        <w:tc>
          <w:tcPr>
            <w:tcW w:w="1801"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1"/>
                <w:szCs w:val="21"/>
                <w:lang w:val="zh-CN" w:eastAsia="zh-CN" w:bidi="ar-SA"/>
              </w:rPr>
            </w:pPr>
            <w:r>
              <w:rPr>
                <w:rFonts w:hint="eastAsia" w:ascii="仿宋" w:hAnsi="仿宋" w:eastAsia="仿宋" w:cs="仿宋"/>
                <w:kern w:val="2"/>
                <w:sz w:val="21"/>
                <w:szCs w:val="21"/>
                <w:lang w:val="en-US" w:eastAsia="zh-CN" w:bidi="ar-SA"/>
              </w:rPr>
              <w:t>1,900.00</w:t>
            </w:r>
          </w:p>
        </w:tc>
        <w:tc>
          <w:tcPr>
            <w:tcW w:w="1801"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1"/>
                <w:szCs w:val="21"/>
                <w:lang w:val="zh-CN" w:eastAsia="zh-CN" w:bidi="ar-SA"/>
              </w:rPr>
            </w:pPr>
            <w:r>
              <w:rPr>
                <w:rFonts w:hint="eastAsia" w:ascii="仿宋" w:hAnsi="仿宋" w:eastAsia="仿宋" w:cs="仿宋"/>
                <w:kern w:val="2"/>
                <w:sz w:val="21"/>
                <w:szCs w:val="21"/>
                <w:lang w:val="zh-CN" w:eastAsia="zh-CN" w:bidi="ar-SA"/>
              </w:rPr>
              <w:t>漳州圆山新城建设有限公司</w:t>
            </w:r>
          </w:p>
        </w:tc>
      </w:tr>
    </w:tbl>
    <w:p>
      <w:pPr>
        <w:pStyle w:val="3"/>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二、募集资金投资项目情况</w:t>
      </w: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szCs w:val="28"/>
        </w:rPr>
      </w:pPr>
      <w:bookmarkStart w:id="0" w:name="_Hlk524441701"/>
      <w:r>
        <w:rPr>
          <w:rFonts w:hint="eastAsia" w:ascii="仿宋" w:hAnsi="仿宋" w:eastAsia="仿宋" w:cs="仿宋"/>
          <w:szCs w:val="28"/>
        </w:rPr>
        <w:t>（一）</w:t>
      </w:r>
      <w:r>
        <w:rPr>
          <w:rFonts w:hint="eastAsia" w:ascii="仿宋" w:hAnsi="仿宋" w:cs="仿宋"/>
          <w:szCs w:val="28"/>
          <w:lang w:eastAsia="zh-CN"/>
        </w:rPr>
        <w:t>漳州科技园项目</w:t>
      </w:r>
      <w:r>
        <w:rPr>
          <w:rFonts w:hint="eastAsia" w:ascii="仿宋" w:hAnsi="仿宋" w:eastAsia="仿宋" w:cs="仿宋"/>
          <w:szCs w:val="28"/>
        </w:rPr>
        <w:t>（以下简称“</w:t>
      </w:r>
      <w:r>
        <w:rPr>
          <w:rFonts w:hint="eastAsia" w:ascii="仿宋" w:hAnsi="仿宋" w:cs="仿宋"/>
          <w:szCs w:val="28"/>
          <w:lang w:eastAsia="zh-CN"/>
        </w:rPr>
        <w:t>漳州科技园</w:t>
      </w:r>
      <w:r>
        <w:rPr>
          <w:rFonts w:hint="eastAsia" w:ascii="仿宋" w:hAnsi="仿宋" w:eastAsia="仿宋" w:cs="仿宋"/>
          <w:szCs w:val="28"/>
        </w:rPr>
        <w:t>”）</w:t>
      </w: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1、项目概况</w:t>
      </w:r>
    </w:p>
    <w:bookmarkEnd w:id="0"/>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漳州科技园选址于漳州市高新区圆山新城，南山路以东，南大道以西，规划琥珀路以北，建设业主为漳州高新区下属国有企业漳州圆山新城建设有限公司，总用地面积24,966.56平方米（约37.45亩），其中建筑占地面积约7,300平方米（约10.95亩），室外场地面积约17,666平方米（约26.5亩）；总建筑面积99,431.69平方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项目主要规划建设一栋20层科研办公，两栋6层科研办公，一栋10层配套服务楼及整体两层地下室。其中，地上建筑面积约为64,900平方米,包括：1#楼20层80m科创办公楼，建筑面积约36000平方米，裙房4层规划有展览、会议、培训等功能；2#楼6层24米科创办公功能，建筑面积约8,000平方米；3#楼6层24米科创办公功能，建筑面积约9,000平方米；4#楼10层38.6米园区配套公寓及食堂功能，建筑面积约11,900平方米；地下2层，不计容建筑面积约3.3万平米，可提供</w:t>
      </w:r>
      <w:r>
        <w:rPr>
          <w:rFonts w:hint="eastAsia" w:ascii="仿宋" w:hAnsi="仿宋" w:eastAsia="仿宋" w:cs="仿宋"/>
          <w:sz w:val="28"/>
          <w:szCs w:val="28"/>
          <w:lang w:val="en-US" w:eastAsia="zh-CN"/>
        </w:rPr>
        <w:t>723</w:t>
      </w:r>
      <w:r>
        <w:rPr>
          <w:rFonts w:hint="eastAsia" w:ascii="仿宋" w:hAnsi="仿宋" w:eastAsia="仿宋" w:cs="仿宋"/>
          <w:sz w:val="28"/>
          <w:szCs w:val="28"/>
          <w:lang w:val="zh-CN"/>
        </w:rPr>
        <w:t>个车位。</w:t>
      </w: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2、项目投资情况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sz w:val="28"/>
          <w:szCs w:val="28"/>
        </w:rPr>
        <w:t>根据</w:t>
      </w:r>
      <w:r>
        <w:rPr>
          <w:rFonts w:hint="eastAsia" w:ascii="仿宋" w:hAnsi="仿宋" w:eastAsia="仿宋" w:cs="仿宋"/>
          <w:sz w:val="28"/>
          <w:szCs w:val="28"/>
          <w:lang w:val="en-US" w:eastAsia="zh-CN"/>
        </w:rPr>
        <w:t>可研</w:t>
      </w:r>
      <w:r>
        <w:rPr>
          <w:rFonts w:hint="eastAsia" w:ascii="仿宋" w:hAnsi="仿宋" w:eastAsia="仿宋" w:cs="仿宋"/>
          <w:sz w:val="28"/>
          <w:szCs w:val="28"/>
        </w:rPr>
        <w:t>批复，</w:t>
      </w:r>
      <w:r>
        <w:rPr>
          <w:rFonts w:hint="eastAsia" w:ascii="仿宋" w:hAnsi="仿宋" w:eastAsia="仿宋" w:cs="仿宋"/>
          <w:kern w:val="2"/>
          <w:sz w:val="28"/>
          <w:szCs w:val="28"/>
          <w:lang w:val="en-US" w:eastAsia="zh-CN" w:bidi="ar-SA"/>
        </w:rPr>
        <w:t>漳州科技园项目动态总投资为</w:t>
      </w:r>
      <w:r>
        <w:rPr>
          <w:rFonts w:hint="eastAsia" w:ascii="仿宋" w:hAnsi="仿宋" w:eastAsia="仿宋" w:cs="仿宋"/>
          <w:sz w:val="28"/>
          <w:szCs w:val="28"/>
          <w:lang w:val="en-US" w:eastAsia="zh-CN"/>
        </w:rPr>
        <w:t>76,534.63</w:t>
      </w:r>
      <w:r>
        <w:rPr>
          <w:rFonts w:hint="eastAsia" w:ascii="仿宋" w:hAnsi="仿宋" w:eastAsia="仿宋" w:cs="仿宋"/>
          <w:kern w:val="2"/>
          <w:sz w:val="28"/>
          <w:szCs w:val="28"/>
          <w:lang w:val="en-US" w:eastAsia="zh-CN" w:bidi="ar-SA"/>
        </w:rPr>
        <w:t>万元，估算表如下：</w:t>
      </w:r>
    </w:p>
    <w:p>
      <w:pPr>
        <w:pageBreakBefore w:val="0"/>
        <w:widowControl/>
        <w:kinsoku/>
        <w:overflowPunct/>
        <w:topLinePunct w:val="0"/>
        <w:autoSpaceDE/>
        <w:autoSpaceDN/>
        <w:bidi w:val="0"/>
        <w:spacing w:after="120" w:line="360" w:lineRule="auto"/>
        <w:ind w:firstLine="562" w:firstLineChars="200"/>
        <w:contextualSpacing/>
        <w:jc w:val="center"/>
        <w:rPr>
          <w:rFonts w:hint="eastAsia" w:ascii="仿宋" w:hAnsi="仿宋" w:eastAsia="仿宋" w:cs="仿宋"/>
          <w:b/>
          <w:kern w:val="0"/>
          <w:sz w:val="28"/>
          <w:lang w:val="en-GB"/>
        </w:rPr>
      </w:pPr>
      <w:r>
        <w:rPr>
          <w:rFonts w:hint="eastAsia" w:ascii="仿宋" w:hAnsi="仿宋" w:eastAsia="仿宋" w:cs="仿宋"/>
          <w:b/>
          <w:kern w:val="0"/>
          <w:sz w:val="28"/>
          <w:lang w:val="en-GB"/>
        </w:rPr>
        <w:t>项目总投资估算表</w:t>
      </w:r>
    </w:p>
    <w:p>
      <w:pPr>
        <w:pageBreakBefore w:val="0"/>
        <w:widowControl/>
        <w:kinsoku/>
        <w:overflowPunct/>
        <w:topLinePunct w:val="0"/>
        <w:autoSpaceDE/>
        <w:autoSpaceDN/>
        <w:bidi w:val="0"/>
        <w:spacing w:after="120" w:line="360" w:lineRule="auto"/>
        <w:ind w:firstLine="480" w:firstLineChars="200"/>
        <w:contextualSpacing/>
        <w:jc w:val="center"/>
        <w:rPr>
          <w:rFonts w:hint="eastAsia" w:ascii="仿宋" w:hAnsi="仿宋" w:eastAsia="仿宋" w:cs="仿宋"/>
          <w:kern w:val="0"/>
          <w:sz w:val="24"/>
          <w:lang w:val="en-GB"/>
        </w:rPr>
      </w:pPr>
      <w:r>
        <w:rPr>
          <w:rFonts w:hint="eastAsia" w:ascii="仿宋" w:hAnsi="仿宋" w:eastAsia="仿宋" w:cs="仿宋"/>
          <w:kern w:val="0"/>
          <w:sz w:val="24"/>
          <w:lang w:val="en-GB"/>
        </w:rPr>
        <w:t xml:space="preserve">                                 单位：人民币万元</w:t>
      </w:r>
    </w:p>
    <w:tbl>
      <w:tblPr>
        <w:tblStyle w:val="8"/>
        <w:tblW w:w="830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pageBreakBefore w:val="0"/>
              <w:kinsoku/>
              <w:overflowPunct/>
              <w:topLinePunct w:val="0"/>
              <w:autoSpaceDE/>
              <w:autoSpaceDN/>
              <w:bidi w:val="0"/>
              <w:spacing w:line="360" w:lineRule="auto"/>
              <w:ind w:right="45"/>
              <w:contextualSpacing/>
              <w:jc w:val="center"/>
              <w:rPr>
                <w:rFonts w:hint="eastAsia" w:ascii="仿宋" w:hAnsi="仿宋" w:eastAsia="仿宋" w:cs="仿宋"/>
                <w:b/>
                <w:bCs/>
                <w:color w:val="000000"/>
                <w:szCs w:val="21"/>
              </w:rPr>
            </w:pPr>
            <w:r>
              <w:rPr>
                <w:rFonts w:hint="eastAsia" w:ascii="仿宋" w:hAnsi="仿宋" w:eastAsia="仿宋" w:cs="仿宋"/>
                <w:b/>
                <w:bCs/>
                <w:color w:val="000000"/>
                <w:szCs w:val="21"/>
              </w:rPr>
              <w:t>项目名称</w:t>
            </w:r>
          </w:p>
        </w:tc>
        <w:tc>
          <w:tcPr>
            <w:tcW w:w="2214" w:type="dxa"/>
            <w:vAlign w:val="center"/>
          </w:tcPr>
          <w:p>
            <w:pPr>
              <w:pageBreakBefore w:val="0"/>
              <w:kinsoku/>
              <w:overflowPunct/>
              <w:topLinePunct w:val="0"/>
              <w:autoSpaceDE/>
              <w:autoSpaceDN/>
              <w:bidi w:val="0"/>
              <w:spacing w:line="360" w:lineRule="auto"/>
              <w:ind w:right="45"/>
              <w:contextualSpacing/>
              <w:jc w:val="center"/>
              <w:rPr>
                <w:rFonts w:hint="eastAsia" w:ascii="仿宋" w:hAnsi="仿宋" w:eastAsia="仿宋" w:cs="仿宋"/>
                <w:b/>
                <w:bCs/>
                <w:color w:val="000000"/>
                <w:szCs w:val="21"/>
              </w:rPr>
            </w:pPr>
            <w:r>
              <w:rPr>
                <w:rFonts w:hint="eastAsia" w:ascii="仿宋" w:hAnsi="仿宋" w:eastAsia="仿宋" w:cs="仿宋"/>
                <w:b/>
                <w:bCs/>
                <w:color w:val="000000"/>
                <w:szCs w:val="21"/>
              </w:rPr>
              <w:t>金额</w:t>
            </w:r>
          </w:p>
        </w:tc>
        <w:tc>
          <w:tcPr>
            <w:tcW w:w="1476" w:type="dxa"/>
            <w:vAlign w:val="center"/>
          </w:tcPr>
          <w:p>
            <w:pPr>
              <w:pageBreakBefore w:val="0"/>
              <w:kinsoku/>
              <w:overflowPunct/>
              <w:topLinePunct w:val="0"/>
              <w:autoSpaceDE/>
              <w:autoSpaceDN/>
              <w:bidi w:val="0"/>
              <w:spacing w:line="360" w:lineRule="auto"/>
              <w:ind w:right="45"/>
              <w:contextualSpacing/>
              <w:jc w:val="center"/>
              <w:rPr>
                <w:rFonts w:hint="eastAsia" w:ascii="仿宋" w:hAnsi="仿宋" w:eastAsia="仿宋" w:cs="仿宋"/>
                <w:b/>
                <w:bCs/>
                <w:color w:val="000000"/>
                <w:szCs w:val="21"/>
              </w:rPr>
            </w:pPr>
            <w:r>
              <w:rPr>
                <w:rFonts w:hint="eastAsia" w:ascii="仿宋" w:hAnsi="仿宋" w:eastAsia="仿宋" w:cs="仿宋"/>
                <w:b/>
                <w:bCs/>
                <w:color w:val="000000"/>
                <w:szCs w:val="21"/>
              </w:rPr>
              <w:t>占比</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pageBreakBefore w:val="0"/>
              <w:kinsoku/>
              <w:overflowPunct/>
              <w:topLinePunct w:val="0"/>
              <w:autoSpaceDE/>
              <w:autoSpaceDN/>
              <w:bidi w:val="0"/>
              <w:spacing w:line="360" w:lineRule="auto"/>
              <w:ind w:right="45"/>
              <w:contextualSpacing/>
              <w:rPr>
                <w:rFonts w:hint="eastAsia" w:ascii="仿宋" w:hAnsi="仿宋" w:eastAsia="仿宋" w:cs="仿宋"/>
                <w:color w:val="000000"/>
                <w:szCs w:val="21"/>
              </w:rPr>
            </w:pPr>
            <w:r>
              <w:rPr>
                <w:rFonts w:hint="eastAsia" w:ascii="仿宋" w:hAnsi="仿宋" w:eastAsia="仿宋" w:cs="仿宋"/>
                <w:color w:val="000000"/>
                <w:szCs w:val="21"/>
              </w:rPr>
              <w:t>1、工程费用</w:t>
            </w:r>
          </w:p>
        </w:tc>
        <w:tc>
          <w:tcPr>
            <w:tcW w:w="2214" w:type="dxa"/>
            <w:vAlign w:val="center"/>
          </w:tcPr>
          <w:p>
            <w:pPr>
              <w:pageBreakBefore w:val="0"/>
              <w:kinsoku/>
              <w:overflowPunct/>
              <w:topLinePunct w:val="0"/>
              <w:autoSpaceDE/>
              <w:autoSpaceDN/>
              <w:bidi w:val="0"/>
              <w:spacing w:line="360" w:lineRule="auto"/>
              <w:ind w:right="45"/>
              <w:contextualSpacing/>
              <w:jc w:val="righ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60,360.03</w:t>
            </w:r>
          </w:p>
        </w:tc>
        <w:tc>
          <w:tcPr>
            <w:tcW w:w="1476" w:type="dxa"/>
            <w:vAlign w:val="center"/>
          </w:tcPr>
          <w:p>
            <w:pPr>
              <w:pageBreakBefore w:val="0"/>
              <w:kinsoku/>
              <w:overflowPunct/>
              <w:topLinePunct w:val="0"/>
              <w:autoSpaceDE/>
              <w:autoSpaceDN/>
              <w:bidi w:val="0"/>
              <w:spacing w:line="360" w:lineRule="auto"/>
              <w:ind w:right="45"/>
              <w:contextualSpacing/>
              <w:jc w:val="righ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78.87%</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pageBreakBefore w:val="0"/>
              <w:kinsoku/>
              <w:overflowPunct/>
              <w:topLinePunct w:val="0"/>
              <w:autoSpaceDE/>
              <w:autoSpaceDN/>
              <w:bidi w:val="0"/>
              <w:spacing w:line="360" w:lineRule="auto"/>
              <w:ind w:right="45"/>
              <w:contextualSpacing/>
              <w:rPr>
                <w:rFonts w:hint="eastAsia" w:ascii="仿宋" w:hAnsi="仿宋" w:eastAsia="仿宋" w:cs="仿宋"/>
                <w:color w:val="000000"/>
                <w:szCs w:val="21"/>
              </w:rPr>
            </w:pPr>
            <w:r>
              <w:rPr>
                <w:rFonts w:hint="eastAsia" w:ascii="仿宋" w:hAnsi="仿宋" w:eastAsia="仿宋" w:cs="仿宋"/>
                <w:color w:val="000000"/>
                <w:szCs w:val="21"/>
              </w:rPr>
              <w:t>2、工程建设其它费用</w:t>
            </w:r>
          </w:p>
        </w:tc>
        <w:tc>
          <w:tcPr>
            <w:tcW w:w="2214" w:type="dxa"/>
            <w:vAlign w:val="center"/>
          </w:tcPr>
          <w:p>
            <w:pPr>
              <w:pageBreakBefore w:val="0"/>
              <w:kinsoku/>
              <w:overflowPunct/>
              <w:topLinePunct w:val="0"/>
              <w:autoSpaceDE/>
              <w:autoSpaceDN/>
              <w:bidi w:val="0"/>
              <w:spacing w:line="360" w:lineRule="auto"/>
              <w:ind w:right="45"/>
              <w:contextualSpacing/>
              <w:jc w:val="righ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9,066.49</w:t>
            </w:r>
          </w:p>
        </w:tc>
        <w:tc>
          <w:tcPr>
            <w:tcW w:w="1476" w:type="dxa"/>
            <w:vAlign w:val="center"/>
          </w:tcPr>
          <w:p>
            <w:pPr>
              <w:pageBreakBefore w:val="0"/>
              <w:kinsoku/>
              <w:overflowPunct/>
              <w:topLinePunct w:val="0"/>
              <w:autoSpaceDE/>
              <w:autoSpaceDN/>
              <w:bidi w:val="0"/>
              <w:spacing w:line="360" w:lineRule="auto"/>
              <w:ind w:right="45"/>
              <w:contextualSpacing/>
              <w:jc w:val="righ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11.85%</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pageBreakBefore w:val="0"/>
              <w:kinsoku/>
              <w:overflowPunct/>
              <w:topLinePunct w:val="0"/>
              <w:autoSpaceDE/>
              <w:autoSpaceDN/>
              <w:bidi w:val="0"/>
              <w:spacing w:line="360" w:lineRule="auto"/>
              <w:ind w:right="45" w:rightChars="0"/>
              <w:contextualSpacing/>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Cs w:val="21"/>
              </w:rPr>
              <w:t>3、预备费</w:t>
            </w:r>
          </w:p>
        </w:tc>
        <w:tc>
          <w:tcPr>
            <w:tcW w:w="2214" w:type="dxa"/>
            <w:vAlign w:val="center"/>
          </w:tcPr>
          <w:p>
            <w:pPr>
              <w:pageBreakBefore w:val="0"/>
              <w:kinsoku/>
              <w:overflowPunct/>
              <w:topLinePunct w:val="0"/>
              <w:autoSpaceDE/>
              <w:autoSpaceDN/>
              <w:bidi w:val="0"/>
              <w:spacing w:line="360" w:lineRule="auto"/>
              <w:ind w:right="45"/>
              <w:contextualSpacing/>
              <w:jc w:val="righ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5,554.12</w:t>
            </w:r>
          </w:p>
        </w:tc>
        <w:tc>
          <w:tcPr>
            <w:tcW w:w="1476" w:type="dxa"/>
            <w:vAlign w:val="center"/>
          </w:tcPr>
          <w:p>
            <w:pPr>
              <w:pageBreakBefore w:val="0"/>
              <w:kinsoku/>
              <w:overflowPunct/>
              <w:topLinePunct w:val="0"/>
              <w:autoSpaceDE/>
              <w:autoSpaceDN/>
              <w:bidi w:val="0"/>
              <w:spacing w:line="360" w:lineRule="auto"/>
              <w:ind w:right="45"/>
              <w:contextualSpacing/>
              <w:jc w:val="righ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7.26%</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pageBreakBefore w:val="0"/>
              <w:kinsoku/>
              <w:overflowPunct/>
              <w:topLinePunct w:val="0"/>
              <w:autoSpaceDE/>
              <w:autoSpaceDN/>
              <w:bidi w:val="0"/>
              <w:spacing w:line="360" w:lineRule="auto"/>
              <w:ind w:right="45"/>
              <w:contextualSpacing/>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4、建设期利息</w:t>
            </w:r>
          </w:p>
        </w:tc>
        <w:tc>
          <w:tcPr>
            <w:tcW w:w="2214" w:type="dxa"/>
            <w:vAlign w:val="center"/>
          </w:tcPr>
          <w:p>
            <w:pPr>
              <w:pageBreakBefore w:val="0"/>
              <w:kinsoku/>
              <w:overflowPunct/>
              <w:topLinePunct w:val="0"/>
              <w:autoSpaceDE/>
              <w:autoSpaceDN/>
              <w:bidi w:val="0"/>
              <w:spacing w:line="360" w:lineRule="auto"/>
              <w:ind w:right="45"/>
              <w:contextualSpacing/>
              <w:jc w:val="righ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1,553.99</w:t>
            </w:r>
          </w:p>
        </w:tc>
        <w:tc>
          <w:tcPr>
            <w:tcW w:w="1476" w:type="dxa"/>
            <w:vAlign w:val="center"/>
          </w:tcPr>
          <w:p>
            <w:pPr>
              <w:pageBreakBefore w:val="0"/>
              <w:kinsoku/>
              <w:overflowPunct/>
              <w:topLinePunct w:val="0"/>
              <w:autoSpaceDE/>
              <w:autoSpaceDN/>
              <w:bidi w:val="0"/>
              <w:spacing w:line="360" w:lineRule="auto"/>
              <w:ind w:right="45"/>
              <w:contextualSpacing/>
              <w:jc w:val="righ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2.03%</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pageBreakBefore w:val="0"/>
              <w:kinsoku/>
              <w:overflowPunct/>
              <w:topLinePunct w:val="0"/>
              <w:autoSpaceDE/>
              <w:autoSpaceDN/>
              <w:bidi w:val="0"/>
              <w:spacing w:line="360" w:lineRule="auto"/>
              <w:ind w:right="45"/>
              <w:contextualSpacing/>
              <w:jc w:val="center"/>
              <w:rPr>
                <w:rFonts w:hint="eastAsia" w:ascii="仿宋" w:hAnsi="仿宋" w:eastAsia="仿宋" w:cs="仿宋"/>
                <w:b/>
                <w:bCs/>
                <w:color w:val="000000"/>
                <w:szCs w:val="21"/>
              </w:rPr>
            </w:pPr>
            <w:r>
              <w:rPr>
                <w:rFonts w:hint="eastAsia" w:ascii="仿宋" w:hAnsi="仿宋" w:eastAsia="仿宋" w:cs="仿宋"/>
                <w:b/>
                <w:bCs/>
                <w:color w:val="000000"/>
                <w:szCs w:val="21"/>
              </w:rPr>
              <w:t>合计：</w:t>
            </w:r>
          </w:p>
        </w:tc>
        <w:tc>
          <w:tcPr>
            <w:tcW w:w="2214" w:type="dxa"/>
            <w:vAlign w:val="center"/>
          </w:tcPr>
          <w:p>
            <w:pPr>
              <w:pageBreakBefore w:val="0"/>
              <w:widowControl/>
              <w:kinsoku/>
              <w:overflowPunct/>
              <w:topLinePunct w:val="0"/>
              <w:autoSpaceDE/>
              <w:autoSpaceDN/>
              <w:bidi w:val="0"/>
              <w:spacing w:line="360" w:lineRule="auto"/>
              <w:jc w:val="right"/>
              <w:textAlignment w:val="center"/>
              <w:rPr>
                <w:rFonts w:hint="default" w:ascii="仿宋" w:hAnsi="仿宋" w:eastAsia="仿宋" w:cs="仿宋"/>
                <w:b/>
                <w:bCs/>
                <w:color w:val="000000"/>
                <w:szCs w:val="21"/>
                <w:lang w:val="en-US" w:eastAsia="zh-CN"/>
              </w:rPr>
            </w:pPr>
            <w:r>
              <w:rPr>
                <w:rFonts w:hint="eastAsia" w:ascii="仿宋" w:hAnsi="仿宋" w:eastAsia="仿宋" w:cs="仿宋"/>
                <w:b/>
                <w:bCs/>
                <w:color w:val="000000"/>
                <w:szCs w:val="21"/>
                <w:lang w:val="en-US" w:eastAsia="zh-CN"/>
              </w:rPr>
              <w:t>76,534.63</w:t>
            </w:r>
          </w:p>
        </w:tc>
        <w:tc>
          <w:tcPr>
            <w:tcW w:w="1476" w:type="dxa"/>
            <w:vAlign w:val="center"/>
          </w:tcPr>
          <w:p>
            <w:pPr>
              <w:pageBreakBefore w:val="0"/>
              <w:widowControl/>
              <w:kinsoku/>
              <w:overflowPunct/>
              <w:topLinePunct w:val="0"/>
              <w:autoSpaceDE/>
              <w:autoSpaceDN/>
              <w:bidi w:val="0"/>
              <w:spacing w:line="360" w:lineRule="auto"/>
              <w:jc w:val="right"/>
              <w:textAlignment w:val="center"/>
              <w:rPr>
                <w:rFonts w:hint="eastAsia" w:ascii="仿宋" w:hAnsi="仿宋" w:eastAsia="仿宋" w:cs="仿宋"/>
                <w:b/>
                <w:bCs/>
                <w:color w:val="000000"/>
                <w:szCs w:val="21"/>
                <w:lang w:val="en-US" w:eastAsia="zh-CN"/>
              </w:rPr>
            </w:pPr>
            <w:r>
              <w:rPr>
                <w:rFonts w:hint="eastAsia" w:ascii="仿宋" w:hAnsi="仿宋" w:eastAsia="仿宋" w:cs="仿宋"/>
                <w:b/>
                <w:bCs/>
                <w:color w:val="000000"/>
                <w:szCs w:val="21"/>
              </w:rPr>
              <w:t>100.00</w:t>
            </w:r>
            <w:r>
              <w:rPr>
                <w:rFonts w:hint="eastAsia" w:ascii="仿宋" w:hAnsi="仿宋" w:eastAsia="仿宋" w:cs="仿宋"/>
                <w:b/>
                <w:bCs/>
                <w:color w:val="000000"/>
                <w:szCs w:val="21"/>
                <w:lang w:val="en-US" w:eastAsia="zh-CN"/>
              </w:rPr>
              <w:t>%</w:t>
            </w:r>
          </w:p>
        </w:tc>
      </w:tr>
    </w:tbl>
    <w:p>
      <w:pPr>
        <w:pageBreakBefore w:val="0"/>
        <w:kinsoku/>
        <w:overflowPunct/>
        <w:topLinePunct w:val="0"/>
        <w:autoSpaceDE/>
        <w:autoSpaceDN/>
        <w:bidi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该项目未来年度投资计划如下：</w:t>
      </w:r>
    </w:p>
    <w:p>
      <w:pPr>
        <w:pageBreakBefore w:val="0"/>
        <w:kinsoku/>
        <w:overflowPunct/>
        <w:topLinePunct w:val="0"/>
        <w:autoSpaceDE/>
        <w:autoSpaceDN/>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项目投资计划表</w:t>
      </w:r>
    </w:p>
    <w:p>
      <w:pPr>
        <w:pageBreakBefore w:val="0"/>
        <w:kinsoku/>
        <w:overflowPunct/>
        <w:topLinePunct w:val="0"/>
        <w:autoSpaceDE/>
        <w:autoSpaceDN/>
        <w:bidi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单位：人民币万元</w:t>
      </w:r>
    </w:p>
    <w:tbl>
      <w:tblPr>
        <w:tblStyle w:val="8"/>
        <w:tblW w:w="7638" w:type="dxa"/>
        <w:jc w:val="center"/>
        <w:tblInd w:w="0" w:type="dxa"/>
        <w:shd w:val="clear" w:color="auto" w:fill="auto"/>
        <w:tblLayout w:type="fixed"/>
        <w:tblCellMar>
          <w:top w:w="0" w:type="dxa"/>
          <w:left w:w="0" w:type="dxa"/>
          <w:bottom w:w="0" w:type="dxa"/>
          <w:right w:w="0" w:type="dxa"/>
        </w:tblCellMar>
      </w:tblPr>
      <w:tblGrid>
        <w:gridCol w:w="1924"/>
        <w:gridCol w:w="1268"/>
        <w:gridCol w:w="1293"/>
        <w:gridCol w:w="1434"/>
        <w:gridCol w:w="1719"/>
      </w:tblGrid>
      <w:tr>
        <w:tblPrEx>
          <w:tblLayout w:type="fixed"/>
          <w:tblCellMar>
            <w:top w:w="0" w:type="dxa"/>
            <w:left w:w="0" w:type="dxa"/>
            <w:bottom w:w="0" w:type="dxa"/>
            <w:right w:w="0" w:type="dxa"/>
          </w:tblCellMar>
        </w:tblPrEx>
        <w:trPr>
          <w:trHeight w:val="1461" w:hRule="atLeast"/>
          <w:jc w:val="center"/>
        </w:trPr>
        <w:tc>
          <w:tcPr>
            <w:tcW w:w="192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资金使用</w:t>
            </w:r>
          </w:p>
        </w:tc>
        <w:tc>
          <w:tcPr>
            <w:tcW w:w="1268"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以前年度至本报告日</w:t>
            </w:r>
          </w:p>
        </w:tc>
        <w:tc>
          <w:tcPr>
            <w:tcW w:w="1293"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2020年</w:t>
            </w:r>
          </w:p>
        </w:tc>
        <w:tc>
          <w:tcPr>
            <w:tcW w:w="1434"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2021年</w:t>
            </w:r>
          </w:p>
        </w:tc>
        <w:tc>
          <w:tcPr>
            <w:tcW w:w="1719"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合计</w:t>
            </w:r>
          </w:p>
        </w:tc>
      </w:tr>
      <w:tr>
        <w:tblPrEx>
          <w:tblLayout w:type="fixed"/>
          <w:tblCellMar>
            <w:top w:w="0" w:type="dxa"/>
            <w:left w:w="0" w:type="dxa"/>
            <w:bottom w:w="0" w:type="dxa"/>
            <w:right w:w="0" w:type="dxa"/>
          </w:tblCellMar>
        </w:tblPrEx>
        <w:trPr>
          <w:trHeight w:val="1144" w:hRule="atLeast"/>
          <w:jc w:val="center"/>
        </w:trPr>
        <w:tc>
          <w:tcPr>
            <w:tcW w:w="192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建设资金使用金额</w:t>
            </w:r>
          </w:p>
        </w:tc>
        <w:tc>
          <w:tcPr>
            <w:tcW w:w="126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bottom"/>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10,000.00</w:t>
            </w:r>
          </w:p>
        </w:tc>
        <w:tc>
          <w:tcPr>
            <w:tcW w:w="129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bottom"/>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4,036.34</w:t>
            </w:r>
          </w:p>
        </w:tc>
        <w:tc>
          <w:tcPr>
            <w:tcW w:w="1434"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bottom"/>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62,500.00</w:t>
            </w:r>
          </w:p>
        </w:tc>
        <w:tc>
          <w:tcPr>
            <w:tcW w:w="1719"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bottom"/>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76,534.63</w:t>
            </w:r>
          </w:p>
        </w:tc>
      </w:tr>
    </w:tbl>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3、项目资金来源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估算总投资76,534.63万元，其中项目资本金为16,834.63万元，占总投资的22.00%，通过业主单位（实施主体）多渠道自筹方式解决，按项目建设进度到位；已发行专项债券7,800.00万元，占总投资10.19%，资金缺口51,900.00万元，占总投资67.81%，拟通过2020年至2021年发行专项债券解决。</w:t>
      </w:r>
    </w:p>
    <w:p>
      <w:pPr>
        <w:pageBreakBefore w:val="0"/>
        <w:kinsoku/>
        <w:overflowPunct/>
        <w:topLinePunct w:val="0"/>
        <w:autoSpaceDE/>
        <w:autoSpaceDN/>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资金筹措表</w:t>
      </w:r>
    </w:p>
    <w:p>
      <w:pPr>
        <w:pageBreakBefore w:val="0"/>
        <w:kinsoku/>
        <w:overflowPunct/>
        <w:topLinePunct w:val="0"/>
        <w:autoSpaceDE/>
        <w:autoSpaceDN/>
        <w:bidi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单位：万元</w:t>
      </w:r>
    </w:p>
    <w:tbl>
      <w:tblPr>
        <w:tblStyle w:val="8"/>
        <w:tblW w:w="8398"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777"/>
        <w:gridCol w:w="1423"/>
        <w:gridCol w:w="1543"/>
        <w:gridCol w:w="1422"/>
        <w:gridCol w:w="1575"/>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09" w:hRule="atLeast"/>
          <w:jc w:val="center"/>
        </w:trPr>
        <w:tc>
          <w:tcPr>
            <w:tcW w:w="2435" w:type="dxa"/>
            <w:gridSpan w:val="2"/>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szCs w:val="21"/>
              </w:rPr>
            </w:pPr>
            <w:r>
              <w:rPr>
                <w:rFonts w:hint="eastAsia" w:ascii="仿宋" w:hAnsi="仿宋" w:eastAsia="仿宋" w:cs="仿宋"/>
                <w:b/>
                <w:bCs/>
                <w:szCs w:val="21"/>
              </w:rPr>
              <w:t>建设资金筹集</w:t>
            </w:r>
          </w:p>
        </w:tc>
        <w:tc>
          <w:tcPr>
            <w:tcW w:w="1423" w:type="dxa"/>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szCs w:val="21"/>
              </w:rPr>
            </w:pPr>
            <w:r>
              <w:rPr>
                <w:rFonts w:hint="eastAsia" w:ascii="仿宋" w:hAnsi="仿宋" w:eastAsia="仿宋" w:cs="仿宋"/>
                <w:b/>
                <w:i w:val="0"/>
                <w:color w:val="000000"/>
                <w:kern w:val="0"/>
                <w:sz w:val="21"/>
                <w:szCs w:val="21"/>
                <w:u w:val="none"/>
                <w:lang w:val="en-US" w:eastAsia="zh-CN" w:bidi="ar"/>
              </w:rPr>
              <w:t>以前年度至本报告日</w:t>
            </w:r>
          </w:p>
        </w:tc>
        <w:tc>
          <w:tcPr>
            <w:tcW w:w="1543" w:type="dxa"/>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szCs w:val="21"/>
              </w:rPr>
            </w:pPr>
            <w:r>
              <w:rPr>
                <w:rFonts w:hint="eastAsia" w:ascii="仿宋" w:hAnsi="仿宋" w:eastAsia="仿宋" w:cs="仿宋"/>
                <w:b/>
                <w:bCs/>
                <w:szCs w:val="21"/>
              </w:rPr>
              <w:t>202</w:t>
            </w:r>
            <w:r>
              <w:rPr>
                <w:rFonts w:hint="eastAsia" w:ascii="仿宋" w:hAnsi="仿宋" w:eastAsia="仿宋" w:cs="仿宋"/>
                <w:b/>
                <w:bCs/>
                <w:szCs w:val="21"/>
                <w:lang w:val="en-US" w:eastAsia="zh-CN"/>
              </w:rPr>
              <w:t>0</w:t>
            </w:r>
            <w:r>
              <w:rPr>
                <w:rFonts w:hint="eastAsia" w:ascii="仿宋" w:hAnsi="仿宋" w:eastAsia="仿宋" w:cs="仿宋"/>
                <w:b/>
                <w:bCs/>
                <w:szCs w:val="21"/>
              </w:rPr>
              <w:t>年</w:t>
            </w:r>
          </w:p>
        </w:tc>
        <w:tc>
          <w:tcPr>
            <w:tcW w:w="1422" w:type="dxa"/>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szCs w:val="21"/>
              </w:rPr>
            </w:pPr>
            <w:r>
              <w:rPr>
                <w:rFonts w:hint="eastAsia" w:ascii="仿宋" w:hAnsi="仿宋" w:eastAsia="仿宋" w:cs="仿宋"/>
                <w:b/>
                <w:bCs/>
                <w:szCs w:val="21"/>
              </w:rPr>
              <w:t>202</w:t>
            </w:r>
            <w:r>
              <w:rPr>
                <w:rFonts w:hint="eastAsia" w:ascii="仿宋" w:hAnsi="仿宋" w:eastAsia="仿宋" w:cs="仿宋"/>
                <w:b/>
                <w:bCs/>
                <w:szCs w:val="21"/>
                <w:lang w:val="en-US" w:eastAsia="zh-CN"/>
              </w:rPr>
              <w:t>1</w:t>
            </w:r>
            <w:r>
              <w:rPr>
                <w:rFonts w:hint="eastAsia" w:ascii="仿宋" w:hAnsi="仿宋" w:eastAsia="仿宋" w:cs="仿宋"/>
                <w:b/>
                <w:bCs/>
                <w:szCs w:val="21"/>
              </w:rPr>
              <w:t>年</w:t>
            </w:r>
          </w:p>
        </w:tc>
        <w:tc>
          <w:tcPr>
            <w:tcW w:w="1575" w:type="dxa"/>
            <w:vAlign w:val="center"/>
          </w:tcPr>
          <w:p>
            <w:pPr>
              <w:pageBreakBefore w:val="0"/>
              <w:widowControl/>
              <w:kinsoku/>
              <w:overflowPunct/>
              <w:topLinePunct w:val="0"/>
              <w:autoSpaceDE/>
              <w:autoSpaceDN/>
              <w:bidi w:val="0"/>
              <w:spacing w:line="360" w:lineRule="auto"/>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合计</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658"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rPr>
              <w:t>1</w:t>
            </w:r>
          </w:p>
        </w:tc>
        <w:tc>
          <w:tcPr>
            <w:tcW w:w="1777"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rPr>
              <w:t>资本金</w:t>
            </w:r>
          </w:p>
        </w:tc>
        <w:tc>
          <w:tcPr>
            <w:tcW w:w="1423"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lang w:val="en-US" w:eastAsia="zh-CN"/>
              </w:rPr>
              <w:t>2,200.00</w:t>
            </w:r>
          </w:p>
        </w:tc>
        <w:tc>
          <w:tcPr>
            <w:tcW w:w="1543"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lang w:val="en-US" w:eastAsia="zh-CN"/>
              </w:rPr>
              <w:t>2,136.34</w:t>
            </w:r>
          </w:p>
        </w:tc>
        <w:tc>
          <w:tcPr>
            <w:tcW w:w="1422"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lang w:val="en-US" w:eastAsia="zh-CN"/>
              </w:rPr>
              <w:t>12,498.29</w:t>
            </w:r>
          </w:p>
        </w:tc>
        <w:tc>
          <w:tcPr>
            <w:tcW w:w="1575"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lang w:val="en-US" w:eastAsia="zh-CN"/>
              </w:rPr>
            </w:pPr>
            <w:r>
              <w:rPr>
                <w:rFonts w:hint="eastAsia" w:ascii="仿宋" w:hAnsi="仿宋" w:eastAsia="仿宋" w:cs="仿宋"/>
                <w:bCs/>
                <w:color w:val="000000"/>
                <w:w w:val="105"/>
                <w:szCs w:val="21"/>
                <w:lang w:val="en-US" w:eastAsia="zh-CN"/>
              </w:rPr>
              <w:t>16,834.63</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658"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rPr>
              <w:t>2</w:t>
            </w:r>
          </w:p>
        </w:tc>
        <w:tc>
          <w:tcPr>
            <w:tcW w:w="1777"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rPr>
              <w:t>专项债券</w:t>
            </w:r>
          </w:p>
        </w:tc>
        <w:tc>
          <w:tcPr>
            <w:tcW w:w="1423"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lang w:val="en-US" w:eastAsia="zh-CN"/>
              </w:rPr>
              <w:t>7,800.00</w:t>
            </w:r>
          </w:p>
        </w:tc>
        <w:tc>
          <w:tcPr>
            <w:tcW w:w="1543"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lang w:val="en-US" w:eastAsia="zh-CN"/>
              </w:rPr>
              <w:t>1,900.00</w:t>
            </w:r>
          </w:p>
        </w:tc>
        <w:tc>
          <w:tcPr>
            <w:tcW w:w="1422"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rPr>
            </w:pPr>
            <w:r>
              <w:rPr>
                <w:rFonts w:hint="eastAsia" w:ascii="仿宋" w:hAnsi="仿宋" w:eastAsia="仿宋" w:cs="仿宋"/>
                <w:bCs/>
                <w:color w:val="000000"/>
                <w:w w:val="105"/>
                <w:szCs w:val="21"/>
                <w:lang w:val="en-US" w:eastAsia="zh-CN"/>
              </w:rPr>
              <w:t>50,000.00</w:t>
            </w:r>
          </w:p>
        </w:tc>
        <w:tc>
          <w:tcPr>
            <w:tcW w:w="1575"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Cs/>
                <w:color w:val="000000"/>
                <w:w w:val="105"/>
                <w:szCs w:val="21"/>
                <w:lang w:val="en-US" w:eastAsia="zh-CN"/>
              </w:rPr>
            </w:pPr>
            <w:r>
              <w:rPr>
                <w:rFonts w:hint="eastAsia" w:ascii="仿宋" w:hAnsi="仿宋" w:eastAsia="仿宋" w:cs="仿宋"/>
                <w:bCs/>
                <w:color w:val="000000"/>
                <w:w w:val="105"/>
                <w:szCs w:val="21"/>
                <w:lang w:val="en-US" w:eastAsia="zh-CN"/>
              </w:rPr>
              <w:t>59,700.00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jc w:val="center"/>
        </w:trPr>
        <w:tc>
          <w:tcPr>
            <w:tcW w:w="658" w:type="dxa"/>
            <w:shd w:val="clear" w:color="000000" w:fill="auto"/>
            <w:vAlign w:val="center"/>
          </w:tcPr>
          <w:p>
            <w:pPr>
              <w:pageBreakBefore w:val="0"/>
              <w:widowControl/>
              <w:kinsoku/>
              <w:overflowPunct/>
              <w:topLinePunct w:val="0"/>
              <w:autoSpaceDE/>
              <w:autoSpaceDN/>
              <w:bidi w:val="0"/>
              <w:spacing w:line="360" w:lineRule="auto"/>
              <w:jc w:val="center"/>
              <w:rPr>
                <w:rFonts w:hint="default" w:ascii="仿宋" w:hAnsi="仿宋" w:eastAsia="仿宋" w:cs="仿宋"/>
                <w:bCs/>
                <w:color w:val="000000"/>
                <w:w w:val="105"/>
                <w:szCs w:val="21"/>
                <w:lang w:val="en-US" w:eastAsia="zh-CN"/>
              </w:rPr>
            </w:pPr>
            <w:r>
              <w:rPr>
                <w:rFonts w:hint="eastAsia" w:ascii="仿宋" w:hAnsi="仿宋" w:eastAsia="仿宋" w:cs="仿宋"/>
                <w:bCs/>
                <w:color w:val="000000"/>
                <w:w w:val="105"/>
                <w:szCs w:val="21"/>
                <w:lang w:val="en-US" w:eastAsia="zh-CN"/>
              </w:rPr>
              <w:t>3</w:t>
            </w:r>
          </w:p>
        </w:tc>
        <w:tc>
          <w:tcPr>
            <w:tcW w:w="1777"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val="0"/>
                <w:color w:val="000000"/>
                <w:w w:val="105"/>
                <w:szCs w:val="21"/>
              </w:rPr>
            </w:pPr>
            <w:r>
              <w:rPr>
                <w:rFonts w:hint="eastAsia" w:ascii="仿宋" w:hAnsi="仿宋" w:eastAsia="仿宋" w:cs="仿宋"/>
                <w:b/>
                <w:bCs w:val="0"/>
                <w:color w:val="000000"/>
                <w:w w:val="105"/>
                <w:szCs w:val="21"/>
              </w:rPr>
              <w:t>合计：</w:t>
            </w:r>
          </w:p>
        </w:tc>
        <w:tc>
          <w:tcPr>
            <w:tcW w:w="1423"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val="0"/>
                <w:color w:val="000000"/>
                <w:w w:val="105"/>
                <w:szCs w:val="21"/>
              </w:rPr>
            </w:pPr>
            <w:r>
              <w:rPr>
                <w:rFonts w:hint="eastAsia" w:ascii="仿宋" w:hAnsi="仿宋" w:eastAsia="仿宋" w:cs="仿宋"/>
                <w:b/>
                <w:bCs w:val="0"/>
                <w:color w:val="000000"/>
                <w:w w:val="105"/>
                <w:szCs w:val="21"/>
                <w:lang w:val="en-US" w:eastAsia="zh-CN"/>
              </w:rPr>
              <w:t>10,000.00</w:t>
            </w:r>
          </w:p>
        </w:tc>
        <w:tc>
          <w:tcPr>
            <w:tcW w:w="1543"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val="0"/>
                <w:color w:val="000000"/>
                <w:w w:val="105"/>
                <w:szCs w:val="21"/>
              </w:rPr>
            </w:pPr>
            <w:r>
              <w:rPr>
                <w:rFonts w:hint="eastAsia" w:ascii="仿宋" w:hAnsi="仿宋" w:eastAsia="仿宋" w:cs="仿宋"/>
                <w:b/>
                <w:bCs w:val="0"/>
                <w:color w:val="000000"/>
                <w:w w:val="105"/>
                <w:szCs w:val="21"/>
                <w:lang w:val="en-US" w:eastAsia="zh-CN"/>
              </w:rPr>
              <w:t>4,036.34</w:t>
            </w:r>
          </w:p>
        </w:tc>
        <w:tc>
          <w:tcPr>
            <w:tcW w:w="1422"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val="0"/>
                <w:color w:val="000000"/>
                <w:w w:val="105"/>
                <w:szCs w:val="21"/>
              </w:rPr>
            </w:pPr>
            <w:r>
              <w:rPr>
                <w:rFonts w:hint="eastAsia" w:ascii="仿宋" w:hAnsi="仿宋" w:eastAsia="仿宋" w:cs="仿宋"/>
                <w:b/>
                <w:bCs w:val="0"/>
                <w:color w:val="000000"/>
                <w:w w:val="105"/>
                <w:szCs w:val="21"/>
                <w:lang w:val="en-US" w:eastAsia="zh-CN"/>
              </w:rPr>
              <w:t>62,498.29</w:t>
            </w:r>
          </w:p>
        </w:tc>
        <w:tc>
          <w:tcPr>
            <w:tcW w:w="1575" w:type="dxa"/>
            <w:shd w:val="clear" w:color="000000"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val="0"/>
                <w:color w:val="000000"/>
                <w:w w:val="105"/>
                <w:szCs w:val="21"/>
              </w:rPr>
            </w:pPr>
            <w:r>
              <w:rPr>
                <w:rFonts w:hint="eastAsia" w:ascii="仿宋" w:hAnsi="仿宋" w:eastAsia="仿宋" w:cs="仿宋"/>
                <w:b/>
                <w:bCs w:val="0"/>
                <w:color w:val="000000"/>
                <w:w w:val="105"/>
                <w:szCs w:val="21"/>
                <w:lang w:val="en-US" w:eastAsia="zh-CN"/>
              </w:rPr>
              <w:t>76,534.63</w:t>
            </w:r>
          </w:p>
        </w:tc>
      </w:tr>
    </w:tbl>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4、项目预期收益与融资自求平衡情况</w:t>
      </w:r>
    </w:p>
    <w:p>
      <w:pPr>
        <w:pStyle w:val="6"/>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（1）项目收益情况</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本项目在专项债券存续期间有稳定的现金流入，收入主要来源于科研办公出租收入、配套用房出租收入、停车位出租收入、科研办公销售收入、配套用房销售收入等。经测算，债券存续期内，本项目将产生可还款净收益</w:t>
      </w:r>
      <w:r>
        <w:rPr>
          <w:rFonts w:hint="eastAsia" w:ascii="仿宋" w:hAnsi="仿宋" w:eastAsia="仿宋" w:cs="仿宋"/>
          <w:sz w:val="28"/>
          <w:szCs w:val="28"/>
          <w:lang w:val="en-US" w:eastAsia="zh-CN"/>
        </w:rPr>
        <w:t>84,158.58</w:t>
      </w:r>
      <w:r>
        <w:rPr>
          <w:rFonts w:hint="eastAsia" w:ascii="仿宋" w:hAnsi="仿宋" w:eastAsia="仿宋" w:cs="仿宋"/>
          <w:kern w:val="2"/>
          <w:sz w:val="28"/>
          <w:szCs w:val="28"/>
          <w:lang w:val="en-US" w:eastAsia="zh-CN" w:bidi="ar-SA"/>
        </w:rPr>
        <w:t>万元，可覆盖债券存续期间各年的项目投资及债券本息偿还的需求。在项目涉及专项债券本息全部偿还后仍有14,175.47万元期末结余。</w:t>
      </w:r>
    </w:p>
    <w:p>
      <w:pPr>
        <w:pStyle w:val="6"/>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（2）项目融资还本付息情况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kern w:val="2"/>
          <w:sz w:val="28"/>
          <w:szCs w:val="28"/>
          <w:lang w:val="en-US" w:eastAsia="zh-CN" w:bidi="ar-SA"/>
        </w:rPr>
        <w:t>该项目计划使用地方专项债券资金</w:t>
      </w:r>
      <w:r>
        <w:rPr>
          <w:rFonts w:hint="eastAsia" w:ascii="仿宋" w:hAnsi="仿宋" w:cs="仿宋"/>
          <w:kern w:val="2"/>
          <w:sz w:val="28"/>
          <w:szCs w:val="28"/>
          <w:lang w:val="en-US" w:eastAsia="zh-CN" w:bidi="ar-SA"/>
        </w:rPr>
        <w:t>51,900.00</w:t>
      </w:r>
      <w:r>
        <w:rPr>
          <w:rFonts w:hint="eastAsia" w:ascii="仿宋" w:hAnsi="仿宋" w:eastAsia="仿宋" w:cs="仿宋"/>
          <w:kern w:val="2"/>
          <w:sz w:val="28"/>
          <w:szCs w:val="28"/>
          <w:lang w:val="en-US" w:eastAsia="zh-CN" w:bidi="ar-SA"/>
        </w:rPr>
        <w:t>万元，2020年计划发行</w:t>
      </w:r>
      <w:r>
        <w:rPr>
          <w:rFonts w:hint="eastAsia" w:ascii="仿宋" w:hAnsi="仿宋" w:cs="仿宋"/>
          <w:kern w:val="2"/>
          <w:sz w:val="28"/>
          <w:szCs w:val="28"/>
          <w:lang w:val="en-US" w:eastAsia="zh-CN" w:bidi="ar-SA"/>
        </w:rPr>
        <w:t>1,900.00</w:t>
      </w:r>
      <w:r>
        <w:rPr>
          <w:rFonts w:hint="eastAsia" w:ascii="仿宋" w:hAnsi="仿宋" w:eastAsia="仿宋" w:cs="仿宋"/>
          <w:kern w:val="2"/>
          <w:sz w:val="28"/>
          <w:szCs w:val="28"/>
          <w:lang w:val="en-US" w:eastAsia="zh-CN" w:bidi="ar-SA"/>
        </w:rPr>
        <w:t>万元；2021年计划发行</w:t>
      </w:r>
      <w:r>
        <w:rPr>
          <w:rFonts w:hint="eastAsia" w:ascii="仿宋" w:hAnsi="仿宋" w:cs="仿宋"/>
          <w:kern w:val="2"/>
          <w:sz w:val="28"/>
          <w:szCs w:val="28"/>
          <w:lang w:val="en-US" w:eastAsia="zh-CN" w:bidi="ar-SA"/>
        </w:rPr>
        <w:t>50,000.00</w:t>
      </w:r>
      <w:r>
        <w:rPr>
          <w:rFonts w:hint="eastAsia" w:ascii="仿宋" w:hAnsi="仿宋" w:eastAsia="仿宋" w:cs="仿宋"/>
          <w:kern w:val="2"/>
          <w:sz w:val="28"/>
          <w:szCs w:val="28"/>
          <w:lang w:val="en-US" w:eastAsia="zh-CN" w:bidi="ar-SA"/>
        </w:rPr>
        <w:t>万元，以上债券发行期限均为</w:t>
      </w:r>
      <w:r>
        <w:rPr>
          <w:rFonts w:hint="eastAsia" w:ascii="仿宋" w:hAnsi="仿宋" w:cs="仿宋"/>
          <w:kern w:val="2"/>
          <w:sz w:val="28"/>
          <w:szCs w:val="28"/>
          <w:lang w:val="en-US" w:eastAsia="zh-CN" w:bidi="ar-SA"/>
        </w:rPr>
        <w:t>10</w:t>
      </w:r>
      <w:r>
        <w:rPr>
          <w:rFonts w:hint="eastAsia" w:ascii="仿宋" w:hAnsi="仿宋" w:eastAsia="仿宋" w:cs="仿宋"/>
          <w:kern w:val="2"/>
          <w:sz w:val="28"/>
          <w:szCs w:val="28"/>
          <w:lang w:val="en-US" w:eastAsia="zh-CN" w:bidi="ar-SA"/>
        </w:rPr>
        <w:t>年，</w:t>
      </w:r>
      <w:r>
        <w:rPr>
          <w:rFonts w:hint="eastAsia" w:ascii="仿宋" w:hAnsi="仿宋" w:eastAsia="仿宋" w:cs="仿宋"/>
          <w:sz w:val="28"/>
          <w:szCs w:val="28"/>
        </w:rPr>
        <w:t>本期专项债券利率按</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九龙公园地下停车场项目”已发行债券利率3.41%，剩余期限10年</w:t>
      </w:r>
      <w:r>
        <w:rPr>
          <w:rFonts w:hint="eastAsia" w:ascii="仿宋" w:hAnsi="仿宋" w:eastAsia="仿宋" w:cs="仿宋"/>
          <w:sz w:val="28"/>
          <w:szCs w:val="28"/>
        </w:rPr>
        <w:t>进行测算</w:t>
      </w:r>
      <w:r>
        <w:rPr>
          <w:rFonts w:hint="eastAsia" w:ascii="仿宋" w:hAnsi="仿宋" w:eastAsia="仿宋" w:cs="仿宋"/>
          <w:sz w:val="28"/>
          <w:szCs w:val="28"/>
          <w:lang w:eastAsia="zh-CN"/>
        </w:rPr>
        <w:t>。</w:t>
      </w:r>
      <w:r>
        <w:rPr>
          <w:rFonts w:hint="eastAsia" w:ascii="仿宋" w:hAnsi="仿宋" w:eastAsia="仿宋" w:cs="仿宋"/>
          <w:kern w:val="2"/>
          <w:sz w:val="28"/>
          <w:szCs w:val="28"/>
          <w:lang w:val="en-US" w:eastAsia="zh-CN" w:bidi="ar-SA"/>
        </w:rPr>
        <w:t>另外该项目剩余需求金额按本次专项债券利率3.</w:t>
      </w:r>
      <w:r>
        <w:rPr>
          <w:rFonts w:hint="eastAsia" w:ascii="仿宋" w:hAnsi="仿宋" w:cs="仿宋"/>
          <w:kern w:val="2"/>
          <w:sz w:val="28"/>
          <w:szCs w:val="28"/>
          <w:lang w:val="en-US" w:eastAsia="zh-CN" w:bidi="ar-SA"/>
        </w:rPr>
        <w:t>5</w:t>
      </w:r>
      <w:r>
        <w:rPr>
          <w:rFonts w:hint="eastAsia" w:ascii="仿宋" w:hAnsi="仿宋" w:eastAsia="仿宋" w:cs="仿宋"/>
          <w:kern w:val="2"/>
          <w:sz w:val="28"/>
          <w:szCs w:val="28"/>
          <w:lang w:val="en-US" w:eastAsia="zh-CN" w:bidi="ar-SA"/>
        </w:rPr>
        <w:t>0%进行测算，</w:t>
      </w:r>
      <w:r>
        <w:rPr>
          <w:rFonts w:hint="eastAsia" w:ascii="仿宋" w:hAnsi="仿宋" w:eastAsia="仿宋" w:cs="仿宋"/>
          <w:sz w:val="28"/>
          <w:szCs w:val="28"/>
        </w:rPr>
        <w:t>专项债本息合计</w:t>
      </w:r>
      <w:r>
        <w:rPr>
          <w:rFonts w:hint="eastAsia" w:ascii="仿宋" w:hAnsi="仿宋" w:eastAsia="仿宋" w:cs="仿宋"/>
          <w:kern w:val="2"/>
          <w:sz w:val="28"/>
          <w:szCs w:val="28"/>
          <w:lang w:val="en-US" w:eastAsia="zh-CN" w:bidi="ar-SA"/>
        </w:rPr>
        <w:t>79,</w:t>
      </w:r>
      <w:r>
        <w:rPr>
          <w:rFonts w:hint="eastAsia" w:ascii="仿宋" w:hAnsi="仿宋" w:cs="仿宋"/>
          <w:kern w:val="2"/>
          <w:sz w:val="28"/>
          <w:szCs w:val="28"/>
          <w:lang w:val="en-US" w:eastAsia="zh-CN" w:bidi="ar-SA"/>
        </w:rPr>
        <w:t>694</w:t>
      </w:r>
      <w:r>
        <w:rPr>
          <w:rFonts w:hint="eastAsia" w:ascii="仿宋" w:hAnsi="仿宋" w:eastAsia="仿宋" w:cs="仿宋"/>
          <w:kern w:val="2"/>
          <w:sz w:val="28"/>
          <w:szCs w:val="28"/>
          <w:lang w:val="en-US" w:eastAsia="zh-CN" w:bidi="ar-SA"/>
        </w:rPr>
        <w:t>.</w:t>
      </w:r>
      <w:r>
        <w:rPr>
          <w:rFonts w:hint="eastAsia" w:ascii="仿宋" w:hAnsi="仿宋" w:cs="仿宋"/>
          <w:kern w:val="2"/>
          <w:sz w:val="28"/>
          <w:szCs w:val="28"/>
          <w:lang w:val="en-US" w:eastAsia="zh-CN" w:bidi="ar-SA"/>
        </w:rPr>
        <w:t>41</w:t>
      </w:r>
      <w:r>
        <w:rPr>
          <w:rFonts w:hint="eastAsia" w:ascii="仿宋" w:hAnsi="仿宋" w:eastAsia="仿宋" w:cs="仿宋"/>
          <w:sz w:val="28"/>
          <w:szCs w:val="28"/>
        </w:rPr>
        <w:t>万元本项目债券应还本付息情况如下表：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val="0"/>
          <w:sz w:val="28"/>
          <w:szCs w:val="28"/>
        </w:rPr>
      </w:pPr>
    </w:p>
    <w:p>
      <w:pPr>
        <w:pageBreakBefore w:val="0"/>
        <w:kinsoku/>
        <w:overflowPunct/>
        <w:topLinePunct w:val="0"/>
        <w:autoSpaceDE/>
        <w:autoSpaceDN/>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项目还本付息情况表</w:t>
      </w:r>
    </w:p>
    <w:p>
      <w:pPr>
        <w:pageBreakBefore w:val="0"/>
        <w:kinsoku/>
        <w:overflowPunct/>
        <w:topLinePunct w:val="0"/>
        <w:autoSpaceDE/>
        <w:autoSpaceDN/>
        <w:bidi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单位：万元</w:t>
      </w:r>
    </w:p>
    <w:tbl>
      <w:tblPr>
        <w:tblStyle w:val="8"/>
        <w:tblW w:w="9435" w:type="dxa"/>
        <w:jc w:val="center"/>
        <w:tblInd w:w="0" w:type="dxa"/>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339"/>
        <w:gridCol w:w="1340"/>
        <w:gridCol w:w="1340"/>
        <w:gridCol w:w="1340"/>
        <w:gridCol w:w="1340"/>
        <w:gridCol w:w="1340"/>
        <w:gridCol w:w="1396"/>
      </w:tblGrid>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999" w:hRule="atLeast"/>
          <w:jc w:val="center"/>
        </w:trPr>
        <w:tc>
          <w:tcPr>
            <w:tcW w:w="1339"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年度</w:t>
            </w:r>
          </w:p>
        </w:tc>
        <w:tc>
          <w:tcPr>
            <w:tcW w:w="1340"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期初本金余额</w:t>
            </w:r>
          </w:p>
        </w:tc>
        <w:tc>
          <w:tcPr>
            <w:tcW w:w="1340"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本年募集资金</w:t>
            </w:r>
          </w:p>
        </w:tc>
        <w:tc>
          <w:tcPr>
            <w:tcW w:w="1340"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本年偿还本金</w:t>
            </w:r>
          </w:p>
        </w:tc>
        <w:tc>
          <w:tcPr>
            <w:tcW w:w="1340"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期末本金余额</w:t>
            </w:r>
          </w:p>
        </w:tc>
        <w:tc>
          <w:tcPr>
            <w:tcW w:w="1340"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本年应付利息</w:t>
            </w:r>
          </w:p>
        </w:tc>
        <w:tc>
          <w:tcPr>
            <w:tcW w:w="1396" w:type="dxa"/>
            <w:tcMar>
              <w:top w:w="15" w:type="dxa"/>
              <w:left w:w="15" w:type="dxa"/>
              <w:right w:w="15" w:type="dxa"/>
            </w:tcMar>
            <w:vAlign w:val="center"/>
          </w:tcPr>
          <w:p>
            <w:pPr>
              <w:pageBreakBefore w:val="0"/>
              <w:widowControl/>
              <w:kinsoku/>
              <w:overflowPunct/>
              <w:topLinePunct w:val="0"/>
              <w:autoSpaceDE/>
              <w:autoSpaceDN/>
              <w:bidi w:val="0"/>
              <w:spacing w:line="360" w:lineRule="auto"/>
              <w:jc w:val="center"/>
              <w:textAlignment w:val="center"/>
              <w:rPr>
                <w:rFonts w:hint="eastAsia" w:ascii="仿宋" w:hAnsi="仿宋" w:eastAsia="仿宋" w:cs="仿宋"/>
                <w:b/>
                <w:color w:val="000000"/>
                <w:szCs w:val="21"/>
              </w:rPr>
            </w:pPr>
            <w:r>
              <w:rPr>
                <w:rFonts w:hint="eastAsia" w:ascii="仿宋" w:hAnsi="仿宋" w:eastAsia="仿宋" w:cs="仿宋"/>
                <w:b/>
                <w:color w:val="000000"/>
                <w:szCs w:val="21"/>
              </w:rPr>
              <w:t>本年还本付息合计</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2020年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7,800.00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1,900.00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307.10</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307.10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2021年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50,000.00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59,700.00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1,246.89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1,246.89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2022年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59,700.00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59,700.00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2,121.89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2,121.89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2023年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59,700.00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57,700.00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2,121.89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4,121.89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2024年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57,700.00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57,700.00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2,046.89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2,046.89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2025年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57,700.00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4,000.00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53,700.00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2,046.89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6,046.89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2026年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53,700.00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53,700.00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1,887.69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1,887.69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sz w:val="21"/>
                <w:szCs w:val="21"/>
              </w:rPr>
            </w:pPr>
            <w:r>
              <w:rPr>
                <w:rFonts w:hint="eastAsia" w:ascii="仿宋" w:hAnsi="仿宋" w:eastAsia="仿宋" w:cs="仿宋"/>
                <w:i w:val="0"/>
                <w:color w:val="000000"/>
                <w:kern w:val="0"/>
                <w:sz w:val="21"/>
                <w:szCs w:val="21"/>
                <w:u w:val="none"/>
                <w:lang w:val="en-US" w:eastAsia="zh-CN" w:bidi="ar"/>
              </w:rPr>
              <w:t>2027年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53,700.00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53,700.00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1,887.69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1,887.69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sz w:val="21"/>
                <w:szCs w:val="21"/>
              </w:rPr>
            </w:pPr>
            <w:r>
              <w:rPr>
                <w:rFonts w:hint="eastAsia" w:ascii="仿宋" w:hAnsi="仿宋" w:eastAsia="仿宋" w:cs="仿宋"/>
                <w:i w:val="0"/>
                <w:color w:val="000000"/>
                <w:kern w:val="0"/>
                <w:sz w:val="21"/>
                <w:szCs w:val="21"/>
                <w:u w:val="none"/>
                <w:lang w:val="en-US" w:eastAsia="zh-CN" w:bidi="ar"/>
              </w:rPr>
              <w:t>2028年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53,700.00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51,900.00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1,887.69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3,687.69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sz w:val="21"/>
                <w:szCs w:val="21"/>
              </w:rPr>
            </w:pPr>
            <w:r>
              <w:rPr>
                <w:rFonts w:hint="eastAsia" w:ascii="仿宋" w:hAnsi="仿宋" w:eastAsia="仿宋" w:cs="仿宋"/>
                <w:i w:val="0"/>
                <w:color w:val="000000"/>
                <w:kern w:val="0"/>
                <w:sz w:val="21"/>
                <w:szCs w:val="21"/>
                <w:u w:val="none"/>
                <w:lang w:val="en-US" w:eastAsia="zh-CN" w:bidi="ar"/>
              </w:rPr>
              <w:t>2029年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51,900.00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1,900.00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50,000.00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1,814.79</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3,714.79</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sz w:val="21"/>
                <w:szCs w:val="21"/>
              </w:rPr>
            </w:pPr>
            <w:r>
              <w:rPr>
                <w:rFonts w:hint="eastAsia" w:ascii="仿宋" w:hAnsi="仿宋" w:eastAsia="仿宋" w:cs="仿宋"/>
                <w:i w:val="0"/>
                <w:color w:val="000000"/>
                <w:kern w:val="0"/>
                <w:sz w:val="21"/>
                <w:szCs w:val="21"/>
                <w:u w:val="none"/>
                <w:lang w:val="en-US" w:eastAsia="zh-CN" w:bidi="ar"/>
              </w:rPr>
              <w:t>2030年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50,000.00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50,000.00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1,750.00</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1,750.00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87"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sz w:val="21"/>
                <w:szCs w:val="21"/>
              </w:rPr>
            </w:pPr>
            <w:r>
              <w:rPr>
                <w:rFonts w:hint="eastAsia" w:ascii="仿宋" w:hAnsi="仿宋" w:eastAsia="仿宋" w:cs="仿宋"/>
                <w:i w:val="0"/>
                <w:color w:val="000000"/>
                <w:kern w:val="0"/>
                <w:sz w:val="21"/>
                <w:szCs w:val="21"/>
                <w:u w:val="none"/>
                <w:lang w:val="en-US" w:eastAsia="zh-CN" w:bidi="ar"/>
              </w:rPr>
              <w:t>2031年</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50,000.00</w:t>
            </w:r>
          </w:p>
        </w:tc>
        <w:tc>
          <w:tcPr>
            <w:tcW w:w="1340" w:type="dxa"/>
            <w:tcMar>
              <w:top w:w="15" w:type="dxa"/>
              <w:left w:w="15" w:type="dxa"/>
              <w:right w:w="15" w:type="dxa"/>
            </w:tcMar>
            <w:vAlign w:val="center"/>
          </w:tcPr>
          <w:p>
            <w:pPr>
              <w:jc w:val="center"/>
              <w:rPr>
                <w:rFonts w:hint="eastAsia" w:ascii="仿宋" w:hAnsi="仿宋" w:eastAsia="仿宋" w:cs="仿宋"/>
                <w:i w:val="0"/>
                <w:color w:val="000000"/>
                <w:kern w:val="0"/>
                <w:sz w:val="21"/>
                <w:szCs w:val="21"/>
                <w:u w:val="none"/>
                <w:lang w:val="en-US" w:eastAsia="zh-CN" w:bidi="ar"/>
              </w:rPr>
            </w:pP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50,000.00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0.00</w:t>
            </w:r>
          </w:p>
        </w:tc>
        <w:tc>
          <w:tcPr>
            <w:tcW w:w="1340"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875.00</w:t>
            </w:r>
          </w:p>
        </w:tc>
        <w:tc>
          <w:tcPr>
            <w:tcW w:w="1396"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50,875.00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632" w:hRule="atLeast"/>
          <w:jc w:val="center"/>
        </w:trPr>
        <w:tc>
          <w:tcPr>
            <w:tcW w:w="1339" w:type="dxa"/>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sz w:val="21"/>
                <w:szCs w:val="21"/>
              </w:rPr>
            </w:pPr>
            <w:r>
              <w:rPr>
                <w:rFonts w:hint="eastAsia" w:ascii="仿宋" w:hAnsi="仿宋" w:eastAsia="仿宋" w:cs="仿宋"/>
                <w:b/>
                <w:i w:val="0"/>
                <w:color w:val="000000"/>
                <w:kern w:val="0"/>
                <w:sz w:val="21"/>
                <w:szCs w:val="21"/>
                <w:u w:val="none"/>
                <w:lang w:val="en-US" w:eastAsia="zh-CN" w:bidi="ar"/>
              </w:rPr>
              <w:t>合计</w:t>
            </w:r>
          </w:p>
        </w:tc>
        <w:tc>
          <w:tcPr>
            <w:tcW w:w="1340" w:type="dxa"/>
            <w:tcMar>
              <w:top w:w="15" w:type="dxa"/>
              <w:left w:w="15" w:type="dxa"/>
              <w:right w:w="15" w:type="dxa"/>
            </w:tcMar>
            <w:vAlign w:val="center"/>
          </w:tcPr>
          <w:p>
            <w:pPr>
              <w:jc w:val="center"/>
              <w:rPr>
                <w:rFonts w:hint="eastAsia" w:ascii="仿宋" w:hAnsi="仿宋" w:eastAsia="仿宋" w:cs="仿宋"/>
                <w:b/>
                <w:sz w:val="21"/>
                <w:szCs w:val="21"/>
              </w:rPr>
            </w:pPr>
          </w:p>
        </w:tc>
        <w:tc>
          <w:tcPr>
            <w:tcW w:w="1340" w:type="dxa"/>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51,900.00</w:t>
            </w:r>
          </w:p>
        </w:tc>
        <w:tc>
          <w:tcPr>
            <w:tcW w:w="1340" w:type="dxa"/>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59,700.00</w:t>
            </w:r>
          </w:p>
        </w:tc>
        <w:tc>
          <w:tcPr>
            <w:tcW w:w="1340" w:type="dxa"/>
            <w:tcMar>
              <w:top w:w="15" w:type="dxa"/>
              <w:left w:w="15" w:type="dxa"/>
              <w:right w:w="15" w:type="dxa"/>
            </w:tcMar>
            <w:vAlign w:val="bottom"/>
          </w:tcPr>
          <w:p>
            <w:pPr>
              <w:jc w:val="center"/>
              <w:rPr>
                <w:rFonts w:hint="eastAsia" w:ascii="仿宋" w:hAnsi="仿宋" w:eastAsia="仿宋" w:cs="仿宋"/>
                <w:b/>
                <w:i w:val="0"/>
                <w:color w:val="000000"/>
                <w:kern w:val="0"/>
                <w:sz w:val="21"/>
                <w:szCs w:val="21"/>
                <w:u w:val="none"/>
                <w:lang w:val="en-US" w:eastAsia="zh-CN" w:bidi="ar"/>
              </w:rPr>
            </w:pPr>
          </w:p>
        </w:tc>
        <w:tc>
          <w:tcPr>
            <w:tcW w:w="1340" w:type="dxa"/>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19,994.41</w:t>
            </w:r>
          </w:p>
        </w:tc>
        <w:tc>
          <w:tcPr>
            <w:tcW w:w="1396" w:type="dxa"/>
            <w:tcMar>
              <w:top w:w="15" w:type="dxa"/>
              <w:left w:w="15" w:type="dxa"/>
              <w:right w:w="15" w:type="dxa"/>
            </w:tcMar>
            <w:vAlign w:val="bottom"/>
          </w:tcPr>
          <w:p>
            <w:pPr>
              <w:keepNext w:val="0"/>
              <w:keepLines w:val="0"/>
              <w:widowControl/>
              <w:suppressLineNumbers w:val="0"/>
              <w:jc w:val="center"/>
              <w:textAlignment w:val="bottom"/>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79,694.41</w:t>
            </w:r>
          </w:p>
        </w:tc>
      </w:tr>
    </w:tbl>
    <w:p>
      <w:pPr>
        <w:pStyle w:val="6"/>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w:t>
      </w:r>
      <w:r>
        <w:rPr>
          <w:rFonts w:hint="eastAsia" w:ascii="仿宋" w:hAnsi="仿宋" w:eastAsia="仿宋" w:cs="仿宋"/>
          <w:kern w:val="2"/>
          <w:sz w:val="28"/>
          <w:szCs w:val="28"/>
          <w:lang w:val="en-US" w:eastAsia="zh-CN" w:bidi="ar-SA"/>
        </w:rPr>
        <w:t>漳州科技园项目</w:t>
      </w:r>
      <w:r>
        <w:rPr>
          <w:rFonts w:hint="eastAsia" w:ascii="仿宋" w:hAnsi="仿宋" w:eastAsia="仿宋" w:cs="仿宋"/>
          <w:sz w:val="28"/>
          <w:szCs w:val="28"/>
        </w:rPr>
        <w:t>债券资金覆盖率可以达到</w:t>
      </w:r>
      <w:r>
        <w:rPr>
          <w:rFonts w:hint="eastAsia" w:ascii="仿宋" w:hAnsi="仿宋" w:eastAsia="仿宋" w:cs="仿宋"/>
          <w:sz w:val="28"/>
          <w:szCs w:val="28"/>
          <w:lang w:val="en-US" w:eastAsia="zh-CN"/>
        </w:rPr>
        <w:t>1.20</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pStyle w:val="2"/>
        <w:rPr>
          <w:rFonts w:hint="eastAsia"/>
        </w:rPr>
      </w:pPr>
    </w:p>
    <w:p>
      <w:pPr>
        <w:autoSpaceDE w:val="0"/>
        <w:autoSpaceDN w:val="0"/>
        <w:adjustRightInd w:val="0"/>
        <w:spacing w:line="360" w:lineRule="auto"/>
        <w:ind w:firstLine="560" w:firstLineChars="200"/>
        <w:rPr>
          <w:rFonts w:ascii="仿宋" w:hAnsi="仿宋" w:eastAsia="仿宋" w:cs="Times New Roman"/>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7"/>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F04E9C"/>
    <w:rsid w:val="020E78CF"/>
    <w:rsid w:val="0690320E"/>
    <w:rsid w:val="091F5571"/>
    <w:rsid w:val="20EF2961"/>
    <w:rsid w:val="22837B15"/>
    <w:rsid w:val="253B6E8F"/>
    <w:rsid w:val="2A285915"/>
    <w:rsid w:val="2AD309BF"/>
    <w:rsid w:val="2C4C18FE"/>
    <w:rsid w:val="2D3D39B4"/>
    <w:rsid w:val="31D4507B"/>
    <w:rsid w:val="32A448F2"/>
    <w:rsid w:val="38963B91"/>
    <w:rsid w:val="45E828DB"/>
    <w:rsid w:val="49ED0EBE"/>
    <w:rsid w:val="4BF800AD"/>
    <w:rsid w:val="4C9D10D3"/>
    <w:rsid w:val="50D44E39"/>
    <w:rsid w:val="5C864977"/>
    <w:rsid w:val="600A7D07"/>
    <w:rsid w:val="69EE08D7"/>
    <w:rsid w:val="6AF00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4">
    <w:name w:val="heading 2"/>
    <w:basedOn w:val="1"/>
    <w:next w:val="5"/>
    <w:unhideWhenUsed/>
    <w:qFormat/>
    <w:uiPriority w:val="9"/>
    <w:pPr>
      <w:keepNext/>
      <w:keepLines/>
      <w:spacing w:before="120" w:after="120"/>
      <w:outlineLvl w:val="1"/>
    </w:pPr>
    <w:rPr>
      <w:rFonts w:ascii="Arial" w:hAnsi="Arial" w:eastAsia="仿宋"/>
      <w:b/>
      <w:sz w:val="28"/>
      <w:szCs w:val="20"/>
    </w:rPr>
  </w:style>
  <w:style w:type="paragraph" w:styleId="2">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0">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unhideWhenUsed/>
    <w:qFormat/>
    <w:uiPriority w:val="99"/>
    <w:pPr>
      <w:ind w:firstLine="420" w:firstLineChars="200"/>
    </w:pPr>
  </w:style>
  <w:style w:type="paragraph" w:styleId="7">
    <w:name w:val="footer"/>
    <w:basedOn w:val="1"/>
    <w:unhideWhenUsed/>
    <w:qFormat/>
    <w:uiPriority w:val="99"/>
    <w:pPr>
      <w:tabs>
        <w:tab w:val="center" w:pos="4153"/>
        <w:tab w:val="right" w:pos="8306"/>
      </w:tabs>
      <w:snapToGrid w:val="0"/>
      <w:jc w:val="left"/>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报告正文"/>
    <w:basedOn w:val="1"/>
    <w:qFormat/>
    <w:uiPriority w:val="0"/>
    <w:pPr>
      <w:spacing w:before="124" w:beforeLines="40" w:after="124" w:afterLines="40" w:line="300" w:lineRule="auto"/>
      <w:ind w:firstLine="420" w:firstLineChars="200"/>
      <w:textAlignment w:val="center"/>
    </w:pPr>
    <w:rPr>
      <w:rFonts w:ascii="Verdana" w:hAnsi="Verdana"/>
      <w:szCs w:val="20"/>
    </w:rPr>
  </w:style>
  <w:style w:type="paragraph" w:customStyle="1" w:styleId="12">
    <w:name w:val="a正文"/>
    <w:basedOn w:val="1"/>
    <w:qFormat/>
    <w:uiPriority w:val="99"/>
    <w:pPr>
      <w:spacing w:line="560" w:lineRule="exact"/>
      <w:ind w:firstLine="200" w:firstLineChars="200"/>
      <w:jc w:val="left"/>
    </w:pPr>
    <w:rPr>
      <w:rFonts w:eastAsia="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陈强</cp:lastModifiedBy>
  <dcterms:modified xsi:type="dcterms:W3CDTF">2020-11-18T06:41:47Z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