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20</w:t>
      </w:r>
      <w:r>
        <w:rPr>
          <w:rFonts w:hint="eastAsia" w:ascii="仿宋" w:hAnsi="仿宋" w:eastAsia="仿宋" w:cs="仿宋"/>
          <w:b/>
          <w:sz w:val="32"/>
          <w:szCs w:val="32"/>
          <w:lang w:val="en-US" w:eastAsia="zh-CN"/>
        </w:rPr>
        <w:t>19</w:t>
      </w:r>
      <w:r>
        <w:rPr>
          <w:rFonts w:hint="eastAsia" w:ascii="仿宋" w:hAnsi="仿宋" w:eastAsia="仿宋" w:cs="仿宋"/>
          <w:b/>
          <w:sz w:val="32"/>
          <w:szCs w:val="32"/>
          <w:lang w:val="en-US" w:eastAsia="zh-CN"/>
        </w:rPr>
        <w:t>年福建省政府专项债券（</w:t>
      </w:r>
      <w:r>
        <w:rPr>
          <w:rFonts w:hint="eastAsia" w:ascii="仿宋" w:hAnsi="仿宋" w:eastAsia="仿宋" w:cs="仿宋"/>
          <w:b/>
          <w:sz w:val="32"/>
          <w:szCs w:val="32"/>
          <w:lang w:val="en-US" w:eastAsia="zh-CN"/>
        </w:rPr>
        <w:t>六</w:t>
      </w:r>
      <w:r>
        <w:rPr>
          <w:rFonts w:hint="eastAsia" w:ascii="仿宋" w:hAnsi="仿宋" w:eastAsia="仿宋" w:cs="仿宋"/>
          <w:b/>
          <w:sz w:val="32"/>
          <w:szCs w:val="32"/>
          <w:lang w:val="en-US" w:eastAsia="zh-CN"/>
        </w:rPr>
        <w:t>期）</w:t>
      </w:r>
    </w:p>
    <w:p>
      <w:pPr>
        <w:spacing w:line="360" w:lineRule="auto"/>
        <w:jc w:val="center"/>
        <w:rPr>
          <w:rFonts w:hint="default" w:ascii="仿宋" w:hAnsi="仿宋" w:eastAsia="仿宋" w:cs="仿宋"/>
          <w:b/>
          <w:sz w:val="32"/>
          <w:szCs w:val="32"/>
          <w:lang w:val="en-US" w:eastAsia="zh-CN"/>
        </w:rPr>
      </w:pPr>
      <w:r>
        <w:rPr>
          <w:rFonts w:hint="eastAsia" w:ascii="仿宋" w:hAnsi="仿宋" w:eastAsia="仿宋" w:cs="仿宋"/>
          <w:b/>
          <w:sz w:val="32"/>
          <w:szCs w:val="32"/>
          <w:lang w:val="en-US" w:eastAsia="zh-CN"/>
        </w:rPr>
        <w:t>之漳州市项目调整情况说明</w:t>
      </w:r>
    </w:p>
    <w:p>
      <w:pPr>
        <w:spacing w:line="360" w:lineRule="auto"/>
        <w:rPr>
          <w:rFonts w:ascii="仿宋" w:hAnsi="仿宋" w:eastAsia="仿宋" w:cs="仿宋"/>
          <w:sz w:val="28"/>
          <w:szCs w:val="28"/>
        </w:rPr>
      </w:pPr>
    </w:p>
    <w:p>
      <w:pPr>
        <w:spacing w:line="360" w:lineRule="auto"/>
        <w:ind w:firstLine="560" w:firstLineChars="200"/>
        <w:rPr>
          <w:rFonts w:hint="default" w:ascii="仿宋" w:hAnsi="仿宋" w:eastAsia="仿宋" w:cs="仿宋"/>
          <w:sz w:val="28"/>
          <w:szCs w:val="28"/>
          <w:lang w:val="en-US"/>
        </w:rPr>
      </w:pPr>
      <w:r>
        <w:rPr>
          <w:rFonts w:hint="eastAsia" w:ascii="仿宋" w:hAnsi="仿宋" w:eastAsia="仿宋" w:cs="仿宋"/>
          <w:color w:val="auto"/>
          <w:sz w:val="28"/>
          <w:szCs w:val="28"/>
        </w:rPr>
        <w:t>20</w:t>
      </w:r>
      <w:r>
        <w:rPr>
          <w:rFonts w:hint="eastAsia" w:ascii="仿宋" w:hAnsi="仿宋" w:eastAsia="仿宋" w:cs="仿宋"/>
          <w:color w:val="auto"/>
          <w:sz w:val="28"/>
          <w:szCs w:val="28"/>
          <w:lang w:val="en-US" w:eastAsia="zh-CN"/>
        </w:rPr>
        <w:t>19</w:t>
      </w:r>
      <w:r>
        <w:rPr>
          <w:rFonts w:hint="eastAsia" w:ascii="仿宋" w:hAnsi="仿宋" w:eastAsia="仿宋" w:cs="仿宋"/>
          <w:color w:val="auto"/>
          <w:sz w:val="28"/>
          <w:szCs w:val="28"/>
        </w:rPr>
        <w:t>年福建省政府专项债券（</w:t>
      </w:r>
      <w:r>
        <w:rPr>
          <w:rFonts w:hint="eastAsia" w:ascii="仿宋" w:hAnsi="仿宋" w:eastAsia="仿宋" w:cs="仿宋"/>
          <w:color w:val="auto"/>
          <w:sz w:val="28"/>
          <w:szCs w:val="28"/>
          <w:lang w:eastAsia="zh-CN"/>
        </w:rPr>
        <w:t>六</w:t>
      </w:r>
      <w:r>
        <w:rPr>
          <w:rFonts w:hint="eastAsia" w:ascii="仿宋" w:hAnsi="仿宋" w:eastAsia="仿宋" w:cs="仿宋"/>
          <w:color w:val="auto"/>
          <w:sz w:val="28"/>
          <w:szCs w:val="28"/>
        </w:rPr>
        <w:t>期）</w:t>
      </w:r>
      <w:r>
        <w:rPr>
          <w:rFonts w:hint="eastAsia" w:ascii="仿宋" w:hAnsi="仿宋" w:eastAsia="仿宋" w:cs="仿宋"/>
          <w:color w:val="auto"/>
          <w:sz w:val="28"/>
          <w:szCs w:val="28"/>
          <w:lang w:val="en-US" w:eastAsia="zh-CN"/>
        </w:rPr>
        <w:t>中</w:t>
      </w:r>
      <w:r>
        <w:rPr>
          <w:rFonts w:hint="eastAsia" w:ascii="仿宋" w:hAnsi="仿宋" w:eastAsia="仿宋" w:cs="仿宋"/>
          <w:sz w:val="28"/>
          <w:szCs w:val="28"/>
          <w:lang w:val="en-US" w:eastAsia="zh-CN"/>
        </w:rPr>
        <w:t>“南部污水处理厂项目”</w:t>
      </w:r>
      <w:r>
        <w:rPr>
          <w:rFonts w:hint="eastAsia" w:ascii="仿宋" w:hAnsi="仿宋" w:eastAsia="仿宋" w:cs="仿宋"/>
          <w:sz w:val="28"/>
          <w:szCs w:val="28"/>
        </w:rPr>
        <w:t>发行</w:t>
      </w:r>
      <w:r>
        <w:rPr>
          <w:rFonts w:hint="eastAsia" w:ascii="仿宋" w:hAnsi="仿宋" w:eastAsia="仿宋" w:cs="仿宋"/>
          <w:sz w:val="28"/>
          <w:szCs w:val="28"/>
          <w:lang w:val="en-US" w:eastAsia="zh-CN"/>
        </w:rPr>
        <w:t>债券金额0.3</w:t>
      </w:r>
      <w:r>
        <w:rPr>
          <w:rFonts w:hint="eastAsia" w:ascii="仿宋" w:hAnsi="仿宋" w:eastAsia="仿宋" w:cs="仿宋"/>
          <w:sz w:val="28"/>
          <w:szCs w:val="28"/>
        </w:rPr>
        <w:t>亿元</w:t>
      </w:r>
      <w:r>
        <w:rPr>
          <w:rFonts w:hint="eastAsia" w:ascii="仿宋" w:hAnsi="仿宋" w:eastAsia="仿宋" w:cs="仿宋"/>
          <w:sz w:val="28"/>
          <w:szCs w:val="28"/>
          <w:lang w:val="en-US" w:eastAsia="zh-CN"/>
        </w:rPr>
        <w:t>、“北部污水处理厂项目”</w:t>
      </w:r>
      <w:r>
        <w:rPr>
          <w:rFonts w:hint="eastAsia" w:ascii="仿宋" w:hAnsi="仿宋" w:eastAsia="仿宋" w:cs="仿宋"/>
          <w:sz w:val="28"/>
          <w:szCs w:val="28"/>
        </w:rPr>
        <w:t>发行</w:t>
      </w:r>
      <w:r>
        <w:rPr>
          <w:rFonts w:hint="eastAsia" w:ascii="仿宋" w:hAnsi="仿宋" w:eastAsia="仿宋" w:cs="仿宋"/>
          <w:sz w:val="28"/>
          <w:szCs w:val="28"/>
          <w:lang w:val="en-US" w:eastAsia="zh-CN"/>
        </w:rPr>
        <w:t>债券金额0.3</w:t>
      </w:r>
      <w:r>
        <w:rPr>
          <w:rFonts w:hint="eastAsia" w:ascii="仿宋" w:hAnsi="仿宋" w:eastAsia="仿宋" w:cs="仿宋"/>
          <w:sz w:val="28"/>
          <w:szCs w:val="28"/>
        </w:rPr>
        <w:t>亿元，期限</w:t>
      </w:r>
      <w:r>
        <w:rPr>
          <w:rFonts w:hint="eastAsia" w:ascii="仿宋" w:hAnsi="仿宋" w:eastAsia="仿宋" w:cs="仿宋"/>
          <w:sz w:val="28"/>
          <w:szCs w:val="28"/>
          <w:lang w:eastAsia="zh-CN"/>
        </w:rPr>
        <w:t>均</w:t>
      </w:r>
      <w:r>
        <w:rPr>
          <w:rFonts w:hint="eastAsia" w:ascii="仿宋" w:hAnsi="仿宋" w:eastAsia="仿宋" w:cs="仿宋"/>
          <w:sz w:val="28"/>
          <w:szCs w:val="28"/>
          <w:lang w:val="en-US" w:eastAsia="zh-CN"/>
        </w:rPr>
        <w:t>10</w:t>
      </w:r>
      <w:r>
        <w:rPr>
          <w:rFonts w:hint="eastAsia" w:ascii="仿宋" w:hAnsi="仿宋" w:eastAsia="仿宋" w:cs="仿宋"/>
          <w:sz w:val="28"/>
          <w:szCs w:val="28"/>
        </w:rPr>
        <w:t>年，</w:t>
      </w:r>
      <w:r>
        <w:rPr>
          <w:rFonts w:hint="eastAsia" w:ascii="仿宋" w:hAnsi="仿宋" w:eastAsia="仿宋" w:cs="仿宋"/>
          <w:sz w:val="28"/>
          <w:szCs w:val="28"/>
          <w:lang w:val="en-US" w:eastAsia="zh-CN"/>
        </w:rPr>
        <w:t>因原项目业主变更，故将“南部污水处理厂项目”和“北部污水处理厂项目”发债金额合计0.6亿元调整用于“</w:t>
      </w:r>
      <w:r>
        <w:rPr>
          <w:rFonts w:hint="eastAsia" w:ascii="仿宋" w:hAnsi="仿宋" w:eastAsia="仿宋" w:cs="仿宋"/>
          <w:sz w:val="28"/>
          <w:szCs w:val="28"/>
        </w:rPr>
        <w:t>古雷石化园区电力管廊及公共配套项目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w:t>
      </w:r>
    </w:p>
    <w:p>
      <w:pPr>
        <w:pStyle w:val="3"/>
        <w:numPr>
          <w:ilvl w:val="0"/>
          <w:numId w:val="1"/>
        </w:numPr>
        <w:spacing w:line="360" w:lineRule="auto"/>
        <w:ind w:firstLine="562" w:firstLineChars="200"/>
      </w:pPr>
      <w:r>
        <w:rPr>
          <w:rFonts w:hint="eastAsia" w:ascii="仿宋" w:hAnsi="仿宋" w:cs="仿宋"/>
        </w:rPr>
        <w:t>资金投向说</w:t>
      </w:r>
      <w:r>
        <w:rPr>
          <w:rFonts w:hint="eastAsia" w:ascii="仿宋" w:hAnsi="仿宋" w:cs="仿宋"/>
          <w:lang w:val="en-US" w:eastAsia="zh-CN"/>
        </w:rPr>
        <w:t>明</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本次</w:t>
      </w:r>
      <w:r>
        <w:rPr>
          <w:rFonts w:hint="eastAsia" w:ascii="仿宋" w:hAnsi="仿宋" w:eastAsia="仿宋" w:cs="仿宋"/>
          <w:sz w:val="28"/>
          <w:szCs w:val="28"/>
        </w:rPr>
        <w:t>专项债券资金拟使用规模情况如下：</w:t>
      </w:r>
    </w:p>
    <w:tbl>
      <w:tblPr>
        <w:tblStyle w:val="9"/>
        <w:tblW w:w="90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065"/>
        <w:gridCol w:w="1319"/>
        <w:gridCol w:w="1319"/>
        <w:gridCol w:w="2217"/>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jc w:val="center"/>
        </w:trPr>
        <w:tc>
          <w:tcPr>
            <w:tcW w:w="1328"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调整债券名称</w:t>
            </w:r>
          </w:p>
        </w:tc>
        <w:tc>
          <w:tcPr>
            <w:tcW w:w="1065"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原项目</w:t>
            </w:r>
          </w:p>
        </w:tc>
        <w:tc>
          <w:tcPr>
            <w:tcW w:w="1319"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调整后项目</w:t>
            </w:r>
          </w:p>
        </w:tc>
        <w:tc>
          <w:tcPr>
            <w:tcW w:w="1319"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项目总投资（万元）</w:t>
            </w:r>
          </w:p>
        </w:tc>
        <w:tc>
          <w:tcPr>
            <w:tcW w:w="2217"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拟调整专项债金额</w:t>
            </w:r>
            <w:r>
              <w:rPr>
                <w:rFonts w:hint="eastAsia" w:ascii="仿宋" w:hAnsi="仿宋" w:eastAsia="仿宋" w:cs="仿宋"/>
                <w:b/>
                <w:sz w:val="24"/>
                <w:szCs w:val="24"/>
              </w:rPr>
              <w:t>（万元）</w:t>
            </w:r>
          </w:p>
        </w:tc>
        <w:tc>
          <w:tcPr>
            <w:tcW w:w="1800"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项目实施方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jc w:val="center"/>
        </w:trPr>
        <w:tc>
          <w:tcPr>
            <w:tcW w:w="1328"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2019年福建省政府专项债券（六期）</w:t>
            </w:r>
          </w:p>
          <w:p>
            <w:pPr>
              <w:widowControl/>
              <w:jc w:val="left"/>
              <w:textAlignment w:val="center"/>
              <w:rPr>
                <w:rFonts w:hint="default" w:ascii="仿宋" w:hAnsi="仿宋" w:eastAsia="仿宋" w:cs="仿宋"/>
                <w:sz w:val="24"/>
                <w:szCs w:val="24"/>
                <w:lang w:val="en-US" w:eastAsia="zh-CN"/>
              </w:rPr>
            </w:pPr>
          </w:p>
        </w:tc>
        <w:tc>
          <w:tcPr>
            <w:tcW w:w="1065" w:type="dxa"/>
            <w:vAlign w:val="center"/>
          </w:tcPr>
          <w:p>
            <w:pPr>
              <w:widowControl/>
              <w:jc w:val="left"/>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南部污水处理厂</w:t>
            </w:r>
          </w:p>
        </w:tc>
        <w:tc>
          <w:tcPr>
            <w:tcW w:w="1319" w:type="dxa"/>
            <w:vAlign w:val="center"/>
          </w:tcPr>
          <w:p>
            <w:pPr>
              <w:widowControl/>
              <w:jc w:val="left"/>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古雷石化园区电力管廊及公共配套项目</w:t>
            </w:r>
          </w:p>
        </w:tc>
        <w:tc>
          <w:tcPr>
            <w:tcW w:w="1319" w:type="dxa"/>
            <w:vAlign w:val="center"/>
          </w:tcPr>
          <w:p>
            <w:pPr>
              <w:spacing w:line="360" w:lineRule="auto"/>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336001</w:t>
            </w:r>
          </w:p>
        </w:tc>
        <w:tc>
          <w:tcPr>
            <w:tcW w:w="2217" w:type="dxa"/>
            <w:vAlign w:val="center"/>
          </w:tcPr>
          <w:p>
            <w:pPr>
              <w:widowControl/>
              <w:jc w:val="right"/>
              <w:textAlignment w:val="center"/>
              <w:rPr>
                <w:rFonts w:hint="eastAsia" w:ascii="仿宋" w:hAnsi="仿宋" w:eastAsia="仿宋" w:cs="仿宋"/>
                <w:color w:val="000000"/>
                <w:sz w:val="22"/>
                <w:lang w:eastAsia="zh-CN"/>
              </w:rPr>
            </w:pPr>
            <w:r>
              <w:rPr>
                <w:rFonts w:hint="eastAsia" w:ascii="仿宋" w:hAnsi="仿宋" w:eastAsia="仿宋" w:cs="仿宋"/>
                <w:color w:val="000000"/>
                <w:sz w:val="22"/>
                <w:lang w:val="en-US" w:eastAsia="zh-CN"/>
              </w:rPr>
              <w:t>3000</w:t>
            </w:r>
          </w:p>
        </w:tc>
        <w:tc>
          <w:tcPr>
            <w:tcW w:w="1800" w:type="dxa"/>
            <w:vAlign w:val="center"/>
          </w:tcPr>
          <w:p>
            <w:pPr>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漳州市古雷港建设开发有限公司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jc w:val="center"/>
        </w:trPr>
        <w:tc>
          <w:tcPr>
            <w:tcW w:w="1328"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2019年福建省政府专项债券（六期）</w:t>
            </w:r>
          </w:p>
        </w:tc>
        <w:tc>
          <w:tcPr>
            <w:tcW w:w="1065" w:type="dxa"/>
            <w:vAlign w:val="center"/>
          </w:tcPr>
          <w:p>
            <w:pPr>
              <w:widowControl/>
              <w:jc w:val="left"/>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北部污水处理厂</w:t>
            </w:r>
          </w:p>
        </w:tc>
        <w:tc>
          <w:tcPr>
            <w:tcW w:w="1319" w:type="dxa"/>
            <w:vAlign w:val="center"/>
          </w:tcPr>
          <w:p>
            <w:pPr>
              <w:widowControl/>
              <w:jc w:val="left"/>
              <w:textAlignment w:val="center"/>
              <w:rPr>
                <w:rFonts w:hint="eastAsia" w:ascii="仿宋" w:hAnsi="仿宋" w:eastAsia="仿宋" w:cs="仿宋"/>
                <w:sz w:val="24"/>
                <w:szCs w:val="24"/>
                <w:lang w:val="en-US" w:eastAsia="zh-CN"/>
              </w:rPr>
            </w:pPr>
            <w:r>
              <w:rPr>
                <w:rFonts w:hint="default" w:ascii="仿宋" w:hAnsi="仿宋" w:eastAsia="仿宋" w:cs="仿宋"/>
                <w:sz w:val="24"/>
                <w:szCs w:val="24"/>
                <w:lang w:val="en-US" w:eastAsia="zh-CN"/>
              </w:rPr>
              <w:t>古雷石化园区电力管廊及公共配套项目</w:t>
            </w:r>
          </w:p>
        </w:tc>
        <w:tc>
          <w:tcPr>
            <w:tcW w:w="1319" w:type="dxa"/>
            <w:vAlign w:val="center"/>
          </w:tcPr>
          <w:p>
            <w:pPr>
              <w:spacing w:line="360" w:lineRule="auto"/>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336001</w:t>
            </w:r>
          </w:p>
        </w:tc>
        <w:tc>
          <w:tcPr>
            <w:tcW w:w="2217" w:type="dxa"/>
            <w:vAlign w:val="center"/>
          </w:tcPr>
          <w:p>
            <w:pPr>
              <w:widowControl/>
              <w:jc w:val="right"/>
              <w:textAlignment w:val="center"/>
              <w:rPr>
                <w:rFonts w:hint="eastAsia" w:ascii="仿宋" w:hAnsi="仿宋" w:eastAsia="仿宋" w:cs="仿宋"/>
                <w:color w:val="000000"/>
                <w:sz w:val="22"/>
                <w:lang w:val="en-US" w:eastAsia="zh-CN"/>
              </w:rPr>
            </w:pPr>
            <w:r>
              <w:rPr>
                <w:rFonts w:hint="eastAsia" w:ascii="仿宋" w:hAnsi="仿宋" w:eastAsia="仿宋" w:cs="仿宋"/>
                <w:color w:val="000000"/>
                <w:sz w:val="22"/>
                <w:lang w:val="en-US" w:eastAsia="zh-CN"/>
              </w:rPr>
              <w:t>3000</w:t>
            </w:r>
          </w:p>
        </w:tc>
        <w:tc>
          <w:tcPr>
            <w:tcW w:w="1800" w:type="dxa"/>
            <w:vAlign w:val="center"/>
          </w:tcPr>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漳州市古雷港建设开发有限公司</w:t>
            </w:r>
          </w:p>
        </w:tc>
      </w:tr>
    </w:tbl>
    <w:p>
      <w:pPr>
        <w:pStyle w:val="3"/>
        <w:spacing w:line="360" w:lineRule="auto"/>
        <w:ind w:firstLine="562" w:firstLineChars="200"/>
        <w:rPr>
          <w:rFonts w:hint="eastAsia" w:ascii="仿宋" w:hAnsi="仿宋" w:eastAsia="仿宋" w:cs="仿宋"/>
        </w:rPr>
      </w:pPr>
      <w:r>
        <w:rPr>
          <w:rFonts w:hint="eastAsia" w:ascii="仿宋" w:hAnsi="仿宋" w:cs="仿宋"/>
        </w:rPr>
        <w:t>二、项目情况</w:t>
      </w:r>
    </w:p>
    <w:p>
      <w:pPr>
        <w:pStyle w:val="4"/>
        <w:pageBreakBefore w:val="0"/>
        <w:kinsoku/>
        <w:overflowPunct/>
        <w:topLinePunct w:val="0"/>
        <w:autoSpaceDE/>
        <w:autoSpaceDN/>
        <w:bidi w:val="0"/>
        <w:spacing w:line="360" w:lineRule="auto"/>
        <w:ind w:firstLine="562" w:firstLineChars="200"/>
        <w:rPr>
          <w:rFonts w:hint="eastAsia" w:ascii="仿宋" w:hAnsi="仿宋" w:eastAsia="仿宋" w:cs="仿宋"/>
          <w:sz w:val="28"/>
          <w:szCs w:val="28"/>
          <w:lang w:val="en-US"/>
        </w:rPr>
      </w:pPr>
      <w:bookmarkStart w:id="0" w:name="_Hlk524441701"/>
      <w:r>
        <w:rPr>
          <w:rFonts w:hint="eastAsia" w:ascii="仿宋" w:hAnsi="仿宋" w:eastAsia="仿宋" w:cs="仿宋"/>
          <w:sz w:val="28"/>
          <w:szCs w:val="28"/>
        </w:rPr>
        <w:t>（一）</w:t>
      </w:r>
      <w:r>
        <w:rPr>
          <w:rFonts w:hint="eastAsia" w:eastAsia="仿宋"/>
          <w:sz w:val="28"/>
          <w:szCs w:val="28"/>
        </w:rPr>
        <w:t>古雷石化园区电力管廊及</w:t>
      </w:r>
      <w:r>
        <w:rPr>
          <w:rFonts w:hint="eastAsia" w:eastAsia="仿宋"/>
          <w:sz w:val="28"/>
          <w:szCs w:val="28"/>
          <w:lang w:eastAsia="zh-CN"/>
        </w:rPr>
        <w:t>公共</w:t>
      </w:r>
      <w:r>
        <w:rPr>
          <w:rFonts w:hint="eastAsia" w:eastAsia="仿宋"/>
          <w:sz w:val="28"/>
          <w:szCs w:val="28"/>
        </w:rPr>
        <w:t>配套</w:t>
      </w:r>
      <w:r>
        <w:rPr>
          <w:rFonts w:hint="eastAsia" w:ascii="仿宋" w:hAnsi="仿宋" w:eastAsia="仿宋" w:cs="仿宋"/>
          <w:sz w:val="28"/>
          <w:szCs w:val="28"/>
        </w:rPr>
        <w:t>项目</w:t>
      </w:r>
      <w:r>
        <w:rPr>
          <w:rFonts w:hint="eastAsia" w:ascii="仿宋" w:hAnsi="仿宋" w:cs="仿宋"/>
          <w:sz w:val="28"/>
          <w:szCs w:val="28"/>
          <w:lang w:eastAsia="zh-CN"/>
        </w:rPr>
        <w:t>项目</w:t>
      </w:r>
    </w:p>
    <w:p>
      <w:pPr>
        <w:pStyle w:val="2"/>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1、项目概况</w:t>
      </w:r>
      <w:bookmarkStart w:id="1" w:name="_GoBack"/>
      <w:bookmarkEnd w:id="1"/>
    </w:p>
    <w:bookmarkEnd w:id="0"/>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1、项目名称：古雷石化园区电力管廊及公共配套项目</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2、项目建设地点：古雷经济开发区石化园区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3、项目建设规模：项目建设古雷石化园区电力管廊及公共配套设施，共分17个子项目，具体为：</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（1）古雷开发区石化公共管廊工程（电力管廊）</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本工程主要建设古雷石化园区电缆线路公用通道，路径全长约 26134m，由架空管廊、电缆沟以及配套的照明、排水、监控等附属设施组成，以及龙油 II 回 220kV 架空线路局部段缆化。</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（2）古雷石化产业园区运维基地</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本工程规划用地面积 151132.976 ㎡（227亩），其中一期用地125130.304㎡（188亩），二期用地26602.672㎡（39亩）。一期建筑面积为 26100 ㎡，其中居住区12200 ㎡，后勤区2600 ㎡，维保区11300㎡。园区主要功能为维保配套服务、规划分为区住区、后勤区、维保区。主要建设内容包括通用厂房、食堂、超市、变配电室；同时修建道路、围墙、门卫建筑、停车位、绿化、供水供电、消防、安防等工程。</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（3）古雷中下游精细化工产业园区配套进出场道路（一期）工程。工程包含2条道路，具体内容如下：</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①新港城消防站进出场道路等级为城市支路，设计速度30km/h，路线起点接新港城消防站，终点接现状水泥路。道路红线宽度23m，设计长度为23.655m；</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②中怡化工（港口路一侧）进出场道路等级为城市支路，设计速度30km/h，路线起点接起点接中怡化工厂区，终点接现状港口路。道路红线宽度21m，设计长度130.096m，实际修筑长度为127.095m。</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本工程道路机动车道采用改性沥青混凝土路面结构，人行道采用彩色环保透水砖进行铺装。本工程主要建设内容包括：道路工程、交通工程、桥梁工程等。</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（4）古雷中下游精细化工产业园区配套进出场道路（二期）工程。工程包含5条道路，具体内容如下：</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sym w:font="Wingdings" w:char="F081"/>
      </w:r>
      <w:r>
        <w:rPr>
          <w:rFonts w:hint="eastAsia" w:ascii="仿宋" w:hAnsi="仿宋" w:eastAsia="仿宋" w:cs="仿宋"/>
          <w:sz w:val="28"/>
          <w:szCs w:val="28"/>
        </w:rPr>
        <w:t>北部污水厂（疏港公路一侧）进出场道路等级为城市支路，设计速度30km/h，路线起点接古雷开发区北部污水处理厂，终点接现状疏港公路。道路红线宽度6m，设计长度128.47m，实际修筑长度为123.47m；</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2 \* GB3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②</w:t>
      </w:r>
      <w:r>
        <w:rPr>
          <w:rFonts w:hint="eastAsia" w:ascii="仿宋" w:hAnsi="仿宋" w:eastAsia="仿宋" w:cs="仿宋"/>
          <w:sz w:val="28"/>
          <w:szCs w:val="28"/>
        </w:rPr>
        <w:fldChar w:fldCharType="end"/>
      </w:r>
      <w:r>
        <w:rPr>
          <w:rFonts w:hint="eastAsia" w:ascii="仿宋" w:hAnsi="仿宋" w:eastAsia="仿宋" w:cs="仿宋"/>
          <w:sz w:val="28"/>
          <w:szCs w:val="28"/>
        </w:rPr>
        <w:t>北部污水厂（西林路一侧）进出场道路等级为城市支路，设计速度30km/h，路线起点接古雷开发区北部污水处理厂，终点接规划西林路。道路红线宽度为6m，设计长度100.455m，实际修筑长度为97.441m；</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3 \* GB3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③</w:t>
      </w:r>
      <w:r>
        <w:rPr>
          <w:rFonts w:hint="eastAsia" w:ascii="仿宋" w:hAnsi="仿宋" w:eastAsia="仿宋" w:cs="仿宋"/>
          <w:sz w:val="28"/>
          <w:szCs w:val="28"/>
        </w:rPr>
        <w:fldChar w:fldCharType="end"/>
      </w:r>
      <w:r>
        <w:rPr>
          <w:rFonts w:hint="eastAsia" w:ascii="仿宋" w:hAnsi="仿宋" w:eastAsia="仿宋" w:cs="仿宋"/>
          <w:sz w:val="28"/>
          <w:szCs w:val="28"/>
        </w:rPr>
        <w:t>奇美化工（疏港公路一侧）进出场道路等级为城市支路，设计速度30km/h，路线起点接奇美化工厂，终点接现状疏港公路。道路红线宽度为12m，设计长度为120.744m；</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4 \* GB3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④</w:t>
      </w:r>
      <w:r>
        <w:rPr>
          <w:rFonts w:hint="eastAsia" w:ascii="仿宋" w:hAnsi="仿宋" w:eastAsia="仿宋" w:cs="仿宋"/>
          <w:sz w:val="28"/>
          <w:szCs w:val="28"/>
        </w:rPr>
        <w:fldChar w:fldCharType="end"/>
      </w:r>
      <w:r>
        <w:rPr>
          <w:rFonts w:hint="eastAsia" w:ascii="仿宋" w:hAnsi="仿宋" w:eastAsia="仿宋" w:cs="仿宋"/>
          <w:sz w:val="28"/>
          <w:szCs w:val="28"/>
        </w:rPr>
        <w:t>中怡化工（疏港公路一侧）进出场道路等级为城市支路，设计速度30km/h，路线起点接中怡石油精细化工厂，终点接现状疏港公路。道路红线宽度为18.2m，设计长度为140.993m，实际修筑长度为132.369m；</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5 \* GB3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⑤</w:t>
      </w:r>
      <w:r>
        <w:rPr>
          <w:rFonts w:hint="eastAsia" w:ascii="仿宋" w:hAnsi="仿宋" w:eastAsia="仿宋" w:cs="仿宋"/>
          <w:sz w:val="28"/>
          <w:szCs w:val="28"/>
        </w:rPr>
        <w:fldChar w:fldCharType="end"/>
      </w:r>
      <w:r>
        <w:rPr>
          <w:rFonts w:hint="eastAsia" w:ascii="仿宋" w:hAnsi="仿宋" w:eastAsia="仿宋" w:cs="仿宋"/>
          <w:sz w:val="28"/>
          <w:szCs w:val="28"/>
        </w:rPr>
        <w:t>杏仔事故应急池进出场道路等级为城市支路，设计速度30km/h，路线起点接杏仔公共事故应急池园区，终点接现状腾龙路。道路红线宽度为4.4m，设计长度为66.872m，实际修筑长度为64.672m。</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本工程道路机动车道采用改性沥青混凝土路面结构，人行道采用彩色环保透水砖进行铺装。本工程主要建设内容包括：道路工程、交通工程、桥梁工程等。</w:t>
      </w:r>
    </w:p>
    <w:p>
      <w:pPr>
        <w:numPr>
          <w:ilvl w:val="0"/>
          <w:numId w:val="2"/>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古雷中下游精细化工产业园区中怡化工、奇美化工雨水管网工程。</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本工程建设DN1350、DN1500、DN1800、DN2200钢筋砼雨水排水管道总长1850米，排水渠265米，检查井42座。</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（6）古雷变至中怡化工新建配套10kv电缆工程</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新建双回 YJV22-8.7/15-3x300 电缆线路约 5.7km，新建4xMPP管-∅150*17排管231米、4xMPP管-∅150*12顶管143米，改造直线中间接头井11座，改造三通工井1座，新建转角工井2座，新建直线工井2座。</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（7）古雷新港城交通路网次三路陆域段工程</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本工程道路起点与疏港公路（新杜古线）平交，终点位于西林村羊群繁殖基地附近的陆海交界处。道路等级为城市次干路，设计速度40km/h。道路红线宽度为25m，陆域段道路全长2667.63m。 主要建设内容包括：道路、交通、给水（生活给水、工业给水、中水）、排水（雨水、污水）、电力、通信、照明、景观绿化等。</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（8）古雷港经济开发区单建式人防工程</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工程总用地面积 2000.26 平方米（合 3 亩）。地上计容建筑面积约 200 平方米，地下不计容建筑面积约 1700 平方米。主要建设专业队装备掩蔽部、专业队人员掩蔽部、二等人员掩蔽部、物资库、电站和楼梯间；地上管理用房等。</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（9）古雷港经济开发区人防地面应急指挥所</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工程按照“八室一库一中心”（八室：会议室、防化室、洗消室、后勤保障室、电源室、控制室、水泵室、综合室；一库：战备物资库；一中心：指挥中心）规划设计，工程总用地面积1600.52㎡（折2.4亩），总建筑面积为4000㎡，其中地上计容建筑面积2800㎡，地下建筑面积1200㎡。 建设内容包括主体建安工程和室外配套工程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（10）金福路与范阳环城路连接线工程</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道路设计起点与 X234 现状道路相交，设计终点至龙城路，路线设计全长为 1366.016m。 道路等级为城市次干路，设计速度为 30km/h，道路红线宽度为 30m。建设内容包括金福路与范阳环城路连接线工程的路基、路面工程、交通工程、给水工程、排水工程、通信工程、电力工程、道路照明工程等市政配套工程。</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（11）古雷炼化一体化项目雨水外排管道厂外部分疏港公路以东 100 米到东侧海域雨水排放管道工程</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本工程拟建 2 根 DN3200 雨水管道，西侧起点衔接福建古雷炼化一体化项目百万吨级乙烯及下游深加工装置厂区雨水外排管道，起点管底标高：0.73 接出，自西向东排至古雷东海域，东侧管道终点管底标高：0.56，管道长度 172 米。 红线宽度 10.5 米，占地面积约 1806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（12）古雷石化基地防洪排涝工程腾龙西路排水渠工程（陆域段）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工程设计范围从疏港公路往西至现状岸线边界，陆域段渠道全长685m，红线宽度37m。本工程防洪标准为100 年一遇，排涝标准采用100年一遇涝水不漫溢，堤防级别参照《堤防工程设计规范》(GB50286-2013)2.1.1 条的规定确定为1 级。工程的主要内容是开挖渠道断面、换填挡土墙基础、新建渠道挡墙、卵石路面、墙背土回填5项内容。</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（13）古雷石化基地防洪排涝工程港口渠西侧段工程（陆域段）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工程设计范围从疏港公路往西至现状古雷岸线，陆域段全长1.706km，红线宽度27m。本工程防洪标准为100 年一遇，排涝标准采用100年一遇涝水不漫溢，堤防级别参照《堤防工程设计规范》(GB50286-2013)2.1.1 条的规定确定为1 级。工程的主要内容是开挖渠道断面、换填挡土墙基础、新建渠道挡墙、卵石路面、墙背土回填5项内容。</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（14）古雷石化基地防洪排涝工程下堀渠西侧段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工程设计范围从疏港公路往西至出海口，渠道全长 4.1 公里（以古雷岸线为界：陆域段长度为 1.4 公里, 海域段长度为 2.7 公里），红线宽度30~43m。 建设内容主要为渠道土方工程、挡墙及清淤通道等。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（15）古雷南部污水处理厂随廊配套道路</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本工程包括三条道路，分别为古雷南部污水处理厂及配套工程项目（配套道路工程-古城路）、古雷南部污水处理厂及配套工程项目（配套道路工程-古雷山南路）、古雷南部污水处理厂及配套工程项目（配套道路工程-眠床山北路）。古城路：起点与规划眠床山北路交叉，终点至规划古雷山南路，路线设计全长为 876.65m。设计道路等级为城市支路，道路设计速度为 20km/h，规划古城路道路红线宽度为 15m（道路两侧各退让绿化用地 5m）。古雷山南路：起点与已建疏港公路交叉，终点至规划古城路，路线设计全长为 1521.59m。设计道路等级为城市支路，道路设计速度为 20km/h，规划古雷山南路道路红线宽度为15m（道路左侧退让绿化用地 10m、右侧退让绿化用地 5m）。眠床山北路：起点与已建疏港公路交叉，终点至规划古城路，路线设计全长为 1473.24m。设计道路等级为城市支路，道路设计速度为 20km/h，规划眠床山北路道路红线宽度为12m（道路左侧退让绿化用地 15m）。建设内容包括路基、路面工程、交通工程、给水工程、排水工程、通信工程、电力工程、道路照明工程、绿化景观工程等市政配套工程。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（16）古雷南部污水处理厂随廊配套截洪沟及边坡</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工程包括古雷南部污水处理厂及配套工程项目（配套截洪沟及边坡工程—古雷山南侧截洪沟）、古雷南部污水处理厂及配套工程项目（配套截洪沟及边坡工程—古雷山北侧截洪沟）。古雷山南侧截洪沟汇水面积为 0.89km2，设计流量 21.3m3 /s，防洪标准为一百年。古雷山南侧截洪沟: 起点为疏港公路东侧 180m，终点为东边出海口，长度为 1.521 公里，渠底宽度 1.5m~4m,红线宽度 6.7~16m。 边坡工程：根据截洪沟的位置和标高及场地实测自然地形标高，本次边坡均为挖方边坡，坡率采用 1:1，且高度小于 8m 段均采用植草或三维植草边坡防护，边坡高度大于 8m 段采用拱形骨架护坡措施。截洪沟采用重力式挡土墙。古雷山北侧截洪沟汇水面积为 0.42km2，设计流量 10.3m3 /s。北侧截洪沟: 起点为疏港公路，终点为海顺德路，长度为 0.613 公里，渠底宽度 2.5m，红线宽度 12m。边坡工程：根据截洪沟的位置和标高及场地实测自然地形标高，本次边坡均为挖方边坡，坡率采用 1:1，且高度小于 8m 段均采用植草或三维植草边坡防护，边坡高度大于 8m 段采用拱形骨架护坡措施。截洪沟采用重力式挡土墙。</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（17）古雷新港城交通路网纵七路（前埔段）道路工程</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本工程道路为南北走向，北起南环路，南至沿海大通道，设计道路总长为 1107.04m,道路规划红线宽度为24m，设计速度为30km/h，为城市次干路。 建设内容主要包括道路工程、桥涵工程、交通工程、雨水工程、污水工程、给水工程、电力工程、电信工程、路灯工程及绿化工程等基础设施配套工程。</w:t>
      </w:r>
    </w:p>
    <w:p>
      <w:pPr>
        <w:pStyle w:val="2"/>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2、项目投资情况</w:t>
      </w:r>
    </w:p>
    <w:p>
      <w:pPr>
        <w:pageBreakBefore w:val="0"/>
        <w:kinsoku/>
        <w:overflowPunct/>
        <w:topLinePunct w:val="0"/>
        <w:autoSpaceDE/>
        <w:autoSpaceDN/>
        <w:bidi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根据</w:t>
      </w:r>
      <w:r>
        <w:rPr>
          <w:rFonts w:hint="eastAsia" w:ascii="仿宋" w:hAnsi="仿宋" w:eastAsia="仿宋" w:cs="仿宋"/>
          <w:sz w:val="28"/>
          <w:szCs w:val="28"/>
          <w:lang w:eastAsia="zh-CN"/>
        </w:rPr>
        <w:t>可研报告</w:t>
      </w:r>
      <w:r>
        <w:rPr>
          <w:rFonts w:hint="eastAsia" w:ascii="仿宋" w:hAnsi="仿宋" w:eastAsia="仿宋" w:cs="仿宋"/>
          <w:sz w:val="28"/>
          <w:szCs w:val="28"/>
        </w:rPr>
        <w:t>，</w:t>
      </w:r>
      <w:r>
        <w:rPr>
          <w:rFonts w:hint="eastAsia" w:eastAsia="仿宋"/>
          <w:sz w:val="28"/>
          <w:szCs w:val="28"/>
        </w:rPr>
        <w:t>古雷石化园区电力管廊及</w:t>
      </w:r>
      <w:r>
        <w:rPr>
          <w:rFonts w:hint="eastAsia" w:eastAsia="仿宋"/>
          <w:sz w:val="28"/>
          <w:szCs w:val="28"/>
          <w:lang w:eastAsia="zh-CN"/>
        </w:rPr>
        <w:t>公共</w:t>
      </w:r>
      <w:r>
        <w:rPr>
          <w:rFonts w:hint="eastAsia" w:eastAsia="仿宋"/>
          <w:sz w:val="28"/>
          <w:szCs w:val="28"/>
        </w:rPr>
        <w:t>配套</w:t>
      </w:r>
      <w:r>
        <w:rPr>
          <w:rFonts w:hint="eastAsia" w:ascii="仿宋" w:hAnsi="仿宋" w:eastAsia="仿宋" w:cs="仿宋"/>
          <w:sz w:val="28"/>
          <w:szCs w:val="28"/>
        </w:rPr>
        <w:t>项目核定</w:t>
      </w:r>
      <w:r>
        <w:rPr>
          <w:rFonts w:hint="eastAsia" w:ascii="仿宋" w:hAnsi="仿宋" w:eastAsia="仿宋" w:cs="仿宋"/>
          <w:sz w:val="28"/>
          <w:szCs w:val="28"/>
          <w:lang w:eastAsia="zh-CN"/>
        </w:rPr>
        <w:t>总</w:t>
      </w:r>
      <w:r>
        <w:rPr>
          <w:rFonts w:hint="eastAsia" w:ascii="仿宋" w:hAnsi="仿宋" w:eastAsia="仿宋" w:cs="仿宋"/>
          <w:sz w:val="28"/>
          <w:szCs w:val="28"/>
        </w:rPr>
        <w:t>投资336,001.00</w:t>
      </w:r>
      <w:r>
        <w:rPr>
          <w:rFonts w:hint="eastAsia" w:ascii="仿宋" w:hAnsi="仿宋" w:eastAsia="仿宋" w:cs="仿宋"/>
          <w:sz w:val="28"/>
          <w:szCs w:val="28"/>
          <w:lang w:val="en-US" w:eastAsia="zh-CN"/>
        </w:rPr>
        <w:t>万</w:t>
      </w:r>
      <w:r>
        <w:rPr>
          <w:rFonts w:hint="eastAsia" w:ascii="仿宋" w:hAnsi="仿宋" w:eastAsia="仿宋" w:cs="仿宋"/>
          <w:sz w:val="28"/>
          <w:szCs w:val="28"/>
        </w:rPr>
        <w:t>元，估算表如下：</w:t>
      </w:r>
    </w:p>
    <w:p>
      <w:pPr>
        <w:widowControl/>
        <w:spacing w:after="120" w:line="360" w:lineRule="auto"/>
        <w:ind w:firstLine="562" w:firstLineChars="200"/>
        <w:contextualSpacing/>
        <w:jc w:val="center"/>
        <w:rPr>
          <w:rFonts w:eastAsia="仿宋"/>
          <w:b/>
          <w:kern w:val="0"/>
          <w:sz w:val="28"/>
          <w:lang w:val="en-GB"/>
        </w:rPr>
      </w:pPr>
      <w:r>
        <w:rPr>
          <w:rFonts w:eastAsia="仿宋"/>
          <w:b/>
          <w:kern w:val="0"/>
          <w:sz w:val="28"/>
          <w:lang w:val="en-GB"/>
        </w:rPr>
        <w:t>项目总投资估算表</w:t>
      </w:r>
    </w:p>
    <w:p>
      <w:pPr>
        <w:widowControl/>
        <w:spacing w:after="120" w:line="360" w:lineRule="auto"/>
        <w:ind w:firstLine="480" w:firstLineChars="200"/>
        <w:contextualSpacing/>
        <w:jc w:val="right"/>
        <w:rPr>
          <w:rFonts w:eastAsia="仿宋"/>
          <w:kern w:val="0"/>
          <w:sz w:val="24"/>
          <w:lang w:val="en-GB"/>
        </w:rPr>
      </w:pPr>
      <w:r>
        <w:rPr>
          <w:rFonts w:eastAsia="仿宋"/>
          <w:kern w:val="0"/>
          <w:sz w:val="24"/>
          <w:lang w:val="en-GB"/>
        </w:rPr>
        <w:t>单位：人民币万元</w:t>
      </w:r>
    </w:p>
    <w:tbl>
      <w:tblPr>
        <w:tblStyle w:val="8"/>
        <w:tblW w:w="8303" w:type="dxa"/>
        <w:jc w:val="center"/>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613"/>
        <w:gridCol w:w="2214"/>
        <w:gridCol w:w="1476"/>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60" w:lineRule="auto"/>
              <w:ind w:right="45"/>
              <w:contextualSpacing/>
              <w:jc w:val="center"/>
              <w:rPr>
                <w:rFonts w:eastAsia="仿宋"/>
                <w:b/>
                <w:bCs/>
                <w:color w:val="000000"/>
                <w:szCs w:val="21"/>
              </w:rPr>
            </w:pPr>
            <w:r>
              <w:rPr>
                <w:rFonts w:eastAsia="仿宋"/>
                <w:b/>
                <w:bCs/>
                <w:color w:val="000000"/>
                <w:szCs w:val="21"/>
              </w:rPr>
              <w:t>项目名称</w:t>
            </w:r>
          </w:p>
        </w:tc>
        <w:tc>
          <w:tcPr>
            <w:tcW w:w="2214" w:type="dxa"/>
            <w:vAlign w:val="center"/>
          </w:tcPr>
          <w:p>
            <w:pPr>
              <w:spacing w:line="360" w:lineRule="auto"/>
              <w:ind w:right="45"/>
              <w:contextualSpacing/>
              <w:jc w:val="center"/>
              <w:rPr>
                <w:rFonts w:eastAsia="仿宋"/>
                <w:b/>
                <w:bCs/>
                <w:color w:val="000000"/>
                <w:szCs w:val="21"/>
              </w:rPr>
            </w:pPr>
            <w:r>
              <w:rPr>
                <w:rFonts w:eastAsia="仿宋"/>
                <w:b/>
                <w:bCs/>
                <w:color w:val="000000"/>
                <w:szCs w:val="21"/>
              </w:rPr>
              <w:t>金额</w:t>
            </w:r>
          </w:p>
        </w:tc>
        <w:tc>
          <w:tcPr>
            <w:tcW w:w="1476" w:type="dxa"/>
            <w:vAlign w:val="center"/>
          </w:tcPr>
          <w:p>
            <w:pPr>
              <w:spacing w:line="360" w:lineRule="auto"/>
              <w:ind w:right="45"/>
              <w:contextualSpacing/>
              <w:jc w:val="center"/>
              <w:rPr>
                <w:rFonts w:eastAsia="仿宋"/>
                <w:b/>
                <w:bCs/>
                <w:color w:val="000000"/>
                <w:szCs w:val="21"/>
              </w:rPr>
            </w:pPr>
            <w:r>
              <w:rPr>
                <w:rFonts w:eastAsia="仿宋"/>
                <w:b/>
                <w:bCs/>
                <w:color w:val="000000"/>
                <w:szCs w:val="21"/>
              </w:rPr>
              <w:t>占比</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60" w:lineRule="auto"/>
              <w:ind w:right="45"/>
              <w:contextualSpacing/>
              <w:rPr>
                <w:rFonts w:eastAsia="仿宋"/>
                <w:color w:val="000000"/>
                <w:szCs w:val="21"/>
              </w:rPr>
            </w:pPr>
            <w:r>
              <w:rPr>
                <w:rFonts w:eastAsia="仿宋"/>
                <w:color w:val="000000"/>
                <w:szCs w:val="21"/>
              </w:rPr>
              <w:t>1、工程费用</w:t>
            </w:r>
          </w:p>
        </w:tc>
        <w:tc>
          <w:tcPr>
            <w:tcW w:w="2214" w:type="dxa"/>
            <w:vAlign w:val="center"/>
          </w:tcPr>
          <w:p>
            <w:pPr>
              <w:spacing w:line="360" w:lineRule="auto"/>
              <w:ind w:right="45"/>
              <w:contextualSpacing/>
              <w:jc w:val="center"/>
              <w:rPr>
                <w:rFonts w:eastAsia="仿宋"/>
                <w:color w:val="000000"/>
                <w:szCs w:val="21"/>
              </w:rPr>
            </w:pPr>
            <w:r>
              <w:rPr>
                <w:rFonts w:hint="eastAsia" w:eastAsia="仿宋"/>
                <w:color w:val="000000"/>
                <w:szCs w:val="21"/>
              </w:rPr>
              <w:t>205,564.40</w:t>
            </w:r>
          </w:p>
        </w:tc>
        <w:tc>
          <w:tcPr>
            <w:tcW w:w="1476" w:type="dxa"/>
            <w:vAlign w:val="center"/>
          </w:tcPr>
          <w:p>
            <w:pPr>
              <w:widowControl/>
              <w:wordWrap w:val="0"/>
              <w:spacing w:line="360" w:lineRule="auto"/>
              <w:jc w:val="center"/>
              <w:textAlignment w:val="center"/>
              <w:rPr>
                <w:rFonts w:eastAsia="仿宋"/>
                <w:color w:val="000000"/>
                <w:szCs w:val="21"/>
              </w:rPr>
            </w:pPr>
            <w:r>
              <w:rPr>
                <w:rFonts w:hint="eastAsia" w:eastAsia="仿宋"/>
                <w:color w:val="000000"/>
                <w:szCs w:val="21"/>
              </w:rPr>
              <w:t>6</w:t>
            </w:r>
            <w:r>
              <w:rPr>
                <w:rFonts w:eastAsia="仿宋"/>
                <w:color w:val="000000"/>
                <w:szCs w:val="21"/>
              </w:rPr>
              <w:t>1</w:t>
            </w:r>
            <w:r>
              <w:rPr>
                <w:rFonts w:hint="eastAsia" w:eastAsia="仿宋"/>
                <w:color w:val="000000"/>
                <w:szCs w:val="21"/>
              </w:rPr>
              <w:t>.</w:t>
            </w:r>
            <w:r>
              <w:rPr>
                <w:rFonts w:eastAsia="仿宋"/>
                <w:color w:val="000000"/>
                <w:szCs w:val="21"/>
              </w:rPr>
              <w:t>18%</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60" w:lineRule="auto"/>
              <w:ind w:right="45"/>
              <w:contextualSpacing/>
              <w:rPr>
                <w:rFonts w:eastAsia="仿宋"/>
                <w:color w:val="000000"/>
                <w:szCs w:val="21"/>
              </w:rPr>
            </w:pPr>
            <w:r>
              <w:rPr>
                <w:rFonts w:eastAsia="仿宋"/>
                <w:color w:val="000000"/>
                <w:szCs w:val="21"/>
              </w:rPr>
              <w:t>2、工程建设其它费用</w:t>
            </w:r>
          </w:p>
        </w:tc>
        <w:tc>
          <w:tcPr>
            <w:tcW w:w="2214" w:type="dxa"/>
            <w:vAlign w:val="center"/>
          </w:tcPr>
          <w:p>
            <w:pPr>
              <w:spacing w:line="360" w:lineRule="auto"/>
              <w:ind w:right="45"/>
              <w:contextualSpacing/>
              <w:jc w:val="center"/>
              <w:rPr>
                <w:rFonts w:hint="eastAsia" w:eastAsia="仿宋"/>
                <w:color w:val="000000"/>
                <w:szCs w:val="21"/>
              </w:rPr>
            </w:pPr>
            <w:r>
              <w:rPr>
                <w:rFonts w:hint="eastAsia" w:eastAsia="仿宋"/>
                <w:color w:val="000000"/>
                <w:szCs w:val="21"/>
              </w:rPr>
              <w:t>98,776.40</w:t>
            </w:r>
          </w:p>
        </w:tc>
        <w:tc>
          <w:tcPr>
            <w:tcW w:w="1476" w:type="dxa"/>
            <w:vAlign w:val="center"/>
          </w:tcPr>
          <w:p>
            <w:pPr>
              <w:widowControl/>
              <w:wordWrap w:val="0"/>
              <w:spacing w:line="360" w:lineRule="auto"/>
              <w:jc w:val="center"/>
              <w:textAlignment w:val="center"/>
              <w:rPr>
                <w:rFonts w:eastAsia="仿宋"/>
                <w:color w:val="000000"/>
                <w:szCs w:val="21"/>
              </w:rPr>
            </w:pPr>
            <w:r>
              <w:rPr>
                <w:rFonts w:hint="eastAsia" w:eastAsia="仿宋"/>
                <w:color w:val="000000"/>
                <w:szCs w:val="21"/>
              </w:rPr>
              <w:t>29.</w:t>
            </w:r>
            <w:r>
              <w:rPr>
                <w:rFonts w:eastAsia="仿宋"/>
                <w:color w:val="000000"/>
                <w:szCs w:val="21"/>
              </w:rPr>
              <w:t>40%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60" w:lineRule="auto"/>
              <w:ind w:right="45"/>
              <w:contextualSpacing/>
              <w:rPr>
                <w:rFonts w:eastAsia="仿宋"/>
                <w:color w:val="000000"/>
                <w:szCs w:val="21"/>
              </w:rPr>
            </w:pPr>
            <w:r>
              <w:rPr>
                <w:rFonts w:eastAsia="仿宋"/>
                <w:color w:val="000000"/>
                <w:szCs w:val="21"/>
              </w:rPr>
              <w:t>3、预备费</w:t>
            </w:r>
          </w:p>
        </w:tc>
        <w:tc>
          <w:tcPr>
            <w:tcW w:w="2214" w:type="dxa"/>
            <w:vAlign w:val="center"/>
          </w:tcPr>
          <w:p>
            <w:pPr>
              <w:spacing w:line="360" w:lineRule="auto"/>
              <w:ind w:right="45"/>
              <w:contextualSpacing/>
              <w:jc w:val="center"/>
              <w:rPr>
                <w:rFonts w:hint="eastAsia" w:eastAsia="仿宋"/>
                <w:color w:val="000000"/>
                <w:szCs w:val="21"/>
              </w:rPr>
            </w:pPr>
            <w:r>
              <w:rPr>
                <w:rFonts w:hint="eastAsia" w:eastAsia="仿宋"/>
                <w:color w:val="000000"/>
                <w:szCs w:val="21"/>
              </w:rPr>
              <w:t>24,347.30</w:t>
            </w:r>
          </w:p>
        </w:tc>
        <w:tc>
          <w:tcPr>
            <w:tcW w:w="1476" w:type="dxa"/>
            <w:vAlign w:val="center"/>
          </w:tcPr>
          <w:p>
            <w:pPr>
              <w:widowControl/>
              <w:wordWrap w:val="0"/>
              <w:spacing w:line="360" w:lineRule="auto"/>
              <w:jc w:val="center"/>
              <w:textAlignment w:val="center"/>
              <w:rPr>
                <w:rFonts w:eastAsia="仿宋"/>
                <w:color w:val="000000"/>
                <w:szCs w:val="21"/>
              </w:rPr>
            </w:pPr>
            <w:r>
              <w:rPr>
                <w:rFonts w:hint="eastAsia" w:eastAsia="仿宋"/>
                <w:color w:val="000000"/>
                <w:szCs w:val="21"/>
              </w:rPr>
              <w:t>7.</w:t>
            </w:r>
            <w:r>
              <w:rPr>
                <w:rFonts w:eastAsia="仿宋"/>
                <w:color w:val="000000"/>
                <w:szCs w:val="21"/>
              </w:rPr>
              <w:t>25%</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60" w:lineRule="auto"/>
              <w:ind w:right="45"/>
              <w:contextualSpacing/>
              <w:rPr>
                <w:rFonts w:eastAsia="仿宋"/>
                <w:color w:val="000000"/>
                <w:szCs w:val="21"/>
              </w:rPr>
            </w:pPr>
            <w:r>
              <w:rPr>
                <w:rFonts w:eastAsia="仿宋"/>
                <w:color w:val="000000"/>
                <w:szCs w:val="21"/>
              </w:rPr>
              <w:t>4、建设期利息</w:t>
            </w:r>
          </w:p>
        </w:tc>
        <w:tc>
          <w:tcPr>
            <w:tcW w:w="2214" w:type="dxa"/>
            <w:vAlign w:val="center"/>
          </w:tcPr>
          <w:p>
            <w:pPr>
              <w:spacing w:line="360" w:lineRule="auto"/>
              <w:ind w:right="45"/>
              <w:contextualSpacing/>
              <w:jc w:val="center"/>
              <w:rPr>
                <w:rFonts w:eastAsia="仿宋"/>
                <w:color w:val="000000"/>
                <w:szCs w:val="21"/>
              </w:rPr>
            </w:pPr>
            <w:r>
              <w:rPr>
                <w:rFonts w:eastAsia="仿宋"/>
                <w:color w:val="000000"/>
                <w:szCs w:val="21"/>
              </w:rPr>
              <w:t>7</w:t>
            </w:r>
            <w:r>
              <w:rPr>
                <w:rFonts w:hint="eastAsia" w:eastAsia="仿宋"/>
                <w:color w:val="000000"/>
                <w:szCs w:val="21"/>
              </w:rPr>
              <w:t>,</w:t>
            </w:r>
            <w:r>
              <w:rPr>
                <w:rFonts w:eastAsia="仿宋"/>
                <w:color w:val="000000"/>
                <w:szCs w:val="21"/>
              </w:rPr>
              <w:t>312.90</w:t>
            </w:r>
          </w:p>
        </w:tc>
        <w:tc>
          <w:tcPr>
            <w:tcW w:w="1476" w:type="dxa"/>
            <w:vAlign w:val="center"/>
          </w:tcPr>
          <w:p>
            <w:pPr>
              <w:widowControl/>
              <w:wordWrap w:val="0"/>
              <w:spacing w:line="360" w:lineRule="auto"/>
              <w:jc w:val="center"/>
              <w:textAlignment w:val="center"/>
              <w:rPr>
                <w:rFonts w:eastAsia="仿宋"/>
                <w:color w:val="000000"/>
                <w:szCs w:val="21"/>
              </w:rPr>
            </w:pPr>
            <w:r>
              <w:rPr>
                <w:rFonts w:hint="eastAsia" w:eastAsia="仿宋"/>
                <w:color w:val="000000"/>
                <w:szCs w:val="21"/>
              </w:rPr>
              <w:t>2.</w:t>
            </w:r>
            <w:r>
              <w:rPr>
                <w:rFonts w:eastAsia="仿宋"/>
                <w:color w:val="000000"/>
                <w:szCs w:val="21"/>
              </w:rPr>
              <w:t>17%</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vAlign w:val="center"/>
          </w:tcPr>
          <w:p>
            <w:pPr>
              <w:spacing w:line="360" w:lineRule="auto"/>
              <w:ind w:right="45"/>
              <w:contextualSpacing/>
              <w:rPr>
                <w:rFonts w:eastAsia="仿宋"/>
                <w:b/>
                <w:bCs/>
                <w:color w:val="000000"/>
                <w:szCs w:val="21"/>
              </w:rPr>
            </w:pPr>
            <w:r>
              <w:rPr>
                <w:rFonts w:eastAsia="仿宋"/>
                <w:b/>
                <w:bCs/>
                <w:color w:val="000000"/>
                <w:szCs w:val="21"/>
              </w:rPr>
              <w:t>合计：</w:t>
            </w:r>
          </w:p>
        </w:tc>
        <w:tc>
          <w:tcPr>
            <w:tcW w:w="2214" w:type="dxa"/>
            <w:vAlign w:val="center"/>
          </w:tcPr>
          <w:p>
            <w:pPr>
              <w:wordWrap w:val="0"/>
              <w:spacing w:line="360" w:lineRule="auto"/>
              <w:ind w:right="45"/>
              <w:contextualSpacing/>
              <w:jc w:val="center"/>
              <w:rPr>
                <w:rFonts w:eastAsia="仿宋"/>
                <w:b/>
                <w:bCs/>
                <w:color w:val="000000"/>
                <w:szCs w:val="21"/>
              </w:rPr>
            </w:pPr>
            <w:r>
              <w:rPr>
                <w:rFonts w:hint="eastAsia" w:eastAsia="仿宋"/>
                <w:b/>
                <w:bCs/>
                <w:color w:val="000000"/>
                <w:szCs w:val="21"/>
              </w:rPr>
              <w:t>33</w:t>
            </w:r>
            <w:r>
              <w:rPr>
                <w:rFonts w:eastAsia="仿宋"/>
                <w:b/>
                <w:bCs/>
                <w:color w:val="000000"/>
                <w:szCs w:val="21"/>
              </w:rPr>
              <w:t>6</w:t>
            </w:r>
            <w:r>
              <w:rPr>
                <w:rFonts w:hint="eastAsia" w:eastAsia="仿宋"/>
                <w:b/>
                <w:bCs/>
                <w:color w:val="000000"/>
                <w:szCs w:val="21"/>
              </w:rPr>
              <w:t>,</w:t>
            </w:r>
            <w:r>
              <w:rPr>
                <w:rFonts w:eastAsia="仿宋"/>
                <w:b/>
                <w:bCs/>
                <w:color w:val="000000"/>
                <w:szCs w:val="21"/>
              </w:rPr>
              <w:t>001</w:t>
            </w:r>
            <w:r>
              <w:rPr>
                <w:rFonts w:hint="eastAsia" w:eastAsia="仿宋"/>
                <w:b/>
                <w:bCs/>
                <w:color w:val="000000"/>
                <w:szCs w:val="21"/>
              </w:rPr>
              <w:t>.</w:t>
            </w:r>
            <w:r>
              <w:rPr>
                <w:rFonts w:eastAsia="仿宋"/>
                <w:b/>
                <w:bCs/>
                <w:color w:val="000000"/>
                <w:szCs w:val="21"/>
              </w:rPr>
              <w:t>0</w:t>
            </w:r>
            <w:r>
              <w:rPr>
                <w:rFonts w:hint="eastAsia" w:eastAsia="仿宋"/>
                <w:b/>
                <w:bCs/>
                <w:color w:val="000000"/>
                <w:szCs w:val="21"/>
              </w:rPr>
              <w:t>0</w:t>
            </w:r>
          </w:p>
        </w:tc>
        <w:tc>
          <w:tcPr>
            <w:tcW w:w="1476" w:type="dxa"/>
            <w:vAlign w:val="center"/>
          </w:tcPr>
          <w:p>
            <w:pPr>
              <w:widowControl/>
              <w:spacing w:line="360" w:lineRule="auto"/>
              <w:jc w:val="center"/>
              <w:textAlignment w:val="center"/>
              <w:rPr>
                <w:rFonts w:eastAsia="仿宋"/>
                <w:b/>
                <w:bCs/>
                <w:color w:val="000000"/>
                <w:szCs w:val="21"/>
              </w:rPr>
            </w:pPr>
            <w:r>
              <w:rPr>
                <w:rFonts w:eastAsia="仿宋"/>
                <w:b/>
                <w:bCs/>
                <w:color w:val="000000"/>
                <w:szCs w:val="21"/>
              </w:rPr>
              <w:t>100.00%</w:t>
            </w:r>
          </w:p>
        </w:tc>
      </w:tr>
    </w:tbl>
    <w:p>
      <w:pPr>
        <w:pStyle w:val="11"/>
        <w:spacing w:line="360" w:lineRule="auto"/>
        <w:ind w:firstLine="560"/>
        <w:rPr>
          <w:szCs w:val="28"/>
        </w:rPr>
      </w:pPr>
    </w:p>
    <w:p>
      <w:pPr>
        <w:pStyle w:val="11"/>
        <w:spacing w:line="360" w:lineRule="auto"/>
        <w:ind w:firstLine="560"/>
        <w:rPr>
          <w:szCs w:val="28"/>
        </w:rPr>
      </w:pPr>
      <w:r>
        <w:rPr>
          <w:szCs w:val="28"/>
        </w:rPr>
        <w:t>该项目未来年度投资计划如下：</w:t>
      </w:r>
    </w:p>
    <w:p>
      <w:pPr>
        <w:pStyle w:val="11"/>
        <w:spacing w:line="360" w:lineRule="auto"/>
        <w:ind w:firstLine="562"/>
        <w:jc w:val="center"/>
        <w:rPr>
          <w:b/>
          <w:szCs w:val="28"/>
        </w:rPr>
      </w:pPr>
      <w:r>
        <w:rPr>
          <w:b/>
          <w:szCs w:val="28"/>
        </w:rPr>
        <w:t>项目投资计划表</w:t>
      </w:r>
    </w:p>
    <w:p>
      <w:pPr>
        <w:widowControl/>
        <w:spacing w:after="120" w:line="360" w:lineRule="auto"/>
        <w:ind w:firstLine="480" w:firstLineChars="200"/>
        <w:contextualSpacing/>
        <w:jc w:val="right"/>
        <w:rPr>
          <w:rFonts w:eastAsia="仿宋"/>
          <w:kern w:val="0"/>
          <w:sz w:val="24"/>
          <w:lang w:val="en-GB"/>
        </w:rPr>
      </w:pPr>
      <w:r>
        <w:rPr>
          <w:rFonts w:eastAsia="仿宋"/>
          <w:kern w:val="0"/>
          <w:sz w:val="24"/>
          <w:lang w:val="en-GB"/>
        </w:rPr>
        <w:t>单位：人民币万元</w:t>
      </w:r>
    </w:p>
    <w:tbl>
      <w:tblPr>
        <w:tblStyle w:val="8"/>
        <w:tblW w:w="7826" w:type="dxa"/>
        <w:jc w:val="center"/>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574"/>
        <w:gridCol w:w="1327"/>
        <w:gridCol w:w="1207"/>
        <w:gridCol w:w="1245"/>
        <w:gridCol w:w="1241"/>
        <w:gridCol w:w="1232"/>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574" w:type="dxa"/>
            <w:vMerge w:val="restart"/>
            <w:vAlign w:val="center"/>
          </w:tcPr>
          <w:p>
            <w:pPr>
              <w:pStyle w:val="11"/>
              <w:ind w:firstLine="0" w:firstLineChars="0"/>
              <w:contextualSpacing/>
              <w:jc w:val="center"/>
              <w:rPr>
                <w:b/>
                <w:sz w:val="21"/>
                <w:szCs w:val="21"/>
              </w:rPr>
            </w:pPr>
            <w:r>
              <w:rPr>
                <w:b/>
                <w:sz w:val="21"/>
                <w:szCs w:val="21"/>
              </w:rPr>
              <w:t>项目</w:t>
            </w:r>
          </w:p>
        </w:tc>
        <w:tc>
          <w:tcPr>
            <w:tcW w:w="1327" w:type="dxa"/>
            <w:vMerge w:val="restart"/>
            <w:vAlign w:val="center"/>
          </w:tcPr>
          <w:p>
            <w:pPr>
              <w:pStyle w:val="11"/>
              <w:ind w:firstLine="0" w:firstLineChars="0"/>
              <w:contextualSpacing/>
              <w:jc w:val="center"/>
              <w:rPr>
                <w:rFonts w:hint="eastAsia"/>
                <w:b/>
                <w:sz w:val="21"/>
                <w:szCs w:val="21"/>
              </w:rPr>
            </w:pPr>
            <w:r>
              <w:rPr>
                <w:rFonts w:hint="eastAsia"/>
                <w:b/>
                <w:sz w:val="21"/>
                <w:szCs w:val="21"/>
              </w:rPr>
              <w:t>合计</w:t>
            </w:r>
          </w:p>
        </w:tc>
        <w:tc>
          <w:tcPr>
            <w:tcW w:w="4925" w:type="dxa"/>
            <w:gridSpan w:val="4"/>
            <w:tcBorders>
              <w:right w:val="single" w:color="auto" w:sz="4" w:space="0"/>
            </w:tcBorders>
            <w:vAlign w:val="center"/>
          </w:tcPr>
          <w:p>
            <w:pPr>
              <w:pStyle w:val="11"/>
              <w:ind w:firstLine="0" w:firstLineChars="0"/>
              <w:contextualSpacing/>
              <w:jc w:val="center"/>
              <w:rPr>
                <w:rFonts w:hint="eastAsia"/>
                <w:b/>
                <w:sz w:val="21"/>
                <w:szCs w:val="21"/>
              </w:rPr>
            </w:pPr>
            <w:r>
              <w:rPr>
                <w:rFonts w:hint="eastAsia"/>
                <w:b/>
                <w:sz w:val="21"/>
                <w:szCs w:val="21"/>
              </w:rPr>
              <w:t>建设期</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574" w:type="dxa"/>
            <w:vMerge w:val="continue"/>
            <w:vAlign w:val="center"/>
          </w:tcPr>
          <w:p>
            <w:pPr>
              <w:pStyle w:val="11"/>
              <w:ind w:firstLine="0" w:firstLineChars="0"/>
              <w:contextualSpacing/>
              <w:jc w:val="center"/>
              <w:rPr>
                <w:b/>
                <w:sz w:val="21"/>
                <w:szCs w:val="21"/>
              </w:rPr>
            </w:pPr>
          </w:p>
        </w:tc>
        <w:tc>
          <w:tcPr>
            <w:tcW w:w="1327" w:type="dxa"/>
            <w:vMerge w:val="continue"/>
            <w:vAlign w:val="center"/>
          </w:tcPr>
          <w:p>
            <w:pPr>
              <w:pStyle w:val="11"/>
              <w:ind w:firstLine="0" w:firstLineChars="0"/>
              <w:contextualSpacing/>
              <w:jc w:val="center"/>
              <w:rPr>
                <w:b/>
                <w:sz w:val="21"/>
                <w:szCs w:val="21"/>
              </w:rPr>
            </w:pPr>
          </w:p>
        </w:tc>
        <w:tc>
          <w:tcPr>
            <w:tcW w:w="1207" w:type="dxa"/>
            <w:tcBorders>
              <w:right w:val="single" w:color="auto" w:sz="4" w:space="0"/>
            </w:tcBorders>
            <w:vAlign w:val="center"/>
          </w:tcPr>
          <w:p>
            <w:pPr>
              <w:pStyle w:val="11"/>
              <w:ind w:firstLine="0" w:firstLineChars="0"/>
              <w:contextualSpacing/>
              <w:jc w:val="center"/>
              <w:rPr>
                <w:rFonts w:hint="eastAsia"/>
                <w:b/>
                <w:sz w:val="21"/>
                <w:szCs w:val="21"/>
              </w:rPr>
            </w:pPr>
            <w:r>
              <w:rPr>
                <w:rFonts w:hint="eastAsia"/>
                <w:b/>
                <w:sz w:val="21"/>
                <w:szCs w:val="21"/>
              </w:rPr>
              <w:t>2020年</w:t>
            </w:r>
          </w:p>
        </w:tc>
        <w:tc>
          <w:tcPr>
            <w:tcW w:w="1245" w:type="dxa"/>
            <w:tcBorders>
              <w:left w:val="single" w:color="auto" w:sz="4" w:space="0"/>
            </w:tcBorders>
            <w:vAlign w:val="center"/>
          </w:tcPr>
          <w:p>
            <w:pPr>
              <w:pStyle w:val="11"/>
              <w:ind w:firstLine="0" w:firstLineChars="0"/>
              <w:contextualSpacing/>
              <w:jc w:val="center"/>
              <w:rPr>
                <w:rFonts w:hint="eastAsia"/>
                <w:b/>
                <w:sz w:val="21"/>
                <w:szCs w:val="21"/>
              </w:rPr>
            </w:pPr>
            <w:r>
              <w:rPr>
                <w:rFonts w:hint="eastAsia"/>
                <w:b/>
                <w:sz w:val="21"/>
                <w:szCs w:val="21"/>
              </w:rPr>
              <w:t>2021年</w:t>
            </w:r>
          </w:p>
        </w:tc>
        <w:tc>
          <w:tcPr>
            <w:tcW w:w="1241" w:type="dxa"/>
            <w:tcBorders>
              <w:left w:val="single" w:color="auto" w:sz="4" w:space="0"/>
            </w:tcBorders>
            <w:vAlign w:val="center"/>
          </w:tcPr>
          <w:p>
            <w:pPr>
              <w:pStyle w:val="11"/>
              <w:ind w:firstLine="0" w:firstLineChars="0"/>
              <w:contextualSpacing/>
              <w:jc w:val="center"/>
              <w:rPr>
                <w:rFonts w:hint="eastAsia"/>
                <w:b/>
                <w:sz w:val="21"/>
                <w:szCs w:val="21"/>
              </w:rPr>
            </w:pPr>
            <w:r>
              <w:rPr>
                <w:rFonts w:hint="eastAsia"/>
                <w:b/>
                <w:sz w:val="21"/>
                <w:szCs w:val="21"/>
              </w:rPr>
              <w:t>2022年</w:t>
            </w:r>
          </w:p>
        </w:tc>
        <w:tc>
          <w:tcPr>
            <w:tcW w:w="1232" w:type="dxa"/>
            <w:tcBorders>
              <w:left w:val="single" w:color="auto" w:sz="4" w:space="0"/>
            </w:tcBorders>
            <w:vAlign w:val="center"/>
          </w:tcPr>
          <w:p>
            <w:pPr>
              <w:pStyle w:val="11"/>
              <w:ind w:firstLine="0" w:firstLineChars="0"/>
              <w:contextualSpacing/>
              <w:jc w:val="center"/>
              <w:rPr>
                <w:rFonts w:hint="eastAsia"/>
                <w:b/>
                <w:sz w:val="21"/>
                <w:szCs w:val="21"/>
              </w:rPr>
            </w:pPr>
            <w:r>
              <w:rPr>
                <w:rFonts w:hint="eastAsia"/>
                <w:b/>
                <w:sz w:val="21"/>
                <w:szCs w:val="21"/>
              </w:rPr>
              <w:t>2023年</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574" w:type="dxa"/>
            <w:vAlign w:val="center"/>
          </w:tcPr>
          <w:p>
            <w:pPr>
              <w:pStyle w:val="11"/>
              <w:ind w:firstLine="0" w:firstLineChars="0"/>
              <w:contextualSpacing/>
              <w:jc w:val="center"/>
              <w:rPr>
                <w:sz w:val="21"/>
                <w:szCs w:val="21"/>
              </w:rPr>
            </w:pPr>
            <w:r>
              <w:rPr>
                <w:sz w:val="21"/>
                <w:szCs w:val="21"/>
              </w:rPr>
              <w:t>投资金额</w:t>
            </w:r>
          </w:p>
        </w:tc>
        <w:tc>
          <w:tcPr>
            <w:tcW w:w="1327" w:type="dxa"/>
            <w:vAlign w:val="center"/>
          </w:tcPr>
          <w:p>
            <w:pPr>
              <w:pStyle w:val="11"/>
              <w:ind w:firstLine="0" w:firstLineChars="0"/>
              <w:contextualSpacing/>
              <w:jc w:val="center"/>
              <w:rPr>
                <w:rFonts w:hint="eastAsia"/>
                <w:sz w:val="21"/>
                <w:szCs w:val="21"/>
              </w:rPr>
            </w:pPr>
            <w:r>
              <w:rPr>
                <w:rFonts w:hint="eastAsia"/>
                <w:sz w:val="21"/>
                <w:szCs w:val="21"/>
              </w:rPr>
              <w:t>3</w:t>
            </w:r>
            <w:r>
              <w:rPr>
                <w:sz w:val="21"/>
                <w:szCs w:val="21"/>
              </w:rPr>
              <w:t>36</w:t>
            </w:r>
            <w:r>
              <w:rPr>
                <w:rFonts w:hint="eastAsia"/>
                <w:sz w:val="21"/>
                <w:szCs w:val="21"/>
              </w:rPr>
              <w:t>,</w:t>
            </w:r>
            <w:r>
              <w:rPr>
                <w:sz w:val="21"/>
                <w:szCs w:val="21"/>
              </w:rPr>
              <w:t>001</w:t>
            </w:r>
            <w:r>
              <w:rPr>
                <w:rFonts w:hint="eastAsia"/>
                <w:sz w:val="21"/>
                <w:szCs w:val="21"/>
              </w:rPr>
              <w:t>.</w:t>
            </w:r>
            <w:r>
              <w:rPr>
                <w:sz w:val="21"/>
                <w:szCs w:val="21"/>
              </w:rPr>
              <w:t>0</w:t>
            </w:r>
            <w:r>
              <w:rPr>
                <w:rFonts w:hint="eastAsia"/>
                <w:sz w:val="21"/>
                <w:szCs w:val="21"/>
              </w:rPr>
              <w:t>0</w:t>
            </w:r>
          </w:p>
        </w:tc>
        <w:tc>
          <w:tcPr>
            <w:tcW w:w="1207" w:type="dxa"/>
            <w:tcBorders>
              <w:right w:val="single" w:color="auto" w:sz="4" w:space="0"/>
            </w:tcBorders>
            <w:vAlign w:val="center"/>
          </w:tcPr>
          <w:p>
            <w:pPr>
              <w:spacing w:line="560" w:lineRule="exact"/>
              <w:jc w:val="center"/>
              <w:rPr>
                <w:rFonts w:hint="eastAsia" w:eastAsia="仿宋"/>
                <w:szCs w:val="21"/>
              </w:rPr>
            </w:pPr>
            <w:r>
              <w:rPr>
                <w:rFonts w:eastAsia="仿宋"/>
                <w:szCs w:val="21"/>
              </w:rPr>
              <w:t>66</w:t>
            </w:r>
            <w:r>
              <w:rPr>
                <w:rFonts w:hint="eastAsia" w:eastAsia="仿宋"/>
                <w:szCs w:val="21"/>
              </w:rPr>
              <w:t>,</w:t>
            </w:r>
            <w:r>
              <w:rPr>
                <w:rFonts w:eastAsia="仿宋"/>
                <w:szCs w:val="21"/>
              </w:rPr>
              <w:t>25</w:t>
            </w:r>
            <w:r>
              <w:rPr>
                <w:rFonts w:hint="eastAsia" w:eastAsia="仿宋"/>
                <w:szCs w:val="21"/>
              </w:rPr>
              <w:t>0.00</w:t>
            </w:r>
          </w:p>
        </w:tc>
        <w:tc>
          <w:tcPr>
            <w:tcW w:w="1245" w:type="dxa"/>
            <w:tcBorders>
              <w:left w:val="single" w:color="auto" w:sz="4" w:space="0"/>
            </w:tcBorders>
            <w:vAlign w:val="center"/>
          </w:tcPr>
          <w:p>
            <w:pPr>
              <w:spacing w:line="560" w:lineRule="exact"/>
              <w:jc w:val="center"/>
              <w:rPr>
                <w:rFonts w:hint="eastAsia" w:eastAsia="仿宋"/>
                <w:szCs w:val="21"/>
              </w:rPr>
            </w:pPr>
            <w:r>
              <w:rPr>
                <w:rFonts w:eastAsia="仿宋"/>
                <w:szCs w:val="21"/>
              </w:rPr>
              <w:t>144</w:t>
            </w:r>
            <w:r>
              <w:rPr>
                <w:rFonts w:hint="eastAsia" w:eastAsia="仿宋"/>
                <w:szCs w:val="21"/>
              </w:rPr>
              <w:t>,2</w:t>
            </w:r>
            <w:r>
              <w:rPr>
                <w:rFonts w:eastAsia="仿宋"/>
                <w:szCs w:val="21"/>
              </w:rPr>
              <w:t>50</w:t>
            </w:r>
            <w:r>
              <w:rPr>
                <w:rFonts w:hint="eastAsia" w:eastAsia="仿宋"/>
                <w:szCs w:val="21"/>
              </w:rPr>
              <w:t>.00</w:t>
            </w:r>
          </w:p>
        </w:tc>
        <w:tc>
          <w:tcPr>
            <w:tcW w:w="1241" w:type="dxa"/>
            <w:tcBorders>
              <w:left w:val="single" w:color="auto" w:sz="4" w:space="0"/>
            </w:tcBorders>
            <w:vAlign w:val="center"/>
          </w:tcPr>
          <w:p>
            <w:pPr>
              <w:spacing w:line="560" w:lineRule="exact"/>
              <w:jc w:val="center"/>
              <w:rPr>
                <w:rFonts w:hint="eastAsia" w:eastAsia="仿宋"/>
                <w:szCs w:val="21"/>
              </w:rPr>
            </w:pPr>
            <w:r>
              <w:rPr>
                <w:rFonts w:hint="eastAsia" w:eastAsia="仿宋"/>
                <w:szCs w:val="21"/>
              </w:rPr>
              <w:t>7</w:t>
            </w:r>
            <w:r>
              <w:rPr>
                <w:rFonts w:eastAsia="仿宋"/>
                <w:szCs w:val="21"/>
              </w:rPr>
              <w:t>6</w:t>
            </w:r>
            <w:r>
              <w:rPr>
                <w:rFonts w:hint="eastAsia" w:eastAsia="仿宋"/>
                <w:szCs w:val="21"/>
              </w:rPr>
              <w:t>,</w:t>
            </w:r>
            <w:r>
              <w:rPr>
                <w:rFonts w:eastAsia="仿宋"/>
                <w:szCs w:val="21"/>
              </w:rPr>
              <w:t>375</w:t>
            </w:r>
            <w:r>
              <w:rPr>
                <w:rFonts w:hint="eastAsia" w:eastAsia="仿宋"/>
                <w:szCs w:val="21"/>
              </w:rPr>
              <w:t>.00</w:t>
            </w:r>
          </w:p>
        </w:tc>
        <w:tc>
          <w:tcPr>
            <w:tcW w:w="1232" w:type="dxa"/>
            <w:tcBorders>
              <w:left w:val="single" w:color="auto" w:sz="4" w:space="0"/>
            </w:tcBorders>
            <w:vAlign w:val="center"/>
          </w:tcPr>
          <w:p>
            <w:pPr>
              <w:spacing w:line="560" w:lineRule="exact"/>
              <w:jc w:val="center"/>
              <w:rPr>
                <w:rFonts w:hint="eastAsia" w:eastAsia="仿宋"/>
                <w:szCs w:val="21"/>
              </w:rPr>
            </w:pPr>
            <w:r>
              <w:rPr>
                <w:rFonts w:eastAsia="仿宋"/>
                <w:szCs w:val="21"/>
              </w:rPr>
              <w:t>49</w:t>
            </w:r>
            <w:r>
              <w:rPr>
                <w:rFonts w:hint="eastAsia" w:eastAsia="仿宋"/>
                <w:szCs w:val="21"/>
              </w:rPr>
              <w:t>,</w:t>
            </w:r>
            <w:r>
              <w:rPr>
                <w:rFonts w:eastAsia="仿宋"/>
                <w:szCs w:val="21"/>
              </w:rPr>
              <w:t>126</w:t>
            </w:r>
            <w:r>
              <w:rPr>
                <w:rFonts w:hint="eastAsia" w:eastAsia="仿宋"/>
                <w:szCs w:val="21"/>
              </w:rPr>
              <w:t>.</w:t>
            </w:r>
            <w:r>
              <w:rPr>
                <w:rFonts w:eastAsia="仿宋"/>
                <w:szCs w:val="21"/>
              </w:rPr>
              <w:t>0</w:t>
            </w:r>
            <w:r>
              <w:rPr>
                <w:rFonts w:hint="eastAsia" w:eastAsia="仿宋"/>
                <w:szCs w:val="21"/>
              </w:rPr>
              <w:t>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574" w:type="dxa"/>
            <w:vAlign w:val="center"/>
          </w:tcPr>
          <w:p>
            <w:pPr>
              <w:pStyle w:val="11"/>
              <w:ind w:firstLine="0" w:firstLineChars="0"/>
              <w:contextualSpacing/>
              <w:jc w:val="center"/>
              <w:rPr>
                <w:sz w:val="21"/>
                <w:szCs w:val="21"/>
              </w:rPr>
            </w:pPr>
            <w:r>
              <w:rPr>
                <w:sz w:val="21"/>
                <w:szCs w:val="21"/>
              </w:rPr>
              <w:t>投资比例</w:t>
            </w:r>
          </w:p>
        </w:tc>
        <w:tc>
          <w:tcPr>
            <w:tcW w:w="1327" w:type="dxa"/>
            <w:vAlign w:val="center"/>
          </w:tcPr>
          <w:p>
            <w:pPr>
              <w:pStyle w:val="11"/>
              <w:ind w:firstLine="0" w:firstLineChars="0"/>
              <w:contextualSpacing/>
              <w:jc w:val="center"/>
              <w:rPr>
                <w:rFonts w:hint="eastAsia"/>
                <w:sz w:val="21"/>
                <w:szCs w:val="21"/>
              </w:rPr>
            </w:pPr>
            <w:r>
              <w:rPr>
                <w:rFonts w:hint="eastAsia"/>
                <w:sz w:val="21"/>
                <w:szCs w:val="21"/>
              </w:rPr>
              <w:t>100%</w:t>
            </w:r>
          </w:p>
        </w:tc>
        <w:tc>
          <w:tcPr>
            <w:tcW w:w="1207" w:type="dxa"/>
            <w:tcBorders>
              <w:right w:val="single" w:color="auto" w:sz="4" w:space="0"/>
            </w:tcBorders>
            <w:vAlign w:val="center"/>
          </w:tcPr>
          <w:p>
            <w:pPr>
              <w:pStyle w:val="11"/>
              <w:ind w:firstLine="0" w:firstLineChars="0"/>
              <w:contextualSpacing/>
              <w:jc w:val="center"/>
              <w:rPr>
                <w:rFonts w:hint="eastAsia"/>
                <w:sz w:val="21"/>
                <w:szCs w:val="21"/>
              </w:rPr>
            </w:pPr>
            <w:r>
              <w:rPr>
                <w:sz w:val="21"/>
                <w:szCs w:val="21"/>
              </w:rPr>
              <w:t>19.72</w:t>
            </w:r>
            <w:r>
              <w:rPr>
                <w:rFonts w:hint="eastAsia"/>
                <w:sz w:val="21"/>
                <w:szCs w:val="21"/>
              </w:rPr>
              <w:t>%</w:t>
            </w:r>
          </w:p>
        </w:tc>
        <w:tc>
          <w:tcPr>
            <w:tcW w:w="1245" w:type="dxa"/>
            <w:tcBorders>
              <w:left w:val="single" w:color="auto" w:sz="4" w:space="0"/>
            </w:tcBorders>
            <w:vAlign w:val="center"/>
          </w:tcPr>
          <w:p>
            <w:pPr>
              <w:pStyle w:val="11"/>
              <w:ind w:firstLine="0" w:firstLineChars="0"/>
              <w:contextualSpacing/>
              <w:jc w:val="center"/>
              <w:rPr>
                <w:rFonts w:hint="eastAsia"/>
                <w:sz w:val="21"/>
                <w:szCs w:val="21"/>
              </w:rPr>
            </w:pPr>
            <w:r>
              <w:rPr>
                <w:sz w:val="21"/>
                <w:szCs w:val="21"/>
              </w:rPr>
              <w:t>42.93</w:t>
            </w:r>
            <w:r>
              <w:rPr>
                <w:rFonts w:hint="eastAsia"/>
                <w:sz w:val="21"/>
                <w:szCs w:val="21"/>
              </w:rPr>
              <w:t>%</w:t>
            </w:r>
          </w:p>
        </w:tc>
        <w:tc>
          <w:tcPr>
            <w:tcW w:w="1241" w:type="dxa"/>
            <w:tcBorders>
              <w:left w:val="single" w:color="auto" w:sz="4" w:space="0"/>
            </w:tcBorders>
            <w:vAlign w:val="center"/>
          </w:tcPr>
          <w:p>
            <w:pPr>
              <w:pStyle w:val="11"/>
              <w:ind w:firstLine="0" w:firstLineChars="0"/>
              <w:contextualSpacing/>
              <w:jc w:val="center"/>
              <w:rPr>
                <w:rFonts w:hint="eastAsia"/>
                <w:sz w:val="21"/>
                <w:szCs w:val="21"/>
              </w:rPr>
            </w:pPr>
            <w:r>
              <w:rPr>
                <w:sz w:val="21"/>
                <w:szCs w:val="21"/>
              </w:rPr>
              <w:t>22.73</w:t>
            </w:r>
            <w:r>
              <w:rPr>
                <w:rFonts w:hint="eastAsia"/>
                <w:sz w:val="21"/>
                <w:szCs w:val="21"/>
              </w:rPr>
              <w:t>%</w:t>
            </w:r>
          </w:p>
        </w:tc>
        <w:tc>
          <w:tcPr>
            <w:tcW w:w="1232" w:type="dxa"/>
            <w:tcBorders>
              <w:left w:val="single" w:color="auto" w:sz="4" w:space="0"/>
            </w:tcBorders>
            <w:vAlign w:val="center"/>
          </w:tcPr>
          <w:p>
            <w:pPr>
              <w:pStyle w:val="11"/>
              <w:ind w:firstLine="0" w:firstLineChars="0"/>
              <w:contextualSpacing/>
              <w:jc w:val="center"/>
              <w:rPr>
                <w:rFonts w:hint="eastAsia"/>
                <w:sz w:val="21"/>
                <w:szCs w:val="21"/>
              </w:rPr>
            </w:pPr>
            <w:r>
              <w:rPr>
                <w:sz w:val="21"/>
                <w:szCs w:val="21"/>
              </w:rPr>
              <w:t>14.62</w:t>
            </w:r>
            <w:r>
              <w:rPr>
                <w:rFonts w:hint="eastAsia"/>
                <w:sz w:val="21"/>
                <w:szCs w:val="21"/>
              </w:rPr>
              <w:t>%</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574" w:type="dxa"/>
            <w:vAlign w:val="center"/>
          </w:tcPr>
          <w:p>
            <w:pPr>
              <w:pStyle w:val="11"/>
              <w:ind w:firstLine="0" w:firstLineChars="0"/>
              <w:contextualSpacing/>
              <w:jc w:val="center"/>
              <w:rPr>
                <w:sz w:val="21"/>
                <w:szCs w:val="21"/>
              </w:rPr>
            </w:pPr>
            <w:r>
              <w:rPr>
                <w:sz w:val="21"/>
                <w:szCs w:val="21"/>
              </w:rPr>
              <w:t>资本金</w:t>
            </w:r>
          </w:p>
        </w:tc>
        <w:tc>
          <w:tcPr>
            <w:tcW w:w="1327" w:type="dxa"/>
            <w:vAlign w:val="center"/>
          </w:tcPr>
          <w:p>
            <w:pPr>
              <w:spacing w:line="560" w:lineRule="exact"/>
              <w:jc w:val="center"/>
              <w:rPr>
                <w:rFonts w:hint="eastAsia" w:eastAsia="仿宋"/>
                <w:szCs w:val="21"/>
              </w:rPr>
            </w:pPr>
            <w:r>
              <w:rPr>
                <w:rFonts w:hint="eastAsia" w:eastAsia="仿宋"/>
                <w:szCs w:val="21"/>
              </w:rPr>
              <w:t>22</w:t>
            </w:r>
            <w:r>
              <w:rPr>
                <w:rFonts w:eastAsia="仿宋"/>
                <w:szCs w:val="21"/>
              </w:rPr>
              <w:t>3</w:t>
            </w:r>
            <w:r>
              <w:rPr>
                <w:rFonts w:hint="eastAsia" w:eastAsia="仿宋"/>
                <w:szCs w:val="21"/>
              </w:rPr>
              <w:t>,</w:t>
            </w:r>
            <w:r>
              <w:rPr>
                <w:rFonts w:eastAsia="仿宋"/>
                <w:szCs w:val="21"/>
              </w:rPr>
              <w:t>001</w:t>
            </w:r>
            <w:r>
              <w:rPr>
                <w:rFonts w:hint="eastAsia" w:eastAsia="仿宋"/>
                <w:szCs w:val="21"/>
              </w:rPr>
              <w:t>.</w:t>
            </w:r>
            <w:r>
              <w:rPr>
                <w:rFonts w:eastAsia="仿宋"/>
                <w:szCs w:val="21"/>
              </w:rPr>
              <w:t>0</w:t>
            </w:r>
            <w:r>
              <w:rPr>
                <w:rFonts w:hint="eastAsia" w:eastAsia="仿宋"/>
                <w:szCs w:val="21"/>
              </w:rPr>
              <w:t>0</w:t>
            </w:r>
          </w:p>
        </w:tc>
        <w:tc>
          <w:tcPr>
            <w:tcW w:w="1207" w:type="dxa"/>
            <w:tcBorders>
              <w:right w:val="single" w:color="auto" w:sz="4" w:space="0"/>
            </w:tcBorders>
            <w:vAlign w:val="center"/>
          </w:tcPr>
          <w:p>
            <w:pPr>
              <w:spacing w:line="560" w:lineRule="exact"/>
              <w:jc w:val="center"/>
              <w:rPr>
                <w:rFonts w:hint="eastAsia" w:eastAsia="仿宋"/>
                <w:szCs w:val="21"/>
              </w:rPr>
            </w:pPr>
            <w:r>
              <w:rPr>
                <w:rFonts w:eastAsia="仿宋"/>
                <w:szCs w:val="21"/>
              </w:rPr>
              <w:t>60</w:t>
            </w:r>
            <w:r>
              <w:rPr>
                <w:rFonts w:hint="eastAsia" w:eastAsia="仿宋"/>
                <w:szCs w:val="21"/>
              </w:rPr>
              <w:t>,250.00</w:t>
            </w:r>
          </w:p>
        </w:tc>
        <w:tc>
          <w:tcPr>
            <w:tcW w:w="1245" w:type="dxa"/>
            <w:tcBorders>
              <w:left w:val="single" w:color="auto" w:sz="4" w:space="0"/>
            </w:tcBorders>
            <w:vAlign w:val="center"/>
          </w:tcPr>
          <w:p>
            <w:pPr>
              <w:spacing w:line="560" w:lineRule="exact"/>
              <w:jc w:val="center"/>
              <w:rPr>
                <w:rFonts w:hint="eastAsia" w:eastAsia="仿宋"/>
                <w:szCs w:val="21"/>
              </w:rPr>
            </w:pPr>
            <w:r>
              <w:rPr>
                <w:rFonts w:hint="eastAsia" w:eastAsia="仿宋"/>
                <w:szCs w:val="21"/>
              </w:rPr>
              <w:t>47,250.00</w:t>
            </w:r>
          </w:p>
        </w:tc>
        <w:tc>
          <w:tcPr>
            <w:tcW w:w="1241" w:type="dxa"/>
            <w:tcBorders>
              <w:left w:val="single" w:color="auto" w:sz="4" w:space="0"/>
            </w:tcBorders>
            <w:vAlign w:val="center"/>
          </w:tcPr>
          <w:p>
            <w:pPr>
              <w:spacing w:line="560" w:lineRule="exact"/>
              <w:jc w:val="center"/>
              <w:rPr>
                <w:rFonts w:hint="eastAsia" w:eastAsia="仿宋"/>
                <w:szCs w:val="21"/>
              </w:rPr>
            </w:pPr>
            <w:r>
              <w:rPr>
                <w:rFonts w:hint="eastAsia" w:eastAsia="仿宋"/>
                <w:szCs w:val="21"/>
              </w:rPr>
              <w:t>7</w:t>
            </w:r>
            <w:r>
              <w:rPr>
                <w:rFonts w:eastAsia="仿宋"/>
                <w:szCs w:val="21"/>
              </w:rPr>
              <w:t>1</w:t>
            </w:r>
            <w:r>
              <w:rPr>
                <w:rFonts w:hint="eastAsia" w:eastAsia="仿宋"/>
                <w:szCs w:val="21"/>
              </w:rPr>
              <w:t>,375.00</w:t>
            </w:r>
          </w:p>
        </w:tc>
        <w:tc>
          <w:tcPr>
            <w:tcW w:w="1232" w:type="dxa"/>
            <w:tcBorders>
              <w:left w:val="single" w:color="auto" w:sz="4" w:space="0"/>
            </w:tcBorders>
            <w:vAlign w:val="center"/>
          </w:tcPr>
          <w:p>
            <w:pPr>
              <w:spacing w:line="560" w:lineRule="exact"/>
              <w:jc w:val="center"/>
              <w:rPr>
                <w:rFonts w:hint="eastAsia" w:eastAsia="仿宋"/>
                <w:szCs w:val="21"/>
              </w:rPr>
            </w:pPr>
            <w:r>
              <w:rPr>
                <w:rFonts w:hint="eastAsia" w:eastAsia="仿宋"/>
                <w:szCs w:val="21"/>
              </w:rPr>
              <w:t>4</w:t>
            </w:r>
            <w:r>
              <w:rPr>
                <w:rFonts w:eastAsia="仿宋"/>
                <w:szCs w:val="21"/>
              </w:rPr>
              <w:t>4</w:t>
            </w:r>
            <w:r>
              <w:rPr>
                <w:rFonts w:hint="eastAsia" w:eastAsia="仿宋"/>
                <w:szCs w:val="21"/>
              </w:rPr>
              <w:t>,</w:t>
            </w:r>
            <w:r>
              <w:rPr>
                <w:rFonts w:eastAsia="仿宋"/>
                <w:szCs w:val="21"/>
              </w:rPr>
              <w:t>126</w:t>
            </w:r>
            <w:r>
              <w:rPr>
                <w:rFonts w:hint="eastAsia" w:eastAsia="仿宋"/>
                <w:szCs w:val="21"/>
              </w:rPr>
              <w:t>.</w:t>
            </w:r>
            <w:r>
              <w:rPr>
                <w:rFonts w:eastAsia="仿宋"/>
                <w:szCs w:val="21"/>
              </w:rPr>
              <w:t>00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1574" w:type="dxa"/>
            <w:vAlign w:val="center"/>
          </w:tcPr>
          <w:p>
            <w:pPr>
              <w:pStyle w:val="11"/>
              <w:ind w:firstLine="0" w:firstLineChars="0"/>
              <w:contextualSpacing/>
              <w:jc w:val="center"/>
              <w:rPr>
                <w:sz w:val="21"/>
                <w:szCs w:val="21"/>
              </w:rPr>
            </w:pPr>
            <w:r>
              <w:rPr>
                <w:sz w:val="21"/>
                <w:szCs w:val="21"/>
              </w:rPr>
              <w:t>专项债券</w:t>
            </w:r>
          </w:p>
        </w:tc>
        <w:tc>
          <w:tcPr>
            <w:tcW w:w="1327" w:type="dxa"/>
            <w:vAlign w:val="center"/>
          </w:tcPr>
          <w:p>
            <w:pPr>
              <w:pStyle w:val="11"/>
              <w:ind w:firstLine="0" w:firstLineChars="0"/>
              <w:contextualSpacing/>
              <w:jc w:val="center"/>
              <w:rPr>
                <w:rFonts w:hint="eastAsia"/>
                <w:sz w:val="21"/>
                <w:szCs w:val="21"/>
              </w:rPr>
            </w:pPr>
            <w:r>
              <w:rPr>
                <w:rFonts w:hint="eastAsia"/>
                <w:sz w:val="21"/>
                <w:szCs w:val="21"/>
              </w:rPr>
              <w:t>11</w:t>
            </w:r>
            <w:r>
              <w:rPr>
                <w:sz w:val="21"/>
                <w:szCs w:val="21"/>
              </w:rPr>
              <w:t>3</w:t>
            </w:r>
            <w:r>
              <w:rPr>
                <w:rFonts w:hint="eastAsia"/>
                <w:sz w:val="21"/>
                <w:szCs w:val="21"/>
              </w:rPr>
              <w:t>,000.00</w:t>
            </w:r>
          </w:p>
        </w:tc>
        <w:tc>
          <w:tcPr>
            <w:tcW w:w="1207" w:type="dxa"/>
            <w:tcBorders>
              <w:right w:val="single" w:color="auto" w:sz="4" w:space="0"/>
            </w:tcBorders>
            <w:vAlign w:val="center"/>
          </w:tcPr>
          <w:p>
            <w:pPr>
              <w:pStyle w:val="11"/>
              <w:ind w:firstLine="0" w:firstLineChars="0"/>
              <w:contextualSpacing/>
              <w:jc w:val="center"/>
              <w:rPr>
                <w:rFonts w:hint="eastAsia"/>
                <w:sz w:val="21"/>
                <w:szCs w:val="21"/>
              </w:rPr>
            </w:pPr>
            <w:r>
              <w:rPr>
                <w:rFonts w:hint="eastAsia"/>
                <w:sz w:val="21"/>
                <w:szCs w:val="21"/>
              </w:rPr>
              <w:t>6,000.00</w:t>
            </w:r>
          </w:p>
        </w:tc>
        <w:tc>
          <w:tcPr>
            <w:tcW w:w="1245" w:type="dxa"/>
            <w:tcBorders>
              <w:left w:val="single" w:color="auto" w:sz="4" w:space="0"/>
            </w:tcBorders>
            <w:vAlign w:val="center"/>
          </w:tcPr>
          <w:p>
            <w:pPr>
              <w:pStyle w:val="11"/>
              <w:ind w:firstLine="0" w:firstLineChars="0"/>
              <w:contextualSpacing/>
              <w:jc w:val="center"/>
              <w:rPr>
                <w:rFonts w:hint="eastAsia"/>
                <w:sz w:val="21"/>
                <w:szCs w:val="21"/>
              </w:rPr>
            </w:pPr>
            <w:r>
              <w:rPr>
                <w:sz w:val="21"/>
                <w:szCs w:val="21"/>
              </w:rPr>
              <w:t>97</w:t>
            </w:r>
            <w:r>
              <w:rPr>
                <w:rFonts w:hint="eastAsia"/>
                <w:sz w:val="21"/>
                <w:szCs w:val="21"/>
              </w:rPr>
              <w:t>,000</w:t>
            </w:r>
          </w:p>
        </w:tc>
        <w:tc>
          <w:tcPr>
            <w:tcW w:w="1241" w:type="dxa"/>
            <w:tcBorders>
              <w:left w:val="single" w:color="auto" w:sz="4" w:space="0"/>
            </w:tcBorders>
            <w:vAlign w:val="center"/>
          </w:tcPr>
          <w:p>
            <w:pPr>
              <w:pStyle w:val="11"/>
              <w:ind w:firstLine="0" w:firstLineChars="0"/>
              <w:contextualSpacing/>
              <w:jc w:val="center"/>
              <w:rPr>
                <w:rFonts w:hint="eastAsia"/>
                <w:sz w:val="21"/>
                <w:szCs w:val="21"/>
              </w:rPr>
            </w:pPr>
            <w:r>
              <w:rPr>
                <w:rFonts w:hint="eastAsia"/>
                <w:sz w:val="21"/>
                <w:szCs w:val="21"/>
              </w:rPr>
              <w:t>5,000</w:t>
            </w:r>
          </w:p>
        </w:tc>
        <w:tc>
          <w:tcPr>
            <w:tcW w:w="1232" w:type="dxa"/>
            <w:tcBorders>
              <w:left w:val="single" w:color="auto" w:sz="4" w:space="0"/>
            </w:tcBorders>
            <w:vAlign w:val="center"/>
          </w:tcPr>
          <w:p>
            <w:pPr>
              <w:pStyle w:val="11"/>
              <w:ind w:firstLine="0" w:firstLineChars="0"/>
              <w:contextualSpacing/>
              <w:jc w:val="center"/>
              <w:rPr>
                <w:rFonts w:hint="eastAsia"/>
                <w:sz w:val="21"/>
                <w:szCs w:val="21"/>
              </w:rPr>
            </w:pPr>
            <w:r>
              <w:rPr>
                <w:rFonts w:hint="eastAsia"/>
                <w:sz w:val="21"/>
                <w:szCs w:val="21"/>
              </w:rPr>
              <w:t>5,000</w:t>
            </w:r>
          </w:p>
        </w:tc>
      </w:tr>
    </w:tbl>
    <w:p>
      <w:pPr>
        <w:spacing w:line="360" w:lineRule="auto"/>
        <w:ind w:left="560"/>
        <w:rPr>
          <w:rFonts w:eastAsia="仿宋"/>
          <w:sz w:val="28"/>
          <w:szCs w:val="28"/>
        </w:rPr>
      </w:pPr>
    </w:p>
    <w:p>
      <w:pPr>
        <w:pStyle w:val="2"/>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3、项目资金来源</w:t>
      </w:r>
    </w:p>
    <w:p>
      <w:pPr>
        <w:pStyle w:val="11"/>
        <w:spacing w:line="360" w:lineRule="auto"/>
        <w:ind w:firstLine="560"/>
        <w:jc w:val="both"/>
        <w:rPr>
          <w:rFonts w:hint="eastAsia" w:ascii="仿宋" w:hAnsi="仿宋" w:eastAsia="仿宋" w:cs="仿宋"/>
          <w:szCs w:val="28"/>
        </w:rPr>
      </w:pPr>
      <w:r>
        <w:rPr>
          <w:rFonts w:hint="eastAsia" w:ascii="仿宋" w:hAnsi="仿宋" w:eastAsia="仿宋" w:cs="仿宋"/>
          <w:szCs w:val="28"/>
        </w:rPr>
        <w:t>本项目估算总投资为336,001.00万元；其中项目资本金为223,001.00万元，占总投资的66.37%，通过业主单位（实施主体）自筹方式解决，按项目建设进度到位；资金缺口113,000.00万元，占总投资33.63%，拟通过发行专项债券解决。</w:t>
      </w:r>
    </w:p>
    <w:p>
      <w:pPr>
        <w:pStyle w:val="11"/>
        <w:spacing w:line="360" w:lineRule="auto"/>
        <w:ind w:firstLine="562"/>
        <w:jc w:val="center"/>
        <w:rPr>
          <w:b/>
          <w:szCs w:val="28"/>
        </w:rPr>
      </w:pPr>
      <w:r>
        <w:rPr>
          <w:b/>
          <w:szCs w:val="28"/>
        </w:rPr>
        <w:t>资金筹措表</w:t>
      </w:r>
    </w:p>
    <w:p>
      <w:pPr>
        <w:widowControl/>
        <w:spacing w:after="120" w:line="360" w:lineRule="auto"/>
        <w:ind w:firstLine="480" w:firstLineChars="200"/>
        <w:contextualSpacing/>
        <w:jc w:val="right"/>
        <w:rPr>
          <w:rFonts w:eastAsia="仿宋"/>
          <w:kern w:val="0"/>
          <w:sz w:val="24"/>
          <w:lang w:val="en-GB"/>
        </w:rPr>
      </w:pPr>
      <w:r>
        <w:rPr>
          <w:rFonts w:eastAsia="仿宋"/>
          <w:kern w:val="0"/>
          <w:sz w:val="24"/>
          <w:lang w:val="en-GB"/>
        </w:rPr>
        <w:t>单位：人民币万元</w:t>
      </w:r>
    </w:p>
    <w:tbl>
      <w:tblPr>
        <w:tblStyle w:val="8"/>
        <w:tblW w:w="8356" w:type="dxa"/>
        <w:jc w:val="center"/>
        <w:tblInd w:w="0" w:type="dxa"/>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2180"/>
        <w:gridCol w:w="1255"/>
        <w:gridCol w:w="1214"/>
        <w:gridCol w:w="1212"/>
        <w:gridCol w:w="1248"/>
        <w:gridCol w:w="1247"/>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2180" w:type="dxa"/>
            <w:vMerge w:val="restart"/>
            <w:vAlign w:val="center"/>
          </w:tcPr>
          <w:p>
            <w:pPr>
              <w:pStyle w:val="11"/>
              <w:ind w:firstLine="0" w:firstLineChars="0"/>
              <w:contextualSpacing/>
              <w:jc w:val="center"/>
              <w:rPr>
                <w:b/>
                <w:sz w:val="21"/>
                <w:szCs w:val="21"/>
              </w:rPr>
            </w:pPr>
            <w:r>
              <w:rPr>
                <w:b/>
                <w:sz w:val="21"/>
                <w:szCs w:val="21"/>
              </w:rPr>
              <w:t>建设资金筹集</w:t>
            </w:r>
          </w:p>
        </w:tc>
        <w:tc>
          <w:tcPr>
            <w:tcW w:w="1255" w:type="dxa"/>
            <w:vMerge w:val="restart"/>
            <w:vAlign w:val="center"/>
          </w:tcPr>
          <w:p>
            <w:pPr>
              <w:pStyle w:val="11"/>
              <w:ind w:firstLine="0" w:firstLineChars="0"/>
              <w:contextualSpacing/>
              <w:jc w:val="center"/>
              <w:rPr>
                <w:rFonts w:hint="eastAsia"/>
                <w:b/>
                <w:sz w:val="21"/>
                <w:szCs w:val="21"/>
              </w:rPr>
            </w:pPr>
            <w:r>
              <w:rPr>
                <w:rFonts w:hint="eastAsia"/>
                <w:b/>
                <w:sz w:val="21"/>
                <w:szCs w:val="21"/>
              </w:rPr>
              <w:t>合计</w:t>
            </w:r>
          </w:p>
        </w:tc>
        <w:tc>
          <w:tcPr>
            <w:tcW w:w="4921" w:type="dxa"/>
            <w:gridSpan w:val="4"/>
            <w:tcBorders>
              <w:left w:val="single" w:color="auto" w:sz="4" w:space="0"/>
            </w:tcBorders>
            <w:vAlign w:val="center"/>
          </w:tcPr>
          <w:p>
            <w:pPr>
              <w:pStyle w:val="11"/>
              <w:ind w:firstLine="0" w:firstLineChars="0"/>
              <w:contextualSpacing/>
              <w:jc w:val="center"/>
              <w:rPr>
                <w:rFonts w:hint="eastAsia"/>
                <w:b/>
                <w:sz w:val="21"/>
                <w:szCs w:val="21"/>
              </w:rPr>
            </w:pPr>
            <w:r>
              <w:rPr>
                <w:rFonts w:hint="eastAsia"/>
                <w:b/>
                <w:sz w:val="21"/>
                <w:szCs w:val="21"/>
              </w:rPr>
              <w:t>建设期</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2180" w:type="dxa"/>
            <w:vMerge w:val="continue"/>
            <w:vAlign w:val="center"/>
          </w:tcPr>
          <w:p>
            <w:pPr>
              <w:pStyle w:val="11"/>
              <w:ind w:firstLine="0" w:firstLineChars="0"/>
              <w:contextualSpacing/>
              <w:jc w:val="center"/>
              <w:rPr>
                <w:b/>
                <w:sz w:val="21"/>
                <w:szCs w:val="21"/>
              </w:rPr>
            </w:pPr>
          </w:p>
        </w:tc>
        <w:tc>
          <w:tcPr>
            <w:tcW w:w="1255" w:type="dxa"/>
            <w:vMerge w:val="continue"/>
            <w:vAlign w:val="center"/>
          </w:tcPr>
          <w:p>
            <w:pPr>
              <w:pStyle w:val="11"/>
              <w:ind w:firstLine="0" w:firstLineChars="0"/>
              <w:contextualSpacing/>
              <w:jc w:val="center"/>
              <w:rPr>
                <w:b/>
                <w:sz w:val="21"/>
                <w:szCs w:val="21"/>
              </w:rPr>
            </w:pPr>
          </w:p>
        </w:tc>
        <w:tc>
          <w:tcPr>
            <w:tcW w:w="1214" w:type="dxa"/>
            <w:tcBorders>
              <w:left w:val="single" w:color="auto" w:sz="4" w:space="0"/>
              <w:right w:val="single" w:color="auto" w:sz="4" w:space="0"/>
            </w:tcBorders>
            <w:vAlign w:val="center"/>
          </w:tcPr>
          <w:p>
            <w:pPr>
              <w:pStyle w:val="11"/>
              <w:ind w:firstLine="0" w:firstLineChars="0"/>
              <w:contextualSpacing/>
              <w:jc w:val="center"/>
              <w:rPr>
                <w:b/>
                <w:sz w:val="21"/>
                <w:szCs w:val="21"/>
              </w:rPr>
            </w:pPr>
            <w:r>
              <w:rPr>
                <w:b/>
                <w:sz w:val="21"/>
                <w:szCs w:val="21"/>
              </w:rPr>
              <w:t>202</w:t>
            </w:r>
            <w:r>
              <w:rPr>
                <w:rFonts w:hint="eastAsia"/>
                <w:b/>
                <w:sz w:val="21"/>
                <w:szCs w:val="21"/>
              </w:rPr>
              <w:t>0年</w:t>
            </w:r>
          </w:p>
        </w:tc>
        <w:tc>
          <w:tcPr>
            <w:tcW w:w="1212" w:type="dxa"/>
            <w:tcBorders>
              <w:left w:val="single" w:color="auto" w:sz="4" w:space="0"/>
            </w:tcBorders>
            <w:vAlign w:val="center"/>
          </w:tcPr>
          <w:p>
            <w:pPr>
              <w:pStyle w:val="11"/>
              <w:ind w:firstLine="0" w:firstLineChars="0"/>
              <w:contextualSpacing/>
              <w:jc w:val="center"/>
              <w:rPr>
                <w:rFonts w:hint="eastAsia"/>
                <w:b/>
                <w:sz w:val="21"/>
                <w:szCs w:val="21"/>
              </w:rPr>
            </w:pPr>
            <w:r>
              <w:rPr>
                <w:rFonts w:hint="eastAsia"/>
                <w:b/>
                <w:sz w:val="21"/>
                <w:szCs w:val="21"/>
              </w:rPr>
              <w:t>2021年</w:t>
            </w:r>
          </w:p>
        </w:tc>
        <w:tc>
          <w:tcPr>
            <w:tcW w:w="1248" w:type="dxa"/>
            <w:tcBorders>
              <w:left w:val="single" w:color="auto" w:sz="4" w:space="0"/>
            </w:tcBorders>
            <w:vAlign w:val="center"/>
          </w:tcPr>
          <w:p>
            <w:pPr>
              <w:pStyle w:val="11"/>
              <w:ind w:firstLine="0" w:firstLineChars="0"/>
              <w:contextualSpacing/>
              <w:jc w:val="center"/>
              <w:rPr>
                <w:rFonts w:hint="eastAsia"/>
                <w:b/>
                <w:sz w:val="21"/>
                <w:szCs w:val="21"/>
              </w:rPr>
            </w:pPr>
            <w:r>
              <w:rPr>
                <w:rFonts w:hint="eastAsia"/>
                <w:b/>
                <w:sz w:val="21"/>
                <w:szCs w:val="21"/>
              </w:rPr>
              <w:t>2022年</w:t>
            </w:r>
          </w:p>
        </w:tc>
        <w:tc>
          <w:tcPr>
            <w:tcW w:w="1247" w:type="dxa"/>
            <w:tcBorders>
              <w:left w:val="single" w:color="auto" w:sz="4" w:space="0"/>
            </w:tcBorders>
            <w:vAlign w:val="center"/>
          </w:tcPr>
          <w:p>
            <w:pPr>
              <w:pStyle w:val="11"/>
              <w:ind w:firstLine="0" w:firstLineChars="0"/>
              <w:contextualSpacing/>
              <w:jc w:val="center"/>
              <w:rPr>
                <w:rFonts w:hint="eastAsia"/>
                <w:b/>
                <w:sz w:val="21"/>
                <w:szCs w:val="21"/>
              </w:rPr>
            </w:pPr>
            <w:r>
              <w:rPr>
                <w:rFonts w:hint="eastAsia"/>
                <w:b/>
                <w:sz w:val="21"/>
                <w:szCs w:val="21"/>
              </w:rPr>
              <w:t>2023年</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2180" w:type="dxa"/>
            <w:vAlign w:val="center"/>
          </w:tcPr>
          <w:p>
            <w:pPr>
              <w:pStyle w:val="11"/>
              <w:ind w:firstLine="0" w:firstLineChars="0"/>
              <w:contextualSpacing/>
              <w:jc w:val="center"/>
              <w:rPr>
                <w:sz w:val="21"/>
                <w:szCs w:val="21"/>
              </w:rPr>
            </w:pPr>
            <w:r>
              <w:rPr>
                <w:sz w:val="21"/>
                <w:szCs w:val="21"/>
              </w:rPr>
              <w:t>资本金</w:t>
            </w:r>
          </w:p>
        </w:tc>
        <w:tc>
          <w:tcPr>
            <w:tcW w:w="1255" w:type="dxa"/>
            <w:vAlign w:val="center"/>
          </w:tcPr>
          <w:p>
            <w:pPr>
              <w:spacing w:line="560" w:lineRule="exact"/>
              <w:jc w:val="center"/>
              <w:rPr>
                <w:rFonts w:hint="eastAsia"/>
                <w:szCs w:val="21"/>
              </w:rPr>
            </w:pPr>
            <w:r>
              <w:rPr>
                <w:rFonts w:hint="eastAsia" w:eastAsia="仿宋"/>
                <w:szCs w:val="21"/>
              </w:rPr>
              <w:t>22</w:t>
            </w:r>
            <w:r>
              <w:rPr>
                <w:rFonts w:eastAsia="仿宋"/>
                <w:szCs w:val="21"/>
              </w:rPr>
              <w:t>3</w:t>
            </w:r>
            <w:r>
              <w:rPr>
                <w:rFonts w:hint="eastAsia" w:eastAsia="仿宋"/>
                <w:szCs w:val="21"/>
              </w:rPr>
              <w:t>,</w:t>
            </w:r>
            <w:r>
              <w:rPr>
                <w:rFonts w:eastAsia="仿宋"/>
                <w:szCs w:val="21"/>
              </w:rPr>
              <w:t>001</w:t>
            </w:r>
            <w:r>
              <w:rPr>
                <w:rFonts w:hint="eastAsia" w:eastAsia="仿宋"/>
                <w:szCs w:val="21"/>
              </w:rPr>
              <w:t>.</w:t>
            </w:r>
            <w:r>
              <w:rPr>
                <w:rFonts w:eastAsia="仿宋"/>
                <w:szCs w:val="21"/>
              </w:rPr>
              <w:t>0</w:t>
            </w:r>
            <w:r>
              <w:rPr>
                <w:rFonts w:hint="eastAsia" w:eastAsia="仿宋"/>
                <w:szCs w:val="21"/>
              </w:rPr>
              <w:t>0</w:t>
            </w:r>
          </w:p>
        </w:tc>
        <w:tc>
          <w:tcPr>
            <w:tcW w:w="1214" w:type="dxa"/>
            <w:tcBorders>
              <w:right w:val="single" w:color="auto" w:sz="4" w:space="0"/>
            </w:tcBorders>
            <w:vAlign w:val="center"/>
          </w:tcPr>
          <w:p>
            <w:pPr>
              <w:spacing w:line="560" w:lineRule="exact"/>
              <w:jc w:val="center"/>
              <w:rPr>
                <w:rFonts w:hint="eastAsia" w:eastAsia="仿宋"/>
                <w:szCs w:val="21"/>
              </w:rPr>
            </w:pPr>
            <w:r>
              <w:rPr>
                <w:rFonts w:eastAsia="仿宋"/>
                <w:szCs w:val="21"/>
              </w:rPr>
              <w:t>60</w:t>
            </w:r>
            <w:r>
              <w:rPr>
                <w:rFonts w:hint="eastAsia" w:eastAsia="仿宋"/>
                <w:szCs w:val="21"/>
              </w:rPr>
              <w:t>,250.00</w:t>
            </w:r>
          </w:p>
        </w:tc>
        <w:tc>
          <w:tcPr>
            <w:tcW w:w="1212" w:type="dxa"/>
            <w:tcBorders>
              <w:left w:val="single" w:color="auto" w:sz="4" w:space="0"/>
            </w:tcBorders>
            <w:vAlign w:val="center"/>
          </w:tcPr>
          <w:p>
            <w:pPr>
              <w:spacing w:line="560" w:lineRule="exact"/>
              <w:jc w:val="center"/>
              <w:rPr>
                <w:rFonts w:hint="eastAsia" w:eastAsia="仿宋"/>
                <w:szCs w:val="21"/>
              </w:rPr>
            </w:pPr>
            <w:r>
              <w:rPr>
                <w:rFonts w:hint="eastAsia" w:eastAsia="仿宋"/>
                <w:szCs w:val="21"/>
              </w:rPr>
              <w:t>47,250.00</w:t>
            </w:r>
          </w:p>
        </w:tc>
        <w:tc>
          <w:tcPr>
            <w:tcW w:w="1248" w:type="dxa"/>
            <w:tcBorders>
              <w:left w:val="single" w:color="auto" w:sz="4" w:space="0"/>
            </w:tcBorders>
            <w:vAlign w:val="center"/>
          </w:tcPr>
          <w:p>
            <w:pPr>
              <w:spacing w:line="560" w:lineRule="exact"/>
              <w:jc w:val="center"/>
              <w:rPr>
                <w:rFonts w:hint="eastAsia" w:eastAsia="仿宋"/>
                <w:szCs w:val="21"/>
              </w:rPr>
            </w:pPr>
            <w:r>
              <w:rPr>
                <w:rFonts w:hint="eastAsia" w:eastAsia="仿宋"/>
                <w:szCs w:val="21"/>
              </w:rPr>
              <w:t>7</w:t>
            </w:r>
            <w:r>
              <w:rPr>
                <w:rFonts w:eastAsia="仿宋"/>
                <w:szCs w:val="21"/>
              </w:rPr>
              <w:t>1</w:t>
            </w:r>
            <w:r>
              <w:rPr>
                <w:rFonts w:hint="eastAsia" w:eastAsia="仿宋"/>
                <w:szCs w:val="21"/>
              </w:rPr>
              <w:t>,375.00</w:t>
            </w:r>
          </w:p>
        </w:tc>
        <w:tc>
          <w:tcPr>
            <w:tcW w:w="1247" w:type="dxa"/>
            <w:tcBorders>
              <w:left w:val="single" w:color="auto" w:sz="4" w:space="0"/>
            </w:tcBorders>
            <w:vAlign w:val="center"/>
          </w:tcPr>
          <w:p>
            <w:pPr>
              <w:spacing w:line="560" w:lineRule="exact"/>
              <w:jc w:val="center"/>
              <w:rPr>
                <w:rFonts w:hint="eastAsia" w:eastAsia="仿宋"/>
                <w:szCs w:val="21"/>
              </w:rPr>
            </w:pPr>
            <w:r>
              <w:rPr>
                <w:rFonts w:eastAsia="仿宋"/>
                <w:szCs w:val="21"/>
              </w:rPr>
              <w:t>44</w:t>
            </w:r>
            <w:r>
              <w:rPr>
                <w:rFonts w:hint="eastAsia" w:eastAsia="仿宋"/>
                <w:szCs w:val="21"/>
              </w:rPr>
              <w:t>,</w:t>
            </w:r>
            <w:r>
              <w:rPr>
                <w:rFonts w:eastAsia="仿宋"/>
                <w:szCs w:val="21"/>
              </w:rPr>
              <w:t>126</w:t>
            </w:r>
            <w:r>
              <w:rPr>
                <w:rFonts w:hint="eastAsia" w:eastAsia="仿宋"/>
                <w:szCs w:val="21"/>
              </w:rPr>
              <w:t>.</w:t>
            </w:r>
            <w:r>
              <w:rPr>
                <w:rFonts w:eastAsia="仿宋"/>
                <w:szCs w:val="21"/>
              </w:rPr>
              <w:t>0</w:t>
            </w:r>
            <w:r>
              <w:rPr>
                <w:rFonts w:hint="eastAsia" w:eastAsia="仿宋"/>
                <w:szCs w:val="21"/>
              </w:rPr>
              <w:t>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2180" w:type="dxa"/>
            <w:vAlign w:val="center"/>
          </w:tcPr>
          <w:p>
            <w:pPr>
              <w:pStyle w:val="11"/>
              <w:ind w:firstLine="0" w:firstLineChars="0"/>
              <w:contextualSpacing/>
              <w:jc w:val="center"/>
              <w:rPr>
                <w:sz w:val="21"/>
                <w:szCs w:val="21"/>
              </w:rPr>
            </w:pPr>
            <w:r>
              <w:rPr>
                <w:sz w:val="21"/>
                <w:szCs w:val="21"/>
              </w:rPr>
              <w:t>地方政府专项债券</w:t>
            </w:r>
          </w:p>
        </w:tc>
        <w:tc>
          <w:tcPr>
            <w:tcW w:w="1255" w:type="dxa"/>
            <w:vAlign w:val="center"/>
          </w:tcPr>
          <w:p>
            <w:pPr>
              <w:pStyle w:val="11"/>
              <w:ind w:firstLine="0" w:firstLineChars="0"/>
              <w:contextualSpacing/>
              <w:jc w:val="center"/>
              <w:rPr>
                <w:rFonts w:hint="eastAsia"/>
                <w:sz w:val="21"/>
                <w:szCs w:val="21"/>
              </w:rPr>
            </w:pPr>
            <w:r>
              <w:rPr>
                <w:rFonts w:hint="eastAsia"/>
                <w:sz w:val="21"/>
                <w:szCs w:val="21"/>
              </w:rPr>
              <w:t>11</w:t>
            </w:r>
            <w:r>
              <w:rPr>
                <w:sz w:val="21"/>
                <w:szCs w:val="21"/>
              </w:rPr>
              <w:t>3</w:t>
            </w:r>
            <w:r>
              <w:rPr>
                <w:rFonts w:hint="eastAsia"/>
                <w:sz w:val="21"/>
                <w:szCs w:val="21"/>
              </w:rPr>
              <w:t>,000.00</w:t>
            </w:r>
          </w:p>
        </w:tc>
        <w:tc>
          <w:tcPr>
            <w:tcW w:w="1214" w:type="dxa"/>
            <w:tcBorders>
              <w:right w:val="single" w:color="auto" w:sz="4" w:space="0"/>
            </w:tcBorders>
            <w:vAlign w:val="center"/>
          </w:tcPr>
          <w:p>
            <w:pPr>
              <w:pStyle w:val="11"/>
              <w:ind w:firstLine="0" w:firstLineChars="0"/>
              <w:contextualSpacing/>
              <w:jc w:val="center"/>
              <w:rPr>
                <w:rFonts w:hint="eastAsia"/>
                <w:sz w:val="21"/>
                <w:szCs w:val="21"/>
              </w:rPr>
            </w:pPr>
            <w:r>
              <w:rPr>
                <w:rFonts w:hint="eastAsia"/>
                <w:sz w:val="21"/>
                <w:szCs w:val="21"/>
              </w:rPr>
              <w:t>6,000.00</w:t>
            </w:r>
          </w:p>
        </w:tc>
        <w:tc>
          <w:tcPr>
            <w:tcW w:w="1212" w:type="dxa"/>
            <w:tcBorders>
              <w:left w:val="single" w:color="auto" w:sz="4" w:space="0"/>
            </w:tcBorders>
            <w:vAlign w:val="center"/>
          </w:tcPr>
          <w:p>
            <w:pPr>
              <w:pStyle w:val="11"/>
              <w:ind w:firstLine="0" w:firstLineChars="0"/>
              <w:contextualSpacing/>
              <w:jc w:val="center"/>
              <w:rPr>
                <w:sz w:val="21"/>
                <w:szCs w:val="21"/>
              </w:rPr>
            </w:pPr>
            <w:r>
              <w:rPr>
                <w:sz w:val="21"/>
                <w:szCs w:val="21"/>
              </w:rPr>
              <w:t>97</w:t>
            </w:r>
            <w:r>
              <w:rPr>
                <w:rFonts w:hint="eastAsia"/>
                <w:sz w:val="21"/>
                <w:szCs w:val="21"/>
              </w:rPr>
              <w:t>,000.00</w:t>
            </w:r>
          </w:p>
        </w:tc>
        <w:tc>
          <w:tcPr>
            <w:tcW w:w="1248" w:type="dxa"/>
            <w:tcBorders>
              <w:left w:val="single" w:color="auto" w:sz="4" w:space="0"/>
            </w:tcBorders>
            <w:vAlign w:val="center"/>
          </w:tcPr>
          <w:p>
            <w:pPr>
              <w:pStyle w:val="11"/>
              <w:ind w:firstLine="0" w:firstLineChars="0"/>
              <w:contextualSpacing/>
              <w:jc w:val="center"/>
              <w:rPr>
                <w:sz w:val="21"/>
                <w:szCs w:val="21"/>
              </w:rPr>
            </w:pPr>
            <w:r>
              <w:rPr>
                <w:rFonts w:hint="eastAsia"/>
                <w:sz w:val="21"/>
                <w:szCs w:val="21"/>
              </w:rPr>
              <w:t>5,000.00</w:t>
            </w:r>
          </w:p>
        </w:tc>
        <w:tc>
          <w:tcPr>
            <w:tcW w:w="1247" w:type="dxa"/>
            <w:tcBorders>
              <w:left w:val="single" w:color="auto" w:sz="4" w:space="0"/>
            </w:tcBorders>
            <w:vAlign w:val="center"/>
          </w:tcPr>
          <w:p>
            <w:pPr>
              <w:pStyle w:val="11"/>
              <w:ind w:firstLine="0" w:firstLineChars="0"/>
              <w:contextualSpacing/>
              <w:jc w:val="center"/>
              <w:rPr>
                <w:sz w:val="21"/>
                <w:szCs w:val="21"/>
              </w:rPr>
            </w:pPr>
            <w:r>
              <w:rPr>
                <w:rFonts w:hint="eastAsia"/>
                <w:sz w:val="21"/>
                <w:szCs w:val="21"/>
              </w:rPr>
              <w:t>5,000.00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2180" w:type="dxa"/>
            <w:vAlign w:val="center"/>
          </w:tcPr>
          <w:p>
            <w:pPr>
              <w:pStyle w:val="11"/>
              <w:ind w:firstLine="0" w:firstLineChars="0"/>
              <w:contextualSpacing/>
              <w:jc w:val="center"/>
              <w:rPr>
                <w:sz w:val="21"/>
                <w:szCs w:val="21"/>
              </w:rPr>
            </w:pPr>
            <w:r>
              <w:rPr>
                <w:sz w:val="21"/>
                <w:szCs w:val="21"/>
              </w:rPr>
              <w:t>合计</w:t>
            </w:r>
          </w:p>
        </w:tc>
        <w:tc>
          <w:tcPr>
            <w:tcW w:w="1255" w:type="dxa"/>
            <w:vAlign w:val="center"/>
          </w:tcPr>
          <w:p>
            <w:pPr>
              <w:pStyle w:val="11"/>
              <w:ind w:firstLine="0" w:firstLineChars="0"/>
              <w:contextualSpacing/>
              <w:jc w:val="center"/>
              <w:rPr>
                <w:rFonts w:hint="eastAsia"/>
                <w:sz w:val="21"/>
                <w:szCs w:val="21"/>
              </w:rPr>
            </w:pPr>
            <w:r>
              <w:rPr>
                <w:rFonts w:hint="eastAsia"/>
                <w:sz w:val="21"/>
                <w:szCs w:val="21"/>
              </w:rPr>
              <w:t>33</w:t>
            </w:r>
            <w:r>
              <w:rPr>
                <w:sz w:val="21"/>
                <w:szCs w:val="21"/>
              </w:rPr>
              <w:t>6</w:t>
            </w:r>
            <w:r>
              <w:rPr>
                <w:rFonts w:hint="eastAsia"/>
                <w:sz w:val="21"/>
                <w:szCs w:val="21"/>
              </w:rPr>
              <w:t>,</w:t>
            </w:r>
            <w:r>
              <w:rPr>
                <w:sz w:val="21"/>
                <w:szCs w:val="21"/>
              </w:rPr>
              <w:t>001</w:t>
            </w:r>
            <w:r>
              <w:rPr>
                <w:rFonts w:hint="eastAsia"/>
                <w:sz w:val="21"/>
                <w:szCs w:val="21"/>
              </w:rPr>
              <w:t>.</w:t>
            </w:r>
            <w:r>
              <w:rPr>
                <w:sz w:val="21"/>
                <w:szCs w:val="21"/>
              </w:rPr>
              <w:t>0</w:t>
            </w:r>
            <w:r>
              <w:rPr>
                <w:rFonts w:hint="eastAsia"/>
                <w:sz w:val="21"/>
                <w:szCs w:val="21"/>
              </w:rPr>
              <w:t>0</w:t>
            </w:r>
          </w:p>
        </w:tc>
        <w:tc>
          <w:tcPr>
            <w:tcW w:w="1214" w:type="dxa"/>
            <w:tcBorders>
              <w:right w:val="single" w:color="auto" w:sz="4" w:space="0"/>
            </w:tcBorders>
            <w:vAlign w:val="center"/>
          </w:tcPr>
          <w:p>
            <w:pPr>
              <w:pStyle w:val="11"/>
              <w:ind w:firstLine="0" w:firstLineChars="0"/>
              <w:contextualSpacing/>
              <w:jc w:val="center"/>
              <w:rPr>
                <w:rFonts w:hint="eastAsia"/>
                <w:sz w:val="21"/>
                <w:szCs w:val="21"/>
              </w:rPr>
            </w:pPr>
            <w:r>
              <w:rPr>
                <w:sz w:val="21"/>
                <w:szCs w:val="21"/>
              </w:rPr>
              <w:t>66</w:t>
            </w:r>
            <w:r>
              <w:rPr>
                <w:rFonts w:hint="eastAsia"/>
                <w:sz w:val="21"/>
                <w:szCs w:val="21"/>
              </w:rPr>
              <w:t>,250.00</w:t>
            </w:r>
          </w:p>
        </w:tc>
        <w:tc>
          <w:tcPr>
            <w:tcW w:w="1212" w:type="dxa"/>
            <w:tcBorders>
              <w:left w:val="single" w:color="auto" w:sz="4" w:space="0"/>
            </w:tcBorders>
            <w:vAlign w:val="center"/>
          </w:tcPr>
          <w:p>
            <w:pPr>
              <w:pStyle w:val="11"/>
              <w:ind w:firstLine="0" w:firstLineChars="0"/>
              <w:contextualSpacing/>
              <w:jc w:val="center"/>
              <w:rPr>
                <w:rFonts w:hint="eastAsia"/>
                <w:sz w:val="21"/>
                <w:szCs w:val="21"/>
              </w:rPr>
            </w:pPr>
            <w:r>
              <w:rPr>
                <w:rFonts w:hint="eastAsia"/>
                <w:sz w:val="21"/>
                <w:szCs w:val="21"/>
              </w:rPr>
              <w:t>1</w:t>
            </w:r>
            <w:r>
              <w:rPr>
                <w:sz w:val="21"/>
                <w:szCs w:val="21"/>
              </w:rPr>
              <w:t>44</w:t>
            </w:r>
            <w:r>
              <w:rPr>
                <w:rFonts w:hint="eastAsia"/>
                <w:sz w:val="21"/>
                <w:szCs w:val="21"/>
              </w:rPr>
              <w:t>,250.00</w:t>
            </w:r>
          </w:p>
        </w:tc>
        <w:tc>
          <w:tcPr>
            <w:tcW w:w="1248" w:type="dxa"/>
            <w:tcBorders>
              <w:left w:val="single" w:color="auto" w:sz="4" w:space="0"/>
            </w:tcBorders>
            <w:vAlign w:val="center"/>
          </w:tcPr>
          <w:p>
            <w:pPr>
              <w:pStyle w:val="11"/>
              <w:ind w:firstLine="0" w:firstLineChars="0"/>
              <w:contextualSpacing/>
              <w:jc w:val="center"/>
              <w:rPr>
                <w:rFonts w:hint="eastAsia"/>
                <w:sz w:val="21"/>
                <w:szCs w:val="21"/>
              </w:rPr>
            </w:pPr>
            <w:r>
              <w:rPr>
                <w:sz w:val="21"/>
                <w:szCs w:val="21"/>
              </w:rPr>
              <w:t>76</w:t>
            </w:r>
            <w:r>
              <w:rPr>
                <w:rFonts w:hint="eastAsia"/>
                <w:sz w:val="21"/>
                <w:szCs w:val="21"/>
              </w:rPr>
              <w:t>,375.00</w:t>
            </w:r>
          </w:p>
        </w:tc>
        <w:tc>
          <w:tcPr>
            <w:tcW w:w="1247" w:type="dxa"/>
            <w:tcBorders>
              <w:left w:val="single" w:color="auto" w:sz="4" w:space="0"/>
            </w:tcBorders>
            <w:vAlign w:val="center"/>
          </w:tcPr>
          <w:p>
            <w:pPr>
              <w:pStyle w:val="11"/>
              <w:ind w:firstLine="0" w:firstLineChars="0"/>
              <w:contextualSpacing/>
              <w:jc w:val="center"/>
              <w:rPr>
                <w:rFonts w:hint="eastAsia"/>
                <w:sz w:val="21"/>
                <w:szCs w:val="21"/>
              </w:rPr>
            </w:pPr>
            <w:r>
              <w:rPr>
                <w:sz w:val="21"/>
                <w:szCs w:val="21"/>
              </w:rPr>
              <w:t>49</w:t>
            </w:r>
            <w:r>
              <w:rPr>
                <w:rFonts w:hint="eastAsia"/>
                <w:sz w:val="21"/>
                <w:szCs w:val="21"/>
              </w:rPr>
              <w:t>,</w:t>
            </w:r>
            <w:r>
              <w:rPr>
                <w:sz w:val="21"/>
                <w:szCs w:val="21"/>
              </w:rPr>
              <w:t>126</w:t>
            </w:r>
            <w:r>
              <w:rPr>
                <w:rFonts w:hint="eastAsia"/>
                <w:sz w:val="21"/>
                <w:szCs w:val="21"/>
              </w:rPr>
              <w:t>.</w:t>
            </w:r>
            <w:r>
              <w:rPr>
                <w:sz w:val="21"/>
                <w:szCs w:val="21"/>
              </w:rPr>
              <w:t>0</w:t>
            </w:r>
            <w:r>
              <w:rPr>
                <w:rFonts w:hint="eastAsia"/>
                <w:sz w:val="21"/>
                <w:szCs w:val="21"/>
              </w:rPr>
              <w:t>0</w:t>
            </w:r>
          </w:p>
        </w:tc>
      </w:tr>
    </w:tbl>
    <w:p>
      <w:pPr>
        <w:pageBreakBefore w:val="0"/>
        <w:kinsoku/>
        <w:overflowPunct/>
        <w:topLinePunct w:val="0"/>
        <w:autoSpaceDE/>
        <w:autoSpaceDN/>
        <w:bidi w:val="0"/>
        <w:spacing w:line="360" w:lineRule="auto"/>
        <w:rPr>
          <w:rFonts w:hint="eastAsia" w:ascii="仿宋" w:hAnsi="仿宋" w:eastAsia="仿宋" w:cs="仿宋"/>
        </w:rPr>
      </w:pPr>
    </w:p>
    <w:p>
      <w:pPr>
        <w:pStyle w:val="2"/>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4、项目预期收益与融资自求平衡情况</w:t>
      </w:r>
    </w:p>
    <w:p>
      <w:pPr>
        <w:pStyle w:val="6"/>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（1）项目收益情况</w:t>
      </w:r>
    </w:p>
    <w:p>
      <w:pPr>
        <w:pageBreakBefore w:val="0"/>
        <w:kinsoku/>
        <w:overflowPunct/>
        <w:topLinePunct w:val="0"/>
        <w:autoSpaceDE/>
        <w:autoSpaceDN/>
        <w:bidi w:val="0"/>
        <w:adjustRightInd w:val="0"/>
        <w:snapToGrid w:val="0"/>
        <w:spacing w:line="360" w:lineRule="auto"/>
        <w:ind w:firstLine="560" w:firstLineChars="200"/>
        <w:rPr>
          <w:rFonts w:hint="eastAsia" w:ascii="仿宋" w:hAnsi="仿宋" w:eastAsia="仿宋" w:cs="仿宋"/>
          <w:sz w:val="28"/>
          <w:szCs w:val="28"/>
        </w:rPr>
      </w:pPr>
      <w:r>
        <w:rPr>
          <w:rFonts w:eastAsia="仿宋"/>
          <w:sz w:val="28"/>
          <w:szCs w:val="28"/>
        </w:rPr>
        <w:t>本项目在专项债券存续期间有稳定的现金流入，收入主要来源于</w:t>
      </w:r>
      <w:r>
        <w:rPr>
          <w:rFonts w:hint="eastAsia" w:eastAsia="仿宋"/>
          <w:sz w:val="28"/>
          <w:szCs w:val="28"/>
        </w:rPr>
        <w:t>管廊入廊费收入、管廊维护收入、运维基地收入、古雷港经济开发区单建式人防工程地下室平时作为停车场出租收入、道路广告位收入</w:t>
      </w:r>
      <w:r>
        <w:rPr>
          <w:rFonts w:eastAsia="仿宋"/>
          <w:sz w:val="28"/>
          <w:szCs w:val="28"/>
        </w:rPr>
        <w:t>。经测算，债券存续期内，本项目将产生可还款净收益</w:t>
      </w:r>
      <w:r>
        <w:rPr>
          <w:rFonts w:hint="eastAsia" w:eastAsia="仿宋"/>
          <w:sz w:val="28"/>
          <w:szCs w:val="28"/>
          <w:lang w:val="en-US" w:eastAsia="zh-CN"/>
        </w:rPr>
        <w:t>209,336.83</w:t>
      </w:r>
      <w:r>
        <w:rPr>
          <w:rFonts w:eastAsia="仿宋"/>
          <w:sz w:val="28"/>
          <w:szCs w:val="28"/>
        </w:rPr>
        <w:t>万元，可覆盖债券存续期间各年的项目投资及债券本息偿还的需求</w:t>
      </w:r>
      <w:r>
        <w:rPr>
          <w:rFonts w:hint="eastAsia" w:ascii="仿宋" w:hAnsi="仿宋" w:eastAsia="仿宋" w:cs="仿宋"/>
          <w:sz w:val="28"/>
          <w:szCs w:val="28"/>
          <w:lang w:eastAsia="zh-CN"/>
        </w:rPr>
        <w:t>。</w:t>
      </w:r>
    </w:p>
    <w:p>
      <w:pPr>
        <w:pStyle w:val="6"/>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（2）项目融资还本付息情况</w:t>
      </w:r>
    </w:p>
    <w:p>
      <w:pPr>
        <w:spacing w:line="360" w:lineRule="auto"/>
        <w:ind w:firstLine="560" w:firstLineChars="200"/>
        <w:rPr>
          <w:rFonts w:hint="eastAsia" w:ascii="仿宋" w:hAnsi="仿宋" w:eastAsia="仿宋" w:cs="仿宋"/>
          <w:sz w:val="28"/>
          <w:szCs w:val="28"/>
        </w:rPr>
        <w:sectPr>
          <w:pgSz w:w="11907" w:h="16840"/>
          <w:pgMar w:top="1440" w:right="1800" w:bottom="1440" w:left="1800" w:header="851" w:footer="992" w:gutter="0"/>
          <w:cols w:space="720" w:num="1"/>
          <w:docGrid w:linePitch="312" w:charSpace="0"/>
        </w:sectPr>
      </w:pPr>
      <w:r>
        <w:rPr>
          <w:rFonts w:hint="eastAsia" w:ascii="仿宋" w:hAnsi="仿宋" w:eastAsia="仿宋" w:cs="仿宋"/>
          <w:sz w:val="28"/>
          <w:szCs w:val="28"/>
        </w:rPr>
        <w:t>该项目计划使用债券资金113,000.00万元，2020年发行第一期，规模为6,000.00万元；2021年发行第二期，规模为97,000.00万元；2022年发行第三期，规模为5,000.00万元；2023年发行第四期，规模为5,000.00万元；以上四期债券发行期限均为10年期，从客观、谨慎角度出发，1</w:t>
      </w:r>
      <w:r>
        <w:rPr>
          <w:rFonts w:hint="eastAsia" w:ascii="仿宋" w:hAnsi="仿宋" w:eastAsia="仿宋" w:cs="仿宋"/>
          <w:sz w:val="28"/>
          <w:szCs w:val="28"/>
          <w:lang w:val="en-US" w:eastAsia="zh-CN"/>
        </w:rPr>
        <w:t>0</w:t>
      </w:r>
      <w:r>
        <w:rPr>
          <w:rFonts w:hint="eastAsia" w:ascii="仿宋" w:hAnsi="仿宋" w:eastAsia="仿宋" w:cs="仿宋"/>
          <w:sz w:val="28"/>
          <w:szCs w:val="28"/>
        </w:rPr>
        <w:t>年期专项债券利率均按3.37%进行测算，由此估算债券存续期间利息费用为41,889.10万元，本项目债券应还本付息情况如下表：</w:t>
      </w:r>
    </w:p>
    <w:p>
      <w:pPr>
        <w:pStyle w:val="11"/>
        <w:spacing w:line="360" w:lineRule="auto"/>
        <w:ind w:firstLine="562"/>
        <w:jc w:val="center"/>
        <w:rPr>
          <w:b/>
          <w:szCs w:val="28"/>
        </w:rPr>
      </w:pPr>
      <w:r>
        <w:rPr>
          <w:b/>
          <w:szCs w:val="28"/>
        </w:rPr>
        <w:t>项目还本付息情况表</w:t>
      </w:r>
    </w:p>
    <w:p>
      <w:pPr>
        <w:pStyle w:val="11"/>
        <w:spacing w:line="360" w:lineRule="auto"/>
        <w:ind w:firstLine="0" w:firstLineChars="0"/>
        <w:jc w:val="right"/>
        <w:rPr>
          <w:b/>
          <w:szCs w:val="28"/>
        </w:rPr>
      </w:pPr>
      <w:r>
        <w:rPr>
          <w:szCs w:val="28"/>
        </w:rPr>
        <w:t>单位：人民币万元</w:t>
      </w:r>
    </w:p>
    <w:tbl>
      <w:tblPr>
        <w:tblStyle w:val="8"/>
        <w:tblW w:w="8259" w:type="dxa"/>
        <w:jc w:val="center"/>
        <w:tblInd w:w="0" w:type="dxa"/>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218"/>
        <w:gridCol w:w="1155"/>
        <w:gridCol w:w="1200"/>
        <w:gridCol w:w="1083"/>
        <w:gridCol w:w="1083"/>
        <w:gridCol w:w="1084"/>
        <w:gridCol w:w="1436"/>
      </w:tblGrid>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b/>
                <w:color w:val="000000"/>
                <w:szCs w:val="21"/>
              </w:rPr>
            </w:pPr>
            <w:r>
              <w:rPr>
                <w:rFonts w:eastAsia="仿宋"/>
                <w:b/>
                <w:color w:val="000000"/>
                <w:szCs w:val="21"/>
              </w:rPr>
              <w:t>年度</w:t>
            </w:r>
          </w:p>
        </w:tc>
        <w:tc>
          <w:tcPr>
            <w:tcW w:w="1155" w:type="dxa"/>
            <w:tcMar>
              <w:top w:w="15" w:type="dxa"/>
              <w:left w:w="15" w:type="dxa"/>
              <w:right w:w="15" w:type="dxa"/>
            </w:tcMar>
            <w:vAlign w:val="center"/>
          </w:tcPr>
          <w:p>
            <w:pPr>
              <w:widowControl/>
              <w:spacing w:line="360" w:lineRule="auto"/>
              <w:jc w:val="center"/>
              <w:textAlignment w:val="center"/>
              <w:rPr>
                <w:rFonts w:eastAsia="仿宋"/>
                <w:b/>
                <w:color w:val="000000"/>
                <w:szCs w:val="21"/>
              </w:rPr>
            </w:pPr>
            <w:r>
              <w:rPr>
                <w:rFonts w:eastAsia="仿宋"/>
                <w:b/>
                <w:color w:val="000000"/>
                <w:szCs w:val="21"/>
              </w:rPr>
              <w:t>期初本金余额</w:t>
            </w:r>
          </w:p>
        </w:tc>
        <w:tc>
          <w:tcPr>
            <w:tcW w:w="1200" w:type="dxa"/>
            <w:tcMar>
              <w:top w:w="15" w:type="dxa"/>
              <w:left w:w="15" w:type="dxa"/>
              <w:right w:w="15" w:type="dxa"/>
            </w:tcMar>
            <w:vAlign w:val="center"/>
          </w:tcPr>
          <w:p>
            <w:pPr>
              <w:widowControl/>
              <w:spacing w:line="360" w:lineRule="auto"/>
              <w:jc w:val="center"/>
              <w:textAlignment w:val="center"/>
              <w:rPr>
                <w:rFonts w:eastAsia="仿宋"/>
                <w:b/>
                <w:color w:val="000000"/>
                <w:szCs w:val="21"/>
              </w:rPr>
            </w:pPr>
            <w:r>
              <w:rPr>
                <w:rFonts w:eastAsia="仿宋"/>
                <w:b/>
                <w:color w:val="000000"/>
                <w:szCs w:val="21"/>
              </w:rPr>
              <w:t>本年募集资金</w:t>
            </w:r>
          </w:p>
        </w:tc>
        <w:tc>
          <w:tcPr>
            <w:tcW w:w="1083" w:type="dxa"/>
            <w:tcMar>
              <w:top w:w="15" w:type="dxa"/>
              <w:left w:w="15" w:type="dxa"/>
              <w:right w:w="15" w:type="dxa"/>
            </w:tcMar>
            <w:vAlign w:val="center"/>
          </w:tcPr>
          <w:p>
            <w:pPr>
              <w:widowControl/>
              <w:spacing w:line="360" w:lineRule="auto"/>
              <w:jc w:val="center"/>
              <w:textAlignment w:val="center"/>
              <w:rPr>
                <w:rFonts w:eastAsia="仿宋"/>
                <w:b/>
                <w:color w:val="000000"/>
                <w:szCs w:val="21"/>
              </w:rPr>
            </w:pPr>
            <w:r>
              <w:rPr>
                <w:rFonts w:eastAsia="仿宋"/>
                <w:b/>
                <w:color w:val="000000"/>
                <w:szCs w:val="21"/>
              </w:rPr>
              <w:t>本年偿还本金</w:t>
            </w:r>
          </w:p>
        </w:tc>
        <w:tc>
          <w:tcPr>
            <w:tcW w:w="1083" w:type="dxa"/>
            <w:tcMar>
              <w:top w:w="15" w:type="dxa"/>
              <w:left w:w="15" w:type="dxa"/>
              <w:right w:w="15" w:type="dxa"/>
            </w:tcMar>
            <w:vAlign w:val="center"/>
          </w:tcPr>
          <w:p>
            <w:pPr>
              <w:widowControl/>
              <w:spacing w:line="360" w:lineRule="auto"/>
              <w:jc w:val="center"/>
              <w:textAlignment w:val="center"/>
              <w:rPr>
                <w:rFonts w:eastAsia="仿宋"/>
                <w:b/>
                <w:color w:val="000000"/>
                <w:szCs w:val="21"/>
              </w:rPr>
            </w:pPr>
            <w:r>
              <w:rPr>
                <w:rFonts w:eastAsia="仿宋"/>
                <w:b/>
                <w:color w:val="000000"/>
                <w:szCs w:val="21"/>
              </w:rPr>
              <w:t>期末本金余额</w:t>
            </w:r>
          </w:p>
        </w:tc>
        <w:tc>
          <w:tcPr>
            <w:tcW w:w="1084" w:type="dxa"/>
            <w:tcMar>
              <w:top w:w="15" w:type="dxa"/>
              <w:left w:w="15" w:type="dxa"/>
              <w:right w:w="15" w:type="dxa"/>
            </w:tcMar>
            <w:vAlign w:val="center"/>
          </w:tcPr>
          <w:p>
            <w:pPr>
              <w:widowControl/>
              <w:spacing w:line="360" w:lineRule="auto"/>
              <w:jc w:val="center"/>
              <w:textAlignment w:val="center"/>
              <w:rPr>
                <w:rFonts w:eastAsia="仿宋"/>
                <w:b/>
                <w:color w:val="000000"/>
                <w:szCs w:val="21"/>
              </w:rPr>
            </w:pPr>
            <w:r>
              <w:rPr>
                <w:rFonts w:eastAsia="仿宋"/>
                <w:b/>
                <w:color w:val="000000"/>
                <w:szCs w:val="21"/>
              </w:rPr>
              <w:t>本年应付利息</w:t>
            </w:r>
          </w:p>
        </w:tc>
        <w:tc>
          <w:tcPr>
            <w:tcW w:w="1436" w:type="dxa"/>
            <w:tcMar>
              <w:top w:w="15" w:type="dxa"/>
              <w:left w:w="15" w:type="dxa"/>
              <w:right w:w="15" w:type="dxa"/>
            </w:tcMar>
            <w:vAlign w:val="center"/>
          </w:tcPr>
          <w:p>
            <w:pPr>
              <w:widowControl/>
              <w:spacing w:line="360" w:lineRule="auto"/>
              <w:jc w:val="center"/>
              <w:textAlignment w:val="center"/>
              <w:rPr>
                <w:rFonts w:eastAsia="仿宋"/>
                <w:b/>
                <w:color w:val="000000"/>
                <w:szCs w:val="21"/>
              </w:rPr>
            </w:pPr>
            <w:r>
              <w:rPr>
                <w:rFonts w:eastAsia="仿宋"/>
                <w:b/>
                <w:color w:val="000000"/>
                <w:szCs w:val="21"/>
              </w:rPr>
              <w:t>本年还本付息合计</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cantSplit/>
          <w:trHeight w:val="112" w:hRule="atLeast"/>
          <w:jc w:val="center"/>
        </w:trPr>
        <w:tc>
          <w:tcPr>
            <w:tcW w:w="1218" w:type="dxa"/>
            <w:tcMar>
              <w:top w:w="15" w:type="dxa"/>
              <w:left w:w="15" w:type="dxa"/>
              <w:right w:w="15" w:type="dxa"/>
            </w:tcMar>
            <w:vAlign w:val="center"/>
          </w:tcPr>
          <w:p>
            <w:pPr>
              <w:widowControl/>
              <w:adjustRightInd w:val="0"/>
              <w:spacing w:line="360" w:lineRule="auto"/>
              <w:jc w:val="center"/>
              <w:textAlignment w:val="center"/>
              <w:rPr>
                <w:rFonts w:eastAsia="仿宋"/>
                <w:szCs w:val="21"/>
              </w:rPr>
            </w:pPr>
            <w:r>
              <w:rPr>
                <w:rFonts w:eastAsia="仿宋"/>
                <w:szCs w:val="21"/>
              </w:rPr>
              <w:t>2020年</w:t>
            </w:r>
          </w:p>
        </w:tc>
        <w:tc>
          <w:tcPr>
            <w:tcW w:w="1155"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w:t>
            </w:r>
          </w:p>
        </w:tc>
        <w:tc>
          <w:tcPr>
            <w:tcW w:w="1200"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6,0</w:t>
            </w:r>
            <w:r>
              <w:rPr>
                <w:rFonts w:eastAsia="仿宋"/>
                <w:color w:val="000000"/>
                <w:kern w:val="0"/>
                <w:szCs w:val="21"/>
              </w:rPr>
              <w:t>00.00</w:t>
            </w:r>
          </w:p>
        </w:tc>
        <w:tc>
          <w:tcPr>
            <w:tcW w:w="1083" w:type="dxa"/>
            <w:tcMar>
              <w:top w:w="15" w:type="dxa"/>
              <w:left w:w="15" w:type="dxa"/>
              <w:right w:w="15" w:type="dxa"/>
            </w:tcMar>
            <w:vAlign w:val="center"/>
          </w:tcPr>
          <w:p>
            <w:pPr>
              <w:jc w:val="center"/>
              <w:rPr>
                <w:rFonts w:eastAsia="仿宋"/>
                <w:color w:val="000000"/>
                <w:kern w:val="0"/>
                <w:szCs w:val="21"/>
              </w:rPr>
            </w:pPr>
          </w:p>
        </w:tc>
        <w:tc>
          <w:tcPr>
            <w:tcW w:w="1083"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6</w:t>
            </w:r>
            <w:r>
              <w:rPr>
                <w:rFonts w:eastAsia="仿宋"/>
                <w:color w:val="000000"/>
                <w:kern w:val="0"/>
                <w:szCs w:val="21"/>
              </w:rPr>
              <w:t>,000.00</w:t>
            </w:r>
          </w:p>
        </w:tc>
        <w:tc>
          <w:tcPr>
            <w:tcW w:w="1084" w:type="dxa"/>
            <w:tcMar>
              <w:top w:w="15" w:type="dxa"/>
              <w:left w:w="15" w:type="dxa"/>
              <w:right w:w="15" w:type="dxa"/>
            </w:tcMar>
            <w:vAlign w:val="center"/>
          </w:tcPr>
          <w:p>
            <w:pPr>
              <w:jc w:val="center"/>
              <w:rPr>
                <w:rFonts w:hint="eastAsia" w:eastAsia="仿宋"/>
                <w:color w:val="000000"/>
                <w:kern w:val="0"/>
                <w:szCs w:val="21"/>
              </w:rPr>
            </w:pPr>
            <w:r>
              <w:rPr>
                <w:rFonts w:hint="eastAsia" w:eastAsia="仿宋"/>
                <w:color w:val="000000"/>
                <w:kern w:val="0"/>
                <w:szCs w:val="21"/>
              </w:rPr>
              <w:t>0.00</w:t>
            </w:r>
          </w:p>
        </w:tc>
        <w:tc>
          <w:tcPr>
            <w:tcW w:w="1436" w:type="dxa"/>
            <w:tcMar>
              <w:top w:w="15" w:type="dxa"/>
              <w:left w:w="15" w:type="dxa"/>
              <w:right w:w="15" w:type="dxa"/>
            </w:tcMar>
            <w:vAlign w:val="center"/>
          </w:tcPr>
          <w:p>
            <w:pPr>
              <w:jc w:val="center"/>
              <w:rPr>
                <w:rFonts w:hint="eastAsia" w:eastAsia="仿宋"/>
                <w:color w:val="000000"/>
                <w:kern w:val="0"/>
                <w:szCs w:val="21"/>
              </w:rPr>
            </w:pPr>
            <w:r>
              <w:rPr>
                <w:rFonts w:hint="eastAsia" w:eastAsia="仿宋"/>
                <w:color w:val="000000"/>
                <w:kern w:val="0"/>
                <w:szCs w:val="21"/>
              </w:rPr>
              <w:t>0.00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szCs w:val="21"/>
              </w:rPr>
            </w:pPr>
            <w:r>
              <w:rPr>
                <w:rFonts w:eastAsia="仿宋"/>
                <w:szCs w:val="21"/>
              </w:rPr>
              <w:t>2021年</w:t>
            </w:r>
          </w:p>
        </w:tc>
        <w:tc>
          <w:tcPr>
            <w:tcW w:w="1155"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6</w:t>
            </w:r>
            <w:r>
              <w:rPr>
                <w:rFonts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hint="eastAsia" w:eastAsia="仿宋"/>
                <w:color w:val="000000"/>
                <w:kern w:val="0"/>
                <w:szCs w:val="21"/>
              </w:rPr>
            </w:pPr>
            <w:r>
              <w:rPr>
                <w:rFonts w:eastAsia="仿宋"/>
                <w:color w:val="000000"/>
                <w:kern w:val="0"/>
                <w:szCs w:val="21"/>
              </w:rPr>
              <w:t>97</w:t>
            </w:r>
            <w:r>
              <w:rPr>
                <w:rFonts w:hint="eastAsia" w:eastAsia="仿宋"/>
                <w:color w:val="000000"/>
                <w:kern w:val="0"/>
                <w:szCs w:val="21"/>
              </w:rPr>
              <w:t>,000.00</w:t>
            </w:r>
          </w:p>
        </w:tc>
        <w:tc>
          <w:tcPr>
            <w:tcW w:w="1083" w:type="dxa"/>
            <w:tcMar>
              <w:top w:w="15" w:type="dxa"/>
              <w:left w:w="15" w:type="dxa"/>
              <w:right w:w="15" w:type="dxa"/>
            </w:tcMar>
            <w:vAlign w:val="center"/>
          </w:tcPr>
          <w:p>
            <w:pPr>
              <w:spacing w:line="360" w:lineRule="auto"/>
              <w:jc w:val="center"/>
              <w:rPr>
                <w:rFonts w:eastAsia="仿宋"/>
                <w:color w:val="000000"/>
                <w:kern w:val="0"/>
                <w:szCs w:val="21"/>
              </w:rPr>
            </w:pPr>
          </w:p>
        </w:tc>
        <w:tc>
          <w:tcPr>
            <w:tcW w:w="1083"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10</w:t>
            </w:r>
            <w:r>
              <w:rPr>
                <w:rFonts w:eastAsia="仿宋"/>
                <w:color w:val="000000"/>
                <w:kern w:val="0"/>
                <w:szCs w:val="21"/>
              </w:rPr>
              <w:t>3</w:t>
            </w:r>
            <w:r>
              <w:rPr>
                <w:rFonts w:hint="eastAsia" w:eastAsia="仿宋"/>
                <w:color w:val="000000"/>
                <w:kern w:val="0"/>
                <w:szCs w:val="21"/>
              </w:rPr>
              <w:t>,000.00</w:t>
            </w:r>
          </w:p>
        </w:tc>
        <w:tc>
          <w:tcPr>
            <w:tcW w:w="1084"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202.20</w:t>
            </w:r>
          </w:p>
        </w:tc>
        <w:tc>
          <w:tcPr>
            <w:tcW w:w="1436" w:type="dxa"/>
            <w:tcMar>
              <w:top w:w="15" w:type="dxa"/>
              <w:left w:w="15" w:type="dxa"/>
              <w:right w:w="15" w:type="dxa"/>
            </w:tcMar>
            <w:vAlign w:val="center"/>
          </w:tcPr>
          <w:p>
            <w:pPr>
              <w:jc w:val="center"/>
              <w:rPr>
                <w:rFonts w:hint="eastAsia" w:eastAsia="仿宋"/>
                <w:color w:val="000000"/>
                <w:kern w:val="0"/>
                <w:szCs w:val="21"/>
              </w:rPr>
            </w:pPr>
            <w:r>
              <w:rPr>
                <w:rFonts w:eastAsia="仿宋"/>
                <w:color w:val="000000"/>
                <w:kern w:val="0"/>
                <w:szCs w:val="21"/>
              </w:rPr>
              <w:t>202.20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szCs w:val="21"/>
              </w:rPr>
            </w:pPr>
            <w:r>
              <w:rPr>
                <w:rFonts w:eastAsia="仿宋"/>
                <w:szCs w:val="21"/>
              </w:rPr>
              <w:t>2022年</w:t>
            </w:r>
          </w:p>
        </w:tc>
        <w:tc>
          <w:tcPr>
            <w:tcW w:w="1155"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10</w:t>
            </w:r>
            <w:r>
              <w:rPr>
                <w:rFonts w:eastAsia="仿宋"/>
                <w:color w:val="000000"/>
                <w:kern w:val="0"/>
                <w:szCs w:val="21"/>
              </w:rPr>
              <w:t>3</w:t>
            </w:r>
            <w:r>
              <w:rPr>
                <w:rFonts w:hint="eastAsia"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hint="eastAsia" w:eastAsia="仿宋"/>
                <w:color w:val="000000"/>
                <w:kern w:val="0"/>
                <w:szCs w:val="21"/>
              </w:rPr>
            </w:pPr>
            <w:r>
              <w:rPr>
                <w:rFonts w:hint="eastAsia" w:eastAsia="仿宋"/>
                <w:color w:val="000000"/>
                <w:kern w:val="0"/>
                <w:szCs w:val="21"/>
              </w:rPr>
              <w:t>5,000.00</w:t>
            </w:r>
          </w:p>
        </w:tc>
        <w:tc>
          <w:tcPr>
            <w:tcW w:w="1083" w:type="dxa"/>
            <w:tcMar>
              <w:top w:w="15" w:type="dxa"/>
              <w:left w:w="15" w:type="dxa"/>
              <w:right w:w="15" w:type="dxa"/>
            </w:tcMar>
            <w:vAlign w:val="center"/>
          </w:tcPr>
          <w:p>
            <w:pPr>
              <w:spacing w:line="360" w:lineRule="auto"/>
              <w:jc w:val="center"/>
              <w:rPr>
                <w:rFonts w:eastAsia="仿宋"/>
                <w:color w:val="000000"/>
                <w:kern w:val="0"/>
                <w:szCs w:val="21"/>
              </w:rPr>
            </w:pPr>
          </w:p>
        </w:tc>
        <w:tc>
          <w:tcPr>
            <w:tcW w:w="1083"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10</w:t>
            </w:r>
            <w:r>
              <w:rPr>
                <w:rFonts w:eastAsia="仿宋"/>
                <w:color w:val="000000"/>
                <w:kern w:val="0"/>
                <w:szCs w:val="21"/>
              </w:rPr>
              <w:t>8</w:t>
            </w:r>
            <w:r>
              <w:rPr>
                <w:rFonts w:hint="eastAsia" w:eastAsia="仿宋"/>
                <w:color w:val="000000"/>
                <w:kern w:val="0"/>
                <w:szCs w:val="21"/>
              </w:rPr>
              <w:t>,</w:t>
            </w:r>
            <w:r>
              <w:rPr>
                <w:rFonts w:eastAsia="仿宋"/>
                <w:color w:val="000000"/>
                <w:kern w:val="0"/>
                <w:szCs w:val="21"/>
              </w:rPr>
              <w:t>00</w:t>
            </w:r>
            <w:r>
              <w:rPr>
                <w:rFonts w:hint="eastAsia" w:eastAsia="仿宋"/>
                <w:color w:val="000000"/>
                <w:kern w:val="0"/>
                <w:szCs w:val="21"/>
              </w:rPr>
              <w:t>0</w:t>
            </w:r>
            <w:r>
              <w:rPr>
                <w:rFonts w:eastAsia="仿宋"/>
                <w:color w:val="000000"/>
                <w:kern w:val="0"/>
                <w:szCs w:val="21"/>
              </w:rPr>
              <w:t>.00</w:t>
            </w:r>
          </w:p>
        </w:tc>
        <w:tc>
          <w:tcPr>
            <w:tcW w:w="1084"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3</w:t>
            </w:r>
            <w:r>
              <w:rPr>
                <w:rFonts w:hint="eastAsia" w:eastAsia="仿宋"/>
                <w:color w:val="000000"/>
                <w:kern w:val="0"/>
                <w:szCs w:val="21"/>
              </w:rPr>
              <w:t>,</w:t>
            </w:r>
            <w:r>
              <w:rPr>
                <w:rFonts w:eastAsia="仿宋"/>
                <w:color w:val="000000"/>
                <w:kern w:val="0"/>
                <w:szCs w:val="21"/>
              </w:rPr>
              <w:t>471.10</w:t>
            </w:r>
          </w:p>
        </w:tc>
        <w:tc>
          <w:tcPr>
            <w:tcW w:w="1436" w:type="dxa"/>
            <w:tcMar>
              <w:top w:w="15" w:type="dxa"/>
              <w:left w:w="15" w:type="dxa"/>
              <w:right w:w="15" w:type="dxa"/>
            </w:tcMar>
            <w:vAlign w:val="center"/>
          </w:tcPr>
          <w:p>
            <w:pPr>
              <w:jc w:val="center"/>
              <w:rPr>
                <w:rFonts w:hint="eastAsia" w:eastAsia="仿宋"/>
                <w:color w:val="000000"/>
                <w:kern w:val="0"/>
                <w:szCs w:val="21"/>
              </w:rPr>
            </w:pPr>
            <w:r>
              <w:rPr>
                <w:rFonts w:eastAsia="仿宋"/>
                <w:color w:val="000000"/>
                <w:kern w:val="0"/>
                <w:szCs w:val="21"/>
              </w:rPr>
              <w:t>3,471.10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szCs w:val="21"/>
              </w:rPr>
            </w:pPr>
            <w:r>
              <w:rPr>
                <w:rFonts w:eastAsia="仿宋"/>
                <w:szCs w:val="21"/>
              </w:rPr>
              <w:t>2023年</w:t>
            </w:r>
          </w:p>
        </w:tc>
        <w:tc>
          <w:tcPr>
            <w:tcW w:w="1155"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10</w:t>
            </w:r>
            <w:r>
              <w:rPr>
                <w:rFonts w:eastAsia="仿宋"/>
                <w:color w:val="000000"/>
                <w:kern w:val="0"/>
                <w:szCs w:val="21"/>
              </w:rPr>
              <w:t>8</w:t>
            </w:r>
            <w:r>
              <w:rPr>
                <w:rFonts w:hint="eastAsia"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hint="eastAsia" w:eastAsia="仿宋"/>
                <w:color w:val="000000"/>
                <w:kern w:val="0"/>
                <w:szCs w:val="21"/>
              </w:rPr>
            </w:pPr>
            <w:r>
              <w:rPr>
                <w:rFonts w:hint="eastAsia" w:eastAsia="仿宋"/>
                <w:color w:val="000000"/>
                <w:kern w:val="0"/>
                <w:szCs w:val="21"/>
              </w:rPr>
              <w:t>5,000.00</w:t>
            </w:r>
          </w:p>
        </w:tc>
        <w:tc>
          <w:tcPr>
            <w:tcW w:w="1083" w:type="dxa"/>
            <w:tcMar>
              <w:top w:w="15" w:type="dxa"/>
              <w:left w:w="15" w:type="dxa"/>
              <w:right w:w="15" w:type="dxa"/>
            </w:tcMar>
            <w:vAlign w:val="center"/>
          </w:tcPr>
          <w:p>
            <w:pPr>
              <w:spacing w:line="360" w:lineRule="auto"/>
              <w:jc w:val="center"/>
              <w:rPr>
                <w:rFonts w:eastAsia="仿宋"/>
                <w:color w:val="000000"/>
                <w:kern w:val="0"/>
                <w:szCs w:val="21"/>
              </w:rPr>
            </w:pPr>
          </w:p>
        </w:tc>
        <w:tc>
          <w:tcPr>
            <w:tcW w:w="1083"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084" w:type="dxa"/>
            <w:tcMar>
              <w:top w:w="15" w:type="dxa"/>
              <w:left w:w="15" w:type="dxa"/>
              <w:right w:w="15" w:type="dxa"/>
            </w:tcMar>
            <w:vAlign w:val="center"/>
          </w:tcPr>
          <w:p>
            <w:pPr>
              <w:jc w:val="center"/>
              <w:rPr>
                <w:rFonts w:hint="eastAsia" w:eastAsia="仿宋"/>
                <w:color w:val="000000"/>
                <w:kern w:val="0"/>
                <w:szCs w:val="21"/>
              </w:rPr>
            </w:pPr>
            <w:r>
              <w:rPr>
                <w:rFonts w:eastAsia="仿宋"/>
                <w:color w:val="000000"/>
                <w:kern w:val="0"/>
                <w:szCs w:val="21"/>
              </w:rPr>
              <w:t>3,639.60</w:t>
            </w:r>
          </w:p>
        </w:tc>
        <w:tc>
          <w:tcPr>
            <w:tcW w:w="1436"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4,095.00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szCs w:val="21"/>
              </w:rPr>
            </w:pPr>
            <w:r>
              <w:rPr>
                <w:rFonts w:eastAsia="仿宋"/>
                <w:szCs w:val="21"/>
              </w:rPr>
              <w:t>2024年</w:t>
            </w:r>
          </w:p>
        </w:tc>
        <w:tc>
          <w:tcPr>
            <w:tcW w:w="1155" w:type="dxa"/>
            <w:tcMar>
              <w:top w:w="15" w:type="dxa"/>
              <w:left w:w="15" w:type="dxa"/>
              <w:right w:w="15" w:type="dxa"/>
            </w:tcMar>
            <w:vAlign w:val="center"/>
          </w:tcPr>
          <w:p>
            <w:pPr>
              <w:jc w:val="cente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eastAsia="仿宋"/>
                <w:color w:val="000000"/>
                <w:kern w:val="0"/>
                <w:szCs w:val="21"/>
              </w:rPr>
            </w:pPr>
            <w:r>
              <w:rPr>
                <w:rFonts w:eastAsia="仿宋"/>
                <w:color w:val="000000"/>
                <w:kern w:val="0"/>
                <w:szCs w:val="21"/>
              </w:rPr>
              <w:t>-</w:t>
            </w:r>
          </w:p>
        </w:tc>
        <w:tc>
          <w:tcPr>
            <w:tcW w:w="1083" w:type="dxa"/>
            <w:tcMar>
              <w:top w:w="15" w:type="dxa"/>
              <w:left w:w="15" w:type="dxa"/>
              <w:right w:w="15" w:type="dxa"/>
            </w:tcMar>
            <w:vAlign w:val="center"/>
          </w:tcPr>
          <w:p>
            <w:pPr>
              <w:spacing w:line="360" w:lineRule="auto"/>
              <w:jc w:val="center"/>
              <w:rPr>
                <w:rFonts w:eastAsia="仿宋"/>
                <w:color w:val="000000"/>
                <w:kern w:val="0"/>
                <w:szCs w:val="21"/>
              </w:rPr>
            </w:pPr>
          </w:p>
        </w:tc>
        <w:tc>
          <w:tcPr>
            <w:tcW w:w="1083"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084"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3,808.10</w:t>
            </w:r>
          </w:p>
        </w:tc>
        <w:tc>
          <w:tcPr>
            <w:tcW w:w="1436"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3,808.10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szCs w:val="21"/>
              </w:rPr>
            </w:pPr>
            <w:r>
              <w:rPr>
                <w:rFonts w:eastAsia="仿宋"/>
                <w:szCs w:val="21"/>
              </w:rPr>
              <w:t>2025年</w:t>
            </w:r>
          </w:p>
        </w:tc>
        <w:tc>
          <w:tcPr>
            <w:tcW w:w="1155" w:type="dxa"/>
            <w:tcMar>
              <w:top w:w="15" w:type="dxa"/>
              <w:left w:w="15" w:type="dxa"/>
              <w:right w:w="15" w:type="dxa"/>
            </w:tcMar>
            <w:vAlign w:val="center"/>
          </w:tcPr>
          <w:p>
            <w:pPr>
              <w:jc w:val="cente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eastAsia="仿宋"/>
                <w:color w:val="000000"/>
                <w:kern w:val="0"/>
                <w:szCs w:val="21"/>
              </w:rPr>
            </w:pPr>
            <w:r>
              <w:rPr>
                <w:rFonts w:eastAsia="仿宋"/>
                <w:color w:val="000000"/>
                <w:kern w:val="0"/>
                <w:szCs w:val="21"/>
              </w:rPr>
              <w:t>-</w:t>
            </w:r>
          </w:p>
        </w:tc>
        <w:tc>
          <w:tcPr>
            <w:tcW w:w="1083" w:type="dxa"/>
            <w:tcMar>
              <w:top w:w="15" w:type="dxa"/>
              <w:left w:w="15" w:type="dxa"/>
              <w:right w:w="15" w:type="dxa"/>
            </w:tcMar>
            <w:vAlign w:val="center"/>
          </w:tcPr>
          <w:p>
            <w:pPr>
              <w:spacing w:line="360" w:lineRule="auto"/>
              <w:jc w:val="center"/>
              <w:rPr>
                <w:rFonts w:eastAsia="仿宋"/>
                <w:color w:val="000000"/>
                <w:kern w:val="0"/>
                <w:szCs w:val="21"/>
              </w:rPr>
            </w:pPr>
          </w:p>
        </w:tc>
        <w:tc>
          <w:tcPr>
            <w:tcW w:w="1083"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084"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3,808.10</w:t>
            </w:r>
          </w:p>
        </w:tc>
        <w:tc>
          <w:tcPr>
            <w:tcW w:w="1436"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3,808.10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szCs w:val="21"/>
              </w:rPr>
            </w:pPr>
            <w:r>
              <w:rPr>
                <w:rFonts w:eastAsia="仿宋"/>
                <w:szCs w:val="21"/>
              </w:rPr>
              <w:t>2026年</w:t>
            </w:r>
          </w:p>
        </w:tc>
        <w:tc>
          <w:tcPr>
            <w:tcW w:w="1155" w:type="dxa"/>
            <w:tcMar>
              <w:top w:w="15" w:type="dxa"/>
              <w:left w:w="15" w:type="dxa"/>
              <w:right w:w="15" w:type="dxa"/>
            </w:tcMar>
            <w:vAlign w:val="center"/>
          </w:tcPr>
          <w:p>
            <w:pPr>
              <w:jc w:val="cente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eastAsia="仿宋"/>
                <w:color w:val="000000"/>
                <w:kern w:val="0"/>
                <w:szCs w:val="21"/>
              </w:rPr>
            </w:pPr>
            <w:r>
              <w:rPr>
                <w:rFonts w:eastAsia="仿宋"/>
                <w:color w:val="000000"/>
                <w:kern w:val="0"/>
                <w:szCs w:val="21"/>
              </w:rPr>
              <w:t>-</w:t>
            </w:r>
          </w:p>
        </w:tc>
        <w:tc>
          <w:tcPr>
            <w:tcW w:w="1083" w:type="dxa"/>
            <w:tcMar>
              <w:top w:w="15" w:type="dxa"/>
              <w:left w:w="15" w:type="dxa"/>
              <w:right w:w="15" w:type="dxa"/>
            </w:tcMar>
            <w:vAlign w:val="center"/>
          </w:tcPr>
          <w:p>
            <w:pPr>
              <w:spacing w:line="360" w:lineRule="auto"/>
              <w:jc w:val="center"/>
              <w:rPr>
                <w:rFonts w:eastAsia="仿宋"/>
                <w:color w:val="000000"/>
                <w:kern w:val="0"/>
                <w:szCs w:val="21"/>
              </w:rPr>
            </w:pPr>
          </w:p>
        </w:tc>
        <w:tc>
          <w:tcPr>
            <w:tcW w:w="1083"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084"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3,808.10</w:t>
            </w:r>
          </w:p>
        </w:tc>
        <w:tc>
          <w:tcPr>
            <w:tcW w:w="1436"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3,808.10</w:t>
            </w:r>
            <w:r>
              <w:rPr>
                <w:rFonts w:hint="eastAsia" w:eastAsia="仿宋"/>
                <w:color w:val="000000"/>
                <w:kern w:val="0"/>
                <w:szCs w:val="21"/>
              </w:rPr>
              <w:t>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b/>
                <w:szCs w:val="21"/>
              </w:rPr>
            </w:pPr>
            <w:r>
              <w:rPr>
                <w:rFonts w:eastAsia="仿宋"/>
                <w:szCs w:val="21"/>
              </w:rPr>
              <w:t>2027年</w:t>
            </w:r>
          </w:p>
        </w:tc>
        <w:tc>
          <w:tcPr>
            <w:tcW w:w="1155" w:type="dxa"/>
            <w:tcMar>
              <w:top w:w="15" w:type="dxa"/>
              <w:left w:w="15" w:type="dxa"/>
              <w:right w:w="15" w:type="dxa"/>
            </w:tcMar>
            <w:vAlign w:val="center"/>
          </w:tcPr>
          <w:p>
            <w:pPr>
              <w:jc w:val="cente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eastAsia="仿宋"/>
                <w:color w:val="000000"/>
                <w:kern w:val="0"/>
                <w:szCs w:val="21"/>
              </w:rPr>
            </w:pPr>
            <w:r>
              <w:rPr>
                <w:rFonts w:eastAsia="仿宋"/>
                <w:color w:val="000000"/>
                <w:kern w:val="0"/>
                <w:szCs w:val="21"/>
              </w:rPr>
              <w:t>-</w:t>
            </w:r>
          </w:p>
        </w:tc>
        <w:tc>
          <w:tcPr>
            <w:tcW w:w="1083" w:type="dxa"/>
            <w:tcMar>
              <w:top w:w="15" w:type="dxa"/>
              <w:left w:w="15" w:type="dxa"/>
              <w:right w:w="15" w:type="dxa"/>
            </w:tcMar>
            <w:vAlign w:val="center"/>
          </w:tcPr>
          <w:p>
            <w:pPr>
              <w:spacing w:line="360" w:lineRule="auto"/>
              <w:jc w:val="center"/>
              <w:rPr>
                <w:rFonts w:eastAsia="仿宋"/>
                <w:color w:val="000000"/>
                <w:kern w:val="0"/>
                <w:szCs w:val="21"/>
              </w:rPr>
            </w:pPr>
          </w:p>
        </w:tc>
        <w:tc>
          <w:tcPr>
            <w:tcW w:w="1083"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084"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3,808.10</w:t>
            </w:r>
          </w:p>
        </w:tc>
        <w:tc>
          <w:tcPr>
            <w:tcW w:w="1436"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3,808.10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b/>
                <w:szCs w:val="21"/>
              </w:rPr>
            </w:pPr>
            <w:r>
              <w:rPr>
                <w:rFonts w:eastAsia="仿宋"/>
                <w:szCs w:val="21"/>
              </w:rPr>
              <w:t>2028年</w:t>
            </w:r>
          </w:p>
        </w:tc>
        <w:tc>
          <w:tcPr>
            <w:tcW w:w="1155" w:type="dxa"/>
            <w:tcMar>
              <w:top w:w="15" w:type="dxa"/>
              <w:left w:w="15" w:type="dxa"/>
              <w:right w:w="15" w:type="dxa"/>
            </w:tcMar>
            <w:vAlign w:val="center"/>
          </w:tcPr>
          <w:p>
            <w:pPr>
              <w:jc w:val="cente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eastAsia="仿宋"/>
                <w:color w:val="000000"/>
                <w:kern w:val="0"/>
                <w:szCs w:val="21"/>
              </w:rPr>
            </w:pPr>
            <w:r>
              <w:rPr>
                <w:rFonts w:eastAsia="仿宋"/>
                <w:color w:val="000000"/>
                <w:kern w:val="0"/>
                <w:szCs w:val="21"/>
              </w:rPr>
              <w:t>-</w:t>
            </w:r>
          </w:p>
        </w:tc>
        <w:tc>
          <w:tcPr>
            <w:tcW w:w="1083" w:type="dxa"/>
            <w:tcMar>
              <w:top w:w="15" w:type="dxa"/>
              <w:left w:w="15" w:type="dxa"/>
              <w:right w:w="15" w:type="dxa"/>
            </w:tcMar>
            <w:vAlign w:val="center"/>
          </w:tcPr>
          <w:p>
            <w:pPr>
              <w:spacing w:line="360" w:lineRule="auto"/>
              <w:jc w:val="center"/>
              <w:rPr>
                <w:rFonts w:eastAsia="仿宋"/>
                <w:color w:val="000000"/>
                <w:kern w:val="0"/>
                <w:szCs w:val="21"/>
              </w:rPr>
            </w:pPr>
          </w:p>
        </w:tc>
        <w:tc>
          <w:tcPr>
            <w:tcW w:w="1083"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084"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3,808.10</w:t>
            </w:r>
          </w:p>
        </w:tc>
        <w:tc>
          <w:tcPr>
            <w:tcW w:w="1436" w:type="dxa"/>
            <w:tcMar>
              <w:top w:w="15" w:type="dxa"/>
              <w:left w:w="15" w:type="dxa"/>
              <w:right w:w="15" w:type="dxa"/>
            </w:tcMar>
            <w:vAlign w:val="center"/>
          </w:tcPr>
          <w:p>
            <w:pPr>
              <w:jc w:val="center"/>
              <w:rPr>
                <w:rFonts w:eastAsia="仿宋"/>
                <w:color w:val="000000"/>
                <w:kern w:val="0"/>
                <w:szCs w:val="21"/>
              </w:rPr>
            </w:pPr>
            <w:r>
              <w:rPr>
                <w:rFonts w:eastAsia="仿宋"/>
                <w:color w:val="000000"/>
                <w:kern w:val="0"/>
                <w:szCs w:val="21"/>
              </w:rPr>
              <w:t>3,808.10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b/>
                <w:szCs w:val="21"/>
              </w:rPr>
            </w:pPr>
            <w:r>
              <w:rPr>
                <w:rFonts w:eastAsia="仿宋"/>
                <w:szCs w:val="21"/>
              </w:rPr>
              <w:t>2029年</w:t>
            </w:r>
          </w:p>
        </w:tc>
        <w:tc>
          <w:tcPr>
            <w:tcW w:w="1155" w:type="dxa"/>
            <w:tcMar>
              <w:top w:w="15" w:type="dxa"/>
              <w:left w:w="15" w:type="dxa"/>
              <w:right w:w="15" w:type="dxa"/>
            </w:tcMar>
            <w:vAlign w:val="center"/>
          </w:tcPr>
          <w:p>
            <w:pPr>
              <w:jc w:val="cente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eastAsia="仿宋"/>
                <w:color w:val="000000"/>
                <w:kern w:val="0"/>
                <w:szCs w:val="21"/>
              </w:rPr>
            </w:pPr>
            <w:r>
              <w:rPr>
                <w:rFonts w:eastAsia="仿宋"/>
                <w:color w:val="000000"/>
                <w:kern w:val="0"/>
                <w:szCs w:val="21"/>
              </w:rPr>
              <w:t>-</w:t>
            </w:r>
          </w:p>
        </w:tc>
        <w:tc>
          <w:tcPr>
            <w:tcW w:w="1083" w:type="dxa"/>
            <w:tcMar>
              <w:top w:w="15" w:type="dxa"/>
              <w:left w:w="15" w:type="dxa"/>
              <w:right w:w="15" w:type="dxa"/>
            </w:tcMar>
            <w:vAlign w:val="center"/>
          </w:tcPr>
          <w:p>
            <w:pPr>
              <w:spacing w:line="360" w:lineRule="auto"/>
              <w:jc w:val="center"/>
              <w:rPr>
                <w:rFonts w:eastAsia="仿宋"/>
                <w:color w:val="000000"/>
                <w:kern w:val="0"/>
                <w:szCs w:val="21"/>
              </w:rPr>
            </w:pPr>
            <w:r>
              <w:rPr>
                <w:rFonts w:hint="eastAsia" w:eastAsia="仿宋"/>
                <w:color w:val="000000"/>
                <w:kern w:val="0"/>
                <w:szCs w:val="21"/>
              </w:rPr>
              <w:t>6,0</w:t>
            </w:r>
            <w:r>
              <w:rPr>
                <w:rFonts w:eastAsia="仿宋"/>
                <w:color w:val="000000"/>
                <w:kern w:val="0"/>
                <w:szCs w:val="21"/>
              </w:rPr>
              <w:t>00.00</w:t>
            </w:r>
          </w:p>
        </w:tc>
        <w:tc>
          <w:tcPr>
            <w:tcW w:w="1083" w:type="dxa"/>
            <w:tcMar>
              <w:top w:w="15" w:type="dxa"/>
              <w:left w:w="15" w:type="dxa"/>
              <w:right w:w="15" w:type="dxa"/>
            </w:tcMar>
            <w:vAlign w:val="center"/>
          </w:tcPr>
          <w:p>
            <w:pPr>
              <w:jc w:val="center"/>
              <w:rPr>
                <w:rFonts w:eastAsia="仿宋"/>
                <w:color w:val="000000"/>
                <w:kern w:val="0"/>
                <w:szCs w:val="21"/>
              </w:rPr>
            </w:pPr>
            <w:r>
              <w:rPr>
                <w:rFonts w:hint="eastAsia" w:eastAsia="仿宋"/>
                <w:color w:val="000000"/>
                <w:kern w:val="0"/>
                <w:szCs w:val="21"/>
              </w:rPr>
              <w:t>1</w:t>
            </w:r>
            <w:r>
              <w:rPr>
                <w:rFonts w:hint="eastAsia" w:eastAsia="仿宋"/>
                <w:color w:val="000000"/>
                <w:kern w:val="0"/>
                <w:szCs w:val="21"/>
                <w:lang w:val="en-US" w:eastAsia="zh-CN"/>
              </w:rPr>
              <w:t>07</w:t>
            </w:r>
            <w:r>
              <w:rPr>
                <w:rFonts w:hint="eastAsia" w:eastAsia="仿宋"/>
                <w:color w:val="000000"/>
                <w:kern w:val="0"/>
                <w:szCs w:val="21"/>
              </w:rPr>
              <w:t>,000.00</w:t>
            </w:r>
          </w:p>
        </w:tc>
        <w:tc>
          <w:tcPr>
            <w:tcW w:w="1084" w:type="dxa"/>
            <w:tcMar>
              <w:top w:w="15" w:type="dxa"/>
              <w:left w:w="15" w:type="dxa"/>
              <w:right w:w="15" w:type="dxa"/>
            </w:tcMar>
            <w:vAlign w:val="center"/>
          </w:tcPr>
          <w:p>
            <w:pPr>
              <w:jc w:val="center"/>
              <w:rPr>
                <w:rFonts w:hint="eastAsia" w:eastAsia="仿宋"/>
                <w:color w:val="000000"/>
                <w:kern w:val="0"/>
                <w:szCs w:val="21"/>
                <w:lang w:eastAsia="zh-CN"/>
              </w:rPr>
            </w:pPr>
            <w:r>
              <w:rPr>
                <w:rFonts w:hint="eastAsia" w:eastAsia="仿宋"/>
                <w:color w:val="000000"/>
                <w:kern w:val="0"/>
                <w:szCs w:val="21"/>
                <w:lang w:val="en-US" w:eastAsia="zh-CN"/>
              </w:rPr>
              <w:t>4,010.30</w:t>
            </w:r>
          </w:p>
        </w:tc>
        <w:tc>
          <w:tcPr>
            <w:tcW w:w="1436" w:type="dxa"/>
            <w:tcMar>
              <w:top w:w="15" w:type="dxa"/>
              <w:left w:w="15" w:type="dxa"/>
              <w:right w:w="15" w:type="dxa"/>
            </w:tcMar>
            <w:vAlign w:val="center"/>
          </w:tcPr>
          <w:p>
            <w:pPr>
              <w:jc w:val="center"/>
              <w:rPr>
                <w:rFonts w:hint="eastAsia" w:eastAsia="仿宋"/>
                <w:color w:val="000000"/>
                <w:kern w:val="0"/>
                <w:szCs w:val="21"/>
                <w:lang w:eastAsia="zh-CN"/>
              </w:rPr>
            </w:pPr>
            <w:r>
              <w:rPr>
                <w:rFonts w:hint="eastAsia" w:eastAsia="仿宋"/>
                <w:color w:val="000000"/>
                <w:kern w:val="0"/>
                <w:szCs w:val="21"/>
                <w:lang w:val="en-US" w:eastAsia="zh-CN"/>
              </w:rPr>
              <w:t>10,010.30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b/>
                <w:szCs w:val="21"/>
              </w:rPr>
            </w:pPr>
            <w:r>
              <w:rPr>
                <w:rFonts w:eastAsia="仿宋"/>
                <w:szCs w:val="21"/>
              </w:rPr>
              <w:t>2030年</w:t>
            </w:r>
          </w:p>
        </w:tc>
        <w:tc>
          <w:tcPr>
            <w:tcW w:w="1155" w:type="dxa"/>
            <w:tcMar>
              <w:top w:w="15" w:type="dxa"/>
              <w:left w:w="15" w:type="dxa"/>
              <w:right w:w="15" w:type="dxa"/>
            </w:tcMar>
            <w:vAlign w:val="center"/>
          </w:tcPr>
          <w:p>
            <w:pPr>
              <w:jc w:val="center"/>
            </w:pPr>
            <w:r>
              <w:rPr>
                <w:rFonts w:hint="eastAsia" w:eastAsia="仿宋"/>
                <w:color w:val="000000"/>
                <w:kern w:val="0"/>
                <w:szCs w:val="21"/>
              </w:rPr>
              <w:t>11</w:t>
            </w:r>
            <w:r>
              <w:rPr>
                <w:rFonts w:eastAsia="仿宋"/>
                <w:color w:val="000000"/>
                <w:kern w:val="0"/>
                <w:szCs w:val="21"/>
              </w:rPr>
              <w:t>3</w:t>
            </w:r>
            <w:r>
              <w:rPr>
                <w:rFonts w:hint="eastAsia"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eastAsia="仿宋"/>
                <w:color w:val="000000"/>
                <w:kern w:val="0"/>
                <w:szCs w:val="21"/>
              </w:rPr>
            </w:pPr>
            <w:r>
              <w:rPr>
                <w:rFonts w:eastAsia="仿宋"/>
                <w:color w:val="000000"/>
                <w:kern w:val="0"/>
                <w:szCs w:val="21"/>
              </w:rPr>
              <w:t>-</w:t>
            </w:r>
          </w:p>
        </w:tc>
        <w:tc>
          <w:tcPr>
            <w:tcW w:w="1083" w:type="dxa"/>
            <w:tcMar>
              <w:top w:w="15" w:type="dxa"/>
              <w:left w:w="15" w:type="dxa"/>
              <w:right w:w="15" w:type="dxa"/>
            </w:tcMar>
            <w:vAlign w:val="center"/>
          </w:tcPr>
          <w:p>
            <w:pPr>
              <w:widowControl/>
              <w:spacing w:line="360" w:lineRule="auto"/>
              <w:ind w:firstLine="210" w:firstLineChars="100"/>
              <w:textAlignment w:val="bottom"/>
              <w:rPr>
                <w:rFonts w:eastAsia="仿宋"/>
                <w:color w:val="000000"/>
                <w:kern w:val="0"/>
                <w:szCs w:val="21"/>
              </w:rPr>
            </w:pPr>
            <w:r>
              <w:rPr>
                <w:rFonts w:hint="eastAsia" w:eastAsia="仿宋"/>
                <w:color w:val="000000"/>
                <w:kern w:val="0"/>
                <w:szCs w:val="21"/>
                <w:lang w:val="en-US" w:eastAsia="zh-CN"/>
              </w:rPr>
              <w:t>-</w:t>
            </w:r>
          </w:p>
        </w:tc>
        <w:tc>
          <w:tcPr>
            <w:tcW w:w="1083" w:type="dxa"/>
            <w:tcMar>
              <w:top w:w="15" w:type="dxa"/>
              <w:left w:w="15" w:type="dxa"/>
              <w:right w:w="15" w:type="dxa"/>
            </w:tcMar>
            <w:vAlign w:val="center"/>
          </w:tcPr>
          <w:p>
            <w:pPr>
              <w:jc w:val="center"/>
              <w:rPr>
                <w:rFonts w:hint="eastAsia" w:eastAsia="仿宋"/>
                <w:color w:val="000000"/>
                <w:kern w:val="0"/>
                <w:szCs w:val="21"/>
              </w:rPr>
            </w:pPr>
            <w:r>
              <w:rPr>
                <w:rFonts w:eastAsia="仿宋"/>
                <w:color w:val="000000"/>
                <w:kern w:val="0"/>
                <w:szCs w:val="21"/>
              </w:rPr>
              <w:t>107</w:t>
            </w:r>
            <w:r>
              <w:rPr>
                <w:rFonts w:hint="eastAsia" w:eastAsia="仿宋"/>
                <w:color w:val="000000"/>
                <w:kern w:val="0"/>
                <w:szCs w:val="21"/>
              </w:rPr>
              <w:t>,000.00</w:t>
            </w:r>
          </w:p>
        </w:tc>
        <w:tc>
          <w:tcPr>
            <w:tcW w:w="1084" w:type="dxa"/>
            <w:tcMar>
              <w:top w:w="15" w:type="dxa"/>
              <w:left w:w="15" w:type="dxa"/>
              <w:right w:w="15" w:type="dxa"/>
            </w:tcMar>
            <w:vAlign w:val="center"/>
          </w:tcPr>
          <w:p>
            <w:pPr>
              <w:jc w:val="center"/>
              <w:rPr>
                <w:rFonts w:hint="eastAsia" w:eastAsia="仿宋"/>
                <w:color w:val="000000"/>
                <w:kern w:val="0"/>
                <w:szCs w:val="21"/>
                <w:lang w:eastAsia="zh-CN"/>
              </w:rPr>
            </w:pPr>
            <w:r>
              <w:rPr>
                <w:rFonts w:hint="eastAsia" w:eastAsia="仿宋"/>
                <w:color w:val="000000"/>
                <w:kern w:val="0"/>
                <w:szCs w:val="21"/>
                <w:lang w:val="en-US" w:eastAsia="zh-CN"/>
              </w:rPr>
              <w:t>3,605.90</w:t>
            </w:r>
          </w:p>
        </w:tc>
        <w:tc>
          <w:tcPr>
            <w:tcW w:w="1436" w:type="dxa"/>
            <w:tcMar>
              <w:top w:w="15" w:type="dxa"/>
              <w:left w:w="15" w:type="dxa"/>
              <w:right w:w="15" w:type="dxa"/>
            </w:tcMar>
            <w:vAlign w:val="center"/>
          </w:tcPr>
          <w:p>
            <w:pPr>
              <w:jc w:val="center"/>
              <w:rPr>
                <w:rFonts w:hint="eastAsia" w:eastAsia="仿宋"/>
                <w:color w:val="000000"/>
                <w:kern w:val="0"/>
                <w:szCs w:val="21"/>
                <w:lang w:eastAsia="zh-CN"/>
              </w:rPr>
            </w:pPr>
            <w:r>
              <w:rPr>
                <w:rFonts w:hint="eastAsia" w:eastAsia="仿宋"/>
                <w:color w:val="000000"/>
                <w:kern w:val="0"/>
                <w:szCs w:val="21"/>
                <w:lang w:val="en-US" w:eastAsia="zh-CN"/>
              </w:rPr>
              <w:t>3,605.90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hint="eastAsia" w:eastAsia="仿宋"/>
                <w:bCs/>
                <w:szCs w:val="21"/>
              </w:rPr>
            </w:pPr>
            <w:r>
              <w:rPr>
                <w:rFonts w:hint="eastAsia" w:eastAsia="仿宋"/>
                <w:bCs/>
                <w:szCs w:val="21"/>
              </w:rPr>
              <w:t>2031年</w:t>
            </w:r>
          </w:p>
        </w:tc>
        <w:tc>
          <w:tcPr>
            <w:tcW w:w="1155" w:type="dxa"/>
            <w:tcMar>
              <w:top w:w="15" w:type="dxa"/>
              <w:left w:w="15" w:type="dxa"/>
              <w:right w:w="15" w:type="dxa"/>
            </w:tcMar>
            <w:vAlign w:val="center"/>
          </w:tcPr>
          <w:p>
            <w:pPr>
              <w:jc w:val="center"/>
              <w:rPr>
                <w:rFonts w:eastAsia="仿宋"/>
                <w:bCs/>
                <w:szCs w:val="21"/>
              </w:rPr>
            </w:pPr>
            <w:r>
              <w:rPr>
                <w:rFonts w:hint="eastAsia" w:eastAsia="仿宋"/>
                <w:color w:val="000000"/>
                <w:kern w:val="0"/>
                <w:szCs w:val="21"/>
              </w:rPr>
              <w:t>1</w:t>
            </w:r>
            <w:r>
              <w:rPr>
                <w:rFonts w:eastAsia="仿宋"/>
                <w:color w:val="000000"/>
                <w:kern w:val="0"/>
                <w:szCs w:val="21"/>
              </w:rPr>
              <w:t>07</w:t>
            </w:r>
            <w:r>
              <w:rPr>
                <w:rFonts w:hint="eastAsia"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hint="eastAsia" w:eastAsia="仿宋"/>
                <w:bCs/>
                <w:color w:val="000000"/>
                <w:kern w:val="0"/>
                <w:szCs w:val="21"/>
              </w:rPr>
            </w:pPr>
          </w:p>
        </w:tc>
        <w:tc>
          <w:tcPr>
            <w:tcW w:w="1083" w:type="dxa"/>
            <w:tcMar>
              <w:top w:w="15" w:type="dxa"/>
              <w:left w:w="15" w:type="dxa"/>
              <w:right w:w="15" w:type="dxa"/>
            </w:tcMar>
            <w:vAlign w:val="center"/>
          </w:tcPr>
          <w:p>
            <w:pPr>
              <w:widowControl/>
              <w:spacing w:line="360" w:lineRule="auto"/>
              <w:jc w:val="center"/>
              <w:textAlignment w:val="bottom"/>
              <w:rPr>
                <w:rFonts w:hint="eastAsia" w:eastAsia="仿宋"/>
                <w:bCs/>
                <w:color w:val="000000"/>
                <w:kern w:val="0"/>
                <w:szCs w:val="21"/>
              </w:rPr>
            </w:pPr>
            <w:r>
              <w:rPr>
                <w:rFonts w:eastAsia="仿宋"/>
                <w:color w:val="000000"/>
                <w:kern w:val="0"/>
                <w:szCs w:val="21"/>
              </w:rPr>
              <w:t>97</w:t>
            </w:r>
            <w:r>
              <w:rPr>
                <w:rFonts w:hint="eastAsia" w:eastAsia="仿宋"/>
                <w:color w:val="000000"/>
                <w:kern w:val="0"/>
                <w:szCs w:val="21"/>
              </w:rPr>
              <w:t>,000.00</w:t>
            </w:r>
          </w:p>
        </w:tc>
        <w:tc>
          <w:tcPr>
            <w:tcW w:w="1083" w:type="dxa"/>
            <w:tcMar>
              <w:top w:w="15" w:type="dxa"/>
              <w:left w:w="15" w:type="dxa"/>
              <w:right w:w="15" w:type="dxa"/>
            </w:tcMar>
            <w:vAlign w:val="center"/>
          </w:tcPr>
          <w:p>
            <w:pPr>
              <w:spacing w:line="360" w:lineRule="auto"/>
              <w:jc w:val="center"/>
              <w:rPr>
                <w:rFonts w:eastAsia="仿宋"/>
                <w:bCs/>
                <w:szCs w:val="21"/>
              </w:rPr>
            </w:pPr>
            <w:r>
              <w:rPr>
                <w:rFonts w:eastAsia="仿宋"/>
                <w:color w:val="000000"/>
                <w:kern w:val="0"/>
                <w:szCs w:val="21"/>
              </w:rPr>
              <w:t>10</w:t>
            </w:r>
            <w:r>
              <w:rPr>
                <w:rFonts w:hint="eastAsia" w:eastAsia="仿宋"/>
                <w:color w:val="000000"/>
                <w:kern w:val="0"/>
                <w:szCs w:val="21"/>
              </w:rPr>
              <w:t>,000.00</w:t>
            </w:r>
          </w:p>
        </w:tc>
        <w:tc>
          <w:tcPr>
            <w:tcW w:w="1084" w:type="dxa"/>
            <w:tcMar>
              <w:top w:w="15" w:type="dxa"/>
              <w:left w:w="15" w:type="dxa"/>
              <w:right w:w="15" w:type="dxa"/>
            </w:tcMar>
            <w:vAlign w:val="center"/>
          </w:tcPr>
          <w:p>
            <w:pPr>
              <w:widowControl/>
              <w:spacing w:line="360" w:lineRule="auto"/>
              <w:jc w:val="center"/>
              <w:textAlignment w:val="bottom"/>
              <w:rPr>
                <w:rFonts w:hint="eastAsia" w:eastAsia="仿宋"/>
                <w:bCs/>
                <w:color w:val="000000"/>
                <w:kern w:val="0"/>
                <w:szCs w:val="21"/>
                <w:lang w:eastAsia="zh-CN"/>
              </w:rPr>
            </w:pPr>
            <w:r>
              <w:rPr>
                <w:rFonts w:hint="eastAsia" w:eastAsia="仿宋"/>
                <w:color w:val="000000"/>
                <w:kern w:val="0"/>
                <w:szCs w:val="21"/>
                <w:lang w:val="en-US" w:eastAsia="zh-CN"/>
              </w:rPr>
              <w:t>3,605.90</w:t>
            </w:r>
          </w:p>
        </w:tc>
        <w:tc>
          <w:tcPr>
            <w:tcW w:w="1436" w:type="dxa"/>
            <w:tcMar>
              <w:top w:w="15" w:type="dxa"/>
              <w:left w:w="15" w:type="dxa"/>
              <w:right w:w="15" w:type="dxa"/>
            </w:tcMar>
            <w:vAlign w:val="center"/>
          </w:tcPr>
          <w:p>
            <w:pPr>
              <w:widowControl/>
              <w:spacing w:line="360" w:lineRule="auto"/>
              <w:jc w:val="center"/>
              <w:textAlignment w:val="bottom"/>
              <w:rPr>
                <w:rFonts w:hint="eastAsia" w:eastAsia="仿宋"/>
                <w:bCs/>
                <w:color w:val="000000"/>
                <w:kern w:val="0"/>
                <w:szCs w:val="21"/>
                <w:lang w:eastAsia="zh-CN"/>
              </w:rPr>
            </w:pPr>
            <w:r>
              <w:rPr>
                <w:rFonts w:hint="eastAsia" w:eastAsia="仿宋"/>
                <w:color w:val="000000"/>
                <w:kern w:val="0"/>
                <w:szCs w:val="21"/>
                <w:lang w:val="en-US" w:eastAsia="zh-CN"/>
              </w:rPr>
              <w:t>100,605.90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hint="eastAsia" w:eastAsia="仿宋"/>
                <w:bCs/>
                <w:szCs w:val="21"/>
              </w:rPr>
            </w:pPr>
            <w:r>
              <w:rPr>
                <w:rFonts w:hint="eastAsia" w:eastAsia="仿宋"/>
                <w:bCs/>
                <w:szCs w:val="21"/>
              </w:rPr>
              <w:t>2032年</w:t>
            </w:r>
          </w:p>
        </w:tc>
        <w:tc>
          <w:tcPr>
            <w:tcW w:w="1155" w:type="dxa"/>
            <w:tcMar>
              <w:top w:w="15" w:type="dxa"/>
              <w:left w:w="15" w:type="dxa"/>
              <w:right w:w="15" w:type="dxa"/>
            </w:tcMar>
            <w:vAlign w:val="center"/>
          </w:tcPr>
          <w:p>
            <w:pPr>
              <w:spacing w:line="360" w:lineRule="auto"/>
              <w:jc w:val="center"/>
              <w:rPr>
                <w:rFonts w:eastAsia="仿宋"/>
                <w:b/>
                <w:szCs w:val="21"/>
              </w:rPr>
            </w:pPr>
            <w:r>
              <w:rPr>
                <w:rFonts w:hint="eastAsia" w:eastAsia="仿宋"/>
                <w:color w:val="000000"/>
                <w:kern w:val="0"/>
                <w:szCs w:val="21"/>
              </w:rPr>
              <w:t>10,000.00</w:t>
            </w:r>
          </w:p>
        </w:tc>
        <w:tc>
          <w:tcPr>
            <w:tcW w:w="1200"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p>
        </w:tc>
        <w:tc>
          <w:tcPr>
            <w:tcW w:w="1083"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r>
              <w:rPr>
                <w:rFonts w:hint="eastAsia" w:eastAsia="仿宋"/>
                <w:color w:val="000000"/>
                <w:kern w:val="0"/>
                <w:szCs w:val="21"/>
              </w:rPr>
              <w:t>5,000.00</w:t>
            </w:r>
          </w:p>
        </w:tc>
        <w:tc>
          <w:tcPr>
            <w:tcW w:w="1083" w:type="dxa"/>
            <w:tcMar>
              <w:top w:w="15" w:type="dxa"/>
              <w:left w:w="15" w:type="dxa"/>
              <w:right w:w="15" w:type="dxa"/>
            </w:tcMar>
            <w:vAlign w:val="center"/>
          </w:tcPr>
          <w:p>
            <w:pPr>
              <w:spacing w:line="360" w:lineRule="auto"/>
              <w:jc w:val="center"/>
              <w:rPr>
                <w:rFonts w:eastAsia="仿宋"/>
                <w:b/>
                <w:szCs w:val="21"/>
              </w:rPr>
            </w:pPr>
            <w:r>
              <w:rPr>
                <w:rFonts w:eastAsia="仿宋"/>
                <w:color w:val="000000"/>
                <w:kern w:val="0"/>
                <w:szCs w:val="21"/>
              </w:rPr>
              <w:t>5</w:t>
            </w:r>
            <w:r>
              <w:rPr>
                <w:rFonts w:hint="eastAsia" w:eastAsia="仿宋"/>
                <w:color w:val="000000"/>
                <w:kern w:val="0"/>
                <w:szCs w:val="21"/>
                <w:lang w:val="en-US" w:eastAsia="zh-CN"/>
              </w:rPr>
              <w:t>,</w:t>
            </w:r>
            <w:r>
              <w:rPr>
                <w:rFonts w:eastAsia="仿宋"/>
                <w:color w:val="000000"/>
                <w:kern w:val="0"/>
                <w:szCs w:val="21"/>
              </w:rPr>
              <w:t>000.00</w:t>
            </w:r>
          </w:p>
        </w:tc>
        <w:tc>
          <w:tcPr>
            <w:tcW w:w="1084"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r>
              <w:rPr>
                <w:rFonts w:eastAsia="仿宋"/>
                <w:color w:val="000000"/>
                <w:kern w:val="0"/>
                <w:szCs w:val="21"/>
              </w:rPr>
              <w:t>3,605.</w:t>
            </w:r>
            <w:r>
              <w:rPr>
                <w:rFonts w:hint="eastAsia" w:eastAsia="仿宋"/>
                <w:color w:val="000000"/>
                <w:kern w:val="0"/>
                <w:szCs w:val="21"/>
                <w:lang w:val="en-US" w:eastAsia="zh-CN"/>
              </w:rPr>
              <w:t>90</w:t>
            </w:r>
          </w:p>
        </w:tc>
        <w:tc>
          <w:tcPr>
            <w:tcW w:w="1436"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r>
              <w:rPr>
                <w:rFonts w:eastAsia="仿宋"/>
                <w:color w:val="000000"/>
                <w:kern w:val="0"/>
                <w:szCs w:val="21"/>
              </w:rPr>
              <w:t>8,605.90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hint="eastAsia" w:eastAsia="仿宋"/>
                <w:bCs/>
                <w:szCs w:val="21"/>
              </w:rPr>
            </w:pPr>
            <w:r>
              <w:rPr>
                <w:rFonts w:hint="eastAsia" w:eastAsia="仿宋"/>
                <w:bCs/>
                <w:szCs w:val="21"/>
              </w:rPr>
              <w:t>2033年</w:t>
            </w:r>
          </w:p>
        </w:tc>
        <w:tc>
          <w:tcPr>
            <w:tcW w:w="1155" w:type="dxa"/>
            <w:tcMar>
              <w:top w:w="15" w:type="dxa"/>
              <w:left w:w="15" w:type="dxa"/>
              <w:right w:w="15" w:type="dxa"/>
            </w:tcMar>
            <w:vAlign w:val="center"/>
          </w:tcPr>
          <w:p>
            <w:pPr>
              <w:spacing w:line="360" w:lineRule="auto"/>
              <w:jc w:val="center"/>
              <w:rPr>
                <w:rFonts w:eastAsia="仿宋"/>
                <w:b/>
                <w:szCs w:val="21"/>
              </w:rPr>
            </w:pPr>
            <w:r>
              <w:rPr>
                <w:rFonts w:eastAsia="仿宋"/>
                <w:color w:val="000000"/>
                <w:kern w:val="0"/>
                <w:szCs w:val="21"/>
              </w:rPr>
              <w:t>5</w:t>
            </w:r>
            <w:r>
              <w:rPr>
                <w:rFonts w:hint="eastAsia" w:eastAsia="仿宋"/>
                <w:color w:val="000000"/>
                <w:kern w:val="0"/>
                <w:szCs w:val="21"/>
              </w:rPr>
              <w:t>,000.00</w:t>
            </w:r>
          </w:p>
        </w:tc>
        <w:tc>
          <w:tcPr>
            <w:tcW w:w="1200"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p>
        </w:tc>
        <w:tc>
          <w:tcPr>
            <w:tcW w:w="1083"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r>
              <w:rPr>
                <w:rFonts w:hint="eastAsia" w:eastAsia="仿宋"/>
                <w:color w:val="000000"/>
                <w:kern w:val="0"/>
                <w:szCs w:val="21"/>
              </w:rPr>
              <w:t>5,000.00</w:t>
            </w:r>
          </w:p>
        </w:tc>
        <w:tc>
          <w:tcPr>
            <w:tcW w:w="1083" w:type="dxa"/>
            <w:tcMar>
              <w:top w:w="15" w:type="dxa"/>
              <w:left w:w="15" w:type="dxa"/>
              <w:right w:w="15" w:type="dxa"/>
            </w:tcMar>
            <w:vAlign w:val="center"/>
          </w:tcPr>
          <w:p>
            <w:pPr>
              <w:spacing w:line="360" w:lineRule="auto"/>
              <w:jc w:val="center"/>
              <w:rPr>
                <w:rFonts w:eastAsia="仿宋"/>
                <w:b/>
                <w:szCs w:val="21"/>
              </w:rPr>
            </w:pPr>
            <w:r>
              <w:rPr>
                <w:rFonts w:eastAsia="仿宋"/>
                <w:color w:val="000000"/>
                <w:kern w:val="0"/>
                <w:szCs w:val="21"/>
              </w:rPr>
              <w:t>0</w:t>
            </w:r>
          </w:p>
        </w:tc>
        <w:tc>
          <w:tcPr>
            <w:tcW w:w="1084"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r>
              <w:rPr>
                <w:rFonts w:eastAsia="仿宋"/>
                <w:color w:val="000000"/>
                <w:kern w:val="0"/>
                <w:szCs w:val="21"/>
              </w:rPr>
              <w:t>505.50</w:t>
            </w:r>
          </w:p>
        </w:tc>
        <w:tc>
          <w:tcPr>
            <w:tcW w:w="1436"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r>
              <w:rPr>
                <w:rFonts w:eastAsia="仿宋"/>
                <w:color w:val="000000"/>
                <w:kern w:val="0"/>
                <w:szCs w:val="21"/>
              </w:rPr>
              <w:t>5,505.5</w:t>
            </w:r>
            <w:r>
              <w:rPr>
                <w:rFonts w:hint="eastAsia" w:eastAsia="仿宋"/>
                <w:color w:val="000000"/>
                <w:kern w:val="0"/>
                <w:szCs w:val="21"/>
                <w:lang w:val="en-US" w:eastAsia="zh-CN"/>
              </w:rPr>
              <w:t>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1218" w:type="dxa"/>
            <w:tcMar>
              <w:top w:w="15" w:type="dxa"/>
              <w:left w:w="15" w:type="dxa"/>
              <w:right w:w="15" w:type="dxa"/>
            </w:tcMar>
            <w:vAlign w:val="center"/>
          </w:tcPr>
          <w:p>
            <w:pPr>
              <w:widowControl/>
              <w:spacing w:line="360" w:lineRule="auto"/>
              <w:jc w:val="center"/>
              <w:textAlignment w:val="center"/>
              <w:rPr>
                <w:rFonts w:eastAsia="仿宋"/>
                <w:b/>
                <w:szCs w:val="21"/>
              </w:rPr>
            </w:pPr>
            <w:r>
              <w:rPr>
                <w:rFonts w:eastAsia="仿宋"/>
                <w:b/>
                <w:szCs w:val="21"/>
              </w:rPr>
              <w:t>合计</w:t>
            </w:r>
          </w:p>
        </w:tc>
        <w:tc>
          <w:tcPr>
            <w:tcW w:w="1155" w:type="dxa"/>
            <w:tcMar>
              <w:top w:w="15" w:type="dxa"/>
              <w:left w:w="15" w:type="dxa"/>
              <w:right w:w="15" w:type="dxa"/>
            </w:tcMar>
            <w:vAlign w:val="center"/>
          </w:tcPr>
          <w:p>
            <w:pPr>
              <w:spacing w:line="360" w:lineRule="auto"/>
              <w:jc w:val="center"/>
              <w:rPr>
                <w:rFonts w:hint="eastAsia" w:eastAsia="仿宋"/>
                <w:b/>
                <w:szCs w:val="21"/>
              </w:rPr>
            </w:pPr>
            <w:r>
              <w:rPr>
                <w:rFonts w:hint="eastAsia" w:eastAsia="仿宋"/>
                <w:b/>
                <w:szCs w:val="21"/>
              </w:rPr>
              <w:t>-</w:t>
            </w:r>
          </w:p>
        </w:tc>
        <w:tc>
          <w:tcPr>
            <w:tcW w:w="1200"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r>
              <w:rPr>
                <w:rFonts w:hint="eastAsia" w:eastAsia="仿宋"/>
                <w:b/>
                <w:color w:val="000000"/>
                <w:kern w:val="0"/>
                <w:szCs w:val="21"/>
              </w:rPr>
              <w:t>11</w:t>
            </w:r>
            <w:r>
              <w:rPr>
                <w:rFonts w:eastAsia="仿宋"/>
                <w:b/>
                <w:color w:val="000000"/>
                <w:kern w:val="0"/>
                <w:szCs w:val="21"/>
              </w:rPr>
              <w:t>3</w:t>
            </w:r>
            <w:r>
              <w:rPr>
                <w:rFonts w:hint="eastAsia" w:eastAsia="仿宋"/>
                <w:b/>
                <w:color w:val="000000"/>
                <w:kern w:val="0"/>
                <w:szCs w:val="21"/>
              </w:rPr>
              <w:t>,000.00</w:t>
            </w:r>
          </w:p>
        </w:tc>
        <w:tc>
          <w:tcPr>
            <w:tcW w:w="1083"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r>
              <w:rPr>
                <w:rFonts w:hint="eastAsia" w:eastAsia="仿宋"/>
                <w:b/>
                <w:color w:val="000000"/>
                <w:kern w:val="0"/>
                <w:szCs w:val="21"/>
              </w:rPr>
              <w:t>11</w:t>
            </w:r>
            <w:r>
              <w:rPr>
                <w:rFonts w:eastAsia="仿宋"/>
                <w:b/>
                <w:color w:val="000000"/>
                <w:kern w:val="0"/>
                <w:szCs w:val="21"/>
              </w:rPr>
              <w:t>3</w:t>
            </w:r>
            <w:r>
              <w:rPr>
                <w:rFonts w:hint="eastAsia" w:eastAsia="仿宋"/>
                <w:b/>
                <w:color w:val="000000"/>
                <w:kern w:val="0"/>
                <w:szCs w:val="21"/>
              </w:rPr>
              <w:t>,000.00</w:t>
            </w:r>
          </w:p>
        </w:tc>
        <w:tc>
          <w:tcPr>
            <w:tcW w:w="1083" w:type="dxa"/>
            <w:tcMar>
              <w:top w:w="15" w:type="dxa"/>
              <w:left w:w="15" w:type="dxa"/>
              <w:right w:w="15" w:type="dxa"/>
            </w:tcMar>
            <w:vAlign w:val="center"/>
          </w:tcPr>
          <w:p>
            <w:pPr>
              <w:spacing w:line="360" w:lineRule="auto"/>
              <w:jc w:val="center"/>
              <w:rPr>
                <w:rFonts w:hint="eastAsia" w:eastAsia="仿宋"/>
                <w:b/>
                <w:szCs w:val="21"/>
              </w:rPr>
            </w:pPr>
            <w:r>
              <w:rPr>
                <w:rFonts w:hint="eastAsia" w:eastAsia="仿宋"/>
                <w:b/>
                <w:szCs w:val="21"/>
              </w:rPr>
              <w:t>-</w:t>
            </w:r>
          </w:p>
        </w:tc>
        <w:tc>
          <w:tcPr>
            <w:tcW w:w="1084"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r>
              <w:rPr>
                <w:rFonts w:eastAsia="仿宋"/>
                <w:b/>
                <w:color w:val="000000"/>
                <w:kern w:val="0"/>
                <w:szCs w:val="21"/>
              </w:rPr>
              <w:t>41</w:t>
            </w:r>
            <w:r>
              <w:rPr>
                <w:rFonts w:hint="eastAsia" w:eastAsia="仿宋"/>
                <w:b/>
                <w:color w:val="000000"/>
                <w:kern w:val="0"/>
                <w:szCs w:val="21"/>
              </w:rPr>
              <w:t>,</w:t>
            </w:r>
            <w:r>
              <w:rPr>
                <w:rFonts w:hint="eastAsia" w:eastAsia="仿宋"/>
                <w:b/>
                <w:color w:val="000000"/>
                <w:kern w:val="0"/>
                <w:szCs w:val="21"/>
                <w:lang w:val="en-US" w:eastAsia="zh-CN"/>
              </w:rPr>
              <w:t>686.90</w:t>
            </w:r>
          </w:p>
        </w:tc>
        <w:tc>
          <w:tcPr>
            <w:tcW w:w="1436" w:type="dxa"/>
            <w:tcMar>
              <w:top w:w="15" w:type="dxa"/>
              <w:left w:w="15" w:type="dxa"/>
              <w:right w:w="15" w:type="dxa"/>
            </w:tcMar>
            <w:vAlign w:val="center"/>
          </w:tcPr>
          <w:p>
            <w:pPr>
              <w:widowControl/>
              <w:spacing w:line="360" w:lineRule="auto"/>
              <w:jc w:val="center"/>
              <w:textAlignment w:val="bottom"/>
              <w:rPr>
                <w:rFonts w:hint="eastAsia" w:eastAsia="仿宋"/>
                <w:b/>
                <w:color w:val="000000"/>
                <w:kern w:val="0"/>
                <w:szCs w:val="21"/>
              </w:rPr>
            </w:pPr>
            <w:r>
              <w:rPr>
                <w:rFonts w:eastAsia="仿宋"/>
                <w:b/>
                <w:color w:val="000000"/>
                <w:kern w:val="0"/>
                <w:szCs w:val="21"/>
              </w:rPr>
              <w:t>154</w:t>
            </w:r>
            <w:r>
              <w:rPr>
                <w:rFonts w:hint="eastAsia" w:eastAsia="仿宋"/>
                <w:b/>
                <w:color w:val="000000"/>
                <w:kern w:val="0"/>
                <w:szCs w:val="21"/>
              </w:rPr>
              <w:t>,</w:t>
            </w:r>
            <w:r>
              <w:rPr>
                <w:rFonts w:hint="eastAsia" w:eastAsia="仿宋"/>
                <w:b/>
                <w:color w:val="000000"/>
                <w:kern w:val="0"/>
                <w:szCs w:val="21"/>
                <w:lang w:val="en-US" w:eastAsia="zh-CN"/>
              </w:rPr>
              <w:t>686.90</w:t>
            </w:r>
          </w:p>
        </w:tc>
      </w:tr>
    </w:tbl>
    <w:p>
      <w:pPr>
        <w:pageBreakBefore w:val="0"/>
        <w:kinsoku/>
        <w:overflowPunct/>
        <w:topLinePunct w:val="0"/>
        <w:autoSpaceDE/>
        <w:autoSpaceDN/>
        <w:bidi w:val="0"/>
        <w:spacing w:line="360" w:lineRule="auto"/>
        <w:jc w:val="both"/>
        <w:rPr>
          <w:rFonts w:hint="eastAsia" w:ascii="仿宋" w:hAnsi="仿宋" w:eastAsia="仿宋" w:cs="仿宋"/>
          <w:b/>
          <w:sz w:val="28"/>
          <w:szCs w:val="28"/>
        </w:rPr>
      </w:pPr>
    </w:p>
    <w:p>
      <w:pPr>
        <w:pStyle w:val="6"/>
        <w:pageBreakBefore w:val="0"/>
        <w:kinsoku/>
        <w:overflowPunct/>
        <w:topLinePunct w:val="0"/>
        <w:autoSpaceDE/>
        <w:autoSpaceDN/>
        <w:bidi w:val="0"/>
        <w:spacing w:line="360" w:lineRule="auto"/>
        <w:ind w:firstLine="562" w:firstLineChars="200"/>
        <w:rPr>
          <w:rFonts w:hint="eastAsia" w:ascii="仿宋" w:hAnsi="仿宋" w:eastAsia="仿宋" w:cs="仿宋"/>
        </w:rPr>
      </w:pPr>
      <w:r>
        <w:rPr>
          <w:rFonts w:hint="eastAsia" w:ascii="仿宋" w:hAnsi="仿宋" w:eastAsia="仿宋" w:cs="仿宋"/>
        </w:rPr>
        <w:t>（3）自求平衡情况</w:t>
      </w:r>
    </w:p>
    <w:p>
      <w:pPr>
        <w:pageBreakBefore w:val="0"/>
        <w:kinsoku/>
        <w:overflowPunct/>
        <w:topLinePunct w:val="0"/>
        <w:autoSpaceDE/>
        <w:autoSpaceDN/>
        <w:bidi w:val="0"/>
        <w:spacing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rPr>
        <w:t>根据项目产生的现金流收入与资金使用计划分析结果，</w:t>
      </w:r>
      <w:r>
        <w:rPr>
          <w:rFonts w:hint="eastAsia" w:eastAsia="仿宋"/>
          <w:sz w:val="28"/>
          <w:szCs w:val="28"/>
        </w:rPr>
        <w:t>古雷石化园区电力管廊及</w:t>
      </w:r>
      <w:r>
        <w:rPr>
          <w:rFonts w:hint="eastAsia" w:eastAsia="仿宋"/>
          <w:sz w:val="28"/>
          <w:szCs w:val="28"/>
          <w:lang w:eastAsia="zh-CN"/>
        </w:rPr>
        <w:t>公共</w:t>
      </w:r>
      <w:r>
        <w:rPr>
          <w:rFonts w:hint="eastAsia" w:eastAsia="仿宋"/>
          <w:sz w:val="28"/>
          <w:szCs w:val="28"/>
        </w:rPr>
        <w:t>配套</w:t>
      </w:r>
      <w:r>
        <w:rPr>
          <w:rFonts w:hint="eastAsia" w:ascii="仿宋" w:hAnsi="仿宋" w:eastAsia="仿宋" w:cs="仿宋"/>
          <w:sz w:val="28"/>
          <w:szCs w:val="28"/>
        </w:rPr>
        <w:t>项目债券资金覆盖率可以达到</w:t>
      </w:r>
      <w:r>
        <w:rPr>
          <w:rFonts w:hint="eastAsia" w:ascii="仿宋" w:hAnsi="仿宋" w:eastAsia="仿宋" w:cs="仿宋"/>
          <w:sz w:val="28"/>
          <w:szCs w:val="28"/>
          <w:lang w:val="en-US" w:eastAsia="zh-CN"/>
        </w:rPr>
        <w:t>1.35</w:t>
      </w:r>
      <w:r>
        <w:rPr>
          <w:rFonts w:hint="eastAsia" w:ascii="仿宋" w:hAnsi="仿宋" w:eastAsia="仿宋" w:cs="仿宋"/>
          <w:sz w:val="28"/>
          <w:szCs w:val="28"/>
        </w:rPr>
        <w:t>倍。</w:t>
      </w:r>
    </w:p>
    <w:p>
      <w:pPr>
        <w:autoSpaceDE w:val="0"/>
        <w:autoSpaceDN w:val="0"/>
        <w:adjustRightInd w:val="0"/>
        <w:spacing w:line="360" w:lineRule="auto"/>
        <w:ind w:firstLine="560" w:firstLineChars="200"/>
        <w:rPr>
          <w:rFonts w:ascii="仿宋" w:hAnsi="仿宋" w:eastAsia="仿宋" w:cs="Times New Roman"/>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E36D6"/>
    <w:multiLevelType w:val="singleLevel"/>
    <w:tmpl w:val="5C8E36D6"/>
    <w:lvl w:ilvl="0" w:tentative="0">
      <w:start w:val="1"/>
      <w:numFmt w:val="chineseCounting"/>
      <w:suff w:val="nothing"/>
      <w:lvlText w:val="%1、"/>
      <w:lvlJc w:val="left"/>
      <w:rPr>
        <w:rFonts w:hint="eastAsia"/>
      </w:rPr>
    </w:lvl>
  </w:abstractNum>
  <w:abstractNum w:abstractNumId="1">
    <w:nsid w:val="5F520B1B"/>
    <w:multiLevelType w:val="singleLevel"/>
    <w:tmpl w:val="5F520B1B"/>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D10D3"/>
    <w:rsid w:val="00576EA1"/>
    <w:rsid w:val="00F04E9C"/>
    <w:rsid w:val="01DE12C3"/>
    <w:rsid w:val="022658C8"/>
    <w:rsid w:val="022C544B"/>
    <w:rsid w:val="028349D2"/>
    <w:rsid w:val="03FE6D65"/>
    <w:rsid w:val="047D04AD"/>
    <w:rsid w:val="04D95E82"/>
    <w:rsid w:val="056D3CA4"/>
    <w:rsid w:val="0618323B"/>
    <w:rsid w:val="065C0C58"/>
    <w:rsid w:val="0688110A"/>
    <w:rsid w:val="07DE44B8"/>
    <w:rsid w:val="082258B2"/>
    <w:rsid w:val="08426F70"/>
    <w:rsid w:val="09667150"/>
    <w:rsid w:val="0AA53E6B"/>
    <w:rsid w:val="0AFB366C"/>
    <w:rsid w:val="0B8905A9"/>
    <w:rsid w:val="0B9231B1"/>
    <w:rsid w:val="0BA96A77"/>
    <w:rsid w:val="0BF3226D"/>
    <w:rsid w:val="0C441EA1"/>
    <w:rsid w:val="0C934A5C"/>
    <w:rsid w:val="0CA27E58"/>
    <w:rsid w:val="0DE95381"/>
    <w:rsid w:val="0E01710F"/>
    <w:rsid w:val="0E595EE9"/>
    <w:rsid w:val="0FA61B57"/>
    <w:rsid w:val="106B2527"/>
    <w:rsid w:val="110A1860"/>
    <w:rsid w:val="119B620B"/>
    <w:rsid w:val="11B52B12"/>
    <w:rsid w:val="12FC1ECF"/>
    <w:rsid w:val="131F2B86"/>
    <w:rsid w:val="13220859"/>
    <w:rsid w:val="143A2759"/>
    <w:rsid w:val="14976C20"/>
    <w:rsid w:val="16BE0F1A"/>
    <w:rsid w:val="171C131B"/>
    <w:rsid w:val="17911AA3"/>
    <w:rsid w:val="18764DBC"/>
    <w:rsid w:val="19772039"/>
    <w:rsid w:val="1AE42977"/>
    <w:rsid w:val="1B4B144F"/>
    <w:rsid w:val="1B8C401B"/>
    <w:rsid w:val="1BF24344"/>
    <w:rsid w:val="1CCF228D"/>
    <w:rsid w:val="1D04313D"/>
    <w:rsid w:val="1DB26B4D"/>
    <w:rsid w:val="1DEF620E"/>
    <w:rsid w:val="1E522DB7"/>
    <w:rsid w:val="1E7C295A"/>
    <w:rsid w:val="1E8A7BDC"/>
    <w:rsid w:val="1EE716F0"/>
    <w:rsid w:val="1FAC608A"/>
    <w:rsid w:val="201D4824"/>
    <w:rsid w:val="20712A57"/>
    <w:rsid w:val="21190452"/>
    <w:rsid w:val="212F2EC8"/>
    <w:rsid w:val="214F0018"/>
    <w:rsid w:val="22AE79ED"/>
    <w:rsid w:val="22F7114B"/>
    <w:rsid w:val="23840109"/>
    <w:rsid w:val="23904158"/>
    <w:rsid w:val="2483086D"/>
    <w:rsid w:val="26B74498"/>
    <w:rsid w:val="282C77F4"/>
    <w:rsid w:val="28914F9A"/>
    <w:rsid w:val="28D874C0"/>
    <w:rsid w:val="295071B6"/>
    <w:rsid w:val="2955713E"/>
    <w:rsid w:val="2A895F68"/>
    <w:rsid w:val="2B6A4792"/>
    <w:rsid w:val="2B853402"/>
    <w:rsid w:val="2C1845BC"/>
    <w:rsid w:val="2D0679C1"/>
    <w:rsid w:val="2D20616F"/>
    <w:rsid w:val="2E9935F9"/>
    <w:rsid w:val="2EA5000D"/>
    <w:rsid w:val="2EE069B0"/>
    <w:rsid w:val="2F9F4400"/>
    <w:rsid w:val="3031025F"/>
    <w:rsid w:val="30352DA6"/>
    <w:rsid w:val="3044684F"/>
    <w:rsid w:val="30711F8C"/>
    <w:rsid w:val="307A0E8D"/>
    <w:rsid w:val="30974584"/>
    <w:rsid w:val="318C42C5"/>
    <w:rsid w:val="31A22D44"/>
    <w:rsid w:val="326B5628"/>
    <w:rsid w:val="32CE4D82"/>
    <w:rsid w:val="333551CD"/>
    <w:rsid w:val="335E147C"/>
    <w:rsid w:val="33866364"/>
    <w:rsid w:val="33921C9D"/>
    <w:rsid w:val="33F46944"/>
    <w:rsid w:val="34E92513"/>
    <w:rsid w:val="35B017E3"/>
    <w:rsid w:val="35E81CFF"/>
    <w:rsid w:val="36562F6C"/>
    <w:rsid w:val="36B1450C"/>
    <w:rsid w:val="370C789B"/>
    <w:rsid w:val="370E040A"/>
    <w:rsid w:val="37480D09"/>
    <w:rsid w:val="386F4570"/>
    <w:rsid w:val="390D3771"/>
    <w:rsid w:val="3964442C"/>
    <w:rsid w:val="39B4664B"/>
    <w:rsid w:val="39DB51C5"/>
    <w:rsid w:val="39F8415B"/>
    <w:rsid w:val="3AEF152F"/>
    <w:rsid w:val="3B8213C5"/>
    <w:rsid w:val="3BE33B3A"/>
    <w:rsid w:val="3C457B46"/>
    <w:rsid w:val="3CA92DEF"/>
    <w:rsid w:val="3D271373"/>
    <w:rsid w:val="3D4C4EC0"/>
    <w:rsid w:val="3D6257B2"/>
    <w:rsid w:val="3D9924C6"/>
    <w:rsid w:val="3DAF7041"/>
    <w:rsid w:val="3DF042CA"/>
    <w:rsid w:val="3EC77403"/>
    <w:rsid w:val="3FF67AF5"/>
    <w:rsid w:val="40985C56"/>
    <w:rsid w:val="41132365"/>
    <w:rsid w:val="411E0829"/>
    <w:rsid w:val="417A6FB0"/>
    <w:rsid w:val="41A25EA7"/>
    <w:rsid w:val="42897535"/>
    <w:rsid w:val="42A17EC8"/>
    <w:rsid w:val="441F21FC"/>
    <w:rsid w:val="44961B32"/>
    <w:rsid w:val="449F51CC"/>
    <w:rsid w:val="453B4E19"/>
    <w:rsid w:val="45496BDF"/>
    <w:rsid w:val="457121FB"/>
    <w:rsid w:val="45B374C4"/>
    <w:rsid w:val="46B02562"/>
    <w:rsid w:val="476B698D"/>
    <w:rsid w:val="480E3F5E"/>
    <w:rsid w:val="48314704"/>
    <w:rsid w:val="48753773"/>
    <w:rsid w:val="49623402"/>
    <w:rsid w:val="4964766D"/>
    <w:rsid w:val="49A130DD"/>
    <w:rsid w:val="49ED48D1"/>
    <w:rsid w:val="4A1C4DA4"/>
    <w:rsid w:val="4ABD7A24"/>
    <w:rsid w:val="4ACC0415"/>
    <w:rsid w:val="4B520BE9"/>
    <w:rsid w:val="4C9D10D3"/>
    <w:rsid w:val="4D3B0F5E"/>
    <w:rsid w:val="4DDD13B4"/>
    <w:rsid w:val="4F554C2F"/>
    <w:rsid w:val="50274F87"/>
    <w:rsid w:val="50FE34C3"/>
    <w:rsid w:val="511D5114"/>
    <w:rsid w:val="51606CA9"/>
    <w:rsid w:val="5167281C"/>
    <w:rsid w:val="523E4360"/>
    <w:rsid w:val="524A4ABC"/>
    <w:rsid w:val="52CC5729"/>
    <w:rsid w:val="5350210E"/>
    <w:rsid w:val="53BB0722"/>
    <w:rsid w:val="53DB05D4"/>
    <w:rsid w:val="54507013"/>
    <w:rsid w:val="54683DF6"/>
    <w:rsid w:val="54E60C10"/>
    <w:rsid w:val="55333D48"/>
    <w:rsid w:val="55843BB7"/>
    <w:rsid w:val="558C04E7"/>
    <w:rsid w:val="566D47D8"/>
    <w:rsid w:val="56D21F7E"/>
    <w:rsid w:val="589C1AE6"/>
    <w:rsid w:val="58EC1177"/>
    <w:rsid w:val="5BAE1678"/>
    <w:rsid w:val="5BCD069C"/>
    <w:rsid w:val="5C1E55A8"/>
    <w:rsid w:val="5D145734"/>
    <w:rsid w:val="5DC12FE5"/>
    <w:rsid w:val="5E1B7122"/>
    <w:rsid w:val="5EDB7844"/>
    <w:rsid w:val="5EE803C5"/>
    <w:rsid w:val="5F1651FF"/>
    <w:rsid w:val="5F402C0F"/>
    <w:rsid w:val="600B3D39"/>
    <w:rsid w:val="6028139F"/>
    <w:rsid w:val="61363EB7"/>
    <w:rsid w:val="61684EAD"/>
    <w:rsid w:val="6179152B"/>
    <w:rsid w:val="61EC223F"/>
    <w:rsid w:val="63551D52"/>
    <w:rsid w:val="63567D17"/>
    <w:rsid w:val="64872265"/>
    <w:rsid w:val="649B0A2B"/>
    <w:rsid w:val="65483335"/>
    <w:rsid w:val="65570823"/>
    <w:rsid w:val="656E3354"/>
    <w:rsid w:val="66230F04"/>
    <w:rsid w:val="66EB47C0"/>
    <w:rsid w:val="670E2574"/>
    <w:rsid w:val="67D7351A"/>
    <w:rsid w:val="67F02B8F"/>
    <w:rsid w:val="68431F41"/>
    <w:rsid w:val="686A4606"/>
    <w:rsid w:val="68704730"/>
    <w:rsid w:val="69071A50"/>
    <w:rsid w:val="69B41F22"/>
    <w:rsid w:val="6AA448CD"/>
    <w:rsid w:val="6B2D3F4D"/>
    <w:rsid w:val="6BE32086"/>
    <w:rsid w:val="6C267AD2"/>
    <w:rsid w:val="6CA44743"/>
    <w:rsid w:val="6DEB66A7"/>
    <w:rsid w:val="6E0671F9"/>
    <w:rsid w:val="6E65219F"/>
    <w:rsid w:val="6E8707E7"/>
    <w:rsid w:val="6F7D0430"/>
    <w:rsid w:val="70647257"/>
    <w:rsid w:val="70710F00"/>
    <w:rsid w:val="70F1092D"/>
    <w:rsid w:val="71133070"/>
    <w:rsid w:val="712F39CF"/>
    <w:rsid w:val="727B0F32"/>
    <w:rsid w:val="735009E5"/>
    <w:rsid w:val="73E15481"/>
    <w:rsid w:val="746E171C"/>
    <w:rsid w:val="750528C1"/>
    <w:rsid w:val="75111D25"/>
    <w:rsid w:val="759C21B8"/>
    <w:rsid w:val="75CD6B2E"/>
    <w:rsid w:val="76500F61"/>
    <w:rsid w:val="77080B72"/>
    <w:rsid w:val="774C0B41"/>
    <w:rsid w:val="777B1D21"/>
    <w:rsid w:val="77C94FF6"/>
    <w:rsid w:val="77CA0C36"/>
    <w:rsid w:val="77D926A6"/>
    <w:rsid w:val="79C21CB1"/>
    <w:rsid w:val="79D61B3B"/>
    <w:rsid w:val="7A112B75"/>
    <w:rsid w:val="7A51651F"/>
    <w:rsid w:val="7A5C3AE6"/>
    <w:rsid w:val="7BB50B83"/>
    <w:rsid w:val="7BD44938"/>
    <w:rsid w:val="7C187C89"/>
    <w:rsid w:val="7C6E69F6"/>
    <w:rsid w:val="7D4B3FCA"/>
    <w:rsid w:val="7DA038A7"/>
    <w:rsid w:val="7DB24C8E"/>
    <w:rsid w:val="7E083D39"/>
    <w:rsid w:val="7E2D5FBD"/>
    <w:rsid w:val="7E5D6755"/>
    <w:rsid w:val="7E962FC5"/>
    <w:rsid w:val="7F9E3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120" w:after="120"/>
      <w:jc w:val="left"/>
      <w:outlineLvl w:val="0"/>
    </w:pPr>
    <w:rPr>
      <w:rFonts w:ascii="Times New Roman" w:hAnsi="Times New Roman" w:eastAsia="仿宋"/>
      <w:b/>
      <w:bCs/>
      <w:kern w:val="44"/>
      <w:sz w:val="28"/>
      <w:szCs w:val="44"/>
    </w:rPr>
  </w:style>
  <w:style w:type="paragraph" w:styleId="4">
    <w:name w:val="heading 2"/>
    <w:basedOn w:val="1"/>
    <w:next w:val="5"/>
    <w:unhideWhenUsed/>
    <w:qFormat/>
    <w:uiPriority w:val="9"/>
    <w:pPr>
      <w:keepNext/>
      <w:keepLines/>
      <w:spacing w:before="120" w:after="120"/>
      <w:outlineLvl w:val="1"/>
    </w:pPr>
    <w:rPr>
      <w:rFonts w:ascii="Arial" w:hAnsi="Arial" w:eastAsia="仿宋"/>
      <w:b/>
      <w:sz w:val="28"/>
      <w:szCs w:val="20"/>
    </w:rPr>
  </w:style>
  <w:style w:type="paragraph" w:styleId="2">
    <w:name w:val="heading 3"/>
    <w:basedOn w:val="1"/>
    <w:next w:val="1"/>
    <w:unhideWhenUsed/>
    <w:qFormat/>
    <w:uiPriority w:val="9"/>
    <w:pPr>
      <w:keepNext/>
      <w:keepLines/>
      <w:outlineLvl w:val="2"/>
    </w:pPr>
    <w:rPr>
      <w:rFonts w:ascii="Times New Roman" w:hAnsi="Times New Roman" w:eastAsia="仿宋"/>
      <w:b/>
      <w:bCs/>
      <w:sz w:val="28"/>
      <w:szCs w:val="32"/>
    </w:rPr>
  </w:style>
  <w:style w:type="paragraph" w:styleId="6">
    <w:name w:val="heading 4"/>
    <w:basedOn w:val="1"/>
    <w:next w:val="1"/>
    <w:unhideWhenUsed/>
    <w:qFormat/>
    <w:uiPriority w:val="9"/>
    <w:pPr>
      <w:keepNext/>
      <w:keepLines/>
      <w:outlineLvl w:val="3"/>
    </w:pPr>
    <w:rPr>
      <w:rFonts w:ascii="Arial" w:hAnsi="Arial" w:eastAsia="仿宋"/>
      <w:b/>
      <w:bCs/>
      <w:sz w:val="28"/>
      <w:szCs w:val="28"/>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5">
    <w:name w:val="Normal Indent"/>
    <w:basedOn w:val="1"/>
    <w:unhideWhenUsed/>
    <w:qFormat/>
    <w:uiPriority w:val="99"/>
    <w:pPr>
      <w:ind w:firstLine="420" w:firstLineChars="200"/>
    </w:pPr>
  </w:style>
  <w:style w:type="paragraph" w:styleId="7">
    <w:name w:val="footer"/>
    <w:basedOn w:val="1"/>
    <w:unhideWhenUsed/>
    <w:qFormat/>
    <w:uiPriority w:val="99"/>
    <w:pPr>
      <w:tabs>
        <w:tab w:val="center" w:pos="4153"/>
        <w:tab w:val="right" w:pos="8306"/>
      </w:tabs>
      <w:snapToGrid w:val="0"/>
      <w:jc w:val="left"/>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a正文"/>
    <w:basedOn w:val="1"/>
    <w:qFormat/>
    <w:uiPriority w:val="0"/>
    <w:pPr>
      <w:spacing w:line="560" w:lineRule="exact"/>
      <w:ind w:firstLine="200" w:firstLineChars="200"/>
      <w:jc w:val="left"/>
    </w:pPr>
    <w:rPr>
      <w:rFonts w:eastAsia="仿宋"/>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2020-05-05T04:42:00Z</dcterms:created>
  <dc:creator>FZ09259566</dc:creator>
  <cp:lastModifiedBy>陈强</cp:lastModifiedBy>
  <dcterms:modified xsi:type="dcterms:W3CDTF">2020-11-18T06:42:39Z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