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2020年福建省政府专项债券（</w:t>
      </w:r>
      <w:r>
        <w:rPr>
          <w:rFonts w:hint="eastAsia" w:ascii="仿宋" w:hAnsi="仿宋" w:eastAsia="仿宋" w:cs="仿宋"/>
          <w:b/>
          <w:sz w:val="32"/>
          <w:szCs w:val="32"/>
          <w:lang w:eastAsia="zh-CN"/>
        </w:rPr>
        <w:t>三</w:t>
      </w:r>
      <w:r>
        <w:rPr>
          <w:rFonts w:hint="eastAsia" w:ascii="仿宋" w:hAnsi="仿宋" w:eastAsia="仿宋" w:cs="仿宋"/>
          <w:b/>
          <w:sz w:val="32"/>
          <w:szCs w:val="32"/>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之莆田市项目调整情况说明</w:t>
      </w:r>
    </w:p>
    <w:p>
      <w:pPr>
        <w:spacing w:line="360" w:lineRule="auto"/>
        <w:rPr>
          <w:rFonts w:ascii="仿宋" w:hAnsi="仿宋" w:eastAsia="仿宋" w:cs="仿宋"/>
          <w:sz w:val="28"/>
          <w:szCs w:val="28"/>
        </w:rPr>
      </w:pPr>
    </w:p>
    <w:p>
      <w:pPr>
        <w:spacing w:line="360" w:lineRule="auto"/>
        <w:ind w:firstLine="560" w:firstLineChars="200"/>
        <w:rPr>
          <w:rFonts w:hint="default" w:ascii="仿宋" w:hAnsi="仿宋" w:eastAsia="仿宋" w:cs="仿宋"/>
          <w:sz w:val="28"/>
          <w:szCs w:val="28"/>
          <w:lang w:val="en-US"/>
        </w:rPr>
      </w:pPr>
      <w:r>
        <w:rPr>
          <w:rFonts w:hint="eastAsia" w:ascii="仿宋" w:hAnsi="仿宋" w:eastAsia="仿宋" w:cs="仿宋"/>
          <w:sz w:val="28"/>
          <w:szCs w:val="28"/>
        </w:rPr>
        <w:t>2020年福建省政府专项债券（</w:t>
      </w:r>
      <w:r>
        <w:rPr>
          <w:rFonts w:hint="eastAsia" w:ascii="仿宋" w:hAnsi="仿宋" w:eastAsia="仿宋" w:cs="仿宋"/>
          <w:sz w:val="28"/>
          <w:szCs w:val="28"/>
          <w:lang w:eastAsia="zh-CN"/>
        </w:rPr>
        <w:t>三</w:t>
      </w:r>
      <w:r>
        <w:rPr>
          <w:rFonts w:hint="eastAsia" w:ascii="仿宋" w:hAnsi="仿宋" w:eastAsia="仿宋" w:cs="仿宋"/>
          <w:sz w:val="28"/>
          <w:szCs w:val="28"/>
        </w:rPr>
        <w:t>期）</w:t>
      </w:r>
      <w:r>
        <w:rPr>
          <w:rFonts w:hint="eastAsia" w:ascii="仿宋" w:hAnsi="仿宋" w:eastAsia="仿宋" w:cs="仿宋"/>
          <w:sz w:val="28"/>
          <w:szCs w:val="28"/>
          <w:lang w:val="en-US" w:eastAsia="zh-CN"/>
        </w:rPr>
        <w:t>中“福厦铁路客运专线项目”已</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债券金额13.34</w:t>
      </w:r>
      <w:r>
        <w:rPr>
          <w:rFonts w:hint="eastAsia" w:ascii="仿宋" w:hAnsi="仿宋" w:eastAsia="仿宋" w:cs="仿宋"/>
          <w:sz w:val="28"/>
          <w:szCs w:val="28"/>
        </w:rPr>
        <w:t>亿元，期限</w:t>
      </w:r>
      <w:r>
        <w:rPr>
          <w:rFonts w:hint="eastAsia" w:ascii="仿宋" w:hAnsi="仿宋" w:eastAsia="仿宋" w:cs="仿宋"/>
          <w:sz w:val="28"/>
          <w:szCs w:val="28"/>
          <w:lang w:val="en-US" w:eastAsia="zh-CN"/>
        </w:rPr>
        <w:t>20</w:t>
      </w:r>
      <w:r>
        <w:rPr>
          <w:rFonts w:hint="eastAsia" w:ascii="仿宋" w:hAnsi="仿宋" w:eastAsia="仿宋" w:cs="仿宋"/>
          <w:sz w:val="28"/>
          <w:szCs w:val="28"/>
        </w:rPr>
        <w:t>年，</w:t>
      </w:r>
      <w:r>
        <w:rPr>
          <w:rFonts w:hint="eastAsia" w:ascii="仿宋" w:hAnsi="仿宋" w:eastAsia="仿宋" w:cs="仿宋"/>
          <w:sz w:val="28"/>
          <w:szCs w:val="28"/>
          <w:lang w:val="en-US" w:eastAsia="zh-CN"/>
        </w:rPr>
        <w:t>因年内难以形成实物工作量原因，故将“福厦铁路客运专线项目”1.30亿元调整用于“沈海高速涵江互通及接线工程（涵江三江口至秀屿西徐段）”项目。</w:t>
      </w:r>
    </w:p>
    <w:p>
      <w:pPr>
        <w:pStyle w:val="2"/>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16"/>
        <w:tblW w:w="9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897"/>
        <w:gridCol w:w="1481"/>
        <w:gridCol w:w="147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897"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481"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147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2020年福建省政府专项债券（</w:t>
            </w:r>
            <w:r>
              <w:rPr>
                <w:rFonts w:hint="eastAsia" w:ascii="仿宋" w:hAnsi="仿宋" w:eastAsia="仿宋" w:cs="仿宋"/>
                <w:sz w:val="24"/>
                <w:szCs w:val="24"/>
                <w:lang w:val="en-US" w:eastAsia="zh-CN"/>
              </w:rPr>
              <w:t>三</w:t>
            </w:r>
            <w:bookmarkStart w:id="3" w:name="_GoBack"/>
            <w:bookmarkEnd w:id="3"/>
            <w:r>
              <w:rPr>
                <w:rFonts w:hint="default" w:ascii="仿宋" w:hAnsi="仿宋" w:eastAsia="仿宋" w:cs="仿宋"/>
                <w:sz w:val="24"/>
                <w:szCs w:val="24"/>
                <w:lang w:val="en-US" w:eastAsia="zh-CN"/>
              </w:rPr>
              <w:t>期）</w:t>
            </w:r>
          </w:p>
          <w:p>
            <w:pPr>
              <w:widowControl/>
              <w:jc w:val="left"/>
              <w:textAlignment w:val="center"/>
              <w:rPr>
                <w:rFonts w:hint="default" w:ascii="仿宋" w:hAnsi="仿宋" w:eastAsia="仿宋" w:cs="仿宋"/>
                <w:sz w:val="24"/>
                <w:szCs w:val="24"/>
                <w:lang w:val="en-US" w:eastAsia="zh-CN"/>
              </w:rPr>
            </w:pPr>
          </w:p>
        </w:tc>
        <w:tc>
          <w:tcPr>
            <w:tcW w:w="1065"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8"/>
                <w:szCs w:val="28"/>
                <w:lang w:val="en-US" w:eastAsia="zh-CN"/>
              </w:rPr>
              <w:t>福厦铁路客运专线</w:t>
            </w:r>
          </w:p>
        </w:tc>
        <w:tc>
          <w:tcPr>
            <w:tcW w:w="1897" w:type="dxa"/>
            <w:vAlign w:val="center"/>
          </w:tcPr>
          <w:p>
            <w:pPr>
              <w:widowControl/>
              <w:jc w:val="left"/>
              <w:textAlignment w:val="center"/>
              <w:rPr>
                <w:rFonts w:hint="default" w:ascii="仿宋" w:hAnsi="仿宋" w:eastAsia="仿宋" w:cs="仿宋"/>
                <w:sz w:val="24"/>
                <w:szCs w:val="24"/>
                <w:lang w:val="en-US" w:eastAsia="zh-CN"/>
              </w:rPr>
            </w:pPr>
            <w:r>
              <w:rPr>
                <w:rFonts w:hint="eastAsia" w:ascii="Times New Roman" w:hAnsi="Times New Roman" w:eastAsia="仿宋"/>
                <w:sz w:val="28"/>
                <w:szCs w:val="28"/>
              </w:rPr>
              <w:t>沈海高速涵江互通及接线工程（涵江三江口至秀屿西徐段）</w:t>
            </w:r>
          </w:p>
        </w:tc>
        <w:tc>
          <w:tcPr>
            <w:tcW w:w="1481" w:type="dxa"/>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215,067.55</w:t>
            </w:r>
          </w:p>
        </w:tc>
        <w:tc>
          <w:tcPr>
            <w:tcW w:w="1477" w:type="dxa"/>
            <w:vAlign w:val="center"/>
          </w:tcPr>
          <w:p>
            <w:pPr>
              <w:widowControl/>
              <w:jc w:val="center"/>
              <w:textAlignment w:val="center"/>
              <w:rPr>
                <w:rFonts w:hint="eastAsia" w:ascii="仿宋" w:hAnsi="仿宋" w:eastAsia="仿宋" w:cs="仿宋"/>
                <w:color w:val="000000"/>
                <w:sz w:val="22"/>
                <w:lang w:eastAsia="zh-CN"/>
              </w:rPr>
            </w:pPr>
            <w:r>
              <w:rPr>
                <w:rFonts w:hint="eastAsia" w:ascii="仿宋" w:hAnsi="仿宋" w:eastAsia="仿宋" w:cs="仿宋"/>
                <w:color w:val="000000"/>
                <w:sz w:val="22"/>
                <w:lang w:eastAsia="zh-CN"/>
              </w:rPr>
              <w:t>13,000.00</w:t>
            </w:r>
          </w:p>
        </w:tc>
        <w:tc>
          <w:tcPr>
            <w:tcW w:w="1800" w:type="dxa"/>
            <w:vAlign w:val="center"/>
          </w:tcPr>
          <w:p>
            <w:pPr>
              <w:spacing w:line="360" w:lineRule="auto"/>
              <w:rPr>
                <w:rFonts w:hint="eastAsia" w:ascii="仿宋" w:hAnsi="仿宋" w:eastAsia="仿宋" w:cs="仿宋"/>
                <w:sz w:val="24"/>
                <w:szCs w:val="24"/>
                <w:lang w:eastAsia="zh-CN"/>
              </w:rPr>
            </w:pPr>
            <w:r>
              <w:rPr>
                <w:rFonts w:hint="eastAsia" w:ascii="Times New Roman" w:hAnsi="Times New Roman" w:eastAsia="仿宋"/>
                <w:sz w:val="28"/>
                <w:szCs w:val="28"/>
              </w:rPr>
              <w:t>莆田市交通投资集团有限公司</w:t>
            </w:r>
          </w:p>
        </w:tc>
      </w:tr>
    </w:tbl>
    <w:p>
      <w:pPr>
        <w:pStyle w:val="2"/>
        <w:spacing w:line="360" w:lineRule="auto"/>
        <w:ind w:firstLine="562" w:firstLineChars="200"/>
        <w:rPr>
          <w:rFonts w:ascii="仿宋" w:hAnsi="仿宋" w:cs="仿宋"/>
        </w:rPr>
      </w:pPr>
      <w:r>
        <w:rPr>
          <w:rFonts w:hint="eastAsia" w:ascii="仿宋" w:hAnsi="仿宋" w:cs="仿宋"/>
        </w:rPr>
        <w:t>二、项目情况</w:t>
      </w:r>
    </w:p>
    <w:p>
      <w:pPr>
        <w:pStyle w:val="3"/>
        <w:spacing w:line="360" w:lineRule="auto"/>
        <w:ind w:firstLine="562" w:firstLineChars="200"/>
        <w:rPr>
          <w:rFonts w:ascii="仿宋" w:hAnsi="仿宋" w:cs="仿宋"/>
          <w:szCs w:val="28"/>
        </w:rPr>
      </w:pPr>
      <w:bookmarkStart w:id="0" w:name="_Hlk524441701"/>
      <w:r>
        <w:rPr>
          <w:rFonts w:hint="eastAsia" w:ascii="仿宋" w:hAnsi="仿宋" w:cs="仿宋"/>
          <w:szCs w:val="28"/>
        </w:rPr>
        <w:t>（一）沈海高速涵江互通及接线工程（涵江三江口至秀屿西徐段）项目</w:t>
      </w:r>
    </w:p>
    <w:p>
      <w:pPr>
        <w:pStyle w:val="5"/>
        <w:spacing w:line="360" w:lineRule="auto"/>
        <w:ind w:firstLine="562" w:firstLineChars="200"/>
        <w:rPr>
          <w:rFonts w:hint="eastAsia" w:ascii="仿宋" w:hAnsi="仿宋" w:cs="仿宋"/>
        </w:rPr>
      </w:pPr>
      <w:r>
        <w:rPr>
          <w:rFonts w:hint="eastAsia" w:ascii="仿宋" w:hAnsi="仿宋" w:cs="仿宋"/>
        </w:rPr>
        <w:t>1、项目概况</w:t>
      </w:r>
    </w:p>
    <w:p>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沈海高速涵江互通及接线工程（涵江三江口至秀屿西徐段），起于沈海高速涵江互通,经迎宾路、洞庭路、三江口、三华路、黄石徐厝、天马，终于秀屿笏石西徐。路线全长约20.8公里，其中涵江互通至三江口段约6.8公里利用现有道路，新建三江口段至秀屿笏石西徐段约14公里。路线在三华路、徐厝、天马、西徐附近设置4处互通式立交。</w:t>
      </w:r>
    </w:p>
    <w:p>
      <w:r>
        <w:rPr>
          <w:rFonts w:hint="eastAsia" w:ascii="Times New Roman" w:hAnsi="Times New Roman" w:eastAsia="仿宋"/>
          <w:sz w:val="28"/>
          <w:szCs w:val="28"/>
        </w:rPr>
        <w:t>新建路段采用双向八车道的一级公路标准建设，设计速度80公里/小时，路基宽度35.5米。</w:t>
      </w:r>
    </w:p>
    <w:bookmarkEnd w:id="0"/>
    <w:p>
      <w:pPr>
        <w:pStyle w:val="5"/>
        <w:spacing w:line="360" w:lineRule="auto"/>
        <w:ind w:firstLine="562" w:firstLineChars="200"/>
        <w:rPr>
          <w:rFonts w:ascii="仿宋" w:hAnsi="仿宋" w:cs="仿宋"/>
        </w:rPr>
      </w:pPr>
      <w:r>
        <w:rPr>
          <w:rFonts w:hint="eastAsia" w:ascii="仿宋" w:hAnsi="仿宋" w:cs="仿宋"/>
        </w:rPr>
        <w:t>2、项目投资情况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根据可研批复，</w:t>
      </w:r>
      <w:r>
        <w:rPr>
          <w:rFonts w:hint="eastAsia" w:ascii="Times New Roman" w:hAnsi="Times New Roman" w:eastAsia="仿宋"/>
          <w:sz w:val="28"/>
          <w:szCs w:val="28"/>
        </w:rPr>
        <w:t>沈海高速涵江互通及接线工程（涵江三江口至秀屿西徐段）</w:t>
      </w:r>
      <w:r>
        <w:rPr>
          <w:rFonts w:hint="eastAsia" w:ascii="仿宋" w:hAnsi="仿宋" w:eastAsia="仿宋" w:cs="仿宋"/>
          <w:sz w:val="28"/>
          <w:szCs w:val="28"/>
        </w:rPr>
        <w:t>项目投资215,067.55万元，估算表如下：</w:t>
      </w:r>
    </w:p>
    <w:p>
      <w:pPr>
        <w:pStyle w:val="20"/>
        <w:spacing w:line="360" w:lineRule="auto"/>
        <w:ind w:firstLine="562"/>
        <w:jc w:val="center"/>
        <w:rPr>
          <w:rFonts w:ascii="Times New Roman" w:hAnsi="Times New Roman"/>
          <w:b/>
          <w:kern w:val="0"/>
          <w:lang w:val="en-GB"/>
        </w:rPr>
      </w:pPr>
      <w:r>
        <w:rPr>
          <w:rFonts w:ascii="Times New Roman" w:hAnsi="Times New Roman"/>
          <w:b/>
          <w:kern w:val="0"/>
          <w:lang w:val="en-GB"/>
        </w:rPr>
        <w:t>项目总投资估算表</w:t>
      </w:r>
    </w:p>
    <w:p>
      <w:pPr>
        <w:widowControl/>
        <w:spacing w:after="120" w:line="360" w:lineRule="auto"/>
        <w:ind w:firstLine="480" w:firstLineChars="200"/>
        <w:contextualSpacing/>
        <w:jc w:val="right"/>
        <w:rPr>
          <w:rFonts w:ascii="Times New Roman" w:hAnsi="Times New Roman" w:eastAsia="仿宋"/>
          <w:kern w:val="0"/>
          <w:sz w:val="24"/>
          <w:lang w:val="en-GB"/>
        </w:rPr>
      </w:pPr>
      <w:r>
        <w:rPr>
          <w:rFonts w:ascii="Times New Roman" w:hAnsi="Times New Roman" w:eastAsia="仿宋"/>
          <w:kern w:val="0"/>
          <w:sz w:val="24"/>
          <w:lang w:val="en-GB"/>
        </w:rPr>
        <w:t>单位：人民币万元</w:t>
      </w:r>
    </w:p>
    <w:tbl>
      <w:tblPr>
        <w:tblStyle w:val="15"/>
        <w:tblW w:w="830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项目名称</w:t>
            </w:r>
          </w:p>
        </w:tc>
        <w:tc>
          <w:tcPr>
            <w:tcW w:w="2214"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金额</w:t>
            </w:r>
          </w:p>
        </w:tc>
        <w:tc>
          <w:tcPr>
            <w:tcW w:w="1476"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占比</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color w:val="000000"/>
                <w:szCs w:val="21"/>
              </w:rPr>
            </w:pPr>
            <w:r>
              <w:rPr>
                <w:rFonts w:ascii="Times New Roman" w:hAnsi="Times New Roman" w:eastAsia="仿宋"/>
                <w:color w:val="000000"/>
                <w:szCs w:val="21"/>
              </w:rPr>
              <w:t>1、工程费用</w:t>
            </w:r>
          </w:p>
        </w:tc>
        <w:tc>
          <w:tcPr>
            <w:tcW w:w="2214" w:type="dxa"/>
            <w:vAlign w:val="center"/>
          </w:tcPr>
          <w:p>
            <w:pPr>
              <w:widowControl/>
              <w:spacing w:line="320" w:lineRule="exact"/>
              <w:jc w:val="center"/>
              <w:textAlignment w:val="center"/>
            </w:pPr>
            <w:r>
              <w:rPr>
                <w:rFonts w:hint="eastAsia"/>
              </w:rPr>
              <w:t>160,145.00</w:t>
            </w:r>
          </w:p>
        </w:tc>
        <w:tc>
          <w:tcPr>
            <w:tcW w:w="1476" w:type="dxa"/>
            <w:vAlign w:val="center"/>
          </w:tcPr>
          <w:p>
            <w:pPr>
              <w:widowControl/>
              <w:spacing w:line="320" w:lineRule="exact"/>
              <w:jc w:val="center"/>
              <w:textAlignment w:val="center"/>
              <w:rPr>
                <w:rFonts w:ascii="Times New Roman" w:hAnsi="Times New Roman" w:eastAsia="仿宋"/>
                <w:color w:val="000000"/>
                <w:szCs w:val="21"/>
              </w:rPr>
            </w:pPr>
            <w:r>
              <w:rPr>
                <w:rFonts w:ascii="Times New Roman" w:hAnsi="Times New Roman"/>
                <w:color w:val="000000"/>
                <w:sz w:val="22"/>
              </w:rPr>
              <w:t>74.46%</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color w:val="000000"/>
                <w:szCs w:val="21"/>
              </w:rPr>
            </w:pPr>
            <w:r>
              <w:rPr>
                <w:rFonts w:ascii="Times New Roman" w:hAnsi="Times New Roman" w:eastAsia="仿宋"/>
                <w:color w:val="000000"/>
                <w:szCs w:val="21"/>
              </w:rPr>
              <w:t>2、工程建设其它费用</w:t>
            </w:r>
          </w:p>
        </w:tc>
        <w:tc>
          <w:tcPr>
            <w:tcW w:w="2214" w:type="dxa"/>
            <w:vAlign w:val="center"/>
          </w:tcPr>
          <w:p>
            <w:pPr>
              <w:widowControl/>
              <w:spacing w:line="320" w:lineRule="exact"/>
              <w:jc w:val="center"/>
              <w:textAlignment w:val="center"/>
            </w:pPr>
            <w:r>
              <w:rPr>
                <w:rFonts w:hint="eastAsia"/>
              </w:rPr>
              <w:t>29,865.00</w:t>
            </w:r>
          </w:p>
        </w:tc>
        <w:tc>
          <w:tcPr>
            <w:tcW w:w="1476" w:type="dxa"/>
            <w:vAlign w:val="center"/>
          </w:tcPr>
          <w:p>
            <w:pPr>
              <w:widowControl/>
              <w:spacing w:line="320" w:lineRule="exact"/>
              <w:jc w:val="center"/>
              <w:textAlignment w:val="center"/>
              <w:rPr>
                <w:rFonts w:ascii="Times New Roman" w:hAnsi="Times New Roman" w:eastAsia="仿宋"/>
                <w:color w:val="000000"/>
                <w:szCs w:val="21"/>
              </w:rPr>
            </w:pPr>
            <w:r>
              <w:rPr>
                <w:rFonts w:ascii="Times New Roman" w:hAnsi="Times New Roman"/>
                <w:color w:val="000000"/>
                <w:sz w:val="22"/>
              </w:rPr>
              <w:t>13.89%</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color w:val="000000"/>
                <w:szCs w:val="21"/>
              </w:rPr>
            </w:pPr>
            <w:r>
              <w:rPr>
                <w:rFonts w:ascii="Times New Roman" w:hAnsi="Times New Roman" w:eastAsia="仿宋"/>
                <w:color w:val="000000"/>
                <w:szCs w:val="21"/>
              </w:rPr>
              <w:t>3、预备费</w:t>
            </w:r>
          </w:p>
        </w:tc>
        <w:tc>
          <w:tcPr>
            <w:tcW w:w="2214" w:type="dxa"/>
            <w:vAlign w:val="center"/>
          </w:tcPr>
          <w:p>
            <w:pPr>
              <w:widowControl/>
              <w:spacing w:line="320" w:lineRule="exact"/>
              <w:jc w:val="center"/>
              <w:textAlignment w:val="center"/>
            </w:pPr>
            <w:r>
              <w:rPr>
                <w:rFonts w:hint="eastAsia"/>
              </w:rPr>
              <w:t>16,995.00</w:t>
            </w:r>
          </w:p>
        </w:tc>
        <w:tc>
          <w:tcPr>
            <w:tcW w:w="1476" w:type="dxa"/>
            <w:vAlign w:val="center"/>
          </w:tcPr>
          <w:p>
            <w:pPr>
              <w:widowControl/>
              <w:spacing w:line="320" w:lineRule="exact"/>
              <w:jc w:val="center"/>
              <w:textAlignment w:val="center"/>
              <w:rPr>
                <w:rFonts w:ascii="Times New Roman" w:hAnsi="Times New Roman" w:eastAsia="仿宋"/>
                <w:color w:val="000000"/>
                <w:szCs w:val="21"/>
              </w:rPr>
            </w:pPr>
            <w:r>
              <w:rPr>
                <w:rFonts w:ascii="Times New Roman" w:hAnsi="Times New Roman"/>
                <w:color w:val="000000"/>
                <w:sz w:val="22"/>
              </w:rPr>
              <w:t>7.90%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color w:val="000000"/>
                <w:szCs w:val="21"/>
              </w:rPr>
            </w:pPr>
            <w:r>
              <w:rPr>
                <w:rFonts w:hint="eastAsia" w:ascii="Times New Roman" w:hAnsi="Times New Roman" w:eastAsia="仿宋"/>
                <w:color w:val="000000"/>
                <w:szCs w:val="21"/>
              </w:rPr>
              <w:t>4、建设期利息</w:t>
            </w:r>
          </w:p>
        </w:tc>
        <w:tc>
          <w:tcPr>
            <w:tcW w:w="2214" w:type="dxa"/>
            <w:vAlign w:val="center"/>
          </w:tcPr>
          <w:p>
            <w:pPr>
              <w:widowControl/>
              <w:spacing w:line="320" w:lineRule="exact"/>
              <w:jc w:val="center"/>
              <w:textAlignment w:val="center"/>
            </w:pPr>
            <w:r>
              <w:rPr>
                <w:rFonts w:hint="eastAsia"/>
              </w:rPr>
              <w:t>8062.55</w:t>
            </w:r>
          </w:p>
        </w:tc>
        <w:tc>
          <w:tcPr>
            <w:tcW w:w="1476" w:type="dxa"/>
            <w:vAlign w:val="center"/>
          </w:tcPr>
          <w:p>
            <w:pPr>
              <w:widowControl/>
              <w:spacing w:line="320" w:lineRule="exact"/>
              <w:jc w:val="center"/>
              <w:textAlignment w:val="center"/>
            </w:pPr>
            <w:r>
              <w:rPr>
                <w:rFonts w:ascii="Times New Roman" w:hAnsi="Times New Roman"/>
                <w:color w:val="000000"/>
                <w:sz w:val="22"/>
              </w:rPr>
              <w:t>3.75%</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b/>
                <w:bCs/>
                <w:color w:val="000000"/>
                <w:szCs w:val="21"/>
              </w:rPr>
            </w:pPr>
            <w:r>
              <w:rPr>
                <w:rFonts w:ascii="Times New Roman" w:hAnsi="Times New Roman" w:eastAsia="仿宋"/>
                <w:b/>
                <w:bCs/>
                <w:color w:val="000000"/>
                <w:szCs w:val="21"/>
              </w:rPr>
              <w:t>合计：</w:t>
            </w:r>
          </w:p>
        </w:tc>
        <w:tc>
          <w:tcPr>
            <w:tcW w:w="2214"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215,067.55</w:t>
            </w:r>
          </w:p>
        </w:tc>
        <w:tc>
          <w:tcPr>
            <w:tcW w:w="1476" w:type="dxa"/>
            <w:vAlign w:val="center"/>
          </w:tcPr>
          <w:p>
            <w:pPr>
              <w:widowControl/>
              <w:spacing w:line="320" w:lineRule="exact"/>
              <w:jc w:val="center"/>
              <w:textAlignment w:val="center"/>
              <w:rPr>
                <w:rFonts w:ascii="Times New Roman" w:hAnsi="Times New Roman" w:eastAsia="仿宋"/>
                <w:b/>
                <w:bCs/>
                <w:color w:val="000000"/>
                <w:szCs w:val="21"/>
              </w:rPr>
            </w:pPr>
            <w:r>
              <w:rPr>
                <w:rFonts w:ascii="Times New Roman" w:hAnsi="Times New Roman" w:eastAsia="仿宋"/>
                <w:b/>
                <w:bCs/>
                <w:color w:val="000000"/>
                <w:szCs w:val="21"/>
              </w:rPr>
              <w:t>100.00%</w:t>
            </w:r>
          </w:p>
        </w:tc>
      </w:tr>
    </w:tbl>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该项目未来年度投资计划如下：</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项目投资计划表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5"/>
        <w:tblW w:w="921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2254"/>
        <w:gridCol w:w="1260"/>
        <w:gridCol w:w="1275"/>
        <w:gridCol w:w="1290"/>
        <w:gridCol w:w="1394"/>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740" w:type="dxa"/>
            <w:tcBorders>
              <w:top w:val="single" w:color="auto" w:sz="4" w:space="0"/>
              <w:left w:val="single" w:color="auto" w:sz="4" w:space="0"/>
            </w:tcBorders>
            <w:vAlign w:val="center"/>
          </w:tcPr>
          <w:p>
            <w:pPr>
              <w:widowControl/>
              <w:jc w:val="center"/>
              <w:rPr>
                <w:rFonts w:ascii="仿宋" w:hAnsi="仿宋" w:eastAsia="仿宋" w:cs="仿宋"/>
                <w:b/>
                <w:bCs/>
                <w:kern w:val="0"/>
                <w:szCs w:val="21"/>
              </w:rPr>
            </w:pPr>
            <w:bookmarkStart w:id="1" w:name="_Hlk50330518"/>
            <w:r>
              <w:rPr>
                <w:rFonts w:hint="eastAsia" w:ascii="仿宋" w:hAnsi="仿宋" w:eastAsia="仿宋" w:cs="仿宋"/>
                <w:b/>
                <w:bCs/>
                <w:kern w:val="0"/>
                <w:szCs w:val="21"/>
              </w:rPr>
              <w:t>年份</w:t>
            </w:r>
          </w:p>
        </w:tc>
        <w:tc>
          <w:tcPr>
            <w:tcW w:w="2254"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以前年度到本报告日</w:t>
            </w:r>
          </w:p>
        </w:tc>
        <w:tc>
          <w:tcPr>
            <w:tcW w:w="1260"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2020年</w:t>
            </w:r>
          </w:p>
        </w:tc>
        <w:tc>
          <w:tcPr>
            <w:tcW w:w="1275"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2021年</w:t>
            </w:r>
          </w:p>
        </w:tc>
        <w:tc>
          <w:tcPr>
            <w:tcW w:w="1290" w:type="dxa"/>
            <w:tcBorders>
              <w:top w:val="single" w:color="auto" w:sz="4" w:space="0"/>
              <w:right w:val="single" w:color="auto" w:sz="4" w:space="0"/>
            </w:tcBorders>
            <w:vAlign w:val="center"/>
          </w:tcPr>
          <w:p>
            <w:pPr>
              <w:widowControl/>
              <w:jc w:val="center"/>
              <w:rPr>
                <w:rFonts w:hint="eastAsia" w:ascii="仿宋" w:hAnsi="仿宋" w:eastAsia="仿宋" w:cs="仿宋"/>
                <w:b/>
                <w:bCs/>
                <w:kern w:val="0"/>
                <w:szCs w:val="21"/>
                <w:lang w:val="en-US" w:eastAsia="zh-CN"/>
              </w:rPr>
            </w:pPr>
            <w:r>
              <w:rPr>
                <w:rFonts w:hint="eastAsia" w:ascii="仿宋" w:hAnsi="仿宋" w:eastAsia="仿宋" w:cs="仿宋"/>
                <w:b/>
                <w:bCs/>
                <w:kern w:val="0"/>
                <w:szCs w:val="21"/>
                <w:lang w:val="en-US" w:eastAsia="zh-CN"/>
              </w:rPr>
              <w:t>2022年</w:t>
            </w:r>
          </w:p>
        </w:tc>
        <w:tc>
          <w:tcPr>
            <w:tcW w:w="1394" w:type="dxa"/>
            <w:tcBorders>
              <w:top w:val="single" w:color="auto" w:sz="4" w:space="0"/>
              <w:right w:val="single" w:color="auto" w:sz="4"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合计</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40" w:type="dxa"/>
            <w:tcBorders>
              <w:left w:val="single" w:color="auto" w:sz="4" w:space="0"/>
              <w:bottom w:val="single" w:color="auto" w:sz="4"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建设资金使用</w:t>
            </w:r>
          </w:p>
        </w:tc>
        <w:tc>
          <w:tcPr>
            <w:tcW w:w="2254" w:type="dxa"/>
            <w:tcBorders>
              <w:bottom w:val="single" w:color="auto" w:sz="4" w:space="0"/>
            </w:tcBorders>
            <w:shd w:val="clear" w:color="000000" w:fill="auto"/>
            <w:vAlign w:val="center"/>
          </w:tcPr>
          <w:p>
            <w:pPr>
              <w:widowControl/>
              <w:jc w:val="center"/>
              <w:textAlignment w:val="bottom"/>
              <w:rPr>
                <w:rFonts w:hint="eastAsia" w:ascii="仿宋" w:hAnsi="仿宋" w:eastAsia="仿宋" w:cs="仿宋"/>
                <w:bCs/>
                <w:w w:val="105"/>
                <w:kern w:val="0"/>
                <w:szCs w:val="21"/>
                <w:lang w:eastAsia="zh-CN"/>
              </w:rPr>
            </w:pPr>
            <w:r>
              <w:rPr>
                <w:rFonts w:hint="eastAsia" w:ascii="仿宋" w:hAnsi="仿宋" w:eastAsia="仿宋" w:cs="仿宋"/>
                <w:color w:val="000000"/>
                <w:kern w:val="0"/>
                <w:szCs w:val="21"/>
                <w:lang w:val="en-US" w:eastAsia="zh-CN" w:bidi="ar"/>
              </w:rPr>
              <w:t xml:space="preserve"> </w:t>
            </w:r>
          </w:p>
        </w:tc>
        <w:tc>
          <w:tcPr>
            <w:tcW w:w="1260" w:type="dxa"/>
            <w:tcBorders>
              <w:bottom w:val="single" w:color="auto" w:sz="4" w:space="0"/>
            </w:tcBorders>
            <w:shd w:val="clear" w:color="000000" w:fill="auto"/>
            <w:vAlign w:val="center"/>
          </w:tcPr>
          <w:p>
            <w:pPr>
              <w:pStyle w:val="20"/>
              <w:spacing w:line="360" w:lineRule="exact"/>
              <w:ind w:firstLine="0" w:firstLineChars="0"/>
              <w:contextualSpacing/>
              <w:jc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55,270.25</w:t>
            </w:r>
          </w:p>
        </w:tc>
        <w:tc>
          <w:tcPr>
            <w:tcW w:w="1275" w:type="dxa"/>
            <w:tcBorders>
              <w:bottom w:val="single" w:color="auto" w:sz="4" w:space="0"/>
            </w:tcBorders>
            <w:shd w:val="clear" w:color="000000" w:fill="auto"/>
            <w:vAlign w:val="center"/>
          </w:tcPr>
          <w:p>
            <w:pPr>
              <w:pStyle w:val="20"/>
              <w:spacing w:line="360" w:lineRule="exact"/>
              <w:ind w:firstLine="0" w:firstLineChars="0"/>
              <w:contextualSpacing/>
              <w:jc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61,782.00</w:t>
            </w:r>
          </w:p>
        </w:tc>
        <w:tc>
          <w:tcPr>
            <w:tcW w:w="1290" w:type="dxa"/>
            <w:tcBorders>
              <w:bottom w:val="single" w:color="auto" w:sz="4" w:space="0"/>
              <w:right w:val="single" w:color="auto" w:sz="4" w:space="0"/>
            </w:tcBorders>
            <w:shd w:val="clear" w:color="000000" w:fill="auto"/>
            <w:vAlign w:val="center"/>
          </w:tcPr>
          <w:p>
            <w:pPr>
              <w:pStyle w:val="20"/>
              <w:spacing w:line="360" w:lineRule="exact"/>
              <w:ind w:firstLine="0" w:firstLineChars="0"/>
              <w:contextualSpacing/>
              <w:jc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98,015.30</w:t>
            </w:r>
          </w:p>
        </w:tc>
        <w:tc>
          <w:tcPr>
            <w:tcW w:w="1394" w:type="dxa"/>
            <w:tcBorders>
              <w:bottom w:val="single" w:color="auto" w:sz="4" w:space="0"/>
              <w:right w:val="single" w:color="auto" w:sz="4" w:space="0"/>
            </w:tcBorders>
            <w:shd w:val="clear" w:color="000000" w:fill="auto"/>
            <w:vAlign w:val="center"/>
          </w:tcPr>
          <w:p>
            <w:pPr>
              <w:widowControl/>
              <w:jc w:val="center"/>
              <w:textAlignment w:val="center"/>
              <w:rPr>
                <w:rFonts w:hint="eastAsia" w:ascii="仿宋" w:hAnsi="仿宋" w:eastAsia="仿宋" w:cs="仿宋"/>
                <w:b/>
                <w:w w:val="105"/>
                <w:kern w:val="0"/>
                <w:szCs w:val="21"/>
                <w:lang w:eastAsia="zh-CN"/>
              </w:rPr>
            </w:pPr>
            <w:r>
              <w:rPr>
                <w:rFonts w:hint="eastAsia" w:ascii="仿宋" w:hAnsi="仿宋" w:eastAsia="仿宋" w:cs="仿宋"/>
                <w:bCs/>
                <w:w w:val="105"/>
                <w:kern w:val="0"/>
                <w:szCs w:val="21"/>
                <w:lang w:val="en-US" w:eastAsia="zh-CN"/>
              </w:rPr>
              <w:t>215,067.55</w:t>
            </w:r>
            <w:r>
              <w:rPr>
                <w:rFonts w:hint="eastAsia" w:ascii="仿宋" w:hAnsi="仿宋" w:eastAsia="仿宋" w:cs="仿宋"/>
                <w:b/>
                <w:w w:val="105"/>
                <w:kern w:val="0"/>
                <w:szCs w:val="21"/>
                <w:lang w:val="en-US" w:eastAsia="zh-CN"/>
              </w:rPr>
              <w:t xml:space="preserve"> </w:t>
            </w:r>
          </w:p>
        </w:tc>
      </w:tr>
      <w:bookmarkEnd w:id="1"/>
    </w:tbl>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本项目资金来源分为：企业自筹53,603.55万元，剩余资金161,464.00万元通过发行专项债券筹集</w:t>
      </w:r>
      <w:r>
        <w:rPr>
          <w:rFonts w:hint="eastAsia" w:ascii="仿宋" w:hAnsi="仿宋" w:eastAsia="仿宋" w:cs="仿宋"/>
          <w:sz w:val="28"/>
          <w:szCs w:val="28"/>
          <w:lang w:eastAsia="zh-CN"/>
        </w:rPr>
        <w:t>。</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5"/>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bookmarkStart w:id="2"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企业自筹</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53,603.55</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161,464.00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
                <w:w w:val="105"/>
                <w:kern w:val="0"/>
                <w:szCs w:val="21"/>
                <w:lang w:eastAsia="zh-CN"/>
              </w:rPr>
            </w:pPr>
            <w:r>
              <w:rPr>
                <w:rFonts w:hint="eastAsia" w:ascii="仿宋" w:hAnsi="仿宋" w:eastAsia="仿宋" w:cs="仿宋"/>
                <w:b/>
                <w:w w:val="105"/>
                <w:kern w:val="0"/>
                <w:szCs w:val="21"/>
                <w:lang w:eastAsia="zh-CN"/>
              </w:rPr>
              <w:t>215,067.55</w:t>
            </w:r>
          </w:p>
        </w:tc>
      </w:tr>
      <w:bookmarkEnd w:id="2"/>
    </w:tbl>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沈海高速涵江互通及接线工程（涵江三江口至秀屿西徐段）项目在专项债券存续期间有稳定的现金流入，收入主要来源于加油站、广告牌以及服务区广告</w:t>
      </w:r>
      <w:r>
        <w:rPr>
          <w:rFonts w:hint="eastAsia" w:ascii="仿宋" w:hAnsi="仿宋" w:eastAsia="仿宋" w:cs="仿宋"/>
          <w:sz w:val="28"/>
          <w:szCs w:val="28"/>
          <w:lang w:eastAsia="zh-CN"/>
        </w:rPr>
        <w:t>、</w:t>
      </w:r>
      <w:r>
        <w:rPr>
          <w:rFonts w:hint="eastAsia" w:ascii="Times New Roman" w:hAnsi="Times New Roman" w:eastAsia="仿宋"/>
          <w:sz w:val="28"/>
          <w:szCs w:val="28"/>
        </w:rPr>
        <w:t>政府补贴</w:t>
      </w:r>
      <w:r>
        <w:rPr>
          <w:rFonts w:hint="eastAsia" w:ascii="仿宋" w:hAnsi="仿宋" w:eastAsia="仿宋" w:cs="仿宋"/>
          <w:sz w:val="28"/>
          <w:szCs w:val="28"/>
        </w:rPr>
        <w:t>等营业收入。经测算，债券存续期内，本项目将产生净收益402,514.68 万元，可覆盖债券存续期间各年的项目投资及债券本息偿还的需求，在项目涉及专项债券本息全部偿还后仍有145,014.99 万元期末结余。</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本项目计划使用本期债券资金13,000.00万元。本期专项债券利率按</w:t>
      </w:r>
      <w:r>
        <w:rPr>
          <w:rFonts w:hint="eastAsia" w:ascii="仿宋" w:hAnsi="仿宋" w:eastAsia="仿宋" w:cs="仿宋"/>
          <w:sz w:val="28"/>
          <w:szCs w:val="28"/>
          <w:lang w:eastAsia="zh-CN"/>
        </w:rPr>
        <w:t>“福厦铁路客运专线</w:t>
      </w:r>
      <w:r>
        <w:rPr>
          <w:rFonts w:hint="eastAsia" w:ascii="仿宋" w:hAnsi="仿宋" w:eastAsia="仿宋" w:cs="仿宋"/>
          <w:sz w:val="28"/>
          <w:szCs w:val="28"/>
          <w:lang w:val="en-US" w:eastAsia="zh-CN"/>
        </w:rPr>
        <w:t>项目”已发行债券利率3.67%，剩余期限20年</w:t>
      </w:r>
      <w:r>
        <w:rPr>
          <w:rFonts w:hint="eastAsia" w:ascii="仿宋" w:hAnsi="仿宋" w:eastAsia="仿宋" w:cs="仿宋"/>
          <w:sz w:val="28"/>
          <w:szCs w:val="28"/>
        </w:rPr>
        <w:t>进行测算</w:t>
      </w:r>
      <w:r>
        <w:rPr>
          <w:rFonts w:hint="eastAsia" w:ascii="仿宋" w:hAnsi="仿宋" w:eastAsia="仿宋" w:cs="仿宋"/>
          <w:sz w:val="28"/>
          <w:szCs w:val="28"/>
          <w:lang w:eastAsia="zh-CN"/>
        </w:rPr>
        <w:t>。</w:t>
      </w:r>
      <w:r>
        <w:rPr>
          <w:rFonts w:hint="eastAsia" w:ascii="仿宋" w:hAnsi="仿宋" w:eastAsia="仿宋" w:cs="仿宋"/>
          <w:sz w:val="28"/>
          <w:szCs w:val="28"/>
        </w:rPr>
        <w:t>专项债本息合计257,499.69万元本项目债券应还本付息情况如下表：</w:t>
      </w:r>
    </w:p>
    <w:p>
      <w:pPr>
        <w:spacing w:line="360" w:lineRule="auto"/>
        <w:ind w:firstLine="560" w:firstLineChars="200"/>
        <w:rPr>
          <w:rFonts w:hint="eastAsia"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5"/>
        <w:tblW w:w="8904" w:type="dxa"/>
        <w:tblInd w:w="-176" w:type="dxa"/>
        <w:tblLayout w:type="fixed"/>
        <w:tblCellMar>
          <w:top w:w="0" w:type="dxa"/>
          <w:left w:w="108" w:type="dxa"/>
          <w:bottom w:w="0" w:type="dxa"/>
          <w:right w:w="108" w:type="dxa"/>
        </w:tblCellMar>
      </w:tblPr>
      <w:tblGrid>
        <w:gridCol w:w="1079"/>
        <w:gridCol w:w="1266"/>
        <w:gridCol w:w="1358"/>
        <w:gridCol w:w="1358"/>
        <w:gridCol w:w="1266"/>
        <w:gridCol w:w="1219"/>
        <w:gridCol w:w="1358"/>
      </w:tblGrid>
      <w:tr>
        <w:tblPrEx>
          <w:tblLayout w:type="fixed"/>
          <w:tblCellMar>
            <w:top w:w="0" w:type="dxa"/>
            <w:left w:w="108" w:type="dxa"/>
            <w:bottom w:w="0" w:type="dxa"/>
            <w:right w:w="108" w:type="dxa"/>
          </w:tblCellMar>
        </w:tblPrEx>
        <w:trPr>
          <w:trHeight w:val="560" w:hRule="atLeast"/>
        </w:trPr>
        <w:tc>
          <w:tcPr>
            <w:tcW w:w="1079" w:type="dxa"/>
            <w:tcBorders>
              <w:top w:val="single" w:color="000000" w:sz="12" w:space="0"/>
              <w:left w:val="nil"/>
              <w:bottom w:val="single" w:color="000000" w:sz="6" w:space="0"/>
              <w:right w:val="single" w:color="000000" w:sz="6" w:space="0"/>
            </w:tcBorders>
            <w:shd w:val="clear" w:color="auto" w:fill="auto"/>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年度</w:t>
            </w:r>
          </w:p>
        </w:tc>
        <w:tc>
          <w:tcPr>
            <w:tcW w:w="1266"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期初本金余额</w:t>
            </w:r>
          </w:p>
        </w:tc>
        <w:tc>
          <w:tcPr>
            <w:tcW w:w="1358"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本年募集资金</w:t>
            </w:r>
          </w:p>
        </w:tc>
        <w:tc>
          <w:tcPr>
            <w:tcW w:w="1358"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本年偿还本金</w:t>
            </w:r>
          </w:p>
        </w:tc>
        <w:tc>
          <w:tcPr>
            <w:tcW w:w="1266"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期末本金余额</w:t>
            </w:r>
          </w:p>
        </w:tc>
        <w:tc>
          <w:tcPr>
            <w:tcW w:w="1219"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本年应付利息</w:t>
            </w:r>
          </w:p>
        </w:tc>
        <w:tc>
          <w:tcPr>
            <w:tcW w:w="1358" w:type="dxa"/>
            <w:tcBorders>
              <w:top w:val="single" w:color="000000" w:sz="12" w:space="0"/>
              <w:left w:val="single" w:color="000000" w:sz="6" w:space="0"/>
              <w:bottom w:val="single" w:color="000000" w:sz="6" w:space="0"/>
              <w:right w:val="nil"/>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本年还本付息合计</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2020年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39,500.00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39,500.00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743.38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743.38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2021年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39,500.00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47,000.00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86,500.00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2</w:t>
            </w:r>
            <w:r>
              <w:rPr>
                <w:rFonts w:hint="eastAsia" w:ascii="仿宋" w:hAnsi="仿宋" w:eastAsia="仿宋" w:cs="宋体"/>
                <w:color w:val="000000"/>
                <w:kern w:val="0"/>
                <w:szCs w:val="21"/>
              </w:rPr>
              <w:t>,</w:t>
            </w:r>
            <w:r>
              <w:rPr>
                <w:rFonts w:ascii="仿宋" w:hAnsi="仿宋" w:eastAsia="仿宋" w:cs="宋体"/>
                <w:color w:val="000000"/>
                <w:kern w:val="0"/>
                <w:szCs w:val="21"/>
              </w:rPr>
              <w:t xml:space="preserve">403.25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2</w:t>
            </w:r>
            <w:r>
              <w:rPr>
                <w:rFonts w:hint="eastAsia" w:ascii="仿宋" w:hAnsi="仿宋" w:eastAsia="仿宋" w:cs="宋体"/>
                <w:color w:val="000000"/>
                <w:kern w:val="0"/>
                <w:szCs w:val="21"/>
              </w:rPr>
              <w:t>,</w:t>
            </w:r>
            <w:r>
              <w:rPr>
                <w:rFonts w:ascii="仿宋" w:hAnsi="仿宋" w:eastAsia="仿宋" w:cs="宋体"/>
                <w:color w:val="000000"/>
                <w:kern w:val="0"/>
                <w:szCs w:val="21"/>
              </w:rPr>
              <w:t xml:space="preserve">403.25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2022年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xml:space="preserve">86,500.00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74,964.00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4,781.55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4,781.55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2023年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2024年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2025年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2026年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2027年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2028年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2029年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2030年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2031年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2032年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2033年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2034年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 xml:space="preserve">6,243.35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2035年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161,464.00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26</w:t>
            </w:r>
            <w:r>
              <w:rPr>
                <w:rFonts w:hint="eastAsia" w:ascii="仿宋" w:hAnsi="仿宋" w:eastAsia="仿宋" w:cs="宋体"/>
                <w:color w:val="000000"/>
                <w:kern w:val="0"/>
                <w:szCs w:val="21"/>
              </w:rPr>
              <w:t>,500.00</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134</w:t>
            </w:r>
            <w:r>
              <w:rPr>
                <w:rFonts w:hint="eastAsia" w:ascii="仿宋" w:hAnsi="仿宋" w:eastAsia="仿宋" w:cs="宋体"/>
                <w:color w:val="000000"/>
                <w:kern w:val="0"/>
                <w:szCs w:val="21"/>
              </w:rPr>
              <w:t>,964.00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5,738.52 </w:t>
            </w:r>
          </w:p>
        </w:tc>
        <w:tc>
          <w:tcPr>
            <w:tcW w:w="1358" w:type="dxa"/>
            <w:tcBorders>
              <w:top w:val="single" w:color="000000" w:sz="6" w:space="0"/>
              <w:left w:val="single" w:color="000000" w:sz="6" w:space="0"/>
              <w:bottom w:val="single" w:color="000000" w:sz="6" w:space="0"/>
              <w:right w:val="nil"/>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32,238.52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2036年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w:t>
            </w:r>
            <w:r>
              <w:rPr>
                <w:rFonts w:hint="eastAsia" w:ascii="仿宋" w:hAnsi="仿宋" w:eastAsia="仿宋" w:cs="宋体"/>
                <w:color w:val="000000"/>
                <w:kern w:val="0"/>
                <w:szCs w:val="21"/>
                <w:lang w:val="en-US" w:eastAsia="zh-CN"/>
              </w:rPr>
              <w:t>34</w:t>
            </w:r>
            <w:r>
              <w:rPr>
                <w:rFonts w:hint="eastAsia" w:ascii="仿宋" w:hAnsi="仿宋" w:eastAsia="仿宋" w:cs="宋体"/>
                <w:color w:val="000000"/>
                <w:kern w:val="0"/>
                <w:szCs w:val="21"/>
              </w:rPr>
              <w:t>,964.00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47,000.00</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87</w:t>
            </w:r>
            <w:r>
              <w:rPr>
                <w:rFonts w:hint="eastAsia" w:ascii="仿宋" w:hAnsi="仿宋" w:eastAsia="仿宋" w:cs="宋体"/>
                <w:color w:val="000000"/>
                <w:kern w:val="0"/>
                <w:szCs w:val="21"/>
              </w:rPr>
              <w:t>,964.00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4,317.20 </w:t>
            </w:r>
          </w:p>
        </w:tc>
        <w:tc>
          <w:tcPr>
            <w:tcW w:w="1358" w:type="dxa"/>
            <w:tcBorders>
              <w:top w:val="single" w:color="000000" w:sz="6" w:space="0"/>
              <w:left w:val="single" w:color="000000" w:sz="6" w:space="0"/>
              <w:bottom w:val="single" w:color="000000" w:sz="6" w:space="0"/>
              <w:right w:val="nil"/>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51,317.20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2037年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87</w:t>
            </w:r>
            <w:r>
              <w:rPr>
                <w:rFonts w:hint="eastAsia" w:ascii="仿宋" w:hAnsi="仿宋" w:eastAsia="仿宋" w:cs="宋体"/>
                <w:color w:val="000000"/>
                <w:kern w:val="0"/>
                <w:szCs w:val="21"/>
              </w:rPr>
              <w:t>,964.00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74,964.00</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1,938.90 </w:t>
            </w:r>
          </w:p>
        </w:tc>
        <w:tc>
          <w:tcPr>
            <w:tcW w:w="1358" w:type="dxa"/>
            <w:tcBorders>
              <w:top w:val="single" w:color="000000" w:sz="6" w:space="0"/>
              <w:left w:val="single" w:color="000000" w:sz="6" w:space="0"/>
              <w:bottom w:val="single" w:color="000000" w:sz="6" w:space="0"/>
              <w:right w:val="nil"/>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76,902.90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2038年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477.10 </w:t>
            </w:r>
          </w:p>
        </w:tc>
        <w:tc>
          <w:tcPr>
            <w:tcW w:w="1358" w:type="dxa"/>
            <w:tcBorders>
              <w:top w:val="single" w:color="000000" w:sz="6" w:space="0"/>
              <w:left w:val="single" w:color="000000" w:sz="6" w:space="0"/>
              <w:bottom w:val="single" w:color="000000" w:sz="6" w:space="0"/>
              <w:right w:val="nil"/>
            </w:tcBorders>
            <w:shd w:val="clear" w:color="auto" w:fill="auto"/>
            <w:vAlign w:val="center"/>
          </w:tcPr>
          <w:p>
            <w:pPr>
              <w:widowControl/>
              <w:jc w:val="right"/>
              <w:rPr>
                <w:rFonts w:hint="eastAsia"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477.10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 xml:space="preserve">2039年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477.10 </w:t>
            </w:r>
          </w:p>
        </w:tc>
        <w:tc>
          <w:tcPr>
            <w:tcW w:w="1358" w:type="dxa"/>
            <w:tcBorders>
              <w:top w:val="single" w:color="000000" w:sz="6" w:space="0"/>
              <w:left w:val="single" w:color="000000" w:sz="6" w:space="0"/>
              <w:bottom w:val="single" w:color="000000" w:sz="6" w:space="0"/>
              <w:right w:val="nil"/>
            </w:tcBorders>
            <w:shd w:val="clear" w:color="auto" w:fill="auto"/>
            <w:vAlign w:val="center"/>
          </w:tcPr>
          <w:p>
            <w:pPr>
              <w:widowControl/>
              <w:jc w:val="right"/>
              <w:rPr>
                <w:rFonts w:hint="eastAsia"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477.10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2040年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13</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238.55 </w:t>
            </w:r>
          </w:p>
        </w:tc>
        <w:tc>
          <w:tcPr>
            <w:tcW w:w="1358" w:type="dxa"/>
            <w:tcBorders>
              <w:top w:val="single" w:color="000000" w:sz="6" w:space="0"/>
              <w:left w:val="single" w:color="000000" w:sz="6" w:space="0"/>
              <w:bottom w:val="single" w:color="000000" w:sz="6" w:space="0"/>
              <w:right w:val="nil"/>
            </w:tcBorders>
            <w:shd w:val="clear" w:color="auto" w:fill="auto"/>
            <w:vAlign w:val="center"/>
          </w:tcPr>
          <w:p>
            <w:pPr>
              <w:widowControl/>
              <w:jc w:val="right"/>
              <w:rPr>
                <w:rFonts w:hint="eastAsia"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13,238.55 </w:t>
            </w:r>
          </w:p>
        </w:tc>
      </w:tr>
      <w:tr>
        <w:tblPrEx>
          <w:tblLayout w:type="fixed"/>
          <w:tblCellMar>
            <w:top w:w="0" w:type="dxa"/>
            <w:left w:w="108" w:type="dxa"/>
            <w:bottom w:w="0" w:type="dxa"/>
            <w:right w:w="108" w:type="dxa"/>
          </w:tblCellMar>
        </w:tblPrEx>
        <w:trPr>
          <w:trHeight w:val="290" w:hRule="atLeast"/>
        </w:trPr>
        <w:tc>
          <w:tcPr>
            <w:tcW w:w="1079" w:type="dxa"/>
            <w:tcBorders>
              <w:top w:val="single" w:color="000000" w:sz="6" w:space="0"/>
              <w:left w:val="nil"/>
              <w:bottom w:val="single" w:color="000000" w:sz="12"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合计</w:t>
            </w:r>
          </w:p>
        </w:tc>
        <w:tc>
          <w:tcPr>
            <w:tcW w:w="1266"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　</w:t>
            </w:r>
          </w:p>
        </w:tc>
        <w:tc>
          <w:tcPr>
            <w:tcW w:w="1358" w:type="dxa"/>
            <w:tcBorders>
              <w:top w:val="single" w:color="000000" w:sz="6" w:space="0"/>
              <w:left w:val="single" w:color="000000" w:sz="6" w:space="0"/>
              <w:bottom w:val="single" w:color="000000" w:sz="12" w:space="0"/>
              <w:right w:val="single" w:color="000000" w:sz="6" w:space="0"/>
            </w:tcBorders>
            <w:shd w:val="clear" w:color="auto" w:fill="auto"/>
            <w:vAlign w:val="bottom"/>
          </w:tcPr>
          <w:p>
            <w:pPr>
              <w:widowControl/>
              <w:jc w:val="righ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161,464.00</w:t>
            </w:r>
          </w:p>
        </w:tc>
        <w:tc>
          <w:tcPr>
            <w:tcW w:w="1358" w:type="dxa"/>
            <w:tcBorders>
              <w:top w:val="single" w:color="000000" w:sz="6" w:space="0"/>
              <w:left w:val="single" w:color="000000" w:sz="6" w:space="0"/>
              <w:bottom w:val="single" w:color="000000" w:sz="12" w:space="0"/>
              <w:right w:val="single" w:color="000000" w:sz="6" w:space="0"/>
            </w:tcBorders>
            <w:shd w:val="clear" w:color="auto" w:fill="auto"/>
            <w:vAlign w:val="bottom"/>
          </w:tcPr>
          <w:p>
            <w:pPr>
              <w:widowControl/>
              <w:jc w:val="righ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161,464.00</w:t>
            </w:r>
          </w:p>
        </w:tc>
        <w:tc>
          <w:tcPr>
            <w:tcW w:w="1266"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　</w:t>
            </w:r>
          </w:p>
        </w:tc>
        <w:tc>
          <w:tcPr>
            <w:tcW w:w="1219"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jc w:val="right"/>
              <w:rPr>
                <w:rFonts w:ascii="仿宋" w:hAnsi="仿宋" w:eastAsia="仿宋" w:cs="宋体"/>
                <w:b/>
                <w:color w:val="000000"/>
                <w:kern w:val="0"/>
                <w:szCs w:val="21"/>
              </w:rPr>
            </w:pPr>
            <w:r>
              <w:rPr>
                <w:rFonts w:hint="eastAsia" w:ascii="仿宋" w:hAnsi="仿宋" w:eastAsia="仿宋" w:cs="宋体"/>
                <w:b/>
                <w:color w:val="000000"/>
                <w:kern w:val="0"/>
                <w:szCs w:val="21"/>
              </w:rPr>
              <w:t>96,035.69</w:t>
            </w:r>
          </w:p>
        </w:tc>
        <w:tc>
          <w:tcPr>
            <w:tcW w:w="1358" w:type="dxa"/>
            <w:tcBorders>
              <w:top w:val="single" w:color="000000" w:sz="6" w:space="0"/>
              <w:left w:val="single" w:color="000000" w:sz="6" w:space="0"/>
              <w:bottom w:val="single" w:color="000000" w:sz="12" w:space="0"/>
              <w:right w:val="single" w:color="000000" w:sz="8" w:space="0"/>
            </w:tcBorders>
            <w:shd w:val="clear" w:color="auto" w:fill="auto"/>
            <w:vAlign w:val="center"/>
          </w:tcPr>
          <w:p>
            <w:pPr>
              <w:widowControl/>
              <w:jc w:val="right"/>
              <w:rPr>
                <w:rFonts w:ascii="仿宋" w:hAnsi="仿宋" w:eastAsia="仿宋" w:cs="宋体"/>
                <w:b/>
                <w:color w:val="000000"/>
                <w:kern w:val="0"/>
                <w:szCs w:val="21"/>
              </w:rPr>
            </w:pPr>
            <w:r>
              <w:rPr>
                <w:rFonts w:ascii="仿宋" w:hAnsi="仿宋" w:eastAsia="仿宋" w:cs="宋体"/>
                <w:b/>
                <w:color w:val="000000"/>
                <w:kern w:val="0"/>
                <w:szCs w:val="21"/>
              </w:rPr>
              <w:t>257,499.69</w:t>
            </w:r>
          </w:p>
        </w:tc>
      </w:tr>
    </w:tbl>
    <w:p>
      <w:pPr>
        <w:rPr>
          <w:rFonts w:ascii="仿宋" w:hAnsi="仿宋" w:eastAsia="仿宋" w:cs="仿宋"/>
        </w:rPr>
      </w:pPr>
    </w:p>
    <w:p>
      <w:pPr>
        <w:pStyle w:val="6"/>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根据项目产生的现金流收入与资金使用计划分析结果，沈海高速涵江互通及接线工程（涵江三江口至秀屿西徐段）项目债券资金覆盖率可以达到</w:t>
      </w:r>
      <w:r>
        <w:rPr>
          <w:rFonts w:hint="eastAsia" w:ascii="仿宋" w:hAnsi="仿宋" w:eastAsia="仿宋" w:cs="仿宋"/>
          <w:sz w:val="28"/>
          <w:szCs w:val="28"/>
          <w:lang w:val="en-US" w:eastAsia="zh-CN"/>
        </w:rPr>
        <w:t>1.56</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1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D71D5"/>
    <w:rsid w:val="000F4ECE"/>
    <w:rsid w:val="0013082B"/>
    <w:rsid w:val="001E51FA"/>
    <w:rsid w:val="003215AE"/>
    <w:rsid w:val="00336B6F"/>
    <w:rsid w:val="00437A82"/>
    <w:rsid w:val="0058747F"/>
    <w:rsid w:val="00593554"/>
    <w:rsid w:val="00623B84"/>
    <w:rsid w:val="00710158"/>
    <w:rsid w:val="007564BB"/>
    <w:rsid w:val="00763819"/>
    <w:rsid w:val="00785963"/>
    <w:rsid w:val="007E5FD8"/>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4981462"/>
    <w:rsid w:val="062E13D5"/>
    <w:rsid w:val="069549DE"/>
    <w:rsid w:val="06CF5A0A"/>
    <w:rsid w:val="0B815E16"/>
    <w:rsid w:val="133F4939"/>
    <w:rsid w:val="17325F98"/>
    <w:rsid w:val="187239E1"/>
    <w:rsid w:val="19F655F4"/>
    <w:rsid w:val="1C750FEB"/>
    <w:rsid w:val="1CD51EFC"/>
    <w:rsid w:val="1E7F51E4"/>
    <w:rsid w:val="234B4DA6"/>
    <w:rsid w:val="244A30BB"/>
    <w:rsid w:val="29D64710"/>
    <w:rsid w:val="36BB7A2A"/>
    <w:rsid w:val="3ECC555A"/>
    <w:rsid w:val="41A3147E"/>
    <w:rsid w:val="432C6099"/>
    <w:rsid w:val="45E52831"/>
    <w:rsid w:val="49F46925"/>
    <w:rsid w:val="4C9D10D3"/>
    <w:rsid w:val="4D9C7ECD"/>
    <w:rsid w:val="4F8D7EDC"/>
    <w:rsid w:val="509F7BEA"/>
    <w:rsid w:val="50CD285B"/>
    <w:rsid w:val="51CA75EB"/>
    <w:rsid w:val="52022F8C"/>
    <w:rsid w:val="56D13A43"/>
    <w:rsid w:val="5B8E4E92"/>
    <w:rsid w:val="60A07011"/>
    <w:rsid w:val="628063D4"/>
    <w:rsid w:val="644700DD"/>
    <w:rsid w:val="65A979BD"/>
    <w:rsid w:val="6CCA08D8"/>
    <w:rsid w:val="6CCA5DF4"/>
    <w:rsid w:val="6DC276F7"/>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3">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annotation subject"/>
    <w:basedOn w:val="8"/>
    <w:next w:val="8"/>
    <w:link w:val="19"/>
    <w:qFormat/>
    <w:uiPriority w:val="0"/>
    <w:rPr>
      <w:b/>
      <w:bCs/>
    </w:rPr>
  </w:style>
  <w:style w:type="paragraph" w:styleId="8">
    <w:name w:val="annotation text"/>
    <w:basedOn w:val="1"/>
    <w:link w:val="18"/>
    <w:qFormat/>
    <w:uiPriority w:val="0"/>
    <w:pPr>
      <w:jc w:val="left"/>
    </w:pPr>
  </w:style>
  <w:style w:type="paragraph" w:styleId="9">
    <w:name w:val="Balloon Text"/>
    <w:basedOn w:val="1"/>
    <w:link w:val="17"/>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Indent 3"/>
    <w:basedOn w:val="1"/>
    <w:qFormat/>
    <w:uiPriority w:val="99"/>
    <w:pPr>
      <w:spacing w:after="120"/>
      <w:ind w:left="420" w:leftChars="200"/>
    </w:pPr>
    <w:rPr>
      <w:sz w:val="16"/>
      <w:szCs w:val="16"/>
    </w:rPr>
  </w:style>
  <w:style w:type="character" w:styleId="14">
    <w:name w:val="annotation reference"/>
    <w:basedOn w:val="13"/>
    <w:qFormat/>
    <w:uiPriority w:val="0"/>
    <w:rPr>
      <w:sz w:val="21"/>
      <w:szCs w:val="21"/>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批注框文本 Char"/>
    <w:basedOn w:val="13"/>
    <w:link w:val="9"/>
    <w:qFormat/>
    <w:uiPriority w:val="0"/>
    <w:rPr>
      <w:rFonts w:asciiTheme="minorHAnsi" w:hAnsiTheme="minorHAnsi" w:eastAsiaTheme="minorEastAsia" w:cstheme="minorBidi"/>
      <w:kern w:val="2"/>
      <w:sz w:val="18"/>
      <w:szCs w:val="18"/>
    </w:rPr>
  </w:style>
  <w:style w:type="character" w:customStyle="1" w:styleId="18">
    <w:name w:val="批注文字 Char"/>
    <w:basedOn w:val="13"/>
    <w:link w:val="8"/>
    <w:qFormat/>
    <w:uiPriority w:val="0"/>
    <w:rPr>
      <w:rFonts w:asciiTheme="minorHAnsi" w:hAnsiTheme="minorHAnsi" w:eastAsiaTheme="minorEastAsia" w:cstheme="minorBidi"/>
      <w:kern w:val="2"/>
      <w:sz w:val="21"/>
      <w:szCs w:val="22"/>
    </w:rPr>
  </w:style>
  <w:style w:type="character" w:customStyle="1" w:styleId="19">
    <w:name w:val="批注主题 Char"/>
    <w:basedOn w:val="18"/>
    <w:link w:val="7"/>
    <w:qFormat/>
    <w:uiPriority w:val="0"/>
    <w:rPr>
      <w:rFonts w:asciiTheme="minorHAnsi" w:hAnsiTheme="minorHAnsi" w:eastAsiaTheme="minorEastAsia" w:cstheme="minorBidi"/>
      <w:b/>
      <w:bCs/>
      <w:kern w:val="2"/>
      <w:sz w:val="21"/>
      <w:szCs w:val="22"/>
    </w:rPr>
  </w:style>
  <w:style w:type="paragraph" w:customStyle="1" w:styleId="20">
    <w:name w:val="a正文"/>
    <w:basedOn w:val="1"/>
    <w:qFormat/>
    <w:uiPriority w:val="0"/>
    <w:pPr>
      <w:spacing w:line="560" w:lineRule="exact"/>
      <w:ind w:firstLine="200" w:firstLineChars="200"/>
      <w:jc w:val="left"/>
    </w:pPr>
    <w:rPr>
      <w:rFonts w:eastAsia="仿宋"/>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2708</Words>
  <Characters>15441</Characters>
  <Lines>128</Lines>
  <Paragraphs>36</Paragraphs>
  <TotalTime>0</TotalTime>
  <ScaleCrop>false</ScaleCrop>
  <LinksUpToDate>false</LinksUpToDate>
  <CharactersWithSpaces>18113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NTKO</cp:lastModifiedBy>
  <dcterms:modified xsi:type="dcterms:W3CDTF">2020-11-17T10:44:33Z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