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2020年福建省政府专项债券（</w:t>
      </w:r>
      <w:r>
        <w:rPr>
          <w:rFonts w:hint="eastAsia" w:ascii="仿宋" w:hAnsi="仿宋" w:eastAsia="仿宋" w:cs="仿宋"/>
          <w:b/>
          <w:sz w:val="32"/>
          <w:szCs w:val="32"/>
          <w:lang w:eastAsia="zh-CN"/>
        </w:rPr>
        <w:t>二十九</w:t>
      </w:r>
      <w:bookmarkStart w:id="3" w:name="_GoBack"/>
      <w:bookmarkEnd w:id="3"/>
      <w:r>
        <w:rPr>
          <w:rFonts w:hint="eastAsia" w:ascii="仿宋" w:hAnsi="仿宋" w:eastAsia="仿宋" w:cs="仿宋"/>
          <w:b/>
          <w:sz w:val="32"/>
          <w:szCs w:val="32"/>
        </w:rPr>
        <w:t>期）</w:t>
      </w:r>
    </w:p>
    <w:p>
      <w:pPr>
        <w:spacing w:line="360" w:lineRule="auto"/>
        <w:jc w:val="center"/>
        <w:rPr>
          <w:rFonts w:hint="default" w:ascii="仿宋" w:hAnsi="仿宋" w:eastAsia="仿宋" w:cs="仿宋"/>
          <w:b/>
          <w:sz w:val="32"/>
          <w:szCs w:val="32"/>
          <w:lang w:val="en-US" w:eastAsia="zh-CN"/>
        </w:rPr>
      </w:pPr>
      <w:r>
        <w:rPr>
          <w:rFonts w:hint="eastAsia" w:ascii="仿宋" w:hAnsi="仿宋" w:eastAsia="仿宋" w:cs="仿宋"/>
          <w:b/>
          <w:sz w:val="32"/>
          <w:szCs w:val="32"/>
          <w:lang w:val="en-US" w:eastAsia="zh-CN"/>
        </w:rPr>
        <w:t>之莆田市项目调整情况说明</w:t>
      </w:r>
    </w:p>
    <w:p>
      <w:pPr>
        <w:spacing w:line="360" w:lineRule="auto"/>
        <w:rPr>
          <w:rFonts w:ascii="仿宋" w:hAnsi="仿宋" w:eastAsia="仿宋" w:cs="仿宋"/>
          <w:sz w:val="28"/>
          <w:szCs w:val="28"/>
        </w:rPr>
      </w:pPr>
    </w:p>
    <w:p>
      <w:pPr>
        <w:spacing w:line="360" w:lineRule="auto"/>
        <w:ind w:firstLine="560" w:firstLineChars="200"/>
        <w:rPr>
          <w:rFonts w:hint="default" w:ascii="仿宋" w:hAnsi="仿宋" w:eastAsia="仿宋" w:cs="仿宋"/>
          <w:sz w:val="28"/>
          <w:szCs w:val="28"/>
          <w:lang w:val="en-US"/>
        </w:rPr>
      </w:pPr>
      <w:r>
        <w:rPr>
          <w:rFonts w:hint="eastAsia" w:ascii="仿宋" w:hAnsi="仿宋" w:eastAsia="仿宋" w:cs="仿宋"/>
          <w:sz w:val="28"/>
          <w:szCs w:val="28"/>
        </w:rPr>
        <w:t>2020年福建省政府专项债券（</w:t>
      </w:r>
      <w:r>
        <w:rPr>
          <w:rFonts w:hint="eastAsia" w:ascii="仿宋" w:hAnsi="仿宋" w:eastAsia="仿宋" w:cs="仿宋"/>
          <w:sz w:val="28"/>
          <w:szCs w:val="28"/>
          <w:lang w:eastAsia="zh-CN"/>
        </w:rPr>
        <w:t>二十九</w:t>
      </w:r>
      <w:r>
        <w:rPr>
          <w:rFonts w:hint="eastAsia" w:ascii="仿宋" w:hAnsi="仿宋" w:eastAsia="仿宋" w:cs="仿宋"/>
          <w:sz w:val="28"/>
          <w:szCs w:val="28"/>
        </w:rPr>
        <w:t>期）</w:t>
      </w:r>
      <w:r>
        <w:rPr>
          <w:rFonts w:hint="eastAsia" w:ascii="仿宋" w:hAnsi="仿宋" w:eastAsia="仿宋" w:cs="仿宋"/>
          <w:sz w:val="28"/>
          <w:szCs w:val="28"/>
          <w:lang w:val="en-US" w:eastAsia="zh-CN"/>
        </w:rPr>
        <w:t>中“涵江区民生医疗卫生设施提升项目”已</w:t>
      </w:r>
      <w:r>
        <w:rPr>
          <w:rFonts w:hint="eastAsia" w:ascii="仿宋" w:hAnsi="仿宋" w:eastAsia="仿宋" w:cs="仿宋"/>
          <w:sz w:val="28"/>
          <w:szCs w:val="28"/>
        </w:rPr>
        <w:t>发行</w:t>
      </w:r>
      <w:r>
        <w:rPr>
          <w:rFonts w:hint="eastAsia" w:ascii="仿宋" w:hAnsi="仿宋" w:eastAsia="仿宋" w:cs="仿宋"/>
          <w:sz w:val="28"/>
          <w:szCs w:val="28"/>
          <w:lang w:val="en-US" w:eastAsia="zh-CN"/>
        </w:rPr>
        <w:t>债券金额1.00</w:t>
      </w:r>
      <w:r>
        <w:rPr>
          <w:rFonts w:hint="eastAsia" w:ascii="仿宋" w:hAnsi="仿宋" w:eastAsia="仿宋" w:cs="仿宋"/>
          <w:sz w:val="28"/>
          <w:szCs w:val="28"/>
        </w:rPr>
        <w:t>亿元，期限</w:t>
      </w:r>
      <w:r>
        <w:rPr>
          <w:rFonts w:hint="eastAsia" w:ascii="仿宋" w:hAnsi="仿宋" w:eastAsia="仿宋" w:cs="仿宋"/>
          <w:sz w:val="28"/>
          <w:szCs w:val="28"/>
          <w:lang w:val="en-US" w:eastAsia="zh-CN"/>
        </w:rPr>
        <w:t>15</w:t>
      </w:r>
      <w:r>
        <w:rPr>
          <w:rFonts w:hint="eastAsia" w:ascii="仿宋" w:hAnsi="仿宋" w:eastAsia="仿宋" w:cs="仿宋"/>
          <w:sz w:val="28"/>
          <w:szCs w:val="28"/>
        </w:rPr>
        <w:t>年，</w:t>
      </w:r>
      <w:r>
        <w:rPr>
          <w:rFonts w:hint="eastAsia" w:ascii="仿宋" w:hAnsi="仿宋" w:eastAsia="仿宋" w:cs="仿宋"/>
          <w:sz w:val="28"/>
          <w:szCs w:val="28"/>
          <w:lang w:val="en-US" w:eastAsia="zh-CN"/>
        </w:rPr>
        <w:t>因年内难以形成实物工作量原因，故将“涵江区民生医疗卫生设施提升项目”0.63亿元调整用于“涵江区黄安片区改造”项目。</w:t>
      </w:r>
    </w:p>
    <w:p>
      <w:pPr>
        <w:pStyle w:val="2"/>
        <w:numPr>
          <w:ilvl w:val="0"/>
          <w:numId w:val="1"/>
        </w:numPr>
        <w:spacing w:line="360" w:lineRule="auto"/>
        <w:ind w:firstLine="562" w:firstLineChars="200"/>
      </w:pPr>
      <w:r>
        <w:rPr>
          <w:rFonts w:hint="eastAsia" w:ascii="仿宋" w:hAnsi="仿宋" w:cs="仿宋"/>
        </w:rPr>
        <w:t>资金投向说</w:t>
      </w:r>
      <w:r>
        <w:rPr>
          <w:rFonts w:hint="eastAsia" w:ascii="仿宋" w:hAnsi="仿宋" w:cs="仿宋"/>
          <w:lang w:val="en-US" w:eastAsia="zh-CN"/>
        </w:rPr>
        <w:t>明</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本次</w:t>
      </w:r>
      <w:r>
        <w:rPr>
          <w:rFonts w:hint="eastAsia" w:ascii="仿宋" w:hAnsi="仿宋" w:eastAsia="仿宋" w:cs="仿宋"/>
          <w:sz w:val="28"/>
          <w:szCs w:val="28"/>
        </w:rPr>
        <w:t>专项债券资金拟使用规模情况如下：</w:t>
      </w:r>
    </w:p>
    <w:tbl>
      <w:tblPr>
        <w:tblStyle w:val="16"/>
        <w:tblW w:w="90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065"/>
        <w:gridCol w:w="1319"/>
        <w:gridCol w:w="1319"/>
        <w:gridCol w:w="2217"/>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jc w:val="center"/>
        </w:trPr>
        <w:tc>
          <w:tcPr>
            <w:tcW w:w="1328"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调整债券名称</w:t>
            </w:r>
          </w:p>
        </w:tc>
        <w:tc>
          <w:tcPr>
            <w:tcW w:w="1065"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原项目</w:t>
            </w:r>
          </w:p>
        </w:tc>
        <w:tc>
          <w:tcPr>
            <w:tcW w:w="1319"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调整后项目</w:t>
            </w:r>
          </w:p>
        </w:tc>
        <w:tc>
          <w:tcPr>
            <w:tcW w:w="1319"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项目总投资（万元）</w:t>
            </w:r>
          </w:p>
        </w:tc>
        <w:tc>
          <w:tcPr>
            <w:tcW w:w="2217"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拟调整专项债金额</w:t>
            </w:r>
            <w:r>
              <w:rPr>
                <w:rFonts w:hint="eastAsia" w:ascii="仿宋" w:hAnsi="仿宋" w:eastAsia="仿宋" w:cs="仿宋"/>
                <w:b/>
                <w:sz w:val="24"/>
                <w:szCs w:val="24"/>
              </w:rPr>
              <w:t>（万元）</w:t>
            </w:r>
          </w:p>
        </w:tc>
        <w:tc>
          <w:tcPr>
            <w:tcW w:w="180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jc w:val="center"/>
        </w:trPr>
        <w:tc>
          <w:tcPr>
            <w:tcW w:w="1328" w:type="dxa"/>
            <w:vAlign w:val="center"/>
          </w:tcPr>
          <w:p>
            <w:pPr>
              <w:widowControl/>
              <w:jc w:val="left"/>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2020年福建省政府专项债券（</w:t>
            </w:r>
            <w:r>
              <w:rPr>
                <w:rFonts w:hint="eastAsia" w:ascii="仿宋" w:hAnsi="仿宋" w:eastAsia="仿宋" w:cs="仿宋"/>
                <w:sz w:val="24"/>
                <w:szCs w:val="24"/>
                <w:lang w:val="en-US" w:eastAsia="zh-CN"/>
              </w:rPr>
              <w:t>二十九</w:t>
            </w:r>
            <w:r>
              <w:rPr>
                <w:rFonts w:hint="default" w:ascii="仿宋" w:hAnsi="仿宋" w:eastAsia="仿宋" w:cs="仿宋"/>
                <w:sz w:val="24"/>
                <w:szCs w:val="24"/>
                <w:lang w:val="en-US" w:eastAsia="zh-CN"/>
              </w:rPr>
              <w:t>期）</w:t>
            </w:r>
          </w:p>
          <w:p>
            <w:pPr>
              <w:widowControl/>
              <w:jc w:val="left"/>
              <w:textAlignment w:val="center"/>
              <w:rPr>
                <w:rFonts w:hint="default" w:ascii="仿宋" w:hAnsi="仿宋" w:eastAsia="仿宋" w:cs="仿宋"/>
                <w:sz w:val="24"/>
                <w:szCs w:val="24"/>
                <w:lang w:val="en-US" w:eastAsia="zh-CN"/>
              </w:rPr>
            </w:pPr>
          </w:p>
        </w:tc>
        <w:tc>
          <w:tcPr>
            <w:tcW w:w="1065"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8"/>
                <w:szCs w:val="28"/>
                <w:lang w:val="en-US" w:eastAsia="zh-CN"/>
              </w:rPr>
              <w:t>涵江区民生医疗卫生设施提升项目</w:t>
            </w:r>
          </w:p>
        </w:tc>
        <w:tc>
          <w:tcPr>
            <w:tcW w:w="1319"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8"/>
                <w:szCs w:val="28"/>
                <w:lang w:val="en-US" w:eastAsia="zh-CN"/>
              </w:rPr>
              <w:t>涵江区黄安片区改造项目</w:t>
            </w:r>
          </w:p>
        </w:tc>
        <w:tc>
          <w:tcPr>
            <w:tcW w:w="1319" w:type="dxa"/>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38,255.48</w:t>
            </w:r>
          </w:p>
        </w:tc>
        <w:tc>
          <w:tcPr>
            <w:tcW w:w="2217" w:type="dxa"/>
            <w:vAlign w:val="center"/>
          </w:tcPr>
          <w:p>
            <w:pPr>
              <w:widowControl/>
              <w:jc w:val="center"/>
              <w:textAlignment w:val="center"/>
              <w:rPr>
                <w:rFonts w:hint="eastAsia" w:ascii="仿宋" w:hAnsi="仿宋" w:eastAsia="仿宋" w:cs="仿宋"/>
                <w:color w:val="000000"/>
                <w:sz w:val="22"/>
                <w:lang w:val="en-US" w:eastAsia="zh-CN"/>
              </w:rPr>
            </w:pPr>
            <w:r>
              <w:rPr>
                <w:rFonts w:hint="eastAsia" w:ascii="仿宋" w:hAnsi="仿宋" w:eastAsia="仿宋" w:cs="仿宋"/>
                <w:color w:val="000000"/>
                <w:sz w:val="22"/>
                <w:lang w:val="en-US" w:eastAsia="zh-CN"/>
              </w:rPr>
              <w:t>6</w:t>
            </w:r>
            <w:r>
              <w:rPr>
                <w:rFonts w:hint="eastAsia" w:ascii="仿宋" w:hAnsi="仿宋" w:eastAsia="仿宋" w:cs="仿宋"/>
                <w:sz w:val="24"/>
                <w:szCs w:val="24"/>
                <w:lang w:val="en-US" w:eastAsia="zh-CN"/>
              </w:rPr>
              <w:t>,</w:t>
            </w:r>
            <w:r>
              <w:rPr>
                <w:rFonts w:hint="eastAsia" w:ascii="仿宋" w:hAnsi="仿宋" w:eastAsia="仿宋" w:cs="仿宋"/>
                <w:color w:val="000000"/>
                <w:sz w:val="22"/>
                <w:lang w:val="en-US" w:eastAsia="zh-CN"/>
              </w:rPr>
              <w:t>300.00</w:t>
            </w:r>
          </w:p>
        </w:tc>
        <w:tc>
          <w:tcPr>
            <w:tcW w:w="1800" w:type="dxa"/>
            <w:vAlign w:val="center"/>
          </w:tcPr>
          <w:p>
            <w:pPr>
              <w:spacing w:line="360" w:lineRule="auto"/>
              <w:rPr>
                <w:rFonts w:ascii="Times New Roman" w:hAnsi="Times New Roman" w:eastAsia="仿宋"/>
                <w:sz w:val="28"/>
                <w:szCs w:val="28"/>
              </w:rPr>
            </w:pPr>
            <w:r>
              <w:rPr>
                <w:rFonts w:hint="eastAsia" w:ascii="Times New Roman" w:hAnsi="Times New Roman" w:eastAsia="仿宋"/>
                <w:sz w:val="28"/>
                <w:szCs w:val="28"/>
              </w:rPr>
              <w:t>莆田市涵江区城市建设投资有限公司</w:t>
            </w:r>
          </w:p>
          <w:p>
            <w:pPr>
              <w:spacing w:line="360" w:lineRule="auto"/>
              <w:rPr>
                <w:rFonts w:hint="eastAsia" w:ascii="仿宋" w:hAnsi="仿宋" w:eastAsia="仿宋" w:cs="仿宋"/>
                <w:sz w:val="24"/>
                <w:szCs w:val="24"/>
                <w:lang w:eastAsia="zh-CN"/>
              </w:rPr>
            </w:pPr>
          </w:p>
        </w:tc>
      </w:tr>
    </w:tbl>
    <w:p>
      <w:pPr>
        <w:pStyle w:val="2"/>
        <w:spacing w:line="360" w:lineRule="auto"/>
        <w:ind w:firstLine="562" w:firstLineChars="200"/>
        <w:rPr>
          <w:rFonts w:ascii="仿宋" w:hAnsi="仿宋" w:cs="仿宋"/>
        </w:rPr>
      </w:pPr>
      <w:r>
        <w:rPr>
          <w:rFonts w:hint="eastAsia" w:ascii="仿宋" w:hAnsi="仿宋" w:cs="仿宋"/>
        </w:rPr>
        <w:t>二、项目情况</w:t>
      </w:r>
    </w:p>
    <w:p>
      <w:pPr>
        <w:pStyle w:val="3"/>
        <w:spacing w:line="360" w:lineRule="auto"/>
        <w:ind w:firstLine="562" w:firstLineChars="200"/>
        <w:rPr>
          <w:rFonts w:ascii="仿宋" w:hAnsi="仿宋" w:cs="仿宋"/>
          <w:szCs w:val="28"/>
        </w:rPr>
      </w:pPr>
      <w:bookmarkStart w:id="0" w:name="_Hlk524441701"/>
      <w:r>
        <w:rPr>
          <w:rFonts w:hint="eastAsia" w:ascii="仿宋" w:hAnsi="仿宋" w:cs="仿宋"/>
          <w:szCs w:val="28"/>
        </w:rPr>
        <w:t>（一）涵江区黄安片区改造项目</w:t>
      </w:r>
    </w:p>
    <w:p>
      <w:pPr>
        <w:pStyle w:val="5"/>
        <w:spacing w:line="360" w:lineRule="auto"/>
        <w:ind w:firstLine="562" w:firstLineChars="200"/>
        <w:rPr>
          <w:rFonts w:hint="eastAsia" w:ascii="仿宋" w:hAnsi="仿宋" w:cs="仿宋"/>
        </w:rPr>
      </w:pPr>
      <w:r>
        <w:rPr>
          <w:rFonts w:hint="eastAsia" w:ascii="仿宋" w:hAnsi="仿宋" w:cs="仿宋"/>
        </w:rPr>
        <w:t>1、项目概况</w:t>
      </w:r>
    </w:p>
    <w:p>
      <w:pPr>
        <w:spacing w:line="360" w:lineRule="auto"/>
        <w:ind w:firstLine="560" w:firstLineChars="200"/>
        <w:rPr>
          <w:rFonts w:hint="eastAsia" w:ascii="Times New Roman" w:hAnsi="Times New Roman" w:eastAsia="仿宋"/>
          <w:sz w:val="28"/>
          <w:szCs w:val="28"/>
        </w:rPr>
      </w:pPr>
      <w:r>
        <w:rPr>
          <w:rFonts w:hint="eastAsia" w:ascii="Times New Roman" w:hAnsi="Times New Roman" w:eastAsia="仿宋"/>
          <w:sz w:val="28"/>
          <w:szCs w:val="28"/>
        </w:rPr>
        <w:t>项目位于涵江区涵西街道苍林黄安自然村，规划用地面积1</w:t>
      </w:r>
      <w:r>
        <w:rPr>
          <w:rFonts w:ascii="Times New Roman" w:hAnsi="Times New Roman" w:eastAsia="仿宋"/>
          <w:sz w:val="28"/>
          <w:szCs w:val="28"/>
        </w:rPr>
        <w:t>5</w:t>
      </w:r>
      <w:r>
        <w:rPr>
          <w:rFonts w:hint="eastAsia" w:ascii="Times New Roman" w:hAnsi="Times New Roman" w:eastAsia="仿宋"/>
          <w:sz w:val="28"/>
          <w:szCs w:val="28"/>
        </w:rPr>
        <w:t>,</w:t>
      </w:r>
      <w:r>
        <w:rPr>
          <w:rFonts w:ascii="Times New Roman" w:hAnsi="Times New Roman" w:eastAsia="仿宋"/>
          <w:sz w:val="28"/>
          <w:szCs w:val="28"/>
        </w:rPr>
        <w:t>199</w:t>
      </w:r>
      <w:r>
        <w:rPr>
          <w:rFonts w:hint="eastAsia" w:ascii="Times New Roman" w:hAnsi="Times New Roman" w:eastAsia="仿宋"/>
          <w:sz w:val="28"/>
          <w:szCs w:val="28"/>
        </w:rPr>
        <w:t>.</w:t>
      </w:r>
      <w:r>
        <w:rPr>
          <w:rFonts w:ascii="Times New Roman" w:hAnsi="Times New Roman" w:eastAsia="仿宋"/>
          <w:sz w:val="28"/>
          <w:szCs w:val="28"/>
        </w:rPr>
        <w:t>46</w:t>
      </w:r>
      <w:r>
        <w:rPr>
          <w:rFonts w:hint="eastAsia" w:ascii="Times New Roman" w:hAnsi="Times New Roman" w:eastAsia="仿宋"/>
          <w:sz w:val="28"/>
          <w:szCs w:val="28"/>
        </w:rPr>
        <w:t>平方米（约2</w:t>
      </w:r>
      <w:r>
        <w:rPr>
          <w:rFonts w:ascii="Times New Roman" w:hAnsi="Times New Roman" w:eastAsia="仿宋"/>
          <w:sz w:val="28"/>
          <w:szCs w:val="28"/>
        </w:rPr>
        <w:t>2</w:t>
      </w:r>
      <w:r>
        <w:rPr>
          <w:rFonts w:hint="eastAsia" w:ascii="Times New Roman" w:hAnsi="Times New Roman" w:eastAsia="仿宋"/>
          <w:sz w:val="28"/>
          <w:szCs w:val="28"/>
        </w:rPr>
        <w:t>.</w:t>
      </w:r>
      <w:r>
        <w:rPr>
          <w:rFonts w:ascii="Times New Roman" w:hAnsi="Times New Roman" w:eastAsia="仿宋"/>
          <w:sz w:val="28"/>
          <w:szCs w:val="28"/>
        </w:rPr>
        <w:t>8</w:t>
      </w:r>
      <w:r>
        <w:rPr>
          <w:rFonts w:hint="eastAsia" w:ascii="Times New Roman" w:hAnsi="Times New Roman" w:eastAsia="仿宋"/>
          <w:sz w:val="28"/>
          <w:szCs w:val="28"/>
        </w:rPr>
        <w:t>亩），项目征迁面积3</w:t>
      </w:r>
      <w:r>
        <w:rPr>
          <w:rFonts w:ascii="Times New Roman" w:hAnsi="Times New Roman" w:eastAsia="仿宋"/>
          <w:sz w:val="28"/>
          <w:szCs w:val="28"/>
        </w:rPr>
        <w:t>5</w:t>
      </w:r>
      <w:r>
        <w:rPr>
          <w:rFonts w:hint="eastAsia" w:ascii="Times New Roman" w:hAnsi="Times New Roman" w:eastAsia="仿宋"/>
          <w:sz w:val="28"/>
          <w:szCs w:val="28"/>
        </w:rPr>
        <w:t>,</w:t>
      </w:r>
      <w:r>
        <w:rPr>
          <w:rFonts w:ascii="Times New Roman" w:hAnsi="Times New Roman" w:eastAsia="仿宋"/>
          <w:sz w:val="28"/>
          <w:szCs w:val="28"/>
        </w:rPr>
        <w:t>428</w:t>
      </w:r>
      <w:r>
        <w:rPr>
          <w:rFonts w:hint="eastAsia" w:ascii="Times New Roman" w:hAnsi="Times New Roman" w:eastAsia="仿宋"/>
          <w:sz w:val="28"/>
          <w:szCs w:val="28"/>
        </w:rPr>
        <w:t>.</w:t>
      </w:r>
      <w:r>
        <w:rPr>
          <w:rFonts w:ascii="Times New Roman" w:hAnsi="Times New Roman" w:eastAsia="仿宋"/>
          <w:sz w:val="28"/>
          <w:szCs w:val="28"/>
        </w:rPr>
        <w:t>19</w:t>
      </w:r>
      <w:r>
        <w:rPr>
          <w:rFonts w:hint="eastAsia" w:ascii="Times New Roman" w:hAnsi="Times New Roman" w:eastAsia="仿宋"/>
          <w:sz w:val="28"/>
          <w:szCs w:val="28"/>
        </w:rPr>
        <w:t>平方米，总建筑面积59</w:t>
      </w:r>
      <w:r>
        <w:rPr>
          <w:rFonts w:ascii="Times New Roman" w:hAnsi="Times New Roman" w:eastAsia="仿宋"/>
          <w:sz w:val="28"/>
          <w:szCs w:val="28"/>
        </w:rPr>
        <w:t>,</w:t>
      </w:r>
      <w:r>
        <w:rPr>
          <w:rFonts w:hint="eastAsia" w:ascii="Times New Roman" w:hAnsi="Times New Roman" w:eastAsia="仿宋"/>
          <w:sz w:val="28"/>
          <w:szCs w:val="28"/>
        </w:rPr>
        <w:t>817.88平方米，其中：计容建筑面积45</w:t>
      </w:r>
      <w:r>
        <w:rPr>
          <w:rFonts w:ascii="Times New Roman" w:hAnsi="Times New Roman" w:eastAsia="仿宋"/>
          <w:sz w:val="28"/>
          <w:szCs w:val="28"/>
        </w:rPr>
        <w:t>,</w:t>
      </w:r>
      <w:r>
        <w:rPr>
          <w:rFonts w:hint="eastAsia" w:ascii="Times New Roman" w:hAnsi="Times New Roman" w:eastAsia="仿宋"/>
          <w:sz w:val="28"/>
          <w:szCs w:val="28"/>
        </w:rPr>
        <w:t>598.38平方米，不计容建筑面积14</w:t>
      </w:r>
      <w:r>
        <w:rPr>
          <w:rFonts w:ascii="Times New Roman" w:hAnsi="Times New Roman" w:eastAsia="仿宋"/>
          <w:sz w:val="28"/>
          <w:szCs w:val="28"/>
        </w:rPr>
        <w:t>,</w:t>
      </w:r>
      <w:r>
        <w:rPr>
          <w:rFonts w:hint="eastAsia" w:ascii="Times New Roman" w:hAnsi="Times New Roman" w:eastAsia="仿宋"/>
          <w:sz w:val="28"/>
          <w:szCs w:val="28"/>
        </w:rPr>
        <w:t>219.5平方米。</w:t>
      </w:r>
    </w:p>
    <w:p>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主要建设内容包括4幢24~26层住宅楼及单层裙楼、1座2层配电房、单层地下室以及道路工程、机动车及非机动停车场工程、消防水池工程、消防登高面工程、围墙及大门、设备购置等配套设施建设工程。</w:t>
      </w:r>
    </w:p>
    <w:p>
      <w:pPr>
        <w:spacing w:line="360" w:lineRule="auto"/>
        <w:ind w:firstLine="560" w:firstLineChars="200"/>
      </w:pPr>
      <w:r>
        <w:rPr>
          <w:rFonts w:hint="eastAsia" w:ascii="Times New Roman" w:hAnsi="Times New Roman" w:eastAsia="仿宋"/>
          <w:sz w:val="28"/>
          <w:szCs w:val="28"/>
        </w:rPr>
        <w:t>项目建设工期计划安排3年，项目前期工作争取2020年8月底前完成，争取2020年9月开工，2023年8月建成验收并投入使用。</w:t>
      </w:r>
    </w:p>
    <w:bookmarkEnd w:id="0"/>
    <w:p>
      <w:pPr>
        <w:pStyle w:val="5"/>
        <w:spacing w:line="360" w:lineRule="auto"/>
        <w:ind w:firstLine="562" w:firstLineChars="200"/>
        <w:rPr>
          <w:rFonts w:ascii="仿宋" w:hAnsi="仿宋" w:cs="仿宋"/>
        </w:rPr>
      </w:pPr>
      <w:r>
        <w:rPr>
          <w:rFonts w:hint="eastAsia" w:ascii="仿宋" w:hAnsi="仿宋" w:cs="仿宋"/>
        </w:rPr>
        <w:t>2、项目投资情况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根据可研批复，涵江区黄安片区改造项目投资38,255.48万元，估算表如下：</w:t>
      </w:r>
    </w:p>
    <w:p>
      <w:pPr>
        <w:pStyle w:val="20"/>
        <w:spacing w:line="360" w:lineRule="auto"/>
        <w:ind w:firstLine="562"/>
        <w:jc w:val="center"/>
        <w:rPr>
          <w:rFonts w:ascii="Times New Roman" w:hAnsi="Times New Roman"/>
          <w:b/>
          <w:kern w:val="0"/>
          <w:lang w:val="en-GB"/>
        </w:rPr>
      </w:pPr>
      <w:r>
        <w:rPr>
          <w:rFonts w:ascii="Times New Roman" w:hAnsi="Times New Roman"/>
          <w:b/>
          <w:kern w:val="0"/>
          <w:lang w:val="en-GB"/>
        </w:rPr>
        <w:t>项目总投资估算表</w:t>
      </w:r>
    </w:p>
    <w:p>
      <w:pPr>
        <w:widowControl/>
        <w:spacing w:after="120" w:line="360" w:lineRule="auto"/>
        <w:ind w:firstLine="480" w:firstLineChars="200"/>
        <w:contextualSpacing/>
        <w:jc w:val="right"/>
        <w:rPr>
          <w:rFonts w:ascii="Times New Roman" w:hAnsi="Times New Roman" w:eastAsia="仿宋"/>
          <w:kern w:val="0"/>
          <w:sz w:val="24"/>
          <w:lang w:val="en-GB"/>
        </w:rPr>
      </w:pPr>
      <w:r>
        <w:rPr>
          <w:rFonts w:ascii="Times New Roman" w:hAnsi="Times New Roman" w:eastAsia="仿宋"/>
          <w:kern w:val="0"/>
          <w:sz w:val="24"/>
          <w:lang w:val="en-GB"/>
        </w:rPr>
        <w:t>单位：人民币万元</w:t>
      </w:r>
    </w:p>
    <w:tbl>
      <w:tblPr>
        <w:tblStyle w:val="15"/>
        <w:tblW w:w="8303" w:type="dxa"/>
        <w:jc w:val="center"/>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613"/>
        <w:gridCol w:w="2214"/>
        <w:gridCol w:w="1476"/>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项目名称</w:t>
            </w:r>
          </w:p>
        </w:tc>
        <w:tc>
          <w:tcPr>
            <w:tcW w:w="2214" w:type="dxa"/>
            <w:vAlign w:val="center"/>
          </w:tcPr>
          <w:p>
            <w:pPr>
              <w:spacing w:line="320" w:lineRule="exact"/>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金额</w:t>
            </w:r>
          </w:p>
        </w:tc>
        <w:tc>
          <w:tcPr>
            <w:tcW w:w="1476" w:type="dxa"/>
            <w:vAlign w:val="center"/>
          </w:tcPr>
          <w:p>
            <w:pPr>
              <w:spacing w:line="320" w:lineRule="exact"/>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占比</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rPr>
                <w:rFonts w:ascii="Times New Roman" w:hAnsi="Times New Roman" w:eastAsia="仿宋"/>
                <w:color w:val="000000"/>
                <w:szCs w:val="21"/>
              </w:rPr>
            </w:pPr>
            <w:r>
              <w:rPr>
                <w:rFonts w:ascii="Times New Roman" w:hAnsi="Times New Roman" w:eastAsia="仿宋"/>
                <w:color w:val="000000"/>
                <w:szCs w:val="21"/>
              </w:rPr>
              <w:t>1、建设工程投资</w:t>
            </w:r>
          </w:p>
        </w:tc>
        <w:tc>
          <w:tcPr>
            <w:tcW w:w="2214" w:type="dxa"/>
            <w:vAlign w:val="center"/>
          </w:tcPr>
          <w:p>
            <w:pPr>
              <w:widowControl/>
              <w:spacing w:line="320" w:lineRule="exact"/>
              <w:jc w:val="center"/>
              <w:textAlignment w:val="center"/>
            </w:pPr>
            <w:r>
              <w:rPr>
                <w:rFonts w:hint="eastAsia"/>
              </w:rPr>
              <w:t>37,712.10</w:t>
            </w:r>
          </w:p>
        </w:tc>
        <w:tc>
          <w:tcPr>
            <w:tcW w:w="1476" w:type="dxa"/>
            <w:vAlign w:val="top"/>
          </w:tcPr>
          <w:p>
            <w:pPr>
              <w:widowControl/>
              <w:spacing w:line="320" w:lineRule="exact"/>
              <w:jc w:val="center"/>
              <w:textAlignment w:val="center"/>
              <w:rPr>
                <w:rFonts w:ascii="Times New Roman" w:hAnsi="Times New Roman" w:eastAsia="仿宋"/>
                <w:color w:val="000000"/>
                <w:szCs w:val="21"/>
              </w:rPr>
            </w:pPr>
            <w:r>
              <w:t>98.5</w:t>
            </w:r>
            <w:r>
              <w:rPr>
                <w:rFonts w:hint="eastAsia"/>
              </w:rPr>
              <w:t>8</w:t>
            </w:r>
            <w:r>
              <w:t>%</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rPr>
                <w:rFonts w:ascii="Times New Roman" w:hAnsi="Times New Roman" w:eastAsia="仿宋"/>
                <w:color w:val="000000"/>
                <w:szCs w:val="21"/>
              </w:rPr>
            </w:pPr>
            <w:r>
              <w:rPr>
                <w:rFonts w:hint="eastAsia" w:ascii="Times New Roman" w:hAnsi="Times New Roman" w:eastAsia="仿宋"/>
                <w:color w:val="000000"/>
                <w:szCs w:val="21"/>
              </w:rPr>
              <w:t>2、建设期利息</w:t>
            </w:r>
          </w:p>
        </w:tc>
        <w:tc>
          <w:tcPr>
            <w:tcW w:w="2214" w:type="dxa"/>
            <w:vAlign w:val="center"/>
          </w:tcPr>
          <w:p>
            <w:pPr>
              <w:widowControl/>
              <w:spacing w:line="320" w:lineRule="exact"/>
              <w:jc w:val="center"/>
              <w:textAlignment w:val="center"/>
            </w:pPr>
            <w:r>
              <w:rPr>
                <w:rFonts w:hint="eastAsia"/>
              </w:rPr>
              <w:t>543.38</w:t>
            </w:r>
          </w:p>
        </w:tc>
        <w:tc>
          <w:tcPr>
            <w:tcW w:w="1476" w:type="dxa"/>
            <w:vAlign w:val="top"/>
          </w:tcPr>
          <w:p>
            <w:pPr>
              <w:widowControl/>
              <w:spacing w:line="320" w:lineRule="exact"/>
              <w:jc w:val="center"/>
              <w:textAlignment w:val="center"/>
            </w:pPr>
            <w:r>
              <w:t>1.4</w:t>
            </w:r>
            <w:r>
              <w:rPr>
                <w:rFonts w:hint="eastAsia"/>
              </w:rPr>
              <w:t>2</w:t>
            </w:r>
            <w:r>
              <w:t>%</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20" w:lineRule="exact"/>
              <w:ind w:right="45"/>
              <w:contextualSpacing/>
              <w:rPr>
                <w:rFonts w:ascii="Times New Roman" w:hAnsi="Times New Roman" w:eastAsia="仿宋"/>
                <w:b/>
                <w:bCs/>
                <w:color w:val="000000"/>
                <w:szCs w:val="21"/>
              </w:rPr>
            </w:pPr>
            <w:r>
              <w:rPr>
                <w:rFonts w:ascii="Times New Roman" w:hAnsi="Times New Roman" w:eastAsia="仿宋"/>
                <w:b/>
                <w:bCs/>
                <w:color w:val="000000"/>
                <w:szCs w:val="21"/>
              </w:rPr>
              <w:t>合计：</w:t>
            </w:r>
          </w:p>
        </w:tc>
        <w:tc>
          <w:tcPr>
            <w:tcW w:w="2214" w:type="dxa"/>
            <w:vAlign w:val="center"/>
          </w:tcPr>
          <w:p>
            <w:pPr>
              <w:spacing w:line="320" w:lineRule="exact"/>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38,2</w:t>
            </w:r>
            <w:r>
              <w:rPr>
                <w:rFonts w:hint="eastAsia" w:ascii="Times New Roman" w:hAnsi="Times New Roman" w:eastAsia="仿宋"/>
                <w:b/>
                <w:bCs/>
                <w:color w:val="000000"/>
                <w:szCs w:val="21"/>
              </w:rPr>
              <w:t>55</w:t>
            </w:r>
            <w:r>
              <w:rPr>
                <w:rFonts w:ascii="Times New Roman" w:hAnsi="Times New Roman" w:eastAsia="仿宋"/>
                <w:b/>
                <w:bCs/>
                <w:color w:val="000000"/>
                <w:szCs w:val="21"/>
              </w:rPr>
              <w:t>.</w:t>
            </w:r>
            <w:r>
              <w:rPr>
                <w:rFonts w:hint="eastAsia" w:ascii="Times New Roman" w:hAnsi="Times New Roman" w:eastAsia="仿宋"/>
                <w:b/>
                <w:bCs/>
                <w:color w:val="000000"/>
                <w:szCs w:val="21"/>
              </w:rPr>
              <w:t>48</w:t>
            </w:r>
          </w:p>
        </w:tc>
        <w:tc>
          <w:tcPr>
            <w:tcW w:w="1476" w:type="dxa"/>
            <w:vAlign w:val="center"/>
          </w:tcPr>
          <w:p>
            <w:pPr>
              <w:widowControl/>
              <w:spacing w:line="320" w:lineRule="exact"/>
              <w:jc w:val="center"/>
              <w:textAlignment w:val="center"/>
              <w:rPr>
                <w:rFonts w:ascii="Times New Roman" w:hAnsi="Times New Roman" w:eastAsia="仿宋"/>
                <w:b/>
                <w:bCs/>
                <w:color w:val="000000"/>
                <w:szCs w:val="21"/>
              </w:rPr>
            </w:pPr>
            <w:r>
              <w:rPr>
                <w:rFonts w:ascii="Times New Roman" w:hAnsi="Times New Roman" w:eastAsia="仿宋"/>
                <w:b/>
                <w:bCs/>
                <w:color w:val="000000"/>
                <w:szCs w:val="21"/>
              </w:rPr>
              <w:t>100.00%</w:t>
            </w:r>
          </w:p>
        </w:tc>
      </w:tr>
    </w:tbl>
    <w:p>
      <w:pPr>
        <w:widowControl/>
        <w:spacing w:after="120" w:line="360" w:lineRule="auto"/>
        <w:ind w:firstLine="562" w:firstLineChars="200"/>
        <w:contextualSpacing/>
        <w:jc w:val="center"/>
        <w:rPr>
          <w:rFonts w:hint="eastAsia" w:ascii="仿宋" w:hAnsi="仿宋" w:eastAsia="仿宋" w:cs="仿宋"/>
          <w:b/>
          <w:kern w:val="0"/>
          <w:sz w:val="28"/>
          <w:lang w:val="en-GB"/>
        </w:rPr>
      </w:pP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该项目未来年度投资计划如下：</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项目投资计划表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5"/>
        <w:tblW w:w="8787" w:type="dxa"/>
        <w:jc w:val="center"/>
        <w:tblInd w:w="-268"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32"/>
        <w:gridCol w:w="2291"/>
        <w:gridCol w:w="1134"/>
        <w:gridCol w:w="1222"/>
        <w:gridCol w:w="1210"/>
        <w:gridCol w:w="1298"/>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632" w:type="dxa"/>
            <w:tcBorders>
              <w:top w:val="single" w:color="auto" w:sz="4" w:space="0"/>
              <w:left w:val="single" w:color="auto" w:sz="4" w:space="0"/>
            </w:tcBorders>
            <w:vAlign w:val="center"/>
          </w:tcPr>
          <w:p>
            <w:pPr>
              <w:widowControl/>
              <w:jc w:val="center"/>
              <w:rPr>
                <w:rFonts w:ascii="仿宋" w:hAnsi="仿宋" w:eastAsia="仿宋" w:cs="仿宋"/>
                <w:b/>
                <w:bCs/>
                <w:kern w:val="0"/>
                <w:szCs w:val="21"/>
              </w:rPr>
            </w:pPr>
            <w:bookmarkStart w:id="1" w:name="_Hlk50330518"/>
            <w:r>
              <w:rPr>
                <w:rFonts w:hint="eastAsia" w:ascii="仿宋" w:hAnsi="仿宋" w:eastAsia="仿宋" w:cs="仿宋"/>
                <w:b/>
                <w:bCs/>
                <w:kern w:val="0"/>
                <w:szCs w:val="21"/>
              </w:rPr>
              <w:t>年份</w:t>
            </w:r>
          </w:p>
        </w:tc>
        <w:tc>
          <w:tcPr>
            <w:tcW w:w="2291" w:type="dxa"/>
            <w:tcBorders>
              <w:top w:val="single" w:color="auto" w:sz="4" w:space="0"/>
            </w:tcBorders>
            <w:vAlign w:val="center"/>
          </w:tcPr>
          <w:p>
            <w:pPr>
              <w:widowControl/>
              <w:jc w:val="center"/>
              <w:textAlignment w:val="bottom"/>
              <w:rPr>
                <w:rFonts w:ascii="仿宋" w:hAnsi="仿宋" w:eastAsia="仿宋" w:cs="仿宋"/>
                <w:b/>
                <w:bCs/>
                <w:kern w:val="0"/>
                <w:szCs w:val="21"/>
              </w:rPr>
            </w:pPr>
            <w:r>
              <w:rPr>
                <w:rFonts w:hint="eastAsia" w:ascii="仿宋" w:hAnsi="仿宋" w:eastAsia="仿宋" w:cs="仿宋"/>
                <w:b/>
                <w:bCs/>
                <w:color w:val="000000"/>
                <w:kern w:val="0"/>
                <w:sz w:val="22"/>
                <w:lang w:bidi="ar"/>
              </w:rPr>
              <w:t>以前年度到本报告日</w:t>
            </w:r>
          </w:p>
        </w:tc>
        <w:tc>
          <w:tcPr>
            <w:tcW w:w="1134" w:type="dxa"/>
            <w:tcBorders>
              <w:top w:val="single" w:color="auto" w:sz="4" w:space="0"/>
            </w:tcBorders>
            <w:vAlign w:val="center"/>
          </w:tcPr>
          <w:p>
            <w:pPr>
              <w:widowControl/>
              <w:jc w:val="center"/>
              <w:textAlignment w:val="bottom"/>
              <w:rPr>
                <w:rFonts w:ascii="仿宋" w:hAnsi="仿宋" w:eastAsia="仿宋" w:cs="仿宋"/>
                <w:b/>
                <w:bCs/>
                <w:kern w:val="0"/>
                <w:szCs w:val="21"/>
              </w:rPr>
            </w:pPr>
            <w:r>
              <w:rPr>
                <w:rFonts w:hint="eastAsia" w:ascii="仿宋" w:hAnsi="仿宋" w:eastAsia="仿宋" w:cs="仿宋"/>
                <w:b/>
                <w:bCs/>
                <w:color w:val="000000"/>
                <w:kern w:val="0"/>
                <w:sz w:val="22"/>
                <w:lang w:bidi="ar"/>
              </w:rPr>
              <w:t>2020年</w:t>
            </w:r>
          </w:p>
        </w:tc>
        <w:tc>
          <w:tcPr>
            <w:tcW w:w="1222" w:type="dxa"/>
            <w:tcBorders>
              <w:top w:val="single" w:color="auto" w:sz="4" w:space="0"/>
            </w:tcBorders>
            <w:vAlign w:val="center"/>
          </w:tcPr>
          <w:p>
            <w:pPr>
              <w:widowControl/>
              <w:jc w:val="center"/>
              <w:textAlignment w:val="bottom"/>
              <w:rPr>
                <w:rFonts w:ascii="仿宋" w:hAnsi="仿宋" w:eastAsia="仿宋" w:cs="仿宋"/>
                <w:b/>
                <w:bCs/>
                <w:kern w:val="0"/>
                <w:szCs w:val="21"/>
              </w:rPr>
            </w:pPr>
            <w:r>
              <w:rPr>
                <w:rFonts w:hint="eastAsia" w:ascii="仿宋" w:hAnsi="仿宋" w:eastAsia="仿宋" w:cs="仿宋"/>
                <w:b/>
                <w:bCs/>
                <w:color w:val="000000"/>
                <w:kern w:val="0"/>
                <w:sz w:val="22"/>
                <w:lang w:bidi="ar"/>
              </w:rPr>
              <w:t>2021年</w:t>
            </w:r>
          </w:p>
        </w:tc>
        <w:tc>
          <w:tcPr>
            <w:tcW w:w="1210" w:type="dxa"/>
            <w:tcBorders>
              <w:top w:val="single" w:color="auto" w:sz="4" w:space="0"/>
              <w:right w:val="single" w:color="auto" w:sz="4" w:space="0"/>
            </w:tcBorders>
            <w:vAlign w:val="center"/>
          </w:tcPr>
          <w:p>
            <w:pPr>
              <w:widowControl/>
              <w:jc w:val="center"/>
              <w:rPr>
                <w:rFonts w:hint="eastAsia" w:ascii="仿宋" w:hAnsi="仿宋" w:eastAsia="仿宋" w:cs="仿宋"/>
                <w:b/>
                <w:bCs/>
                <w:kern w:val="0"/>
                <w:szCs w:val="21"/>
                <w:lang w:val="en-US" w:eastAsia="zh-CN"/>
              </w:rPr>
            </w:pPr>
            <w:r>
              <w:rPr>
                <w:rFonts w:hint="eastAsia" w:ascii="仿宋" w:hAnsi="仿宋" w:eastAsia="仿宋" w:cs="仿宋"/>
                <w:b/>
                <w:bCs/>
                <w:kern w:val="0"/>
                <w:szCs w:val="21"/>
                <w:lang w:val="en-US" w:eastAsia="zh-CN"/>
              </w:rPr>
              <w:t>2022年</w:t>
            </w:r>
          </w:p>
        </w:tc>
        <w:tc>
          <w:tcPr>
            <w:tcW w:w="1298" w:type="dxa"/>
            <w:tcBorders>
              <w:top w:val="single" w:color="auto" w:sz="4" w:space="0"/>
              <w:right w:val="single" w:color="auto" w:sz="4" w:space="0"/>
            </w:tcBorders>
            <w:vAlign w:val="center"/>
          </w:tcPr>
          <w:p>
            <w:pPr>
              <w:widowControl/>
              <w:jc w:val="center"/>
              <w:rPr>
                <w:rFonts w:ascii="仿宋" w:hAnsi="仿宋" w:eastAsia="仿宋" w:cs="仿宋"/>
                <w:b/>
                <w:bCs/>
                <w:kern w:val="0"/>
                <w:szCs w:val="21"/>
              </w:rPr>
            </w:pPr>
            <w:r>
              <w:rPr>
                <w:rFonts w:hint="eastAsia" w:ascii="仿宋" w:hAnsi="仿宋" w:eastAsia="仿宋" w:cs="仿宋"/>
                <w:b/>
                <w:bCs/>
                <w:kern w:val="0"/>
                <w:szCs w:val="21"/>
              </w:rPr>
              <w:t>合计</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632" w:type="dxa"/>
            <w:tcBorders>
              <w:left w:val="single" w:color="auto" w:sz="4" w:space="0"/>
              <w:bottom w:val="single" w:color="auto" w:sz="4"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建设资金使用</w:t>
            </w:r>
          </w:p>
        </w:tc>
        <w:tc>
          <w:tcPr>
            <w:tcW w:w="2291" w:type="dxa"/>
            <w:tcBorders>
              <w:bottom w:val="single" w:color="auto" w:sz="4" w:space="0"/>
            </w:tcBorders>
            <w:shd w:val="clear" w:color="000000" w:fill="auto"/>
            <w:vAlign w:val="center"/>
          </w:tcPr>
          <w:p>
            <w:pPr>
              <w:widowControl/>
              <w:jc w:val="center"/>
              <w:textAlignment w:val="bottom"/>
              <w:rPr>
                <w:rFonts w:hint="eastAsia" w:ascii="仿宋" w:hAnsi="仿宋" w:eastAsia="仿宋" w:cs="仿宋"/>
                <w:bCs/>
                <w:w w:val="105"/>
                <w:kern w:val="0"/>
                <w:szCs w:val="21"/>
                <w:lang w:eastAsia="zh-CN"/>
              </w:rPr>
            </w:pPr>
          </w:p>
        </w:tc>
        <w:tc>
          <w:tcPr>
            <w:tcW w:w="1134" w:type="dxa"/>
            <w:tcBorders>
              <w:bottom w:val="single" w:color="auto" w:sz="4" w:space="0"/>
            </w:tcBorders>
            <w:shd w:val="clear" w:color="000000" w:fill="auto"/>
            <w:vAlign w:val="center"/>
          </w:tcPr>
          <w:p>
            <w:pPr>
              <w:pStyle w:val="20"/>
              <w:spacing w:line="360" w:lineRule="exact"/>
              <w:ind w:firstLine="0" w:firstLineChars="0"/>
              <w:contextualSpacing/>
              <w:jc w:val="center"/>
              <w:rPr>
                <w:rFonts w:hint="eastAsia" w:ascii="仿宋" w:hAnsi="仿宋" w:eastAsia="仿宋" w:cs="仿宋"/>
                <w:bCs/>
                <w:w w:val="105"/>
                <w:kern w:val="0"/>
                <w:sz w:val="21"/>
                <w:szCs w:val="21"/>
                <w:lang w:val="en-US" w:eastAsia="zh-CN" w:bidi="ar-SA"/>
              </w:rPr>
            </w:pPr>
            <w:r>
              <w:rPr>
                <w:rFonts w:hint="eastAsia" w:ascii="仿宋" w:hAnsi="仿宋" w:eastAsia="仿宋" w:cs="仿宋"/>
                <w:bCs/>
                <w:w w:val="105"/>
                <w:kern w:val="0"/>
                <w:sz w:val="21"/>
                <w:szCs w:val="21"/>
                <w:lang w:val="en-US" w:eastAsia="zh-CN" w:bidi="ar-SA"/>
              </w:rPr>
              <w:t>7,298.43</w:t>
            </w:r>
          </w:p>
        </w:tc>
        <w:tc>
          <w:tcPr>
            <w:tcW w:w="1222" w:type="dxa"/>
            <w:tcBorders>
              <w:bottom w:val="single" w:color="auto" w:sz="4" w:space="0"/>
            </w:tcBorders>
            <w:shd w:val="clear" w:color="000000" w:fill="auto"/>
            <w:vAlign w:val="center"/>
          </w:tcPr>
          <w:p>
            <w:pPr>
              <w:pStyle w:val="20"/>
              <w:spacing w:line="360" w:lineRule="exact"/>
              <w:ind w:firstLine="0" w:firstLineChars="0"/>
              <w:contextualSpacing/>
              <w:jc w:val="center"/>
              <w:rPr>
                <w:rFonts w:hint="eastAsia" w:ascii="仿宋" w:hAnsi="仿宋" w:eastAsia="仿宋" w:cs="仿宋"/>
                <w:bCs/>
                <w:w w:val="105"/>
                <w:kern w:val="0"/>
                <w:sz w:val="21"/>
                <w:szCs w:val="21"/>
                <w:lang w:val="en-US" w:eastAsia="zh-CN" w:bidi="ar-SA"/>
              </w:rPr>
            </w:pPr>
            <w:r>
              <w:rPr>
                <w:rFonts w:hint="eastAsia" w:ascii="仿宋" w:hAnsi="仿宋" w:eastAsia="仿宋" w:cs="仿宋"/>
                <w:bCs/>
                <w:w w:val="105"/>
                <w:kern w:val="0"/>
                <w:sz w:val="21"/>
                <w:szCs w:val="21"/>
                <w:lang w:val="en-US" w:eastAsia="zh-CN" w:bidi="ar-SA"/>
              </w:rPr>
              <w:t>13,996.85</w:t>
            </w:r>
          </w:p>
        </w:tc>
        <w:tc>
          <w:tcPr>
            <w:tcW w:w="1210" w:type="dxa"/>
            <w:tcBorders>
              <w:bottom w:val="single" w:color="auto" w:sz="4" w:space="0"/>
              <w:right w:val="single" w:color="auto" w:sz="4" w:space="0"/>
            </w:tcBorders>
            <w:shd w:val="clear" w:color="000000" w:fill="auto"/>
            <w:vAlign w:val="center"/>
          </w:tcPr>
          <w:p>
            <w:pPr>
              <w:pStyle w:val="20"/>
              <w:spacing w:line="360" w:lineRule="exact"/>
              <w:ind w:firstLine="0" w:firstLineChars="0"/>
              <w:contextualSpacing/>
              <w:jc w:val="center"/>
              <w:rPr>
                <w:rFonts w:hint="eastAsia" w:ascii="仿宋" w:hAnsi="仿宋" w:eastAsia="仿宋" w:cs="仿宋"/>
                <w:bCs/>
                <w:w w:val="105"/>
                <w:kern w:val="0"/>
                <w:sz w:val="21"/>
                <w:szCs w:val="21"/>
                <w:lang w:val="en-US" w:eastAsia="zh-CN" w:bidi="ar-SA"/>
              </w:rPr>
            </w:pPr>
            <w:r>
              <w:rPr>
                <w:rFonts w:hint="eastAsia" w:ascii="仿宋" w:hAnsi="仿宋" w:eastAsia="仿宋" w:cs="仿宋"/>
                <w:bCs/>
                <w:w w:val="105"/>
                <w:kern w:val="0"/>
                <w:sz w:val="21"/>
                <w:szCs w:val="21"/>
                <w:lang w:val="en-US" w:eastAsia="zh-CN" w:bidi="ar-SA"/>
              </w:rPr>
              <w:t>16,960.20</w:t>
            </w:r>
          </w:p>
        </w:tc>
        <w:tc>
          <w:tcPr>
            <w:tcW w:w="1298" w:type="dxa"/>
            <w:tcBorders>
              <w:bottom w:val="single" w:color="auto" w:sz="4" w:space="0"/>
              <w:right w:val="single" w:color="auto" w:sz="4" w:space="0"/>
            </w:tcBorders>
            <w:shd w:val="clear" w:color="000000" w:fill="auto"/>
            <w:vAlign w:val="center"/>
          </w:tcPr>
          <w:p>
            <w:pPr>
              <w:widowControl/>
              <w:jc w:val="center"/>
              <w:textAlignment w:val="center"/>
              <w:rPr>
                <w:rFonts w:hint="eastAsia" w:ascii="仿宋" w:hAnsi="仿宋" w:eastAsia="仿宋" w:cs="仿宋"/>
                <w:bCs/>
                <w:w w:val="105"/>
                <w:kern w:val="0"/>
                <w:sz w:val="21"/>
                <w:szCs w:val="21"/>
                <w:lang w:val="en-US" w:eastAsia="zh-CN" w:bidi="ar-SA"/>
              </w:rPr>
            </w:pPr>
            <w:r>
              <w:rPr>
                <w:rFonts w:hint="eastAsia" w:ascii="仿宋" w:hAnsi="仿宋" w:eastAsia="仿宋" w:cs="仿宋"/>
                <w:bCs/>
                <w:w w:val="105"/>
                <w:kern w:val="0"/>
                <w:sz w:val="21"/>
                <w:szCs w:val="21"/>
                <w:lang w:val="en-US" w:eastAsia="zh-CN" w:bidi="ar-SA"/>
              </w:rPr>
              <w:t xml:space="preserve">38,255.48 </w:t>
            </w:r>
          </w:p>
        </w:tc>
      </w:tr>
      <w:bookmarkEnd w:id="1"/>
    </w:tbl>
    <w:p>
      <w:pPr>
        <w:pStyle w:val="5"/>
        <w:spacing w:line="360" w:lineRule="auto"/>
        <w:ind w:firstLine="562" w:firstLineChars="200"/>
        <w:rPr>
          <w:rFonts w:ascii="仿宋" w:hAnsi="仿宋" w:cs="仿宋"/>
        </w:rPr>
      </w:pPr>
      <w:r>
        <w:rPr>
          <w:rFonts w:hint="eastAsia" w:ascii="仿宋" w:hAnsi="仿宋" w:cs="仿宋"/>
        </w:rPr>
        <w:t>3、项目资金来源</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本项目资金来源分为：财政拨款为31,955.48，剩余资金6,300.00万元通过发行专项债券筹集</w:t>
      </w:r>
      <w:r>
        <w:rPr>
          <w:rFonts w:hint="eastAsia" w:ascii="仿宋" w:hAnsi="仿宋" w:eastAsia="仿宋" w:cs="仿宋"/>
          <w:sz w:val="28"/>
          <w:szCs w:val="28"/>
          <w:lang w:eastAsia="zh-CN"/>
        </w:rPr>
        <w:t>。</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资金筹措表</w:t>
      </w:r>
    </w:p>
    <w:p>
      <w:pPr>
        <w:spacing w:line="360" w:lineRule="auto"/>
        <w:ind w:firstLine="480" w:firstLineChars="200"/>
        <w:jc w:val="right"/>
        <w:rPr>
          <w:rFonts w:ascii="仿宋" w:hAnsi="仿宋" w:eastAsia="仿宋" w:cs="仿宋"/>
          <w:sz w:val="28"/>
          <w:szCs w:val="28"/>
        </w:rPr>
      </w:pPr>
      <w:r>
        <w:rPr>
          <w:rFonts w:hint="eastAsia" w:ascii="仿宋" w:hAnsi="仿宋" w:eastAsia="仿宋" w:cs="仿宋"/>
          <w:sz w:val="24"/>
          <w:szCs w:val="24"/>
        </w:rPr>
        <w:t>单位：人民币万元</w:t>
      </w:r>
    </w:p>
    <w:tbl>
      <w:tblPr>
        <w:tblStyle w:val="15"/>
        <w:tblW w:w="8520" w:type="dxa"/>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3588"/>
        <w:gridCol w:w="3712"/>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4808"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bookmarkStart w:id="2" w:name="_Hlk50330660"/>
            <w:r>
              <w:rPr>
                <w:rFonts w:hint="eastAsia" w:ascii="仿宋" w:hAnsi="仿宋" w:eastAsia="仿宋" w:cs="仿宋"/>
                <w:b/>
                <w:bCs/>
                <w:kern w:val="0"/>
                <w:szCs w:val="21"/>
              </w:rPr>
              <w:t>建设资金筹集</w:t>
            </w:r>
          </w:p>
        </w:tc>
        <w:tc>
          <w:tcPr>
            <w:tcW w:w="371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r>
              <w:rPr>
                <w:rFonts w:hint="eastAsia" w:ascii="仿宋" w:hAnsi="仿宋" w:eastAsia="仿宋" w:cs="仿宋"/>
                <w:b/>
                <w:bCs/>
                <w:kern w:val="0"/>
                <w:szCs w:val="21"/>
              </w:rPr>
              <w:t>金额</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1</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财政拨款</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eastAsia="zh-CN"/>
              </w:rPr>
              <w:t>31,955.48</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2</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专项债券</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eastAsia="zh-CN"/>
              </w:rPr>
              <w:t>6,300.00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
                <w:w w:val="105"/>
                <w:kern w:val="0"/>
                <w:szCs w:val="21"/>
              </w:rPr>
            </w:pPr>
            <w:r>
              <w:rPr>
                <w:rFonts w:hint="eastAsia" w:ascii="仿宋" w:hAnsi="仿宋" w:eastAsia="仿宋" w:cs="仿宋"/>
                <w:b/>
                <w:w w:val="105"/>
                <w:kern w:val="0"/>
                <w:szCs w:val="21"/>
              </w:rPr>
              <w:t>合计：</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
                <w:w w:val="105"/>
                <w:kern w:val="0"/>
                <w:szCs w:val="21"/>
                <w:lang w:eastAsia="zh-CN"/>
              </w:rPr>
            </w:pPr>
            <w:r>
              <w:rPr>
                <w:rFonts w:hint="eastAsia" w:ascii="仿宋" w:hAnsi="仿宋" w:eastAsia="仿宋" w:cs="仿宋"/>
                <w:b/>
                <w:w w:val="105"/>
                <w:kern w:val="0"/>
                <w:szCs w:val="21"/>
                <w:lang w:eastAsia="zh-CN"/>
              </w:rPr>
              <w:t>38,255.48</w:t>
            </w:r>
          </w:p>
        </w:tc>
      </w:tr>
      <w:bookmarkEnd w:id="2"/>
    </w:tbl>
    <w:p>
      <w:pPr>
        <w:pStyle w:val="5"/>
        <w:spacing w:line="360" w:lineRule="auto"/>
        <w:ind w:firstLine="562" w:firstLineChars="200"/>
        <w:rPr>
          <w:rFonts w:ascii="仿宋" w:hAnsi="仿宋" w:cs="仿宋"/>
        </w:rPr>
      </w:pPr>
      <w:r>
        <w:rPr>
          <w:rFonts w:hint="eastAsia" w:ascii="仿宋" w:hAnsi="仿宋" w:cs="仿宋"/>
        </w:rPr>
        <w:t>4、项目预期收益与融资自求平衡情况</w:t>
      </w:r>
    </w:p>
    <w:p>
      <w:pPr>
        <w:pStyle w:val="6"/>
        <w:spacing w:line="360" w:lineRule="auto"/>
        <w:ind w:firstLine="562" w:firstLineChars="200"/>
        <w:rPr>
          <w:rFonts w:ascii="仿宋" w:hAnsi="仿宋" w:cs="仿宋"/>
        </w:rPr>
      </w:pPr>
      <w:r>
        <w:rPr>
          <w:rFonts w:hint="eastAsia" w:ascii="仿宋" w:hAnsi="仿宋" w:cs="仿宋"/>
        </w:rPr>
        <w:t>（1）项目收益情况</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涵江区黄安片区改造项目在专项债券存续期间有稳定的现金流入，收入主要来源于住宅楼和地下停车位销售收入、土地基金收入。经测算，债券存续期内，本项目将产生净收益12,503.63万元，可覆盖债券存续期间各年的项目投资及债券本息偿还的需求，在项目涉及专项债券本息全部偿还后仍有2,943.38万元期末结余。</w:t>
      </w:r>
    </w:p>
    <w:p>
      <w:pPr>
        <w:pStyle w:val="6"/>
        <w:spacing w:line="360" w:lineRule="auto"/>
        <w:ind w:firstLine="562" w:firstLineChars="200"/>
        <w:rPr>
          <w:rFonts w:ascii="仿宋" w:hAnsi="仿宋" w:cs="仿宋"/>
        </w:rPr>
      </w:pPr>
      <w:r>
        <w:rPr>
          <w:rFonts w:hint="eastAsia" w:ascii="仿宋" w:hAnsi="仿宋" w:cs="仿宋"/>
        </w:rPr>
        <w:t>（2）项目融资还本付息情况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本项目计划使用本期债券资金6,300.00万元。本期专项债券利率按</w:t>
      </w:r>
      <w:r>
        <w:rPr>
          <w:rFonts w:hint="eastAsia" w:ascii="仿宋" w:hAnsi="仿宋" w:eastAsia="仿宋" w:cs="仿宋"/>
          <w:sz w:val="28"/>
          <w:szCs w:val="28"/>
          <w:lang w:eastAsia="zh-CN"/>
        </w:rPr>
        <w:t>“涵江区民生医疗卫生设施提升</w:t>
      </w:r>
      <w:r>
        <w:rPr>
          <w:rFonts w:hint="eastAsia" w:ascii="仿宋" w:hAnsi="仿宋" w:eastAsia="仿宋" w:cs="仿宋"/>
          <w:sz w:val="28"/>
          <w:szCs w:val="28"/>
          <w:lang w:val="en-US" w:eastAsia="zh-CN"/>
        </w:rPr>
        <w:t>项目”已发行债券利率3.45%，剩余期限15年</w:t>
      </w:r>
      <w:r>
        <w:rPr>
          <w:rFonts w:hint="eastAsia" w:ascii="仿宋" w:hAnsi="仿宋" w:eastAsia="仿宋" w:cs="仿宋"/>
          <w:sz w:val="28"/>
          <w:szCs w:val="28"/>
        </w:rPr>
        <w:t>进行测算</w:t>
      </w:r>
      <w:r>
        <w:rPr>
          <w:rFonts w:hint="eastAsia" w:ascii="仿宋" w:hAnsi="仿宋" w:eastAsia="仿宋" w:cs="仿宋"/>
          <w:sz w:val="28"/>
          <w:szCs w:val="28"/>
          <w:lang w:eastAsia="zh-CN"/>
        </w:rPr>
        <w:t>。</w:t>
      </w:r>
      <w:r>
        <w:rPr>
          <w:rFonts w:hint="eastAsia" w:ascii="仿宋" w:hAnsi="仿宋" w:eastAsia="仿宋" w:cs="仿宋"/>
          <w:sz w:val="28"/>
          <w:szCs w:val="28"/>
        </w:rPr>
        <w:t>专项债本息合计9,560.25万元本项目债券应还本付息情况如下表：</w:t>
      </w:r>
    </w:p>
    <w:p>
      <w:pPr>
        <w:spacing w:line="360" w:lineRule="auto"/>
        <w:ind w:firstLine="560" w:firstLineChars="200"/>
        <w:rPr>
          <w:rFonts w:hint="eastAsia" w:ascii="仿宋" w:hAnsi="仿宋" w:eastAsia="仿宋" w:cs="仿宋"/>
          <w:sz w:val="28"/>
          <w:szCs w:val="28"/>
        </w:rPr>
      </w:pP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项目还本付息情况表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5"/>
        <w:tblW w:w="8904" w:type="dxa"/>
        <w:tblInd w:w="-176" w:type="dxa"/>
        <w:tblLayout w:type="fixed"/>
        <w:tblCellMar>
          <w:top w:w="0" w:type="dxa"/>
          <w:left w:w="108" w:type="dxa"/>
          <w:bottom w:w="0" w:type="dxa"/>
          <w:right w:w="108" w:type="dxa"/>
        </w:tblCellMar>
      </w:tblPr>
      <w:tblGrid>
        <w:gridCol w:w="1079"/>
        <w:gridCol w:w="1266"/>
        <w:gridCol w:w="1358"/>
        <w:gridCol w:w="1358"/>
        <w:gridCol w:w="1266"/>
        <w:gridCol w:w="1219"/>
        <w:gridCol w:w="1358"/>
      </w:tblGrid>
      <w:tr>
        <w:tblPrEx>
          <w:tblLayout w:type="fixed"/>
          <w:tblCellMar>
            <w:top w:w="0" w:type="dxa"/>
            <w:left w:w="108" w:type="dxa"/>
            <w:bottom w:w="0" w:type="dxa"/>
            <w:right w:w="108" w:type="dxa"/>
          </w:tblCellMar>
        </w:tblPrEx>
        <w:trPr>
          <w:trHeight w:val="560" w:hRule="atLeast"/>
        </w:trPr>
        <w:tc>
          <w:tcPr>
            <w:tcW w:w="1079" w:type="dxa"/>
            <w:tcBorders>
              <w:top w:val="single" w:color="000000" w:sz="12" w:space="0"/>
              <w:left w:val="nil"/>
              <w:bottom w:val="single" w:color="000000" w:sz="6" w:space="0"/>
              <w:right w:val="single" w:color="000000" w:sz="6" w:space="0"/>
            </w:tcBorders>
            <w:shd w:val="clear" w:color="auto" w:fill="auto"/>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年度</w:t>
            </w:r>
          </w:p>
        </w:tc>
        <w:tc>
          <w:tcPr>
            <w:tcW w:w="1266"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期初本金余额</w:t>
            </w:r>
          </w:p>
        </w:tc>
        <w:tc>
          <w:tcPr>
            <w:tcW w:w="1358"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本年募集资金</w:t>
            </w:r>
          </w:p>
        </w:tc>
        <w:tc>
          <w:tcPr>
            <w:tcW w:w="1358"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本年偿还本金</w:t>
            </w:r>
          </w:p>
        </w:tc>
        <w:tc>
          <w:tcPr>
            <w:tcW w:w="1266"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期末本金余额</w:t>
            </w:r>
          </w:p>
        </w:tc>
        <w:tc>
          <w:tcPr>
            <w:tcW w:w="1219" w:type="dxa"/>
            <w:tcBorders>
              <w:top w:val="single" w:color="000000" w:sz="12"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本年应付利息</w:t>
            </w:r>
          </w:p>
        </w:tc>
        <w:tc>
          <w:tcPr>
            <w:tcW w:w="1358" w:type="dxa"/>
            <w:tcBorders>
              <w:top w:val="single" w:color="000000" w:sz="12" w:space="0"/>
              <w:left w:val="single" w:color="000000" w:sz="6" w:space="0"/>
              <w:bottom w:val="single" w:color="000000" w:sz="6" w:space="0"/>
              <w:right w:val="nil"/>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本年还本付息合计</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2020年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1</w:t>
            </w:r>
            <w:r>
              <w:rPr>
                <w:rFonts w:hint="eastAsia" w:ascii="仿宋" w:hAnsi="仿宋" w:eastAsia="仿宋" w:cs="宋体"/>
                <w:color w:val="000000"/>
                <w:kern w:val="0"/>
                <w:szCs w:val="21"/>
              </w:rPr>
              <w:t>08.68</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1</w:t>
            </w:r>
            <w:r>
              <w:rPr>
                <w:rFonts w:hint="eastAsia" w:ascii="仿宋" w:hAnsi="仿宋" w:eastAsia="仿宋" w:cs="宋体"/>
                <w:color w:val="000000"/>
                <w:kern w:val="0"/>
                <w:szCs w:val="21"/>
              </w:rPr>
              <w:t>08.68</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2021年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2022年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2023年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2024年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2025年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w:t>
            </w:r>
            <w:r>
              <w:rPr>
                <w:rFonts w:ascii="仿宋" w:hAnsi="仿宋" w:eastAsia="仿宋" w:cs="宋体"/>
                <w:color w:val="000000"/>
                <w:kern w:val="0"/>
                <w:szCs w:val="21"/>
              </w:rPr>
              <w:t>26</w:t>
            </w:r>
            <w:r>
              <w:rPr>
                <w:rFonts w:hint="eastAsia" w:ascii="仿宋" w:hAnsi="仿宋" w:eastAsia="仿宋" w:cs="宋体"/>
                <w:color w:val="000000"/>
                <w:kern w:val="0"/>
                <w:szCs w:val="21"/>
              </w:rPr>
              <w:t>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w:t>
            </w:r>
            <w:r>
              <w:rPr>
                <w:rFonts w:ascii="仿宋" w:hAnsi="仿宋" w:eastAsia="仿宋" w:cs="宋体"/>
                <w:color w:val="000000"/>
                <w:kern w:val="0"/>
                <w:szCs w:val="21"/>
              </w:rPr>
              <w:t>27</w:t>
            </w:r>
            <w:r>
              <w:rPr>
                <w:rFonts w:hint="eastAsia" w:ascii="仿宋" w:hAnsi="仿宋" w:eastAsia="仿宋" w:cs="宋体"/>
                <w:color w:val="000000"/>
                <w:kern w:val="0"/>
                <w:szCs w:val="21"/>
              </w:rPr>
              <w:t>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w:t>
            </w:r>
            <w:r>
              <w:rPr>
                <w:rFonts w:ascii="仿宋" w:hAnsi="仿宋" w:eastAsia="仿宋" w:cs="宋体"/>
                <w:color w:val="000000"/>
                <w:kern w:val="0"/>
                <w:szCs w:val="21"/>
              </w:rPr>
              <w:t>28</w:t>
            </w:r>
            <w:r>
              <w:rPr>
                <w:rFonts w:hint="eastAsia" w:ascii="仿宋" w:hAnsi="仿宋" w:eastAsia="仿宋" w:cs="宋体"/>
                <w:color w:val="000000"/>
                <w:kern w:val="0"/>
                <w:szCs w:val="21"/>
              </w:rPr>
              <w:t>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2029年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2030年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2031年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2032年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2033年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2034年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c>
          <w:tcPr>
            <w:tcW w:w="1358" w:type="dxa"/>
            <w:tcBorders>
              <w:top w:val="single" w:color="000000" w:sz="6" w:space="0"/>
              <w:left w:val="single" w:color="000000" w:sz="6" w:space="0"/>
              <w:bottom w:val="single" w:color="000000" w:sz="6" w:space="0"/>
              <w:right w:val="nil"/>
            </w:tcBorders>
            <w:shd w:val="clear" w:color="auto" w:fill="auto"/>
            <w:vAlign w:val="top"/>
          </w:tcPr>
          <w:p>
            <w:pPr>
              <w:jc w:val="right"/>
            </w:pPr>
            <w:r>
              <w:rPr>
                <w:rFonts w:ascii="仿宋" w:hAnsi="仿宋" w:eastAsia="仿宋" w:cs="宋体"/>
                <w:color w:val="000000"/>
                <w:kern w:val="0"/>
                <w:szCs w:val="21"/>
              </w:rPr>
              <w:t>2</w:t>
            </w:r>
            <w:r>
              <w:rPr>
                <w:rFonts w:hint="eastAsia" w:ascii="仿宋" w:hAnsi="仿宋" w:eastAsia="仿宋" w:cs="宋体"/>
                <w:color w:val="000000"/>
                <w:kern w:val="0"/>
                <w:szCs w:val="21"/>
              </w:rPr>
              <w:t>17.35</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shd w:val="clear" w:color="auto" w:fill="auto"/>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w:t>
            </w:r>
            <w:r>
              <w:rPr>
                <w:rFonts w:ascii="仿宋" w:hAnsi="仿宋" w:eastAsia="仿宋" w:cs="宋体"/>
                <w:color w:val="000000"/>
                <w:kern w:val="0"/>
                <w:szCs w:val="21"/>
              </w:rPr>
              <w:t>3</w:t>
            </w:r>
            <w:r>
              <w:rPr>
                <w:rFonts w:hint="eastAsia" w:ascii="仿宋" w:hAnsi="仿宋" w:eastAsia="仿宋" w:cs="宋体"/>
                <w:color w:val="000000"/>
                <w:kern w:val="0"/>
                <w:szCs w:val="21"/>
              </w:rPr>
              <w:t>5年</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p>
        </w:tc>
        <w:tc>
          <w:tcPr>
            <w:tcW w:w="135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rPr>
                <w:rFonts w:hint="eastAsia" w:ascii="仿宋" w:hAnsi="仿宋" w:eastAsia="仿宋" w:cs="宋体"/>
                <w:color w:val="000000"/>
                <w:kern w:val="0"/>
                <w:szCs w:val="21"/>
              </w:rPr>
            </w:pPr>
            <w:r>
              <w:rPr>
                <w:rFonts w:ascii="仿宋" w:hAnsi="仿宋" w:eastAsia="仿宋" w:cs="宋体"/>
                <w:color w:val="000000"/>
                <w:kern w:val="0"/>
                <w:szCs w:val="21"/>
              </w:rPr>
              <w:t>6</w:t>
            </w:r>
            <w:r>
              <w:rPr>
                <w:rFonts w:hint="eastAsia" w:ascii="仿宋" w:hAnsi="仿宋" w:eastAsia="仿宋" w:cs="宋体"/>
                <w:color w:val="000000"/>
                <w:kern w:val="0"/>
                <w:szCs w:val="21"/>
              </w:rPr>
              <w:t>,</w:t>
            </w:r>
            <w:r>
              <w:rPr>
                <w:rFonts w:ascii="仿宋" w:hAnsi="仿宋" w:eastAsia="仿宋" w:cs="宋体"/>
                <w:color w:val="000000"/>
                <w:kern w:val="0"/>
                <w:szCs w:val="21"/>
              </w:rPr>
              <w:t>3</w:t>
            </w:r>
            <w:r>
              <w:rPr>
                <w:rFonts w:hint="eastAsia" w:ascii="仿宋" w:hAnsi="仿宋" w:eastAsia="仿宋" w:cs="宋体"/>
                <w:color w:val="000000"/>
                <w:kern w:val="0"/>
                <w:szCs w:val="21"/>
              </w:rPr>
              <w:t>00.00</w:t>
            </w:r>
          </w:p>
        </w:tc>
        <w:tc>
          <w:tcPr>
            <w:tcW w:w="1266" w:type="dxa"/>
            <w:tcBorders>
              <w:top w:val="single" w:color="000000" w:sz="6" w:space="0"/>
              <w:left w:val="single" w:color="000000" w:sz="6" w:space="0"/>
              <w:bottom w:val="single" w:color="000000" w:sz="6" w:space="0"/>
              <w:right w:val="single" w:color="000000" w:sz="6" w:space="0"/>
            </w:tcBorders>
            <w:shd w:val="clear" w:color="auto" w:fill="auto"/>
            <w:vAlign w:val="bottom"/>
          </w:tcPr>
          <w:p>
            <w:pPr>
              <w:widowControl/>
              <w:jc w:val="right"/>
              <w:rPr>
                <w:rFonts w:hint="eastAsia" w:ascii="仿宋" w:hAnsi="仿宋" w:eastAsia="仿宋" w:cs="宋体"/>
                <w:color w:val="000000"/>
                <w:kern w:val="0"/>
                <w:szCs w:val="21"/>
              </w:rPr>
            </w:pPr>
            <w:r>
              <w:rPr>
                <w:rFonts w:hint="eastAsia" w:ascii="仿宋" w:hAnsi="仿宋" w:eastAsia="仿宋" w:cs="宋体"/>
                <w:color w:val="000000"/>
                <w:kern w:val="0"/>
                <w:szCs w:val="21"/>
              </w:rPr>
              <w:t>0</w:t>
            </w:r>
          </w:p>
        </w:tc>
        <w:tc>
          <w:tcPr>
            <w:tcW w:w="1219" w:type="dxa"/>
            <w:tcBorders>
              <w:top w:val="single" w:color="000000" w:sz="6" w:space="0"/>
              <w:left w:val="single" w:color="000000" w:sz="6" w:space="0"/>
              <w:bottom w:val="single" w:color="000000" w:sz="6" w:space="0"/>
              <w:right w:val="single" w:color="000000" w:sz="6" w:space="0"/>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1</w:t>
            </w:r>
            <w:r>
              <w:rPr>
                <w:rFonts w:hint="eastAsia" w:ascii="仿宋" w:hAnsi="仿宋" w:eastAsia="仿宋" w:cs="宋体"/>
                <w:color w:val="000000"/>
                <w:kern w:val="0"/>
                <w:szCs w:val="21"/>
              </w:rPr>
              <w:t>08.68</w:t>
            </w:r>
          </w:p>
        </w:tc>
        <w:tc>
          <w:tcPr>
            <w:tcW w:w="1358" w:type="dxa"/>
            <w:tcBorders>
              <w:top w:val="single" w:color="000000" w:sz="6" w:space="0"/>
              <w:left w:val="single" w:color="000000" w:sz="6" w:space="0"/>
              <w:bottom w:val="single" w:color="000000" w:sz="6" w:space="0"/>
              <w:right w:val="nil"/>
            </w:tcBorders>
            <w:shd w:val="clear" w:color="auto" w:fill="auto"/>
            <w:vAlign w:val="top"/>
          </w:tcPr>
          <w:p>
            <w:pPr>
              <w:widowControl/>
              <w:jc w:val="right"/>
              <w:rPr>
                <w:rFonts w:ascii="仿宋" w:hAnsi="仿宋" w:eastAsia="仿宋" w:cs="宋体"/>
                <w:color w:val="000000"/>
                <w:kern w:val="0"/>
                <w:szCs w:val="21"/>
              </w:rPr>
            </w:pPr>
            <w:r>
              <w:rPr>
                <w:rFonts w:ascii="仿宋" w:hAnsi="仿宋" w:eastAsia="仿宋" w:cs="宋体"/>
                <w:color w:val="000000"/>
                <w:kern w:val="0"/>
                <w:szCs w:val="21"/>
              </w:rPr>
              <w:t>64</w:t>
            </w:r>
            <w:r>
              <w:rPr>
                <w:rFonts w:hint="eastAsia" w:ascii="仿宋" w:hAnsi="仿宋" w:eastAsia="仿宋" w:cs="宋体"/>
                <w:color w:val="000000"/>
                <w:kern w:val="0"/>
                <w:szCs w:val="21"/>
              </w:rPr>
              <w:t>08</w:t>
            </w:r>
            <w:r>
              <w:rPr>
                <w:rFonts w:ascii="仿宋" w:hAnsi="仿宋" w:eastAsia="仿宋" w:cs="宋体"/>
                <w:color w:val="000000"/>
                <w:kern w:val="0"/>
                <w:szCs w:val="21"/>
              </w:rPr>
              <w:t>.</w:t>
            </w:r>
            <w:r>
              <w:rPr>
                <w:rFonts w:hint="eastAsia" w:ascii="仿宋" w:hAnsi="仿宋" w:eastAsia="仿宋" w:cs="宋体"/>
                <w:color w:val="000000"/>
                <w:kern w:val="0"/>
                <w:szCs w:val="21"/>
              </w:rPr>
              <w:t>68</w:t>
            </w:r>
          </w:p>
        </w:tc>
      </w:tr>
      <w:tr>
        <w:tblPrEx>
          <w:tblLayout w:type="fixed"/>
          <w:tblCellMar>
            <w:top w:w="0" w:type="dxa"/>
            <w:left w:w="108" w:type="dxa"/>
            <w:bottom w:w="0" w:type="dxa"/>
            <w:right w:w="108" w:type="dxa"/>
          </w:tblCellMar>
        </w:tblPrEx>
        <w:trPr>
          <w:trHeight w:val="290" w:hRule="atLeast"/>
        </w:trPr>
        <w:tc>
          <w:tcPr>
            <w:tcW w:w="1079" w:type="dxa"/>
            <w:tcBorders>
              <w:top w:val="single" w:color="000000" w:sz="6" w:space="0"/>
              <w:left w:val="nil"/>
              <w:bottom w:val="single" w:color="000000" w:sz="12" w:space="0"/>
              <w:right w:val="single" w:color="000000" w:sz="6" w:space="0"/>
            </w:tcBorders>
            <w:shd w:val="clear" w:color="auto" w:fill="auto"/>
            <w:vAlign w:val="center"/>
          </w:tcPr>
          <w:p>
            <w:pPr>
              <w:widowControl/>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合计</w:t>
            </w:r>
          </w:p>
        </w:tc>
        <w:tc>
          <w:tcPr>
            <w:tcW w:w="1266"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　</w:t>
            </w:r>
          </w:p>
        </w:tc>
        <w:tc>
          <w:tcPr>
            <w:tcW w:w="1358" w:type="dxa"/>
            <w:tcBorders>
              <w:top w:val="single" w:color="000000" w:sz="6" w:space="0"/>
              <w:left w:val="single" w:color="000000" w:sz="6" w:space="0"/>
              <w:bottom w:val="single" w:color="000000" w:sz="12" w:space="0"/>
              <w:right w:val="single" w:color="000000" w:sz="6" w:space="0"/>
            </w:tcBorders>
            <w:shd w:val="clear" w:color="auto" w:fill="auto"/>
            <w:vAlign w:val="bottom"/>
          </w:tcPr>
          <w:p>
            <w:pPr>
              <w:widowControl/>
              <w:jc w:val="right"/>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6,300.00</w:t>
            </w:r>
          </w:p>
        </w:tc>
        <w:tc>
          <w:tcPr>
            <w:tcW w:w="1358" w:type="dxa"/>
            <w:tcBorders>
              <w:top w:val="single" w:color="000000" w:sz="6" w:space="0"/>
              <w:left w:val="single" w:color="000000" w:sz="6" w:space="0"/>
              <w:bottom w:val="single" w:color="000000" w:sz="12" w:space="0"/>
              <w:right w:val="single" w:color="000000" w:sz="6" w:space="0"/>
            </w:tcBorders>
            <w:shd w:val="clear" w:color="auto" w:fill="auto"/>
            <w:vAlign w:val="bottom"/>
          </w:tcPr>
          <w:p>
            <w:pPr>
              <w:widowControl/>
              <w:jc w:val="right"/>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6,300.00</w:t>
            </w:r>
          </w:p>
        </w:tc>
        <w:tc>
          <w:tcPr>
            <w:tcW w:w="1266"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　</w:t>
            </w:r>
          </w:p>
        </w:tc>
        <w:tc>
          <w:tcPr>
            <w:tcW w:w="1219" w:type="dxa"/>
            <w:tcBorders>
              <w:top w:val="single" w:color="000000" w:sz="6" w:space="0"/>
              <w:left w:val="single" w:color="000000" w:sz="6" w:space="0"/>
              <w:bottom w:val="single" w:color="000000" w:sz="12" w:space="0"/>
              <w:right w:val="single" w:color="000000" w:sz="6" w:space="0"/>
            </w:tcBorders>
            <w:shd w:val="clear" w:color="auto" w:fill="auto"/>
            <w:vAlign w:val="top"/>
          </w:tcPr>
          <w:p>
            <w:pPr>
              <w:widowControl/>
              <w:jc w:val="right"/>
              <w:rPr>
                <w:rFonts w:ascii="仿宋" w:hAnsi="仿宋" w:eastAsia="仿宋" w:cs="宋体"/>
                <w:b/>
                <w:bCs/>
                <w:color w:val="000000"/>
                <w:kern w:val="0"/>
                <w:szCs w:val="21"/>
              </w:rPr>
            </w:pPr>
            <w:r>
              <w:rPr>
                <w:rFonts w:hint="eastAsia" w:ascii="仿宋" w:hAnsi="仿宋" w:eastAsia="仿宋" w:cs="宋体"/>
                <w:b/>
                <w:bCs/>
                <w:color w:val="000000"/>
                <w:kern w:val="0"/>
                <w:szCs w:val="21"/>
              </w:rPr>
              <w:t>3</w:t>
            </w:r>
            <w:r>
              <w:rPr>
                <w:rFonts w:ascii="仿宋" w:hAnsi="仿宋" w:eastAsia="仿宋" w:cs="宋体"/>
                <w:b/>
                <w:bCs/>
                <w:color w:val="000000"/>
                <w:kern w:val="0"/>
                <w:szCs w:val="21"/>
              </w:rPr>
              <w:t>,</w:t>
            </w:r>
            <w:r>
              <w:rPr>
                <w:rFonts w:hint="eastAsia" w:ascii="仿宋" w:hAnsi="仿宋" w:eastAsia="仿宋" w:cs="宋体"/>
                <w:b/>
                <w:bCs/>
                <w:color w:val="000000"/>
                <w:kern w:val="0"/>
                <w:szCs w:val="21"/>
              </w:rPr>
              <w:t>260</w:t>
            </w:r>
            <w:r>
              <w:rPr>
                <w:rFonts w:ascii="仿宋" w:hAnsi="仿宋" w:eastAsia="仿宋" w:cs="宋体"/>
                <w:b/>
                <w:bCs/>
                <w:color w:val="000000"/>
                <w:kern w:val="0"/>
                <w:szCs w:val="21"/>
              </w:rPr>
              <w:t>.</w:t>
            </w:r>
            <w:r>
              <w:rPr>
                <w:rFonts w:hint="eastAsia" w:ascii="仿宋" w:hAnsi="仿宋" w:eastAsia="仿宋" w:cs="宋体"/>
                <w:b/>
                <w:bCs/>
                <w:color w:val="000000"/>
                <w:kern w:val="0"/>
                <w:szCs w:val="21"/>
              </w:rPr>
              <w:t>25</w:t>
            </w:r>
          </w:p>
        </w:tc>
        <w:tc>
          <w:tcPr>
            <w:tcW w:w="1358" w:type="dxa"/>
            <w:tcBorders>
              <w:top w:val="single" w:color="000000" w:sz="6" w:space="0"/>
              <w:left w:val="single" w:color="000000" w:sz="6" w:space="0"/>
              <w:bottom w:val="single" w:color="000000" w:sz="12" w:space="0"/>
              <w:right w:val="single" w:color="000000" w:sz="8" w:space="0"/>
            </w:tcBorders>
            <w:shd w:val="clear" w:color="auto" w:fill="auto"/>
            <w:vAlign w:val="top"/>
          </w:tcPr>
          <w:p>
            <w:pPr>
              <w:widowControl/>
              <w:jc w:val="right"/>
              <w:rPr>
                <w:rFonts w:ascii="仿宋" w:hAnsi="仿宋" w:eastAsia="仿宋" w:cs="宋体"/>
                <w:b/>
                <w:bCs/>
                <w:color w:val="000000"/>
                <w:kern w:val="0"/>
                <w:szCs w:val="21"/>
              </w:rPr>
            </w:pPr>
            <w:r>
              <w:rPr>
                <w:rFonts w:hint="eastAsia" w:ascii="仿宋" w:hAnsi="仿宋" w:eastAsia="仿宋" w:cs="宋体"/>
                <w:b/>
                <w:bCs/>
                <w:color w:val="000000"/>
                <w:kern w:val="0"/>
                <w:szCs w:val="21"/>
              </w:rPr>
              <w:t>9</w:t>
            </w:r>
            <w:r>
              <w:rPr>
                <w:rFonts w:ascii="仿宋" w:hAnsi="仿宋" w:eastAsia="仿宋" w:cs="宋体"/>
                <w:b/>
                <w:bCs/>
                <w:color w:val="000000"/>
                <w:kern w:val="0"/>
                <w:szCs w:val="21"/>
              </w:rPr>
              <w:t>,</w:t>
            </w:r>
            <w:r>
              <w:rPr>
                <w:rFonts w:hint="eastAsia" w:ascii="仿宋" w:hAnsi="仿宋" w:eastAsia="仿宋" w:cs="宋体"/>
                <w:b/>
                <w:bCs/>
                <w:color w:val="000000"/>
                <w:kern w:val="0"/>
                <w:szCs w:val="21"/>
              </w:rPr>
              <w:t>560</w:t>
            </w:r>
            <w:r>
              <w:rPr>
                <w:rFonts w:ascii="仿宋" w:hAnsi="仿宋" w:eastAsia="仿宋" w:cs="宋体"/>
                <w:b/>
                <w:bCs/>
                <w:color w:val="000000"/>
                <w:kern w:val="0"/>
                <w:szCs w:val="21"/>
              </w:rPr>
              <w:t>.</w:t>
            </w:r>
            <w:r>
              <w:rPr>
                <w:rFonts w:hint="eastAsia" w:ascii="仿宋" w:hAnsi="仿宋" w:eastAsia="仿宋" w:cs="宋体"/>
                <w:b/>
                <w:bCs/>
                <w:color w:val="000000"/>
                <w:kern w:val="0"/>
                <w:szCs w:val="21"/>
              </w:rPr>
              <w:t>25</w:t>
            </w:r>
          </w:p>
        </w:tc>
      </w:tr>
    </w:tbl>
    <w:p>
      <w:pPr>
        <w:rPr>
          <w:rFonts w:ascii="仿宋" w:hAnsi="仿宋" w:eastAsia="仿宋" w:cs="仿宋"/>
        </w:rPr>
      </w:pPr>
    </w:p>
    <w:p>
      <w:pPr>
        <w:pStyle w:val="6"/>
        <w:spacing w:line="360" w:lineRule="auto"/>
        <w:ind w:firstLine="562" w:firstLineChars="200"/>
        <w:rPr>
          <w:rFonts w:ascii="仿宋" w:hAnsi="仿宋" w:cs="仿宋"/>
        </w:rPr>
      </w:pPr>
      <w:r>
        <w:rPr>
          <w:rFonts w:hint="eastAsia" w:ascii="仿宋" w:hAnsi="仿宋" w:cs="仿宋"/>
        </w:rPr>
        <w:t>（3）自求平衡情况</w:t>
      </w:r>
    </w:p>
    <w:p>
      <w:pPr>
        <w:spacing w:line="360" w:lineRule="auto"/>
        <w:ind w:firstLine="560" w:firstLineChars="200"/>
        <w:rPr>
          <w:rFonts w:hint="eastAsia" w:ascii="仿宋" w:hAnsi="仿宋" w:eastAsia="仿宋" w:cs="仿宋"/>
          <w:b/>
          <w:sz w:val="28"/>
          <w:szCs w:val="28"/>
          <w:lang w:eastAsia="zh-CN"/>
        </w:rPr>
      </w:pPr>
      <w:r>
        <w:rPr>
          <w:rFonts w:hint="eastAsia" w:ascii="仿宋" w:hAnsi="仿宋" w:eastAsia="仿宋" w:cs="仿宋"/>
          <w:sz w:val="28"/>
          <w:szCs w:val="28"/>
        </w:rPr>
        <w:t>根据项目产生的现金流收入与资金使用计划分析结果，涵江区黄安片区改造项目债券资金覆盖率可以达到</w:t>
      </w:r>
      <w:r>
        <w:rPr>
          <w:rFonts w:hint="eastAsia" w:ascii="仿宋" w:hAnsi="仿宋" w:eastAsia="仿宋" w:cs="仿宋"/>
          <w:sz w:val="28"/>
          <w:szCs w:val="28"/>
          <w:lang w:val="en-US" w:eastAsia="zh-CN"/>
        </w:rPr>
        <w:t>1.31</w:t>
      </w:r>
      <w:r>
        <w:rPr>
          <w:rFonts w:hint="eastAsia" w:ascii="仿宋" w:hAnsi="仿宋" w:eastAsia="仿宋" w:cs="仿宋"/>
          <w:sz w:val="28"/>
          <w:szCs w:val="28"/>
        </w:rPr>
        <w:t>倍。系专项收入与本项目已发行及预计发行的所有债券还本付息总额之比率。项目收益可以覆盖融资成本，债券资金偿还安全度较高</w:t>
      </w:r>
      <w:r>
        <w:rPr>
          <w:rFonts w:hint="eastAsia" w:ascii="仿宋" w:hAnsi="仿宋" w:eastAsia="仿宋" w:cs="仿宋"/>
          <w:sz w:val="28"/>
          <w:szCs w:val="28"/>
          <w:lang w:eastAsia="zh-CN"/>
        </w:rPr>
        <w:t>。</w:t>
      </w:r>
    </w:p>
    <w:p>
      <w:pPr>
        <w:spacing w:line="360" w:lineRule="auto"/>
        <w:ind w:firstLine="560" w:firstLineChars="200"/>
        <w:rPr>
          <w:rFonts w:ascii="仿宋" w:hAnsi="仿宋" w:eastAsia="仿宋" w:cs="仿宋"/>
          <w:sz w:val="28"/>
          <w:szCs w:val="28"/>
        </w:rPr>
      </w:pPr>
    </w:p>
    <w:p>
      <w:pPr>
        <w:spacing w:line="360" w:lineRule="auto"/>
        <w:ind w:firstLine="560" w:firstLineChars="200"/>
        <w:rPr>
          <w:rFonts w:ascii="仿宋" w:hAnsi="仿宋" w:eastAsia="仿宋" w:cs="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639731"/>
    </w:sdtPr>
    <w:sdtEndPr>
      <w:rPr>
        <w:rFonts w:ascii="Times New Roman" w:hAnsi="Times New Roman"/>
      </w:rPr>
    </w:sdtEndPr>
    <w:sdtContent>
      <w:p>
        <w:pPr>
          <w:pStyle w:val="1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25</w:t>
        </w:r>
        <w:r>
          <w:rPr>
            <w:rFonts w:ascii="Times New Roman" w:hAnsi="Times New Roma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E36D6"/>
    <w:multiLevelType w:val="singleLevel"/>
    <w:tmpl w:val="5C8E36D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000141"/>
    <w:rsid w:val="000107CF"/>
    <w:rsid w:val="000D71D5"/>
    <w:rsid w:val="000F4ECE"/>
    <w:rsid w:val="0013082B"/>
    <w:rsid w:val="001E51FA"/>
    <w:rsid w:val="003215AE"/>
    <w:rsid w:val="00336B6F"/>
    <w:rsid w:val="00437A82"/>
    <w:rsid w:val="0058747F"/>
    <w:rsid w:val="00593554"/>
    <w:rsid w:val="00623B84"/>
    <w:rsid w:val="00710158"/>
    <w:rsid w:val="007564BB"/>
    <w:rsid w:val="00763819"/>
    <w:rsid w:val="00785963"/>
    <w:rsid w:val="007E5FD8"/>
    <w:rsid w:val="009F4874"/>
    <w:rsid w:val="00A36643"/>
    <w:rsid w:val="00A4674A"/>
    <w:rsid w:val="00A87F0E"/>
    <w:rsid w:val="00B045F7"/>
    <w:rsid w:val="00B5784F"/>
    <w:rsid w:val="00C42271"/>
    <w:rsid w:val="00C57D77"/>
    <w:rsid w:val="00C654D4"/>
    <w:rsid w:val="00C71460"/>
    <w:rsid w:val="00CE797F"/>
    <w:rsid w:val="00D9489C"/>
    <w:rsid w:val="00DE43B3"/>
    <w:rsid w:val="00E04B7D"/>
    <w:rsid w:val="00F04E9C"/>
    <w:rsid w:val="00F419D1"/>
    <w:rsid w:val="00F439A6"/>
    <w:rsid w:val="00FD088F"/>
    <w:rsid w:val="02311840"/>
    <w:rsid w:val="062E13D5"/>
    <w:rsid w:val="069549DE"/>
    <w:rsid w:val="06CF5A0A"/>
    <w:rsid w:val="0B815E16"/>
    <w:rsid w:val="133F4939"/>
    <w:rsid w:val="17325F98"/>
    <w:rsid w:val="187239E1"/>
    <w:rsid w:val="19F655F4"/>
    <w:rsid w:val="1C750FEB"/>
    <w:rsid w:val="1CD51EFC"/>
    <w:rsid w:val="1E7F51E4"/>
    <w:rsid w:val="234B4DA6"/>
    <w:rsid w:val="244A30BB"/>
    <w:rsid w:val="25607F07"/>
    <w:rsid w:val="25A25C2E"/>
    <w:rsid w:val="289B53DE"/>
    <w:rsid w:val="29D64710"/>
    <w:rsid w:val="36BB7A2A"/>
    <w:rsid w:val="3ECC555A"/>
    <w:rsid w:val="41A3147E"/>
    <w:rsid w:val="45E52831"/>
    <w:rsid w:val="49F46925"/>
    <w:rsid w:val="4C9D10D3"/>
    <w:rsid w:val="4D9C7ECD"/>
    <w:rsid w:val="4F8D7EDC"/>
    <w:rsid w:val="50CD285B"/>
    <w:rsid w:val="50DF031F"/>
    <w:rsid w:val="51CA75EB"/>
    <w:rsid w:val="52022F8C"/>
    <w:rsid w:val="56D13A43"/>
    <w:rsid w:val="5B8E4E92"/>
    <w:rsid w:val="60A07011"/>
    <w:rsid w:val="628063D4"/>
    <w:rsid w:val="65A979BD"/>
    <w:rsid w:val="671C4383"/>
    <w:rsid w:val="6CCA08D8"/>
    <w:rsid w:val="6CCA5DF4"/>
    <w:rsid w:val="6DC276F7"/>
    <w:rsid w:val="74D80A5A"/>
    <w:rsid w:val="75800876"/>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3">
    <w:name w:val="heading 2"/>
    <w:basedOn w:val="1"/>
    <w:next w:val="4"/>
    <w:unhideWhenUsed/>
    <w:qFormat/>
    <w:uiPriority w:val="9"/>
    <w:pPr>
      <w:keepNext/>
      <w:keepLines/>
      <w:spacing w:before="120" w:after="120"/>
      <w:outlineLvl w:val="1"/>
    </w:pPr>
    <w:rPr>
      <w:rFonts w:ascii="Arial" w:hAnsi="Arial" w:eastAsia="仿宋"/>
      <w:b/>
      <w:sz w:val="28"/>
      <w:szCs w:val="20"/>
    </w:rPr>
  </w:style>
  <w:style w:type="paragraph" w:styleId="5">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6">
    <w:name w:val="heading 4"/>
    <w:basedOn w:val="1"/>
    <w:next w:val="1"/>
    <w:unhideWhenUsed/>
    <w:qFormat/>
    <w:uiPriority w:val="9"/>
    <w:pPr>
      <w:keepNext/>
      <w:keepLines/>
      <w:outlineLvl w:val="3"/>
    </w:pPr>
    <w:rPr>
      <w:rFonts w:ascii="Arial" w:hAnsi="Arial" w:eastAsia="仿宋"/>
      <w:b/>
      <w:bCs/>
      <w:sz w:val="28"/>
      <w:szCs w:val="28"/>
    </w:rPr>
  </w:style>
  <w:style w:type="character" w:default="1" w:styleId="13">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7">
    <w:name w:val="annotation subject"/>
    <w:basedOn w:val="8"/>
    <w:next w:val="8"/>
    <w:link w:val="19"/>
    <w:qFormat/>
    <w:uiPriority w:val="0"/>
    <w:rPr>
      <w:b/>
      <w:bCs/>
    </w:rPr>
  </w:style>
  <w:style w:type="paragraph" w:styleId="8">
    <w:name w:val="annotation text"/>
    <w:basedOn w:val="1"/>
    <w:link w:val="18"/>
    <w:qFormat/>
    <w:uiPriority w:val="0"/>
    <w:pPr>
      <w:jc w:val="left"/>
    </w:pPr>
  </w:style>
  <w:style w:type="paragraph" w:styleId="9">
    <w:name w:val="Balloon Text"/>
    <w:basedOn w:val="1"/>
    <w:link w:val="17"/>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Indent 3"/>
    <w:basedOn w:val="1"/>
    <w:qFormat/>
    <w:uiPriority w:val="99"/>
    <w:pPr>
      <w:spacing w:after="120"/>
      <w:ind w:left="420" w:leftChars="200"/>
    </w:pPr>
    <w:rPr>
      <w:sz w:val="16"/>
      <w:szCs w:val="16"/>
    </w:rPr>
  </w:style>
  <w:style w:type="character" w:styleId="14">
    <w:name w:val="annotation reference"/>
    <w:basedOn w:val="13"/>
    <w:qFormat/>
    <w:uiPriority w:val="0"/>
    <w:rPr>
      <w:sz w:val="21"/>
      <w:szCs w:val="21"/>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批注框文本 Char"/>
    <w:basedOn w:val="13"/>
    <w:link w:val="9"/>
    <w:qFormat/>
    <w:uiPriority w:val="0"/>
    <w:rPr>
      <w:rFonts w:asciiTheme="minorHAnsi" w:hAnsiTheme="minorHAnsi" w:eastAsiaTheme="minorEastAsia" w:cstheme="minorBidi"/>
      <w:kern w:val="2"/>
      <w:sz w:val="18"/>
      <w:szCs w:val="18"/>
    </w:rPr>
  </w:style>
  <w:style w:type="character" w:customStyle="1" w:styleId="18">
    <w:name w:val="批注文字 Char"/>
    <w:basedOn w:val="13"/>
    <w:link w:val="8"/>
    <w:qFormat/>
    <w:uiPriority w:val="0"/>
    <w:rPr>
      <w:rFonts w:asciiTheme="minorHAnsi" w:hAnsiTheme="minorHAnsi" w:eastAsiaTheme="minorEastAsia" w:cstheme="minorBidi"/>
      <w:kern w:val="2"/>
      <w:sz w:val="21"/>
      <w:szCs w:val="22"/>
    </w:rPr>
  </w:style>
  <w:style w:type="character" w:customStyle="1" w:styleId="19">
    <w:name w:val="批注主题 Char"/>
    <w:basedOn w:val="18"/>
    <w:link w:val="7"/>
    <w:qFormat/>
    <w:uiPriority w:val="0"/>
    <w:rPr>
      <w:rFonts w:asciiTheme="minorHAnsi" w:hAnsiTheme="minorHAnsi" w:eastAsiaTheme="minorEastAsia" w:cstheme="minorBidi"/>
      <w:b/>
      <w:bCs/>
      <w:kern w:val="2"/>
      <w:sz w:val="21"/>
      <w:szCs w:val="22"/>
    </w:rPr>
  </w:style>
  <w:style w:type="paragraph" w:customStyle="1" w:styleId="20">
    <w:name w:val="a正文"/>
    <w:basedOn w:val="1"/>
    <w:qFormat/>
    <w:uiPriority w:val="0"/>
    <w:pPr>
      <w:spacing w:line="560" w:lineRule="exact"/>
      <w:ind w:firstLine="200" w:firstLineChars="200"/>
      <w:jc w:val="left"/>
    </w:pPr>
    <w:rPr>
      <w:rFonts w:eastAsia="仿宋"/>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29</Pages>
  <Words>2708</Words>
  <Characters>15441</Characters>
  <Lines>128</Lines>
  <Paragraphs>36</Paragraphs>
  <TotalTime>1</TotalTime>
  <ScaleCrop>false</ScaleCrop>
  <LinksUpToDate>false</LinksUpToDate>
  <CharactersWithSpaces>18113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2020-05-05T04:42:00Z</dcterms:created>
  <dc:creator>FZ09259566</dc:creator>
  <cp:lastModifiedBy>NTKO</cp:lastModifiedBy>
  <dcterms:modified xsi:type="dcterms:W3CDTF">2020-11-17T10:43:27Z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