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20</w:t>
      </w:r>
      <w:r>
        <w:rPr>
          <w:rFonts w:hint="eastAsia" w:ascii="仿宋" w:hAnsi="仿宋" w:eastAsia="仿宋" w:cs="仿宋"/>
          <w:b/>
          <w:sz w:val="32"/>
          <w:szCs w:val="32"/>
          <w:lang w:val="en-US" w:eastAsia="zh-CN"/>
        </w:rPr>
        <w:t>19</w:t>
      </w:r>
      <w:r>
        <w:rPr>
          <w:rFonts w:hint="eastAsia" w:ascii="仿宋" w:hAnsi="仿宋" w:eastAsia="仿宋" w:cs="仿宋"/>
          <w:b/>
          <w:sz w:val="32"/>
          <w:szCs w:val="32"/>
        </w:rPr>
        <w:t>年福建省政府专项债券（</w:t>
      </w:r>
      <w:r>
        <w:rPr>
          <w:rFonts w:hint="eastAsia" w:ascii="仿宋" w:hAnsi="仿宋" w:eastAsia="仿宋" w:cs="仿宋"/>
          <w:b/>
          <w:sz w:val="32"/>
          <w:szCs w:val="32"/>
          <w:lang w:val="en-US" w:eastAsia="zh-CN"/>
        </w:rPr>
        <w:t>二十一</w:t>
      </w:r>
      <w:r>
        <w:rPr>
          <w:rFonts w:hint="eastAsia" w:ascii="仿宋" w:hAnsi="仿宋" w:eastAsia="仿宋" w:cs="仿宋"/>
          <w:b/>
          <w:sz w:val="32"/>
          <w:szCs w:val="32"/>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之龙岩市项目调整情况说明</w:t>
      </w:r>
    </w:p>
    <w:p>
      <w:pPr>
        <w:spacing w:line="360" w:lineRule="auto"/>
        <w:rPr>
          <w:rFonts w:ascii="仿宋" w:hAnsi="仿宋" w:eastAsia="仿宋" w:cs="仿宋"/>
          <w:sz w:val="28"/>
          <w:szCs w:val="28"/>
        </w:rPr>
      </w:pP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2019年福建省政府专项债券（二十一期）中火车站片区周边改造项目工程项目已发行专项债券4.50亿元，期限10年，因资金</w:t>
      </w:r>
      <w:bookmarkStart w:id="3" w:name="_GoBack"/>
      <w:bookmarkEnd w:id="3"/>
      <w:r>
        <w:rPr>
          <w:rFonts w:hint="eastAsia" w:ascii="仿宋" w:hAnsi="仿宋" w:eastAsia="仿宋" w:cs="仿宋"/>
          <w:sz w:val="28"/>
          <w:szCs w:val="28"/>
          <w:lang w:val="en-US" w:eastAsia="zh-CN"/>
        </w:rPr>
        <w:t>结余，故拟调整1.47亿元用于青云路、青竹路地下综合管廊工程项目。</w:t>
      </w:r>
    </w:p>
    <w:p>
      <w:pPr>
        <w:pStyle w:val="2"/>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4"/>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319"/>
        <w:gridCol w:w="1319"/>
        <w:gridCol w:w="221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319"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319"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22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p>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2019年福建省政府专项债券（二十一期）</w:t>
            </w: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火车站片区周边改造项目</w:t>
            </w:r>
          </w:p>
        </w:tc>
        <w:tc>
          <w:tcPr>
            <w:tcW w:w="1319"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青云路、青竹路地下综合管廊工程</w:t>
            </w:r>
          </w:p>
        </w:tc>
        <w:tc>
          <w:tcPr>
            <w:tcW w:w="1319" w:type="dxa"/>
            <w:vAlign w:val="center"/>
          </w:tcPr>
          <w:p>
            <w:pPr>
              <w:spacing w:line="360" w:lineRule="auto"/>
              <w:jc w:val="righ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49,758.00</w:t>
            </w:r>
          </w:p>
        </w:tc>
        <w:tc>
          <w:tcPr>
            <w:tcW w:w="2217" w:type="dxa"/>
            <w:vAlign w:val="center"/>
          </w:tcPr>
          <w:p>
            <w:pPr>
              <w:widowControl/>
              <w:jc w:val="right"/>
              <w:textAlignment w:val="center"/>
              <w:rPr>
                <w:rFonts w:hint="default" w:ascii="仿宋" w:hAnsi="仿宋" w:eastAsia="仿宋" w:cs="仿宋"/>
                <w:color w:val="000000"/>
                <w:sz w:val="22"/>
                <w:lang w:val="en-US" w:eastAsia="zh-CN"/>
              </w:rPr>
            </w:pPr>
            <w:r>
              <w:rPr>
                <w:rFonts w:hint="eastAsia" w:ascii="仿宋" w:hAnsi="仿宋" w:eastAsia="仿宋" w:cs="仿宋"/>
                <w:color w:val="000000"/>
                <w:sz w:val="24"/>
                <w:szCs w:val="24"/>
                <w:lang w:val="en-US" w:eastAsia="zh-CN"/>
              </w:rPr>
              <w:t>14,700.00</w:t>
            </w:r>
          </w:p>
        </w:tc>
        <w:tc>
          <w:tcPr>
            <w:tcW w:w="1800" w:type="dxa"/>
            <w:vAlign w:val="center"/>
          </w:tcPr>
          <w:p>
            <w:p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福建省龙岩市城市建设投资发展有限公司</w:t>
            </w:r>
          </w:p>
        </w:tc>
      </w:tr>
    </w:tbl>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w:t>
      </w:r>
      <w:r>
        <w:rPr>
          <w:rFonts w:hint="eastAsia" w:ascii="仿宋" w:hAnsi="仿宋" w:cs="仿宋"/>
          <w:szCs w:val="28"/>
          <w:lang w:val="en-US" w:eastAsia="zh-CN"/>
        </w:rPr>
        <w:t>青云路、青竹路地下综合管廊工程</w:t>
      </w:r>
      <w:r>
        <w:rPr>
          <w:rFonts w:hint="eastAsia" w:ascii="仿宋" w:hAnsi="仿宋" w:cs="仿宋"/>
          <w:szCs w:val="28"/>
        </w:rPr>
        <w:t>项目</w:t>
      </w:r>
    </w:p>
    <w:p>
      <w:pPr>
        <w:pStyle w:val="5"/>
        <w:spacing w:line="360" w:lineRule="auto"/>
        <w:ind w:firstLine="562" w:firstLineChars="200"/>
        <w:rPr>
          <w:rFonts w:hint="eastAsia" w:ascii="仿宋" w:hAnsi="仿宋" w:cs="仿宋"/>
        </w:rPr>
      </w:pPr>
      <w:r>
        <w:rPr>
          <w:rFonts w:hint="eastAsia" w:ascii="仿宋" w:hAnsi="仿宋" w:cs="仿宋"/>
        </w:rPr>
        <w:t>1、项目概况</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本项目包含青云路地下综合管廊工程及青竹路地下综合管廊工程两个子项目，主要建设内容及规模如下：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青云路地下综合管廊工程长约 1530 米，断面为 4.5米×3 米；道路工程全长约 1608 米，道路红线宽度 34 米，断面分配型式为：4.5 米（非机动车道及人行道）-11 米（机动车道）-3 米（绿化带）-11 米（机动车道）-4.5 米（非机动车道及人行道）。</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青竹路地下综合管廊工程长约 1335 米，龙腾北路-龙岩大道段地下综合管廊断面为 3.4x3.0+3.8x3.0 米，龙岩大道-解放北路段地下综合管廊断面为 3.8x3.0 米；道路工程长约 1547 米，道路宽度34 米，断面分配型式为 3.0 米（人行道） +2.5 米（非机动车道）+10.5米（机动车道）+2.0 米（中央分隔带）+10.5 米（机动车道）+2.5 米（非机动车道）+3.0 米（人行道）。 </w:t>
      </w:r>
    </w:p>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根据可研批复，</w:t>
      </w:r>
      <w:r>
        <w:rPr>
          <w:rFonts w:hint="eastAsia" w:ascii="仿宋" w:hAnsi="仿宋" w:eastAsia="仿宋" w:cs="仿宋"/>
          <w:sz w:val="28"/>
          <w:szCs w:val="28"/>
          <w:lang w:val="en-US" w:eastAsia="zh-CN"/>
        </w:rPr>
        <w:t>青云路、青竹路地下综合管廊工程</w:t>
      </w:r>
      <w:r>
        <w:rPr>
          <w:rFonts w:hint="eastAsia" w:ascii="仿宋" w:hAnsi="仿宋" w:eastAsia="仿宋" w:cs="仿宋"/>
          <w:sz w:val="28"/>
          <w:szCs w:val="28"/>
        </w:rPr>
        <w:t>项目投资</w:t>
      </w:r>
      <w:r>
        <w:rPr>
          <w:rFonts w:hint="eastAsia" w:ascii="仿宋" w:hAnsi="仿宋" w:eastAsia="仿宋" w:cs="仿宋"/>
          <w:sz w:val="28"/>
          <w:szCs w:val="28"/>
          <w:lang w:val="en-US" w:eastAsia="zh-CN"/>
        </w:rPr>
        <w:t>49,758</w:t>
      </w:r>
      <w:r>
        <w:rPr>
          <w:rFonts w:hint="eastAsia" w:ascii="仿宋" w:hAnsi="仿宋" w:eastAsia="仿宋" w:cs="仿宋"/>
          <w:sz w:val="28"/>
          <w:szCs w:val="28"/>
        </w:rPr>
        <w:t>万元，估算表如下：</w:t>
      </w:r>
    </w:p>
    <w:p>
      <w:pPr>
        <w:widowControl/>
        <w:spacing w:after="120" w:line="360" w:lineRule="auto"/>
        <w:ind w:firstLine="562" w:firstLineChars="200"/>
        <w:contextualSpacing/>
        <w:jc w:val="center"/>
        <w:rPr>
          <w:rFonts w:hint="eastAsia" w:ascii="仿宋" w:hAnsi="仿宋" w:eastAsia="仿宋" w:cs="仿宋"/>
          <w:b/>
          <w:kern w:val="0"/>
          <w:sz w:val="28"/>
          <w:lang w:val="en-GB"/>
        </w:rPr>
      </w:pPr>
      <w:r>
        <w:rPr>
          <w:rFonts w:hint="eastAsia" w:ascii="仿宋" w:hAnsi="仿宋" w:eastAsia="仿宋" w:cs="仿宋"/>
          <w:b/>
          <w:kern w:val="0"/>
          <w:sz w:val="28"/>
          <w:lang w:val="en-GB"/>
        </w:rPr>
        <w:t>项目总投资估算表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0"/>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0" w:type="dxa"/>
            <w:vAlign w:val="center"/>
          </w:tcPr>
          <w:p>
            <w:pPr>
              <w:spacing w:line="360" w:lineRule="auto"/>
              <w:ind w:firstLine="562" w:firstLineChars="20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w:t>
            </w:r>
          </w:p>
        </w:tc>
        <w:tc>
          <w:tcPr>
            <w:tcW w:w="2109" w:type="dxa"/>
            <w:vAlign w:val="center"/>
          </w:tcPr>
          <w:p>
            <w:pPr>
              <w:spacing w:line="360" w:lineRule="auto"/>
              <w:jc w:val="center"/>
              <w:rPr>
                <w:rFonts w:hint="eastAsia" w:ascii="仿宋" w:hAnsi="仿宋" w:eastAsia="仿宋" w:cs="仿宋"/>
                <w:b/>
                <w:bCs/>
                <w:sz w:val="28"/>
                <w:szCs w:val="28"/>
                <w:lang w:val="en-GB"/>
              </w:rPr>
            </w:pPr>
            <w:r>
              <w:rPr>
                <w:rFonts w:hint="eastAsia" w:ascii="仿宋" w:hAnsi="仿宋" w:eastAsia="仿宋" w:cs="仿宋"/>
                <w:b/>
                <w:bCs/>
                <w:sz w:val="28"/>
                <w:szCs w:val="28"/>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0" w:type="dxa"/>
            <w:vAlign w:val="center"/>
          </w:tcPr>
          <w:p>
            <w:pPr>
              <w:keepNext w:val="0"/>
              <w:keepLines w:val="0"/>
              <w:widowControl/>
              <w:suppressLineNumbers w:val="0"/>
              <w:jc w:val="center"/>
              <w:textAlignment w:val="bottom"/>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工程费用</w:t>
            </w:r>
          </w:p>
        </w:tc>
        <w:tc>
          <w:tcPr>
            <w:tcW w:w="2109" w:type="dxa"/>
            <w:vAlign w:val="center"/>
          </w:tcPr>
          <w:p>
            <w:pPr>
              <w:keepNext w:val="0"/>
              <w:keepLines w:val="0"/>
              <w:widowControl/>
              <w:suppressLineNumbers w:val="0"/>
              <w:jc w:val="center"/>
              <w:textAlignment w:val="bottom"/>
              <w:rPr>
                <w:rFonts w:hint="eastAsia" w:ascii="仿宋" w:hAnsi="仿宋" w:eastAsia="仿宋" w:cs="仿宋"/>
                <w:kern w:val="2"/>
                <w:sz w:val="22"/>
                <w:szCs w:val="22"/>
                <w:lang w:val="en-GB" w:eastAsia="zh-CN" w:bidi="ar-SA"/>
              </w:rPr>
            </w:pPr>
            <w:r>
              <w:rPr>
                <w:rFonts w:hint="eastAsia" w:ascii="仿宋" w:hAnsi="仿宋" w:eastAsia="仿宋" w:cs="仿宋"/>
                <w:kern w:val="2"/>
                <w:sz w:val="22"/>
                <w:szCs w:val="22"/>
                <w:lang w:val="en-GB" w:eastAsia="zh-CN" w:bidi="ar-SA"/>
              </w:rPr>
              <w:t>37,063.00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0" w:type="dxa"/>
            <w:vAlign w:val="center"/>
          </w:tcPr>
          <w:p>
            <w:pPr>
              <w:keepNext w:val="0"/>
              <w:keepLines w:val="0"/>
              <w:widowControl/>
              <w:suppressLineNumbers w:val="0"/>
              <w:jc w:val="center"/>
              <w:textAlignment w:val="bottom"/>
              <w:rPr>
                <w:rFonts w:hint="eastAsia" w:ascii="仿宋" w:hAnsi="仿宋" w:eastAsia="仿宋" w:cs="仿宋"/>
                <w:kern w:val="2"/>
                <w:sz w:val="22"/>
                <w:szCs w:val="22"/>
                <w:lang w:val="en-GB" w:eastAsia="zh-CN" w:bidi="ar-SA"/>
              </w:rPr>
            </w:pPr>
            <w:r>
              <w:rPr>
                <w:rFonts w:hint="eastAsia" w:ascii="方正仿宋" w:eastAsia="方正仿宋" w:cs="TimesNewRomanPSMT"/>
                <w:kern w:val="0"/>
                <w:sz w:val="24"/>
                <w:szCs w:val="24"/>
                <w:lang w:val="en-US" w:eastAsia="zh-CN"/>
              </w:rPr>
              <w:t>其他费用</w:t>
            </w:r>
          </w:p>
        </w:tc>
        <w:tc>
          <w:tcPr>
            <w:tcW w:w="2109" w:type="dxa"/>
            <w:vAlign w:val="center"/>
          </w:tcPr>
          <w:p>
            <w:pPr>
              <w:keepNext w:val="0"/>
              <w:keepLines w:val="0"/>
              <w:widowControl/>
              <w:suppressLineNumbers w:val="0"/>
              <w:jc w:val="center"/>
              <w:textAlignment w:val="bottom"/>
              <w:rPr>
                <w:rFonts w:hint="eastAsia" w:ascii="仿宋" w:hAnsi="仿宋" w:eastAsia="仿宋" w:cs="仿宋"/>
                <w:kern w:val="2"/>
                <w:sz w:val="22"/>
                <w:szCs w:val="22"/>
                <w:lang w:val="en-GB" w:eastAsia="zh-CN" w:bidi="ar-SA"/>
              </w:rPr>
            </w:pPr>
            <w:r>
              <w:rPr>
                <w:rFonts w:hint="eastAsia" w:ascii="方正仿宋" w:eastAsia="方正仿宋" w:cs="TimesNewRomanPSMT"/>
                <w:kern w:val="0"/>
                <w:sz w:val="24"/>
                <w:szCs w:val="24"/>
                <w:lang w:val="en-US" w:eastAsia="zh-CN"/>
              </w:rPr>
              <w:t>9,560.00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0" w:type="dxa"/>
            <w:vAlign w:val="center"/>
          </w:tcPr>
          <w:p>
            <w:pPr>
              <w:keepNext w:val="0"/>
              <w:keepLines w:val="0"/>
              <w:widowControl/>
              <w:suppressLineNumbers w:val="0"/>
              <w:jc w:val="center"/>
              <w:textAlignment w:val="bottom"/>
              <w:rPr>
                <w:rFonts w:hint="default" w:ascii="仿宋" w:hAnsi="仿宋" w:eastAsia="仿宋" w:cs="仿宋"/>
                <w:kern w:val="2"/>
                <w:sz w:val="22"/>
                <w:szCs w:val="22"/>
                <w:lang w:val="en-US" w:eastAsia="zh-CN" w:bidi="ar-SA"/>
              </w:rPr>
            </w:pPr>
            <w:r>
              <w:rPr>
                <w:rFonts w:hint="eastAsia" w:ascii="方正仿宋" w:eastAsia="方正仿宋" w:cs="TimesNewRomanPSMT"/>
                <w:kern w:val="0"/>
                <w:sz w:val="24"/>
                <w:szCs w:val="24"/>
                <w:lang w:val="en-US" w:eastAsia="zh-CN"/>
              </w:rPr>
              <w:t>基本预备费</w:t>
            </w:r>
          </w:p>
        </w:tc>
        <w:tc>
          <w:tcPr>
            <w:tcW w:w="2109" w:type="dxa"/>
            <w:vAlign w:val="center"/>
          </w:tcPr>
          <w:p>
            <w:pPr>
              <w:keepNext w:val="0"/>
              <w:keepLines w:val="0"/>
              <w:widowControl/>
              <w:suppressLineNumbers w:val="0"/>
              <w:jc w:val="center"/>
              <w:textAlignment w:val="bottom"/>
              <w:rPr>
                <w:rFonts w:hint="eastAsia" w:ascii="仿宋" w:hAnsi="仿宋" w:eastAsia="仿宋" w:cs="仿宋"/>
                <w:kern w:val="2"/>
                <w:sz w:val="22"/>
                <w:szCs w:val="22"/>
                <w:lang w:val="en-US" w:eastAsia="zh-CN" w:bidi="ar-SA"/>
              </w:rPr>
            </w:pPr>
            <w:r>
              <w:rPr>
                <w:rFonts w:hint="eastAsia" w:ascii="方正仿宋" w:eastAsia="方正仿宋" w:cs="TimesNewRomanPSMT"/>
                <w:kern w:val="0"/>
                <w:sz w:val="24"/>
                <w:szCs w:val="24"/>
                <w:lang w:val="en-US" w:eastAsia="zh-CN"/>
              </w:rPr>
              <w:t>3,135.00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0" w:type="dxa"/>
            <w:vAlign w:val="center"/>
          </w:tcPr>
          <w:p>
            <w:pPr>
              <w:keepNext w:val="0"/>
              <w:keepLines w:val="0"/>
              <w:widowControl/>
              <w:suppressLineNumbers w:val="0"/>
              <w:jc w:val="center"/>
              <w:textAlignment w:val="bottom"/>
              <w:rPr>
                <w:rFonts w:hint="default" w:ascii="仿宋" w:hAnsi="仿宋" w:eastAsia="仿宋" w:cs="仿宋"/>
                <w:b/>
                <w:bCs/>
                <w:kern w:val="2"/>
                <w:sz w:val="22"/>
                <w:szCs w:val="22"/>
                <w:lang w:val="en-US" w:eastAsia="zh-CN" w:bidi="ar-SA"/>
              </w:rPr>
            </w:pPr>
            <w:r>
              <w:rPr>
                <w:rFonts w:hint="eastAsia" w:ascii="仿宋" w:hAnsi="仿宋" w:eastAsia="仿宋" w:cs="仿宋"/>
                <w:b/>
                <w:bCs/>
                <w:kern w:val="2"/>
                <w:sz w:val="22"/>
                <w:szCs w:val="22"/>
                <w:lang w:val="en-US" w:eastAsia="zh-CN" w:bidi="ar-SA"/>
              </w:rPr>
              <w:t>合计</w:t>
            </w:r>
          </w:p>
        </w:tc>
        <w:tc>
          <w:tcPr>
            <w:tcW w:w="2109" w:type="dxa"/>
            <w:vAlign w:val="center"/>
          </w:tcPr>
          <w:p>
            <w:pPr>
              <w:keepNext w:val="0"/>
              <w:keepLines w:val="0"/>
              <w:widowControl/>
              <w:suppressLineNumbers w:val="0"/>
              <w:jc w:val="center"/>
              <w:textAlignment w:val="bottom"/>
              <w:rPr>
                <w:rFonts w:hint="default" w:ascii="方正仿宋" w:eastAsia="方正仿宋" w:cs="TimesNewRomanPSMT"/>
                <w:b/>
                <w:bCs/>
                <w:kern w:val="0"/>
                <w:sz w:val="24"/>
                <w:szCs w:val="24"/>
                <w:lang w:val="en-US" w:eastAsia="zh-CN"/>
              </w:rPr>
            </w:pPr>
            <w:r>
              <w:rPr>
                <w:rFonts w:hint="eastAsia" w:ascii="方正仿宋" w:eastAsia="方正仿宋" w:cs="TimesNewRomanPSMT"/>
                <w:b/>
                <w:bCs/>
                <w:kern w:val="0"/>
                <w:sz w:val="24"/>
                <w:szCs w:val="24"/>
                <w:lang w:val="en-US" w:eastAsia="zh-CN"/>
              </w:rPr>
              <w:t>49,758.00</w:t>
            </w:r>
          </w:p>
        </w:tc>
      </w:tr>
    </w:tbl>
    <w:p>
      <w:pPr>
        <w:keepNext w:val="0"/>
        <w:keepLines w:val="0"/>
        <w:widowControl/>
        <w:suppressLineNumbers w:val="0"/>
        <w:jc w:val="center"/>
        <w:textAlignment w:val="bottom"/>
        <w:rPr>
          <w:rFonts w:hint="eastAsia" w:ascii="仿宋" w:hAnsi="仿宋" w:eastAsia="仿宋" w:cs="仿宋"/>
          <w:kern w:val="2"/>
          <w:sz w:val="22"/>
          <w:szCs w:val="22"/>
          <w:lang w:val="en-GB" w:eastAsia="zh-CN" w:bidi="ar-SA"/>
        </w:rPr>
      </w:pP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3"/>
        <w:tblW w:w="9360" w:type="dxa"/>
        <w:jc w:val="center"/>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395"/>
        <w:gridCol w:w="1125"/>
        <w:gridCol w:w="1215"/>
        <w:gridCol w:w="1305"/>
        <w:gridCol w:w="1305"/>
        <w:gridCol w:w="1305"/>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10" w:type="dxa"/>
            <w:tcBorders>
              <w:top w:val="single" w:color="auto" w:sz="4" w:space="0"/>
              <w:left w:val="single" w:color="auto" w:sz="4" w:space="0"/>
            </w:tcBorders>
            <w:vAlign w:val="center"/>
          </w:tcPr>
          <w:p>
            <w:pPr>
              <w:widowControl/>
              <w:jc w:val="center"/>
              <w:rPr>
                <w:rFonts w:ascii="仿宋" w:hAnsi="仿宋" w:eastAsia="仿宋" w:cs="仿宋"/>
                <w:b/>
                <w:bCs/>
                <w:kern w:val="0"/>
                <w:szCs w:val="21"/>
              </w:rPr>
            </w:pPr>
            <w:bookmarkStart w:id="1" w:name="_Hlk50330518"/>
            <w:r>
              <w:rPr>
                <w:rFonts w:hint="eastAsia" w:ascii="仿宋" w:hAnsi="仿宋" w:eastAsia="仿宋" w:cs="仿宋"/>
                <w:b/>
                <w:bCs/>
                <w:kern w:val="0"/>
                <w:szCs w:val="21"/>
              </w:rPr>
              <w:t>年份</w:t>
            </w:r>
          </w:p>
        </w:tc>
        <w:tc>
          <w:tcPr>
            <w:tcW w:w="1395"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以前年度到本报告日</w:t>
            </w:r>
          </w:p>
        </w:tc>
        <w:tc>
          <w:tcPr>
            <w:tcW w:w="1125"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2020年</w:t>
            </w:r>
          </w:p>
        </w:tc>
        <w:tc>
          <w:tcPr>
            <w:tcW w:w="1215" w:type="dxa"/>
            <w:tcBorders>
              <w:top w:val="single" w:color="auto" w:sz="4" w:space="0"/>
            </w:tcBorders>
            <w:vAlign w:val="center"/>
          </w:tcPr>
          <w:p>
            <w:pPr>
              <w:widowControl/>
              <w:jc w:val="center"/>
              <w:textAlignment w:val="bottom"/>
              <w:rPr>
                <w:rFonts w:ascii="仿宋" w:hAnsi="仿宋" w:eastAsia="仿宋" w:cs="仿宋"/>
                <w:b/>
                <w:bCs/>
                <w:kern w:val="0"/>
                <w:szCs w:val="21"/>
              </w:rPr>
            </w:pPr>
            <w:r>
              <w:rPr>
                <w:rFonts w:hint="eastAsia" w:ascii="仿宋" w:hAnsi="仿宋" w:eastAsia="仿宋" w:cs="仿宋"/>
                <w:b/>
                <w:bCs/>
                <w:color w:val="000000"/>
                <w:kern w:val="0"/>
                <w:sz w:val="22"/>
                <w:lang w:bidi="ar"/>
              </w:rPr>
              <w:t>2021年</w:t>
            </w:r>
          </w:p>
        </w:tc>
        <w:tc>
          <w:tcPr>
            <w:tcW w:w="1305" w:type="dxa"/>
            <w:tcBorders>
              <w:top w:val="single" w:color="auto" w:sz="4" w:space="0"/>
              <w:right w:val="single" w:color="auto" w:sz="4" w:space="0"/>
            </w:tcBorders>
            <w:vAlign w:val="center"/>
          </w:tcPr>
          <w:p>
            <w:pPr>
              <w:widowControl/>
              <w:jc w:val="center"/>
              <w:rPr>
                <w:rFonts w:hint="default" w:ascii="仿宋" w:hAnsi="仿宋" w:eastAsia="仿宋" w:cs="仿宋"/>
                <w:b/>
                <w:bCs/>
                <w:kern w:val="0"/>
                <w:szCs w:val="21"/>
                <w:lang w:val="en-US" w:eastAsia="zh-CN"/>
              </w:rPr>
            </w:pPr>
            <w:r>
              <w:rPr>
                <w:rFonts w:hint="eastAsia" w:ascii="仿宋" w:hAnsi="仿宋" w:eastAsia="仿宋" w:cs="仿宋"/>
                <w:b/>
                <w:bCs/>
                <w:kern w:val="0"/>
                <w:szCs w:val="21"/>
                <w:lang w:val="en-US" w:eastAsia="zh-CN"/>
              </w:rPr>
              <w:t>2020年</w:t>
            </w:r>
          </w:p>
        </w:tc>
        <w:tc>
          <w:tcPr>
            <w:tcW w:w="1305" w:type="dxa"/>
            <w:tcBorders>
              <w:top w:val="single" w:color="auto" w:sz="4" w:space="0"/>
              <w:right w:val="single" w:color="auto" w:sz="4" w:space="0"/>
            </w:tcBorders>
            <w:vAlign w:val="center"/>
          </w:tcPr>
          <w:p>
            <w:pPr>
              <w:widowControl/>
              <w:jc w:val="center"/>
              <w:rPr>
                <w:rFonts w:hint="default" w:ascii="仿宋" w:hAnsi="仿宋" w:eastAsia="仿宋" w:cs="仿宋"/>
                <w:b/>
                <w:bCs/>
                <w:kern w:val="0"/>
                <w:szCs w:val="21"/>
                <w:lang w:val="en-US" w:eastAsia="zh-CN"/>
              </w:rPr>
            </w:pPr>
            <w:r>
              <w:rPr>
                <w:rFonts w:hint="eastAsia" w:ascii="仿宋" w:hAnsi="仿宋" w:eastAsia="仿宋" w:cs="仿宋"/>
                <w:b/>
                <w:bCs/>
                <w:kern w:val="0"/>
                <w:szCs w:val="21"/>
                <w:lang w:val="en-US" w:eastAsia="zh-CN"/>
              </w:rPr>
              <w:t>2023年</w:t>
            </w:r>
          </w:p>
        </w:tc>
        <w:tc>
          <w:tcPr>
            <w:tcW w:w="1305" w:type="dxa"/>
            <w:tcBorders>
              <w:top w:val="single" w:color="auto" w:sz="4" w:space="0"/>
              <w:right w:val="single" w:color="auto" w:sz="4"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10" w:type="dxa"/>
            <w:tcBorders>
              <w:left w:val="single" w:color="auto" w:sz="4" w:space="0"/>
              <w:bottom w:val="single" w:color="auto" w:sz="4"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建设资金使用</w:t>
            </w:r>
          </w:p>
        </w:tc>
        <w:tc>
          <w:tcPr>
            <w:tcW w:w="1395" w:type="dxa"/>
            <w:tcBorders>
              <w:bottom w:val="single" w:color="auto" w:sz="4" w:space="0"/>
            </w:tcBorders>
            <w:shd w:val="clear" w:color="000000" w:fill="auto"/>
            <w:vAlign w:val="center"/>
          </w:tcPr>
          <w:p>
            <w:pPr>
              <w:widowControl/>
              <w:jc w:val="center"/>
              <w:textAlignment w:val="bottom"/>
              <w:rPr>
                <w:rFonts w:hint="eastAsia" w:ascii="仿宋" w:hAnsi="仿宋" w:eastAsia="仿宋" w:cs="仿宋"/>
                <w:bCs/>
                <w:w w:val="105"/>
                <w:kern w:val="0"/>
                <w:szCs w:val="21"/>
                <w:lang w:eastAsia="zh-CN"/>
              </w:rPr>
            </w:pPr>
            <w:r>
              <w:rPr>
                <w:rFonts w:hint="eastAsia" w:ascii="仿宋" w:hAnsi="仿宋" w:eastAsia="仿宋" w:cs="仿宋"/>
                <w:color w:val="000000"/>
                <w:kern w:val="0"/>
                <w:szCs w:val="21"/>
                <w:lang w:val="en-US" w:eastAsia="zh-CN" w:bidi="ar"/>
              </w:rPr>
              <w:t>-</w:t>
            </w:r>
          </w:p>
        </w:tc>
        <w:tc>
          <w:tcPr>
            <w:tcW w:w="1125" w:type="dxa"/>
            <w:tcBorders>
              <w:bottom w:val="single" w:color="auto" w:sz="4" w:space="0"/>
            </w:tcBorders>
            <w:shd w:val="clear" w:color="000000" w:fill="auto"/>
            <w:vAlign w:val="center"/>
          </w:tcPr>
          <w:p>
            <w:pPr>
              <w:keepNext w:val="0"/>
              <w:keepLines w:val="0"/>
              <w:widowControl/>
              <w:suppressLineNumbers w:val="0"/>
              <w:jc w:val="center"/>
              <w:textAlignment w:val="bottom"/>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8,309.00</w:t>
            </w:r>
          </w:p>
        </w:tc>
        <w:tc>
          <w:tcPr>
            <w:tcW w:w="1215" w:type="dxa"/>
            <w:tcBorders>
              <w:bottom w:val="single" w:color="auto" w:sz="4" w:space="0"/>
            </w:tcBorders>
            <w:shd w:val="clear" w:color="000000" w:fill="auto"/>
            <w:vAlign w:val="center"/>
          </w:tcPr>
          <w:p>
            <w:pPr>
              <w:keepNext w:val="0"/>
              <w:keepLines w:val="0"/>
              <w:widowControl/>
              <w:suppressLineNumbers w:val="0"/>
              <w:jc w:val="center"/>
              <w:textAlignment w:val="bottom"/>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14,366.00</w:t>
            </w:r>
          </w:p>
        </w:tc>
        <w:tc>
          <w:tcPr>
            <w:tcW w:w="1305" w:type="dxa"/>
            <w:tcBorders>
              <w:bottom w:val="single" w:color="auto" w:sz="4" w:space="0"/>
              <w:right w:val="single" w:color="auto" w:sz="4" w:space="0"/>
            </w:tcBorders>
            <w:shd w:val="clear" w:color="000000" w:fill="auto"/>
            <w:vAlign w:val="center"/>
          </w:tcPr>
          <w:p>
            <w:pPr>
              <w:keepNext w:val="0"/>
              <w:keepLines w:val="0"/>
              <w:widowControl/>
              <w:suppressLineNumbers w:val="0"/>
              <w:jc w:val="center"/>
              <w:textAlignment w:val="bottom"/>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16,249.80</w:t>
            </w:r>
          </w:p>
        </w:tc>
        <w:tc>
          <w:tcPr>
            <w:tcW w:w="1305" w:type="dxa"/>
            <w:tcBorders>
              <w:bottom w:val="single" w:color="auto" w:sz="4" w:space="0"/>
              <w:right w:val="single" w:color="auto" w:sz="4" w:space="0"/>
            </w:tcBorders>
            <w:shd w:val="clear" w:color="000000" w:fill="auto"/>
            <w:vAlign w:val="center"/>
          </w:tcPr>
          <w:p>
            <w:pPr>
              <w:keepNext w:val="0"/>
              <w:keepLines w:val="0"/>
              <w:widowControl/>
              <w:suppressLineNumbers w:val="0"/>
              <w:jc w:val="center"/>
              <w:textAlignment w:val="bottom"/>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7,833.20</w:t>
            </w:r>
          </w:p>
        </w:tc>
        <w:tc>
          <w:tcPr>
            <w:tcW w:w="1305" w:type="dxa"/>
            <w:tcBorders>
              <w:bottom w:val="single" w:color="auto" w:sz="4" w:space="0"/>
              <w:right w:val="single" w:color="auto" w:sz="4" w:space="0"/>
            </w:tcBorders>
            <w:shd w:val="clear" w:color="000000" w:fill="auto"/>
            <w:vAlign w:val="center"/>
          </w:tcPr>
          <w:p>
            <w:pPr>
              <w:keepNext w:val="0"/>
              <w:keepLines w:val="0"/>
              <w:widowControl/>
              <w:suppressLineNumbers w:val="0"/>
              <w:jc w:val="center"/>
              <w:textAlignment w:val="bottom"/>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49,758.00</w:t>
            </w:r>
          </w:p>
        </w:tc>
      </w:tr>
      <w:bookmarkEnd w:id="1"/>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本项目资金来源分为：企业自筹</w:t>
      </w:r>
      <w:r>
        <w:rPr>
          <w:rFonts w:hint="eastAsia" w:ascii="仿宋" w:hAnsi="仿宋" w:eastAsia="仿宋" w:cs="仿宋"/>
          <w:sz w:val="28"/>
          <w:szCs w:val="28"/>
          <w:lang w:val="en-US" w:eastAsia="zh-CN"/>
        </w:rPr>
        <w:t>29,758</w:t>
      </w:r>
      <w:r>
        <w:rPr>
          <w:rFonts w:hint="eastAsia" w:ascii="仿宋" w:hAnsi="仿宋" w:eastAsia="仿宋" w:cs="仿宋"/>
          <w:sz w:val="28"/>
          <w:szCs w:val="28"/>
        </w:rPr>
        <w:t>万元，剩余资金</w:t>
      </w:r>
      <w:r>
        <w:rPr>
          <w:rFonts w:hint="eastAsia" w:ascii="仿宋" w:hAnsi="仿宋" w:eastAsia="仿宋" w:cs="仿宋"/>
          <w:sz w:val="28"/>
          <w:szCs w:val="28"/>
          <w:lang w:val="en-US" w:eastAsia="zh-CN"/>
        </w:rPr>
        <w:t>20,000</w:t>
      </w:r>
      <w:r>
        <w:rPr>
          <w:rFonts w:hint="eastAsia" w:ascii="仿宋" w:hAnsi="仿宋" w:eastAsia="仿宋" w:cs="仿宋"/>
          <w:sz w:val="28"/>
          <w:szCs w:val="28"/>
        </w:rPr>
        <w:t>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3"/>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2"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default" w:ascii="仿宋" w:hAnsi="仿宋" w:eastAsia="仿宋" w:cs="仿宋"/>
                <w:bCs/>
                <w:w w:val="105"/>
                <w:kern w:val="0"/>
                <w:szCs w:val="21"/>
                <w:lang w:val="en-US" w:eastAsia="zh-CN"/>
              </w:rPr>
            </w:pPr>
            <w:r>
              <w:rPr>
                <w:rFonts w:hint="eastAsia" w:ascii="仿宋" w:hAnsi="仿宋" w:eastAsia="仿宋" w:cs="仿宋"/>
                <w:bCs/>
                <w:w w:val="105"/>
                <w:kern w:val="0"/>
                <w:szCs w:val="21"/>
                <w:lang w:val="en-US" w:eastAsia="zh-CN"/>
              </w:rPr>
              <w:t>29,758.00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default" w:ascii="仿宋" w:hAnsi="仿宋" w:eastAsia="仿宋" w:cs="仿宋"/>
                <w:bCs/>
                <w:w w:val="105"/>
                <w:kern w:val="0"/>
                <w:szCs w:val="21"/>
                <w:lang w:val="en-US" w:eastAsia="zh-CN"/>
              </w:rPr>
            </w:pPr>
            <w:r>
              <w:rPr>
                <w:rFonts w:hint="eastAsia" w:ascii="仿宋" w:hAnsi="仿宋" w:eastAsia="仿宋" w:cs="仿宋"/>
                <w:bCs/>
                <w:w w:val="105"/>
                <w:kern w:val="0"/>
                <w:szCs w:val="21"/>
                <w:lang w:val="en-US" w:eastAsia="zh-CN"/>
              </w:rPr>
              <w:t>20,000.00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default" w:ascii="仿宋" w:hAnsi="仿宋" w:eastAsia="仿宋" w:cs="仿宋"/>
                <w:b/>
                <w:w w:val="105"/>
                <w:kern w:val="0"/>
                <w:szCs w:val="21"/>
                <w:lang w:val="en-US" w:eastAsia="zh-CN"/>
              </w:rPr>
            </w:pPr>
            <w:r>
              <w:rPr>
                <w:rFonts w:hint="eastAsia" w:ascii="仿宋" w:hAnsi="仿宋" w:eastAsia="仿宋" w:cs="仿宋"/>
                <w:b/>
                <w:w w:val="105"/>
                <w:kern w:val="0"/>
                <w:szCs w:val="21"/>
                <w:lang w:val="en-US" w:eastAsia="zh-CN"/>
              </w:rPr>
              <w:t>49,758.00</w:t>
            </w:r>
          </w:p>
        </w:tc>
      </w:tr>
      <w:bookmarkEnd w:id="2"/>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青云路、青竹路地下综合管廊工程</w:t>
      </w:r>
      <w:r>
        <w:rPr>
          <w:rFonts w:hint="eastAsia" w:ascii="仿宋" w:hAnsi="仿宋" w:eastAsia="仿宋" w:cs="仿宋"/>
          <w:sz w:val="28"/>
          <w:szCs w:val="28"/>
        </w:rPr>
        <w:t>项目在专项债券存续期间有稳定的现金流入，收入主要来源于</w:t>
      </w:r>
      <w:r>
        <w:rPr>
          <w:rFonts w:hint="eastAsia" w:ascii="仿宋" w:hAnsi="仿宋" w:eastAsia="仿宋" w:cs="仿宋"/>
          <w:sz w:val="28"/>
          <w:szCs w:val="28"/>
          <w:lang w:val="en-US" w:eastAsia="zh-CN"/>
        </w:rPr>
        <w:t>入廊费和日常维护费、土地出让收入</w:t>
      </w:r>
      <w:r>
        <w:rPr>
          <w:rFonts w:hint="eastAsia" w:ascii="仿宋" w:hAnsi="仿宋" w:eastAsia="仿宋" w:cs="仿宋"/>
          <w:sz w:val="28"/>
          <w:szCs w:val="28"/>
        </w:rPr>
        <w:t>。经测算，债券存续期内，本项目将产生净收益</w:t>
      </w:r>
      <w:r>
        <w:rPr>
          <w:rFonts w:hint="eastAsia" w:ascii="仿宋" w:hAnsi="仿宋" w:eastAsia="仿宋" w:cs="仿宋"/>
          <w:sz w:val="28"/>
          <w:szCs w:val="28"/>
          <w:lang w:val="en-US" w:eastAsia="zh-CN"/>
        </w:rPr>
        <w:t>43,354.57</w:t>
      </w:r>
      <w:r>
        <w:rPr>
          <w:rFonts w:hint="eastAsia" w:ascii="仿宋" w:hAnsi="仿宋" w:eastAsia="仿宋" w:cs="仿宋"/>
          <w:sz w:val="28"/>
          <w:szCs w:val="28"/>
        </w:rPr>
        <w:t>万元，可覆盖债券存续期间各年的项目投资及债券本息偿还的需求，在项目涉及专项债券本息全部偿还后仍有</w:t>
      </w:r>
      <w:r>
        <w:rPr>
          <w:rFonts w:hint="eastAsia" w:ascii="仿宋" w:hAnsi="仿宋" w:eastAsia="仿宋" w:cs="仿宋"/>
          <w:sz w:val="28"/>
          <w:szCs w:val="28"/>
          <w:lang w:val="en-US" w:eastAsia="zh-CN"/>
        </w:rPr>
        <w:t>16,580.26</w:t>
      </w:r>
      <w:r>
        <w:rPr>
          <w:rFonts w:hint="eastAsia" w:ascii="仿宋" w:hAnsi="仿宋" w:eastAsia="仿宋" w:cs="仿宋"/>
          <w:sz w:val="28"/>
          <w:szCs w:val="28"/>
        </w:rPr>
        <w:t>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项目计划使用本期债券资金</w:t>
      </w:r>
      <w:r>
        <w:rPr>
          <w:rFonts w:hint="eastAsia" w:ascii="仿宋" w:hAnsi="仿宋" w:eastAsia="仿宋" w:cs="仿宋"/>
          <w:sz w:val="28"/>
          <w:szCs w:val="28"/>
          <w:lang w:val="en-US" w:eastAsia="zh-CN"/>
        </w:rPr>
        <w:t>14,700.00</w:t>
      </w:r>
      <w:r>
        <w:rPr>
          <w:rFonts w:hint="eastAsia" w:ascii="仿宋" w:hAnsi="仿宋" w:eastAsia="仿宋" w:cs="仿宋"/>
          <w:sz w:val="28"/>
          <w:szCs w:val="28"/>
        </w:rPr>
        <w:t>万元。本期专项债券利率按20</w:t>
      </w:r>
      <w:r>
        <w:rPr>
          <w:rFonts w:hint="eastAsia" w:ascii="仿宋" w:hAnsi="仿宋" w:eastAsia="仿宋" w:cs="仿宋"/>
          <w:sz w:val="28"/>
          <w:szCs w:val="28"/>
          <w:lang w:val="en-US" w:eastAsia="zh-CN"/>
        </w:rPr>
        <w:t>19</w:t>
      </w:r>
      <w:r>
        <w:rPr>
          <w:rFonts w:hint="eastAsia" w:ascii="仿宋" w:hAnsi="仿宋" w:eastAsia="仿宋" w:cs="仿宋"/>
          <w:sz w:val="28"/>
          <w:szCs w:val="28"/>
        </w:rPr>
        <w:t>年福建省政府专项债券（</w:t>
      </w:r>
      <w:r>
        <w:rPr>
          <w:rFonts w:hint="eastAsia" w:ascii="仿宋" w:hAnsi="仿宋" w:eastAsia="仿宋" w:cs="仿宋"/>
          <w:sz w:val="28"/>
          <w:szCs w:val="28"/>
          <w:lang w:val="en-US" w:eastAsia="zh-CN"/>
        </w:rPr>
        <w:t>二十一</w:t>
      </w:r>
      <w:r>
        <w:rPr>
          <w:rFonts w:hint="eastAsia" w:ascii="仿宋" w:hAnsi="仿宋" w:eastAsia="仿宋" w:cs="仿宋"/>
          <w:sz w:val="28"/>
          <w:szCs w:val="28"/>
        </w:rPr>
        <w:t>期）</w:t>
      </w:r>
      <w:r>
        <w:rPr>
          <w:rFonts w:hint="eastAsia" w:ascii="仿宋" w:hAnsi="仿宋" w:eastAsia="仿宋" w:cs="仿宋"/>
          <w:sz w:val="28"/>
          <w:szCs w:val="28"/>
          <w:lang w:val="en-US" w:eastAsia="zh-CN"/>
        </w:rPr>
        <w:t>中的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火车站片区周边改造项目项目”已发行债券利率3.41%，剩余期限9年，同时计划于2021年通过发行10年期专项债券筹集5,300.00万元，后续发行的10年期专项债券利率按3.50%进行测算，</w:t>
      </w:r>
      <w:r>
        <w:rPr>
          <w:rFonts w:hint="eastAsia" w:ascii="仿宋" w:hAnsi="仿宋" w:eastAsia="仿宋" w:cs="仿宋"/>
          <w:sz w:val="28"/>
          <w:szCs w:val="28"/>
        </w:rPr>
        <w:t>专项债本息合计</w:t>
      </w:r>
      <w:r>
        <w:rPr>
          <w:rFonts w:hint="eastAsia" w:ascii="仿宋" w:hAnsi="仿宋" w:eastAsia="仿宋" w:cs="仿宋"/>
          <w:sz w:val="28"/>
          <w:szCs w:val="28"/>
          <w:lang w:val="en-US" w:eastAsia="zh-CN"/>
        </w:rPr>
        <w:t>26,366.43</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rPr>
        <w:t>本项目债券应还本付息情况如下表：</w:t>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3"/>
        <w:tblW w:w="847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41"/>
        <w:gridCol w:w="1158"/>
        <w:gridCol w:w="1240"/>
        <w:gridCol w:w="1158"/>
        <w:gridCol w:w="1158"/>
        <w:gridCol w:w="1158"/>
        <w:gridCol w:w="14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年份</w:t>
            </w:r>
          </w:p>
        </w:tc>
        <w:tc>
          <w:tcPr>
            <w:tcW w:w="1158"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期初本金余额</w:t>
            </w:r>
          </w:p>
        </w:tc>
        <w:tc>
          <w:tcPr>
            <w:tcW w:w="1240"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当年新增本金</w:t>
            </w:r>
          </w:p>
        </w:tc>
        <w:tc>
          <w:tcPr>
            <w:tcW w:w="1158"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当年偿还本金</w:t>
            </w:r>
          </w:p>
        </w:tc>
        <w:tc>
          <w:tcPr>
            <w:tcW w:w="1158"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期末本金余额</w:t>
            </w:r>
          </w:p>
        </w:tc>
        <w:tc>
          <w:tcPr>
            <w:tcW w:w="1158"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当年偿还利息</w:t>
            </w:r>
          </w:p>
        </w:tc>
        <w:tc>
          <w:tcPr>
            <w:tcW w:w="1462"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当年还本付息合计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bottom"/>
          </w:tcPr>
          <w:p>
            <w:pPr>
              <w:widowControl/>
              <w:jc w:val="center"/>
              <w:rPr>
                <w:rFonts w:ascii="仿宋" w:hAnsi="仿宋" w:eastAsia="仿宋" w:cs="仿宋"/>
                <w:color w:val="000000"/>
                <w:kern w:val="0"/>
                <w:szCs w:val="21"/>
              </w:rPr>
            </w:pPr>
            <w:r>
              <w:rPr>
                <w:rFonts w:hint="eastAsia" w:ascii="仿宋" w:hAnsi="仿宋" w:eastAsia="仿宋" w:cs="仿宋"/>
                <w:color w:val="000000"/>
                <w:kern w:val="0"/>
                <w:szCs w:val="21"/>
              </w:rPr>
              <w:t>202</w:t>
            </w:r>
            <w:r>
              <w:rPr>
                <w:rFonts w:hint="eastAsia" w:ascii="仿宋" w:hAnsi="仿宋" w:eastAsia="仿宋" w:cs="仿宋"/>
                <w:color w:val="000000"/>
                <w:kern w:val="0"/>
                <w:szCs w:val="21"/>
                <w:lang w:val="en-US" w:eastAsia="zh-CN"/>
              </w:rPr>
              <w:t>0</w:t>
            </w:r>
            <w:r>
              <w:rPr>
                <w:rFonts w:hint="eastAsia" w:ascii="仿宋" w:hAnsi="仿宋" w:eastAsia="仿宋" w:cs="仿宋"/>
                <w:color w:val="000000"/>
                <w:kern w:val="0"/>
                <w:szCs w:val="21"/>
              </w:rPr>
              <w:t>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14,700.00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14,700.00 </w:t>
            </w:r>
          </w:p>
        </w:tc>
        <w:tc>
          <w:tcPr>
            <w:tcW w:w="1158" w:type="dxa"/>
            <w:tcBorders>
              <w:tl2br w:val="nil"/>
              <w:tr2bl w:val="nil"/>
            </w:tcBorders>
            <w:noWrap/>
            <w:vAlign w:val="bottom"/>
          </w:tcPr>
          <w:p>
            <w:pPr>
              <w:widowControl/>
              <w:jc w:val="right"/>
              <w:textAlignment w:val="bottom"/>
              <w:rPr>
                <w:rFonts w:ascii="仿宋" w:hAnsi="仿宋" w:eastAsia="仿宋" w:cs="仿宋"/>
                <w:color w:val="000000"/>
                <w:kern w:val="0"/>
                <w:szCs w:val="21"/>
              </w:rPr>
            </w:pPr>
            <w:r>
              <w:rPr>
                <w:rFonts w:hint="eastAsia" w:ascii="宋体" w:hAnsi="宋体" w:eastAsia="宋体" w:cs="宋体"/>
                <w:color w:val="000000"/>
                <w:kern w:val="0"/>
                <w:sz w:val="22"/>
              </w:rPr>
              <w:t xml:space="preserve"> -   </w:t>
            </w:r>
          </w:p>
        </w:tc>
        <w:tc>
          <w:tcPr>
            <w:tcW w:w="1462" w:type="dxa"/>
            <w:tcBorders>
              <w:tl2br w:val="nil"/>
              <w:tr2bl w:val="nil"/>
            </w:tcBorders>
            <w:noWrap/>
            <w:vAlign w:val="bottom"/>
          </w:tcPr>
          <w:p>
            <w:pPr>
              <w:widowControl/>
              <w:jc w:val="right"/>
              <w:textAlignment w:val="bottom"/>
              <w:rPr>
                <w:rFonts w:ascii="仿宋" w:hAnsi="仿宋" w:eastAsia="仿宋" w:cs="仿宋"/>
                <w:color w:val="000000"/>
                <w:kern w:val="0"/>
                <w:szCs w:val="21"/>
              </w:rPr>
            </w:pPr>
            <w:r>
              <w:rPr>
                <w:rFonts w:hint="eastAsia" w:ascii="宋体" w:hAnsi="宋体" w:eastAsia="宋体" w:cs="宋体"/>
                <w:color w:val="000000"/>
                <w:kern w:val="0"/>
                <w:sz w:val="22"/>
              </w:rPr>
              <w:t xml:space="preserve"> -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2021年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14,700.00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594.02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594.02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2022年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2023年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2024年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2025年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2026年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2027年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2028年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2029年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20,000.00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14,700.00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686.77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15,386.77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ascii="仿宋" w:hAnsi="仿宋" w:eastAsia="仿宋" w:cs="仿宋"/>
                <w:color w:val="000000"/>
                <w:kern w:val="0"/>
                <w:szCs w:val="21"/>
              </w:rPr>
            </w:pPr>
            <w:r>
              <w:rPr>
                <w:rFonts w:hint="eastAsia" w:ascii="仿宋" w:hAnsi="仿宋" w:eastAsia="仿宋"/>
                <w:snapToGrid w:val="0"/>
                <w:kern w:val="0"/>
                <w:sz w:val="18"/>
                <w:szCs w:val="28"/>
              </w:rPr>
              <w:t>2030年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185.50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185.50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center"/>
          </w:tcPr>
          <w:p>
            <w:pPr>
              <w:adjustRightInd w:val="0"/>
              <w:snapToGrid w:val="0"/>
              <w:spacing w:line="240" w:lineRule="exact"/>
              <w:contextualSpacing/>
              <w:jc w:val="center"/>
              <w:rPr>
                <w:rFonts w:hint="default" w:ascii="仿宋" w:hAnsi="仿宋" w:eastAsia="仿宋"/>
                <w:snapToGrid w:val="0"/>
                <w:kern w:val="0"/>
                <w:sz w:val="18"/>
                <w:szCs w:val="28"/>
                <w:lang w:val="en-US" w:eastAsia="zh-CN"/>
              </w:rPr>
            </w:pPr>
            <w:r>
              <w:rPr>
                <w:rFonts w:hint="eastAsia" w:ascii="仿宋" w:hAnsi="仿宋" w:eastAsia="仿宋"/>
                <w:snapToGrid w:val="0"/>
                <w:kern w:val="0"/>
                <w:sz w:val="18"/>
                <w:szCs w:val="28"/>
                <w:lang w:val="en-US" w:eastAsia="zh-CN"/>
              </w:rPr>
              <w:t>2031年</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240" w:type="dxa"/>
            <w:tcBorders>
              <w:tl2br w:val="nil"/>
              <w:tr2bl w:val="nil"/>
            </w:tcBorders>
            <w:noWrap/>
            <w:vAlign w:val="bottom"/>
          </w:tcPr>
          <w:p>
            <w:pPr>
              <w:adjustRightInd w:val="0"/>
              <w:snapToGrid w:val="0"/>
              <w:spacing w:line="240" w:lineRule="exact"/>
              <w:contextualSpacing/>
              <w:jc w:val="right"/>
              <w:rPr>
                <w:rFonts w:hint="eastAsia" w:ascii="仿宋" w:hAnsi="仿宋" w:eastAsia="仿宋" w:cs="仿宋"/>
                <w:color w:val="000000"/>
                <w:kern w:val="0"/>
                <w:szCs w:val="21"/>
                <w:lang w:bidi="ar"/>
              </w:rPr>
            </w:pPr>
            <w:r>
              <w:rPr>
                <w:rFonts w:hint="eastAsia" w:ascii="仿宋" w:hAnsi="仿宋" w:eastAsia="仿宋"/>
                <w:snapToGrid w:val="0"/>
                <w:kern w:val="0"/>
                <w:sz w:val="18"/>
                <w:szCs w:val="28"/>
              </w:rPr>
              <w:t xml:space="preserve"> -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5,300.00 </w:t>
            </w:r>
          </w:p>
        </w:tc>
        <w:tc>
          <w:tcPr>
            <w:tcW w:w="1158" w:type="dxa"/>
            <w:tcBorders>
              <w:tl2br w:val="nil"/>
              <w:tr2bl w:val="nil"/>
            </w:tcBorders>
            <w:noWrap/>
            <w:vAlign w:val="bottom"/>
          </w:tcPr>
          <w:p>
            <w:pPr>
              <w:adjustRightInd w:val="0"/>
              <w:snapToGrid w:val="0"/>
              <w:spacing w:line="240" w:lineRule="exact"/>
              <w:contextualSpacing/>
              <w:jc w:val="right"/>
              <w:rPr>
                <w:rFonts w:hint="eastAsia" w:ascii="仿宋" w:hAnsi="仿宋" w:eastAsia="仿宋" w:cs="仿宋"/>
                <w:color w:val="000000"/>
                <w:kern w:val="0"/>
                <w:szCs w:val="21"/>
                <w:lang w:bidi="ar"/>
              </w:rPr>
            </w:pPr>
            <w:r>
              <w:rPr>
                <w:rFonts w:hint="eastAsia" w:ascii="仿宋" w:hAnsi="仿宋" w:eastAsia="仿宋"/>
                <w:snapToGrid w:val="0"/>
                <w:kern w:val="0"/>
                <w:sz w:val="18"/>
                <w:szCs w:val="28"/>
                <w:lang w:val="en-US" w:eastAsia="zh-CN"/>
              </w:rPr>
              <w:t xml:space="preserve"> 14,700.00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92.75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color w:val="000000"/>
                <w:kern w:val="0"/>
                <w:szCs w:val="21"/>
              </w:rPr>
            </w:pPr>
            <w:r>
              <w:rPr>
                <w:rFonts w:hint="eastAsia" w:ascii="仿宋" w:hAnsi="仿宋" w:eastAsia="仿宋"/>
                <w:snapToGrid w:val="0"/>
                <w:kern w:val="0"/>
                <w:sz w:val="18"/>
                <w:szCs w:val="28"/>
                <w:lang w:val="en-US" w:eastAsia="zh-CN"/>
              </w:rPr>
              <w:t xml:space="preserve"> 5,392.75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trPr>
        <w:tc>
          <w:tcPr>
            <w:tcW w:w="1141" w:type="dxa"/>
            <w:tcBorders>
              <w:tl2br w:val="nil"/>
              <w:tr2bl w:val="nil"/>
            </w:tcBorders>
            <w:noWrap/>
            <w:vAlign w:val="bottom"/>
          </w:tcPr>
          <w:p>
            <w:pPr>
              <w:widowControl/>
              <w:jc w:val="center"/>
              <w:textAlignment w:val="bottom"/>
              <w:rPr>
                <w:rFonts w:ascii="仿宋" w:hAnsi="仿宋" w:eastAsia="仿宋" w:cs="仿宋"/>
                <w:b/>
                <w:bCs/>
                <w:color w:val="000000"/>
                <w:kern w:val="0"/>
                <w:szCs w:val="21"/>
              </w:rPr>
            </w:pPr>
            <w:r>
              <w:rPr>
                <w:rFonts w:hint="eastAsia" w:ascii="仿宋" w:hAnsi="仿宋" w:eastAsia="仿宋" w:cs="仿宋"/>
                <w:b/>
                <w:bCs/>
                <w:color w:val="000000"/>
                <w:kern w:val="0"/>
                <w:szCs w:val="21"/>
                <w:lang w:bidi="ar"/>
              </w:rPr>
              <w:t>合计</w:t>
            </w:r>
          </w:p>
        </w:tc>
        <w:tc>
          <w:tcPr>
            <w:tcW w:w="1158" w:type="dxa"/>
            <w:tcBorders>
              <w:tl2br w:val="nil"/>
              <w:tr2bl w:val="nil"/>
            </w:tcBorders>
            <w:noWrap/>
            <w:vAlign w:val="center"/>
          </w:tcPr>
          <w:p>
            <w:pPr>
              <w:adjustRightInd w:val="0"/>
              <w:snapToGrid w:val="0"/>
              <w:spacing w:line="240" w:lineRule="exact"/>
              <w:contextualSpacing/>
              <w:jc w:val="right"/>
              <w:rPr>
                <w:rFonts w:ascii="仿宋" w:hAnsi="仿宋" w:eastAsia="仿宋" w:cs="仿宋"/>
                <w:b/>
                <w:bCs/>
                <w:color w:val="000000"/>
                <w:kern w:val="0"/>
                <w:szCs w:val="21"/>
                <w:lang w:bidi="ar"/>
              </w:rPr>
            </w:pPr>
          </w:p>
        </w:tc>
        <w:tc>
          <w:tcPr>
            <w:tcW w:w="1240" w:type="dxa"/>
            <w:tcBorders>
              <w:tl2br w:val="nil"/>
              <w:tr2bl w:val="nil"/>
            </w:tcBorders>
            <w:noWrap/>
            <w:vAlign w:val="bottom"/>
          </w:tcPr>
          <w:p>
            <w:pPr>
              <w:adjustRightInd w:val="0"/>
              <w:snapToGrid w:val="0"/>
              <w:spacing w:line="240" w:lineRule="exact"/>
              <w:contextualSpacing/>
              <w:jc w:val="right"/>
              <w:rPr>
                <w:rFonts w:ascii="仿宋" w:hAnsi="仿宋" w:eastAsia="仿宋" w:cs="仿宋"/>
                <w:b/>
                <w:bCs/>
                <w:color w:val="000000"/>
                <w:kern w:val="0"/>
                <w:szCs w:val="21"/>
                <w:lang w:bidi="ar"/>
              </w:rPr>
            </w:pPr>
            <w:r>
              <w:rPr>
                <w:rFonts w:hint="eastAsia" w:ascii="仿宋" w:hAnsi="仿宋" w:eastAsia="仿宋"/>
                <w:b/>
                <w:bCs/>
                <w:snapToGrid w:val="0"/>
                <w:kern w:val="0"/>
                <w:sz w:val="18"/>
                <w:szCs w:val="28"/>
                <w:lang w:val="en-US" w:eastAsia="zh-CN"/>
              </w:rPr>
              <w:t xml:space="preserve"> 20,000.00 </w:t>
            </w: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b/>
                <w:bCs/>
                <w:color w:val="000000"/>
                <w:kern w:val="0"/>
                <w:szCs w:val="21"/>
                <w:lang w:bidi="ar"/>
              </w:rPr>
            </w:pPr>
            <w:r>
              <w:rPr>
                <w:rFonts w:hint="eastAsia" w:ascii="仿宋" w:hAnsi="仿宋" w:eastAsia="仿宋"/>
                <w:b/>
                <w:bCs/>
                <w:snapToGrid w:val="0"/>
                <w:kern w:val="0"/>
                <w:sz w:val="18"/>
                <w:szCs w:val="28"/>
                <w:lang w:val="en-US" w:eastAsia="zh-CN"/>
              </w:rPr>
              <w:t xml:space="preserve"> 20,000.00 </w:t>
            </w:r>
          </w:p>
        </w:tc>
        <w:tc>
          <w:tcPr>
            <w:tcW w:w="1158" w:type="dxa"/>
            <w:tcBorders>
              <w:tl2br w:val="nil"/>
              <w:tr2bl w:val="nil"/>
            </w:tcBorders>
            <w:noWrap/>
            <w:vAlign w:val="center"/>
          </w:tcPr>
          <w:p>
            <w:pPr>
              <w:adjustRightInd w:val="0"/>
              <w:snapToGrid w:val="0"/>
              <w:spacing w:line="240" w:lineRule="exact"/>
              <w:contextualSpacing/>
              <w:jc w:val="right"/>
              <w:rPr>
                <w:rFonts w:ascii="仿宋" w:hAnsi="仿宋" w:eastAsia="仿宋" w:cs="仿宋"/>
                <w:b/>
                <w:bCs/>
                <w:color w:val="000000"/>
                <w:kern w:val="0"/>
                <w:szCs w:val="21"/>
                <w:lang w:bidi="ar"/>
              </w:rPr>
            </w:pPr>
          </w:p>
        </w:tc>
        <w:tc>
          <w:tcPr>
            <w:tcW w:w="1158" w:type="dxa"/>
            <w:tcBorders>
              <w:tl2br w:val="nil"/>
              <w:tr2bl w:val="nil"/>
            </w:tcBorders>
            <w:noWrap/>
            <w:vAlign w:val="bottom"/>
          </w:tcPr>
          <w:p>
            <w:pPr>
              <w:adjustRightInd w:val="0"/>
              <w:snapToGrid w:val="0"/>
              <w:spacing w:line="240" w:lineRule="exact"/>
              <w:contextualSpacing/>
              <w:jc w:val="right"/>
              <w:rPr>
                <w:rFonts w:ascii="仿宋" w:hAnsi="仿宋" w:eastAsia="仿宋" w:cs="仿宋"/>
                <w:b/>
                <w:bCs/>
                <w:color w:val="000000"/>
                <w:kern w:val="0"/>
                <w:szCs w:val="21"/>
                <w:lang w:bidi="ar"/>
              </w:rPr>
            </w:pPr>
            <w:r>
              <w:rPr>
                <w:rFonts w:hint="eastAsia" w:ascii="仿宋" w:hAnsi="仿宋" w:eastAsia="仿宋"/>
                <w:b/>
                <w:bCs/>
                <w:snapToGrid w:val="0"/>
                <w:kern w:val="0"/>
                <w:sz w:val="18"/>
                <w:szCs w:val="28"/>
                <w:lang w:val="en-US" w:eastAsia="zh-CN"/>
              </w:rPr>
              <w:t xml:space="preserve"> 6,366.43 </w:t>
            </w:r>
          </w:p>
        </w:tc>
        <w:tc>
          <w:tcPr>
            <w:tcW w:w="1462" w:type="dxa"/>
            <w:tcBorders>
              <w:tl2br w:val="nil"/>
              <w:tr2bl w:val="nil"/>
            </w:tcBorders>
            <w:noWrap/>
            <w:vAlign w:val="bottom"/>
          </w:tcPr>
          <w:p>
            <w:pPr>
              <w:adjustRightInd w:val="0"/>
              <w:snapToGrid w:val="0"/>
              <w:spacing w:line="240" w:lineRule="exact"/>
              <w:contextualSpacing/>
              <w:jc w:val="right"/>
              <w:rPr>
                <w:rFonts w:ascii="仿宋" w:hAnsi="仿宋" w:eastAsia="仿宋" w:cs="仿宋"/>
                <w:b/>
                <w:bCs/>
                <w:color w:val="000000"/>
                <w:kern w:val="0"/>
                <w:szCs w:val="21"/>
                <w:lang w:bidi="ar"/>
              </w:rPr>
            </w:pPr>
            <w:r>
              <w:rPr>
                <w:rFonts w:hint="eastAsia" w:ascii="仿宋" w:hAnsi="仿宋" w:eastAsia="仿宋"/>
                <w:b/>
                <w:bCs/>
                <w:snapToGrid w:val="0"/>
                <w:kern w:val="0"/>
                <w:sz w:val="18"/>
                <w:szCs w:val="28"/>
                <w:lang w:val="en-US" w:eastAsia="zh-CN"/>
              </w:rPr>
              <w:t xml:space="preserve"> 26,366.43 </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w:t>
      </w:r>
      <w:r>
        <w:rPr>
          <w:rFonts w:hint="eastAsia" w:ascii="仿宋" w:hAnsi="仿宋" w:eastAsia="仿宋" w:cs="仿宋"/>
          <w:sz w:val="28"/>
          <w:szCs w:val="28"/>
          <w:lang w:val="en-US" w:eastAsia="zh-CN"/>
        </w:rPr>
        <w:t>青云路、青竹路地下综合管廊工程</w:t>
      </w:r>
      <w:r>
        <w:rPr>
          <w:rFonts w:hint="eastAsia" w:ascii="仿宋" w:hAnsi="仿宋" w:eastAsia="仿宋" w:cs="仿宋"/>
          <w:sz w:val="28"/>
          <w:szCs w:val="28"/>
        </w:rPr>
        <w:t>项目债券资金覆盖率可以达到</w:t>
      </w:r>
      <w:r>
        <w:rPr>
          <w:rFonts w:hint="eastAsia" w:ascii="仿宋" w:hAnsi="仿宋" w:eastAsia="仿宋" w:cs="仿宋"/>
          <w:sz w:val="28"/>
          <w:szCs w:val="28"/>
          <w:lang w:val="en-US" w:eastAsia="zh-CN"/>
        </w:rPr>
        <w:t>1.63</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
    <w:altName w:val="仿宋"/>
    <w:panose1 w:val="03000509000000000000"/>
    <w:charset w:val="86"/>
    <w:family w:val="script"/>
    <w:pitch w:val="default"/>
    <w:sig w:usb0="00000000" w:usb1="00000000" w:usb2="0000001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62E13D5"/>
    <w:rsid w:val="069549DE"/>
    <w:rsid w:val="06CF5A0A"/>
    <w:rsid w:val="0AED1FCB"/>
    <w:rsid w:val="0B815E16"/>
    <w:rsid w:val="133F4939"/>
    <w:rsid w:val="17325F98"/>
    <w:rsid w:val="187239E1"/>
    <w:rsid w:val="19F655F4"/>
    <w:rsid w:val="1C750FEB"/>
    <w:rsid w:val="1CD51EFC"/>
    <w:rsid w:val="1D602AA5"/>
    <w:rsid w:val="1E7F51E4"/>
    <w:rsid w:val="234B4DA6"/>
    <w:rsid w:val="244A30BB"/>
    <w:rsid w:val="29D64710"/>
    <w:rsid w:val="33AB5D66"/>
    <w:rsid w:val="36BB7A2A"/>
    <w:rsid w:val="3ECC555A"/>
    <w:rsid w:val="41A3147E"/>
    <w:rsid w:val="45E52831"/>
    <w:rsid w:val="46D21304"/>
    <w:rsid w:val="49F46925"/>
    <w:rsid w:val="4C9D10D3"/>
    <w:rsid w:val="4D9C7ECD"/>
    <w:rsid w:val="4EF55217"/>
    <w:rsid w:val="4F8D7EDC"/>
    <w:rsid w:val="50CD285B"/>
    <w:rsid w:val="51CA75EB"/>
    <w:rsid w:val="52022F8C"/>
    <w:rsid w:val="56D13A43"/>
    <w:rsid w:val="5B8E4E92"/>
    <w:rsid w:val="60A07011"/>
    <w:rsid w:val="628063D4"/>
    <w:rsid w:val="65A979BD"/>
    <w:rsid w:val="6CCA08D8"/>
    <w:rsid w:val="6CCA5DF4"/>
    <w:rsid w:val="6DC276F7"/>
    <w:rsid w:val="72CA119D"/>
    <w:rsid w:val="74D80A5A"/>
    <w:rsid w:val="75800876"/>
    <w:rsid w:val="79796901"/>
    <w:rsid w:val="7B1D4EA8"/>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text"/>
    <w:basedOn w:val="1"/>
    <w:link w:val="18"/>
    <w:qFormat/>
    <w:uiPriority w:val="0"/>
    <w:pPr>
      <w:jc w:val="left"/>
    </w:pPr>
  </w:style>
  <w:style w:type="paragraph" w:styleId="8">
    <w:name w:val="Balloon Text"/>
    <w:basedOn w:val="1"/>
    <w:link w:val="17"/>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Indent 3"/>
    <w:basedOn w:val="1"/>
    <w:qFormat/>
    <w:uiPriority w:val="99"/>
    <w:pPr>
      <w:spacing w:after="120"/>
      <w:ind w:left="420" w:leftChars="200"/>
    </w:pPr>
    <w:rPr>
      <w:sz w:val="16"/>
      <w:szCs w:val="16"/>
    </w:rPr>
  </w:style>
  <w:style w:type="paragraph" w:styleId="12">
    <w:name w:val="annotation subject"/>
    <w:basedOn w:val="7"/>
    <w:next w:val="7"/>
    <w:link w:val="19"/>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qFormat/>
    <w:uiPriority w:val="0"/>
    <w:rPr>
      <w:sz w:val="21"/>
      <w:szCs w:val="21"/>
    </w:rPr>
  </w:style>
  <w:style w:type="character" w:customStyle="1" w:styleId="17">
    <w:name w:val="批注框文本 Char"/>
    <w:basedOn w:val="15"/>
    <w:link w:val="8"/>
    <w:qFormat/>
    <w:uiPriority w:val="0"/>
    <w:rPr>
      <w:rFonts w:asciiTheme="minorHAnsi" w:hAnsiTheme="minorHAnsi" w:eastAsiaTheme="minorEastAsia" w:cstheme="minorBidi"/>
      <w:kern w:val="2"/>
      <w:sz w:val="18"/>
      <w:szCs w:val="18"/>
    </w:rPr>
  </w:style>
  <w:style w:type="character" w:customStyle="1" w:styleId="18">
    <w:name w:val="批注文字 Char"/>
    <w:basedOn w:val="15"/>
    <w:link w:val="7"/>
    <w:qFormat/>
    <w:uiPriority w:val="0"/>
    <w:rPr>
      <w:rFonts w:asciiTheme="minorHAnsi" w:hAnsiTheme="minorHAnsi" w:eastAsiaTheme="minorEastAsia" w:cstheme="minorBidi"/>
      <w:kern w:val="2"/>
      <w:sz w:val="21"/>
      <w:szCs w:val="22"/>
    </w:rPr>
  </w:style>
  <w:style w:type="character" w:customStyle="1" w:styleId="19">
    <w:name w:val="批注主题 Char"/>
    <w:basedOn w:val="18"/>
    <w:link w:val="12"/>
    <w:qFormat/>
    <w:uiPriority w:val="0"/>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0</TotalTime>
  <ScaleCrop>false</ScaleCrop>
  <LinksUpToDate>false</LinksUpToDate>
  <CharactersWithSpaces>18113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陈肇远</cp:lastModifiedBy>
  <dcterms:modified xsi:type="dcterms:W3CDTF">2020-11-18T06:38:00Z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