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2020年福建省政府专项债券（十二期）</w:t>
      </w:r>
    </w:p>
    <w:p>
      <w:pPr>
        <w:spacing w:line="360" w:lineRule="auto"/>
        <w:jc w:val="center"/>
        <w:rPr>
          <w:rFonts w:ascii="仿宋" w:hAnsi="仿宋" w:eastAsia="仿宋" w:cs="仿宋"/>
          <w:b/>
          <w:sz w:val="32"/>
          <w:szCs w:val="32"/>
        </w:rPr>
      </w:pPr>
      <w:r>
        <w:rPr>
          <w:rFonts w:hint="eastAsia" w:ascii="仿宋" w:hAnsi="仿宋" w:eastAsia="仿宋" w:cs="仿宋"/>
          <w:b/>
          <w:sz w:val="32"/>
          <w:szCs w:val="32"/>
        </w:rPr>
        <w:t>之</w:t>
      </w:r>
      <w:r>
        <w:rPr>
          <w:rFonts w:hint="eastAsia" w:ascii="仿宋" w:hAnsi="仿宋" w:eastAsia="仿宋" w:cs="仿宋"/>
          <w:b/>
          <w:sz w:val="32"/>
          <w:szCs w:val="32"/>
          <w:lang w:val="en-US" w:eastAsia="zh-CN"/>
        </w:rPr>
        <w:t>龙岩市</w:t>
      </w:r>
      <w:r>
        <w:rPr>
          <w:rFonts w:hint="eastAsia" w:ascii="仿宋" w:hAnsi="仿宋" w:eastAsia="仿宋" w:cs="仿宋"/>
          <w:b/>
          <w:sz w:val="32"/>
          <w:szCs w:val="32"/>
        </w:rPr>
        <w:t>项目调整情况说明</w:t>
      </w:r>
    </w:p>
    <w:p>
      <w:pPr>
        <w:spacing w:line="360" w:lineRule="auto"/>
        <w:rPr>
          <w:rFonts w:ascii="仿宋" w:hAnsi="仿宋" w:eastAsia="仿宋" w:cs="仿宋"/>
          <w:sz w:val="28"/>
          <w:szCs w:val="28"/>
        </w:rPr>
      </w:pP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年福建省政府专项债券（十二期）中长汀县城南片区（羊耳坑）供水工程项目已发行专项债券0.50亿元，期限10年，因项目暂停施工，故拟调整0.50亿元用于长汀县东南农产品交易中心外围配套基础设施建设项目。</w:t>
      </w:r>
    </w:p>
    <w:p>
      <w:pPr>
        <w:pStyle w:val="2"/>
        <w:numPr>
          <w:ilvl w:val="0"/>
          <w:numId w:val="1"/>
        </w:numPr>
        <w:spacing w:line="360" w:lineRule="auto"/>
        <w:ind w:firstLine="562" w:firstLineChars="200"/>
      </w:pPr>
      <w:r>
        <w:rPr>
          <w:rFonts w:hint="eastAsia" w:ascii="仿宋" w:hAnsi="仿宋" w:cs="仿宋"/>
        </w:rPr>
        <w:t>资金投向说明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本次专项债券资金拟使用规模情况如下：</w:t>
      </w:r>
    </w:p>
    <w:tbl>
      <w:tblPr>
        <w:tblStyle w:val="14"/>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311"/>
        <w:gridCol w:w="1560"/>
        <w:gridCol w:w="1417"/>
        <w:gridCol w:w="1632"/>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调整债券名称</w:t>
            </w:r>
          </w:p>
        </w:tc>
        <w:tc>
          <w:tcPr>
            <w:tcW w:w="1311"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原项目</w:t>
            </w:r>
          </w:p>
        </w:tc>
        <w:tc>
          <w:tcPr>
            <w:tcW w:w="156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调整后项目</w:t>
            </w:r>
          </w:p>
        </w:tc>
        <w:tc>
          <w:tcPr>
            <w:tcW w:w="14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调整后项目总投资（万元）</w:t>
            </w:r>
          </w:p>
        </w:tc>
        <w:tc>
          <w:tcPr>
            <w:tcW w:w="1632"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拟调整专项债金额（万元）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调整后项目实施方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jc w:val="center"/>
        </w:trPr>
        <w:tc>
          <w:tcPr>
            <w:tcW w:w="1328" w:type="dxa"/>
            <w:vAlign w:val="center"/>
          </w:tcPr>
          <w:p>
            <w:pPr>
              <w:spacing w:line="360" w:lineRule="auto"/>
              <w:rPr>
                <w:rFonts w:ascii="仿宋" w:hAnsi="仿宋" w:eastAsia="仿宋" w:cs="仿宋"/>
                <w:kern w:val="0"/>
                <w:sz w:val="24"/>
                <w:szCs w:val="24"/>
              </w:rPr>
            </w:pPr>
            <w:r>
              <w:rPr>
                <w:rFonts w:hint="eastAsia" w:ascii="仿宋" w:hAnsi="仿宋" w:eastAsia="仿宋" w:cs="仿宋"/>
                <w:kern w:val="0"/>
                <w:sz w:val="24"/>
                <w:szCs w:val="24"/>
              </w:rPr>
              <w:t>2020年福建省政府专项债券（十二期）</w:t>
            </w:r>
          </w:p>
        </w:tc>
        <w:tc>
          <w:tcPr>
            <w:tcW w:w="1311" w:type="dxa"/>
            <w:vAlign w:val="center"/>
          </w:tcPr>
          <w:p>
            <w:pPr>
              <w:spacing w:line="360" w:lineRule="auto"/>
              <w:rPr>
                <w:rFonts w:ascii="仿宋" w:hAnsi="仿宋" w:eastAsia="仿宋" w:cs="仿宋"/>
                <w:kern w:val="0"/>
                <w:sz w:val="24"/>
                <w:szCs w:val="24"/>
              </w:rPr>
            </w:pPr>
            <w:r>
              <w:rPr>
                <w:rFonts w:hint="eastAsia" w:ascii="仿宋" w:hAnsi="仿宋" w:eastAsia="仿宋" w:cs="仿宋"/>
                <w:kern w:val="0"/>
                <w:sz w:val="24"/>
                <w:szCs w:val="24"/>
              </w:rPr>
              <w:t>长汀县城南片区（羊耳坑）供水工程项目</w:t>
            </w:r>
          </w:p>
        </w:tc>
        <w:tc>
          <w:tcPr>
            <w:tcW w:w="1560" w:type="dxa"/>
            <w:vAlign w:val="center"/>
          </w:tcPr>
          <w:p>
            <w:pPr>
              <w:spacing w:line="360" w:lineRule="auto"/>
              <w:rPr>
                <w:rFonts w:ascii="仿宋" w:hAnsi="仿宋" w:eastAsia="仿宋" w:cs="仿宋"/>
                <w:kern w:val="0"/>
                <w:sz w:val="24"/>
                <w:szCs w:val="24"/>
              </w:rPr>
            </w:pPr>
            <w:r>
              <w:rPr>
                <w:rFonts w:ascii="仿宋" w:hAnsi="仿宋" w:eastAsia="仿宋" w:cs="仿宋"/>
                <w:kern w:val="0"/>
                <w:sz w:val="24"/>
                <w:szCs w:val="24"/>
              </w:rPr>
              <w:t>长汀县东南农产品交易中心外围配套基础设施建设项目</w:t>
            </w:r>
          </w:p>
        </w:tc>
        <w:tc>
          <w:tcPr>
            <w:tcW w:w="1417" w:type="dxa"/>
            <w:vAlign w:val="center"/>
          </w:tcPr>
          <w:p>
            <w:pPr>
              <w:spacing w:line="360" w:lineRule="auto"/>
              <w:rPr>
                <w:rFonts w:ascii="仿宋" w:hAnsi="仿宋" w:eastAsia="仿宋" w:cs="仿宋"/>
                <w:kern w:val="0"/>
                <w:sz w:val="24"/>
                <w:szCs w:val="24"/>
              </w:rPr>
            </w:pPr>
            <w:r>
              <w:rPr>
                <w:rFonts w:ascii="仿宋" w:hAnsi="仿宋" w:eastAsia="仿宋" w:cs="仿宋"/>
                <w:kern w:val="0"/>
                <w:sz w:val="24"/>
                <w:szCs w:val="24"/>
              </w:rPr>
              <w:t>11,882.63</w:t>
            </w:r>
          </w:p>
        </w:tc>
        <w:tc>
          <w:tcPr>
            <w:tcW w:w="1632" w:type="dxa"/>
            <w:vAlign w:val="center"/>
          </w:tcPr>
          <w:p>
            <w:pPr>
              <w:spacing w:line="360" w:lineRule="auto"/>
              <w:rPr>
                <w:rFonts w:ascii="仿宋" w:hAnsi="仿宋" w:eastAsia="仿宋" w:cs="仿宋"/>
                <w:kern w:val="0"/>
                <w:sz w:val="24"/>
                <w:szCs w:val="24"/>
              </w:rPr>
            </w:pPr>
            <w:r>
              <w:rPr>
                <w:rFonts w:hint="eastAsia" w:ascii="仿宋" w:hAnsi="仿宋" w:eastAsia="仿宋" w:cs="仿宋"/>
                <w:kern w:val="0"/>
                <w:sz w:val="24"/>
                <w:szCs w:val="24"/>
              </w:rPr>
              <w:t>5,000.00</w:t>
            </w:r>
          </w:p>
        </w:tc>
        <w:tc>
          <w:tcPr>
            <w:tcW w:w="1800" w:type="dxa"/>
            <w:vAlign w:val="center"/>
          </w:tcPr>
          <w:p>
            <w:pPr>
              <w:spacing w:line="360" w:lineRule="auto"/>
              <w:rPr>
                <w:rFonts w:ascii="仿宋" w:hAnsi="仿宋" w:eastAsia="仿宋" w:cs="仿宋"/>
                <w:kern w:val="0"/>
                <w:sz w:val="24"/>
                <w:szCs w:val="24"/>
              </w:rPr>
            </w:pPr>
            <w:r>
              <w:rPr>
                <w:rFonts w:ascii="仿宋" w:hAnsi="仿宋" w:eastAsia="仿宋" w:cs="仿宋"/>
                <w:kern w:val="0"/>
                <w:sz w:val="24"/>
                <w:szCs w:val="24"/>
              </w:rPr>
              <w:t>长汀县腾飞城市建设投资有限公司</w:t>
            </w:r>
          </w:p>
        </w:tc>
      </w:tr>
    </w:tbl>
    <w:p>
      <w:pPr>
        <w:spacing w:line="360" w:lineRule="auto"/>
        <w:ind w:firstLine="480" w:firstLineChars="200"/>
        <w:rPr>
          <w:rFonts w:hint="eastAsia" w:ascii="仿宋" w:hAnsi="仿宋" w:eastAsia="仿宋" w:cs="仿宋"/>
          <w:lang w:val="en-US" w:eastAsia="zh-CN"/>
        </w:rPr>
      </w:pPr>
      <w:r>
        <w:rPr>
          <w:rFonts w:hint="eastAsia" w:ascii="仿宋" w:hAnsi="仿宋" w:cs="仿宋"/>
          <w:sz w:val="24"/>
          <w:szCs w:val="24"/>
          <w:lang w:val="en-US" w:eastAsia="zh-CN"/>
        </w:rPr>
        <w:t>备注：</w:t>
      </w:r>
      <w:r>
        <w:rPr>
          <w:rFonts w:hint="eastAsia" w:ascii="仿宋" w:hAnsi="仿宋" w:eastAsia="仿宋" w:cs="仿宋"/>
          <w:sz w:val="24"/>
          <w:szCs w:val="24"/>
          <w:lang w:val="en-US" w:eastAsia="zh-CN"/>
        </w:rPr>
        <w:t>2019年福建省政府专项债券（六期）中</w:t>
      </w:r>
      <w:r>
        <w:rPr>
          <w:rFonts w:hint="eastAsia" w:ascii="仿宋" w:hAnsi="仿宋" w:eastAsia="仿宋" w:cs="仿宋"/>
          <w:kern w:val="0"/>
          <w:sz w:val="24"/>
          <w:szCs w:val="24"/>
        </w:rPr>
        <w:t>长汀县城南片区（羊耳坑）供水工程项目</w:t>
      </w:r>
      <w:r>
        <w:rPr>
          <w:rFonts w:hint="eastAsia" w:ascii="仿宋" w:hAnsi="仿宋" w:eastAsia="仿宋" w:cs="仿宋"/>
          <w:sz w:val="24"/>
          <w:szCs w:val="24"/>
          <w:lang w:val="en-US" w:eastAsia="zh-CN"/>
        </w:rPr>
        <w:t>已发行专项债券0.13亿元，期限10年，</w:t>
      </w:r>
      <w:r>
        <w:rPr>
          <w:rFonts w:hint="eastAsia" w:ascii="仿宋" w:hAnsi="仿宋" w:eastAsia="仿宋" w:cs="仿宋"/>
          <w:sz w:val="24"/>
          <w:szCs w:val="24"/>
        </w:rPr>
        <w:t>因项目</w:t>
      </w:r>
      <w:r>
        <w:rPr>
          <w:rFonts w:hint="eastAsia" w:ascii="仿宋" w:hAnsi="仿宋" w:eastAsia="仿宋" w:cs="仿宋"/>
          <w:sz w:val="24"/>
          <w:szCs w:val="24"/>
          <w:lang w:val="en-US" w:eastAsia="zh-CN"/>
        </w:rPr>
        <w:t>暂停施工</w:t>
      </w:r>
      <w:r>
        <w:rPr>
          <w:rFonts w:hint="eastAsia" w:ascii="仿宋" w:hAnsi="仿宋" w:eastAsia="仿宋" w:cs="仿宋"/>
          <w:sz w:val="24"/>
          <w:szCs w:val="24"/>
        </w:rPr>
        <w:t>，故拟调整合计</w:t>
      </w:r>
      <w:r>
        <w:rPr>
          <w:rFonts w:hint="eastAsia" w:ascii="仿宋" w:hAnsi="仿宋" w:eastAsia="仿宋" w:cs="仿宋"/>
          <w:sz w:val="24"/>
          <w:szCs w:val="24"/>
          <w:lang w:val="en-US" w:eastAsia="zh-CN"/>
        </w:rPr>
        <w:t>0.05</w:t>
      </w:r>
      <w:r>
        <w:rPr>
          <w:rFonts w:hint="eastAsia" w:ascii="仿宋" w:hAnsi="仿宋" w:eastAsia="仿宋" w:cs="仿宋"/>
          <w:sz w:val="24"/>
          <w:szCs w:val="24"/>
        </w:rPr>
        <w:t>亿元用于</w:t>
      </w:r>
      <w:r>
        <w:rPr>
          <w:rFonts w:ascii="仿宋" w:hAnsi="仿宋" w:eastAsia="仿宋" w:cs="仿宋"/>
          <w:kern w:val="0"/>
          <w:sz w:val="24"/>
          <w:szCs w:val="24"/>
        </w:rPr>
        <w:t>长汀县东南农产品交易中心外围配套基础设施建设项目</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本项目合计调入金额0.55亿元。</w:t>
      </w:r>
    </w:p>
    <w:p>
      <w:pPr>
        <w:pStyle w:val="2"/>
        <w:spacing w:line="360" w:lineRule="auto"/>
        <w:ind w:firstLine="562" w:firstLineChars="200"/>
        <w:rPr>
          <w:rFonts w:ascii="仿宋" w:hAnsi="仿宋" w:cs="仿宋"/>
        </w:rPr>
      </w:pPr>
      <w:r>
        <w:rPr>
          <w:rFonts w:hint="eastAsia" w:ascii="仿宋" w:hAnsi="仿宋" w:cs="仿宋"/>
        </w:rPr>
        <w:t>二、项目情况</w:t>
      </w:r>
    </w:p>
    <w:p>
      <w:pPr>
        <w:pStyle w:val="3"/>
        <w:spacing w:line="360" w:lineRule="auto"/>
        <w:ind w:firstLine="562" w:firstLineChars="200"/>
        <w:rPr>
          <w:rFonts w:ascii="仿宋" w:hAnsi="仿宋" w:cs="仿宋"/>
          <w:szCs w:val="28"/>
        </w:rPr>
      </w:pPr>
      <w:bookmarkStart w:id="0" w:name="_Hlk524441701"/>
      <w:r>
        <w:rPr>
          <w:rFonts w:hint="eastAsia" w:ascii="仿宋" w:hAnsi="仿宋" w:cs="仿宋"/>
          <w:szCs w:val="28"/>
        </w:rPr>
        <w:t>（一）</w:t>
      </w:r>
      <w:r>
        <w:rPr>
          <w:rFonts w:ascii="仿宋" w:hAnsi="仿宋" w:cs="仿宋"/>
          <w:szCs w:val="28"/>
        </w:rPr>
        <w:t>长汀县东南农产品交易中心外围配套基础设施建设</w:t>
      </w:r>
      <w:r>
        <w:rPr>
          <w:rFonts w:hint="eastAsia" w:ascii="仿宋" w:hAnsi="仿宋" w:cs="仿宋"/>
          <w:szCs w:val="28"/>
        </w:rPr>
        <w:t>项目</w:t>
      </w:r>
    </w:p>
    <w:p>
      <w:pPr>
        <w:pStyle w:val="5"/>
        <w:spacing w:line="360" w:lineRule="auto"/>
        <w:ind w:firstLine="562" w:firstLineChars="200"/>
        <w:rPr>
          <w:rFonts w:ascii="仿宋" w:hAnsi="仿宋" w:cs="仿宋"/>
        </w:rPr>
      </w:pPr>
      <w:r>
        <w:rPr>
          <w:rFonts w:hint="eastAsia" w:ascii="仿宋" w:hAnsi="仿宋" w:cs="仿宋"/>
        </w:rPr>
        <w:t>1、项目概况</w:t>
      </w:r>
    </w:p>
    <w:p>
      <w:pPr>
        <w:spacing w:line="360" w:lineRule="auto"/>
        <w:ind w:firstLine="560" w:firstLineChars="200"/>
        <w:rPr>
          <w:rFonts w:ascii="仿宋" w:hAnsi="仿宋" w:eastAsia="仿宋" w:cs="仿宋"/>
          <w:sz w:val="28"/>
          <w:szCs w:val="28"/>
        </w:rPr>
      </w:pPr>
      <w:r>
        <w:rPr>
          <w:rFonts w:ascii="仿宋" w:hAnsi="仿宋" w:eastAsia="仿宋" w:cs="仿宋"/>
          <w:sz w:val="28"/>
          <w:szCs w:val="28"/>
        </w:rPr>
        <w:t>长汀县东南农产品交易中心外围配套基础设施建设项目位于城南新区，本项目的建设对于完善城南新区路网系统，城市规模拓展与土地开发，区域经济发展具有重要作用。新建纬四路长405.134米，宽25米</w:t>
      </w:r>
      <w:r>
        <w:rPr>
          <w:rFonts w:hint="eastAsia" w:ascii="仿宋" w:hAnsi="仿宋" w:eastAsia="仿宋" w:cs="仿宋"/>
          <w:sz w:val="28"/>
          <w:szCs w:val="28"/>
        </w:rPr>
        <w:t>;</w:t>
      </w:r>
      <w:r>
        <w:rPr>
          <w:rFonts w:ascii="仿宋" w:hAnsi="仿宋" w:eastAsia="仿宋" w:cs="仿宋"/>
          <w:sz w:val="28"/>
          <w:szCs w:val="28"/>
        </w:rPr>
        <w:t>经二路长1000米，宽21米;纬七路长420米，宽42米，铺设污水管网2.5公里，雨水管网2.5公里，配套垃圾转运站及其他附属设施。</w:t>
      </w:r>
    </w:p>
    <w:bookmarkEnd w:id="0"/>
    <w:p>
      <w:pPr>
        <w:pStyle w:val="5"/>
        <w:spacing w:line="360" w:lineRule="auto"/>
        <w:ind w:firstLine="562" w:firstLineChars="200"/>
        <w:rPr>
          <w:rFonts w:ascii="仿宋" w:hAnsi="仿宋" w:cs="仿宋"/>
        </w:rPr>
      </w:pPr>
      <w:r>
        <w:rPr>
          <w:rFonts w:hint="eastAsia" w:ascii="仿宋" w:hAnsi="仿宋" w:cs="仿宋"/>
        </w:rPr>
        <w:t>2、项目投资情况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根据可研及可研批复，</w:t>
      </w:r>
      <w:r>
        <w:rPr>
          <w:rFonts w:ascii="仿宋" w:hAnsi="仿宋" w:eastAsia="仿宋" w:cs="仿宋"/>
          <w:sz w:val="28"/>
          <w:szCs w:val="28"/>
        </w:rPr>
        <w:t>项目总投资为11,882.63万元，其中建安费8,402.54万元，工程其它费用2,599.90万元，基本预备费880.19万元</w:t>
      </w:r>
      <w:r>
        <w:rPr>
          <w:rFonts w:hint="eastAsia" w:ascii="仿宋" w:hAnsi="仿宋" w:eastAsia="仿宋" w:cs="仿宋"/>
          <w:sz w:val="28"/>
          <w:szCs w:val="28"/>
        </w:rPr>
        <w:t xml:space="preserve"> (不含建设期利息)。</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估算表如下：</w:t>
      </w:r>
    </w:p>
    <w:p>
      <w:pPr>
        <w:widowControl/>
        <w:spacing w:after="120" w:line="360" w:lineRule="auto"/>
        <w:ind w:firstLine="562" w:firstLineChars="200"/>
        <w:contextualSpacing/>
        <w:jc w:val="center"/>
        <w:rPr>
          <w:rFonts w:ascii="仿宋" w:hAnsi="仿宋" w:eastAsia="仿宋" w:cs="仿宋"/>
          <w:b/>
          <w:kern w:val="0"/>
          <w:sz w:val="28"/>
          <w:lang w:val="en-GB"/>
        </w:rPr>
      </w:pPr>
      <w:r>
        <w:rPr>
          <w:rFonts w:hint="eastAsia" w:ascii="仿宋" w:hAnsi="仿宋" w:eastAsia="仿宋" w:cs="仿宋"/>
          <w:b/>
          <w:kern w:val="0"/>
          <w:sz w:val="28"/>
          <w:lang w:val="en-GB"/>
        </w:rPr>
        <w:t>项目总投资估算表</w:t>
      </w:r>
    </w:p>
    <w:tbl>
      <w:tblPr>
        <w:tblStyle w:val="13"/>
        <w:tblW w:w="5000" w:type="pct"/>
        <w:tblInd w:w="0" w:type="dxa"/>
        <w:tblLayout w:type="autofit"/>
        <w:tblCellMar>
          <w:top w:w="0" w:type="dxa"/>
          <w:left w:w="108" w:type="dxa"/>
          <w:bottom w:w="0" w:type="dxa"/>
          <w:right w:w="108" w:type="dxa"/>
        </w:tblCellMar>
      </w:tblPr>
      <w:tblGrid>
        <w:gridCol w:w="1466"/>
        <w:gridCol w:w="3637"/>
        <w:gridCol w:w="3419"/>
      </w:tblGrid>
      <w:tr>
        <w:tblPrEx>
          <w:tblCellMar>
            <w:top w:w="0" w:type="dxa"/>
            <w:left w:w="108" w:type="dxa"/>
            <w:bottom w:w="0" w:type="dxa"/>
            <w:right w:w="108" w:type="dxa"/>
          </w:tblCellMar>
        </w:tblPrEx>
        <w:trPr>
          <w:trHeight w:val="270" w:hRule="atLeast"/>
        </w:trPr>
        <w:tc>
          <w:tcPr>
            <w:tcW w:w="860"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2134" w:type="pct"/>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项目</w:t>
            </w:r>
          </w:p>
        </w:tc>
        <w:tc>
          <w:tcPr>
            <w:tcW w:w="2006" w:type="pct"/>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金额</w:t>
            </w:r>
          </w:p>
        </w:tc>
      </w:tr>
      <w:tr>
        <w:tblPrEx>
          <w:tblCellMar>
            <w:top w:w="0" w:type="dxa"/>
            <w:left w:w="108" w:type="dxa"/>
            <w:bottom w:w="0" w:type="dxa"/>
            <w:right w:w="108" w:type="dxa"/>
          </w:tblCellMar>
        </w:tblPrEx>
        <w:trPr>
          <w:trHeight w:val="285" w:hRule="atLeast"/>
        </w:trPr>
        <w:tc>
          <w:tcPr>
            <w:tcW w:w="860" w:type="pct"/>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2134"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建安费</w:t>
            </w:r>
          </w:p>
        </w:tc>
        <w:tc>
          <w:tcPr>
            <w:tcW w:w="2006"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8,402.54</w:t>
            </w:r>
          </w:p>
        </w:tc>
      </w:tr>
      <w:tr>
        <w:tblPrEx>
          <w:tblCellMar>
            <w:top w:w="0" w:type="dxa"/>
            <w:left w:w="108" w:type="dxa"/>
            <w:bottom w:w="0" w:type="dxa"/>
            <w:right w:w="108" w:type="dxa"/>
          </w:tblCellMar>
        </w:tblPrEx>
        <w:trPr>
          <w:trHeight w:val="285" w:hRule="atLeast"/>
        </w:trPr>
        <w:tc>
          <w:tcPr>
            <w:tcW w:w="860" w:type="pct"/>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2134"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工程其它费用</w:t>
            </w:r>
          </w:p>
        </w:tc>
        <w:tc>
          <w:tcPr>
            <w:tcW w:w="2006"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2,599.90</w:t>
            </w:r>
          </w:p>
        </w:tc>
      </w:tr>
      <w:tr>
        <w:tblPrEx>
          <w:tblCellMar>
            <w:top w:w="0" w:type="dxa"/>
            <w:left w:w="108" w:type="dxa"/>
            <w:bottom w:w="0" w:type="dxa"/>
            <w:right w:w="108" w:type="dxa"/>
          </w:tblCellMar>
        </w:tblPrEx>
        <w:trPr>
          <w:trHeight w:val="285" w:hRule="atLeast"/>
        </w:trPr>
        <w:tc>
          <w:tcPr>
            <w:tcW w:w="860" w:type="pct"/>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2134"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基本预备费</w:t>
            </w:r>
          </w:p>
        </w:tc>
        <w:tc>
          <w:tcPr>
            <w:tcW w:w="2006"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880.19</w:t>
            </w:r>
          </w:p>
        </w:tc>
      </w:tr>
      <w:tr>
        <w:tblPrEx>
          <w:tblCellMar>
            <w:top w:w="0" w:type="dxa"/>
            <w:left w:w="108" w:type="dxa"/>
            <w:bottom w:w="0" w:type="dxa"/>
            <w:right w:w="108" w:type="dxa"/>
          </w:tblCellMar>
        </w:tblPrEx>
        <w:trPr>
          <w:trHeight w:val="285" w:hRule="atLeast"/>
        </w:trPr>
        <w:tc>
          <w:tcPr>
            <w:tcW w:w="860" w:type="pct"/>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134"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合计</w:t>
            </w:r>
          </w:p>
        </w:tc>
        <w:tc>
          <w:tcPr>
            <w:tcW w:w="2006" w:type="pct"/>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882.63</w:t>
            </w:r>
          </w:p>
        </w:tc>
      </w:tr>
    </w:tbl>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ascii="仿宋" w:hAnsi="仿宋" w:eastAsia="仿宋" w:cs="仿宋"/>
          <w:sz w:val="28"/>
          <w:szCs w:val="28"/>
        </w:rPr>
      </w:pPr>
      <w:bookmarkStart w:id="2" w:name="_GoBack"/>
      <w:bookmarkEnd w:id="2"/>
      <w:r>
        <w:rPr>
          <w:rFonts w:hint="eastAsia" w:ascii="仿宋" w:hAnsi="仿宋" w:eastAsia="仿宋" w:cs="仿宋"/>
          <w:sz w:val="28"/>
          <w:szCs w:val="28"/>
        </w:rPr>
        <w:t>该项目未来年度投资计划如下：</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项目投资计划表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3"/>
        <w:tblW w:w="0" w:type="auto"/>
        <w:tblInd w:w="-160" w:type="dxa"/>
        <w:tblLayout w:type="autofit"/>
        <w:tblCellMar>
          <w:top w:w="0" w:type="dxa"/>
          <w:left w:w="108" w:type="dxa"/>
          <w:bottom w:w="0" w:type="dxa"/>
          <w:right w:w="108" w:type="dxa"/>
        </w:tblCellMar>
      </w:tblPr>
      <w:tblGrid>
        <w:gridCol w:w="2742"/>
        <w:gridCol w:w="1551"/>
        <w:gridCol w:w="1067"/>
        <w:gridCol w:w="1067"/>
        <w:gridCol w:w="1067"/>
        <w:gridCol w:w="1188"/>
      </w:tblGrid>
      <w:tr>
        <w:tblPrEx>
          <w:tblCellMar>
            <w:top w:w="0" w:type="dxa"/>
            <w:left w:w="108" w:type="dxa"/>
            <w:bottom w:w="0" w:type="dxa"/>
            <w:right w:w="108" w:type="dxa"/>
          </w:tblCellMar>
        </w:tblPrEx>
        <w:trPr>
          <w:trHeight w:val="855" w:hRule="atLeast"/>
        </w:trPr>
        <w:tc>
          <w:tcPr>
            <w:tcW w:w="27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年度</w:t>
            </w:r>
          </w:p>
        </w:tc>
        <w:tc>
          <w:tcPr>
            <w:tcW w:w="1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以前年度到本报告日</w:t>
            </w:r>
          </w:p>
        </w:tc>
        <w:tc>
          <w:tcPr>
            <w:tcW w:w="10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2020</w:t>
            </w:r>
            <w:r>
              <w:rPr>
                <w:rFonts w:hint="eastAsia" w:ascii="宋体" w:hAnsi="宋体" w:eastAsia="宋体" w:cs="Calibri"/>
                <w:color w:val="000000"/>
                <w:kern w:val="0"/>
                <w:sz w:val="24"/>
                <w:szCs w:val="24"/>
              </w:rPr>
              <w:t>年</w:t>
            </w:r>
          </w:p>
        </w:tc>
        <w:tc>
          <w:tcPr>
            <w:tcW w:w="10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2021</w:t>
            </w:r>
            <w:r>
              <w:rPr>
                <w:rFonts w:hint="eastAsia" w:ascii="宋体" w:hAnsi="宋体" w:eastAsia="宋体" w:cs="Calibri"/>
                <w:color w:val="000000"/>
                <w:kern w:val="0"/>
                <w:sz w:val="24"/>
                <w:szCs w:val="24"/>
              </w:rPr>
              <w:t>年</w:t>
            </w:r>
          </w:p>
        </w:tc>
        <w:tc>
          <w:tcPr>
            <w:tcW w:w="10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2022</w:t>
            </w:r>
            <w:r>
              <w:rPr>
                <w:rFonts w:hint="eastAsia" w:ascii="宋体" w:hAnsi="宋体" w:eastAsia="宋体" w:cs="Calibri"/>
                <w:color w:val="000000"/>
                <w:kern w:val="0"/>
                <w:sz w:val="24"/>
                <w:szCs w:val="24"/>
              </w:rPr>
              <w:t>年</w:t>
            </w:r>
          </w:p>
        </w:tc>
        <w:tc>
          <w:tcPr>
            <w:tcW w:w="11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hint="eastAsia" w:ascii="宋体" w:hAnsi="宋体" w:eastAsia="宋体" w:cs="Calibri"/>
                <w:color w:val="000000"/>
                <w:kern w:val="0"/>
                <w:sz w:val="24"/>
                <w:szCs w:val="24"/>
              </w:rPr>
              <w:t>合计</w:t>
            </w:r>
          </w:p>
        </w:tc>
      </w:tr>
      <w:tr>
        <w:tblPrEx>
          <w:tblCellMar>
            <w:top w:w="0" w:type="dxa"/>
            <w:left w:w="108" w:type="dxa"/>
            <w:bottom w:w="0" w:type="dxa"/>
            <w:right w:w="108" w:type="dxa"/>
          </w:tblCellMar>
        </w:tblPrEx>
        <w:trPr>
          <w:trHeight w:val="358" w:hRule="atLeast"/>
        </w:trPr>
        <w:tc>
          <w:tcPr>
            <w:tcW w:w="27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基础设施建设建设费用</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　</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5</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002.44</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default" w:ascii="Calibri" w:hAnsi="Calibri" w:eastAsia="宋体" w:cs="Calibri"/>
                <w:color w:val="000000"/>
                <w:kern w:val="0"/>
                <w:sz w:val="24"/>
                <w:szCs w:val="24"/>
                <w:lang w:val="en-US" w:eastAsia="zh-CN"/>
              </w:rPr>
            </w:pPr>
            <w:r>
              <w:rPr>
                <w:rFonts w:ascii="Calibri" w:hAnsi="Calibri" w:eastAsia="宋体" w:cs="Calibri"/>
                <w:color w:val="000000"/>
                <w:kern w:val="0"/>
                <w:sz w:val="24"/>
                <w:szCs w:val="24"/>
              </w:rPr>
              <w:t>4</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000</w:t>
            </w:r>
            <w:r>
              <w:rPr>
                <w:rFonts w:hint="eastAsia" w:ascii="Calibri" w:hAnsi="Calibri" w:eastAsia="宋体" w:cs="Calibri"/>
                <w:color w:val="000000"/>
                <w:kern w:val="0"/>
                <w:sz w:val="24"/>
                <w:szCs w:val="24"/>
                <w:lang w:val="en-US" w:eastAsia="zh-CN"/>
              </w:rPr>
              <w:t>.00</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default" w:ascii="Calibri" w:hAnsi="Calibri" w:eastAsia="宋体" w:cs="Calibri"/>
                <w:color w:val="000000"/>
                <w:kern w:val="0"/>
                <w:sz w:val="24"/>
                <w:szCs w:val="24"/>
                <w:lang w:val="en-US" w:eastAsia="zh-CN"/>
              </w:rPr>
            </w:pPr>
            <w:r>
              <w:rPr>
                <w:rFonts w:ascii="Calibri" w:hAnsi="Calibri" w:eastAsia="宋体" w:cs="Calibri"/>
                <w:color w:val="000000"/>
                <w:kern w:val="0"/>
                <w:sz w:val="24"/>
                <w:szCs w:val="24"/>
              </w:rPr>
              <w:t>2</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000</w:t>
            </w:r>
            <w:r>
              <w:rPr>
                <w:rFonts w:hint="eastAsia" w:ascii="Calibri" w:hAnsi="Calibri" w:eastAsia="宋体" w:cs="Calibri"/>
                <w:color w:val="000000"/>
                <w:kern w:val="0"/>
                <w:sz w:val="24"/>
                <w:szCs w:val="24"/>
                <w:lang w:val="en-US" w:eastAsia="zh-CN"/>
              </w:rPr>
              <w:t>.00</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11</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002.44</w:t>
            </w:r>
          </w:p>
        </w:tc>
      </w:tr>
      <w:tr>
        <w:tblPrEx>
          <w:tblCellMar>
            <w:top w:w="0" w:type="dxa"/>
            <w:left w:w="108" w:type="dxa"/>
            <w:bottom w:w="0" w:type="dxa"/>
            <w:right w:w="108" w:type="dxa"/>
          </w:tblCellMar>
        </w:tblPrEx>
        <w:trPr>
          <w:trHeight w:val="315" w:hRule="atLeast"/>
        </w:trPr>
        <w:tc>
          <w:tcPr>
            <w:tcW w:w="27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其他费用</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　</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880.19</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Calibri" w:hAnsi="Calibri" w:eastAsia="宋体" w:cs="Calibri"/>
                <w:color w:val="000000"/>
                <w:kern w:val="0"/>
                <w:sz w:val="24"/>
                <w:szCs w:val="24"/>
                <w:lang w:val="en-US" w:eastAsia="zh-CN"/>
              </w:rPr>
            </w:pPr>
            <w:r>
              <w:rPr>
                <w:rFonts w:ascii="Calibri" w:hAnsi="Calibri" w:eastAsia="宋体" w:cs="Calibri"/>
                <w:color w:val="000000"/>
                <w:kern w:val="0"/>
                <w:sz w:val="24"/>
                <w:szCs w:val="24"/>
              </w:rPr>
              <w:t>　</w:t>
            </w:r>
            <w:r>
              <w:rPr>
                <w:rFonts w:hint="eastAsia" w:ascii="Calibri" w:hAnsi="Calibri" w:eastAsia="宋体" w:cs="Calibri"/>
                <w:color w:val="000000"/>
                <w:kern w:val="0"/>
                <w:sz w:val="24"/>
                <w:szCs w:val="24"/>
                <w:lang w:val="en-US" w:eastAsia="zh-CN"/>
              </w:rPr>
              <w:t>-</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　</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880.19</w:t>
            </w:r>
          </w:p>
        </w:tc>
      </w:tr>
      <w:tr>
        <w:tblPrEx>
          <w:tblCellMar>
            <w:top w:w="0" w:type="dxa"/>
            <w:left w:w="108" w:type="dxa"/>
            <w:bottom w:w="0" w:type="dxa"/>
            <w:right w:w="108" w:type="dxa"/>
          </w:tblCellMar>
        </w:tblPrEx>
        <w:trPr>
          <w:trHeight w:val="315" w:hRule="atLeast"/>
        </w:trPr>
        <w:tc>
          <w:tcPr>
            <w:tcW w:w="27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合计</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　</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5</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882.63</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default" w:ascii="Calibri" w:hAnsi="Calibri" w:eastAsia="宋体" w:cs="Calibri"/>
                <w:color w:val="000000"/>
                <w:kern w:val="0"/>
                <w:sz w:val="24"/>
                <w:szCs w:val="24"/>
                <w:lang w:val="en-US" w:eastAsia="zh-CN"/>
              </w:rPr>
            </w:pPr>
            <w:r>
              <w:rPr>
                <w:rFonts w:ascii="Calibri" w:hAnsi="Calibri" w:eastAsia="宋体" w:cs="Calibri"/>
                <w:color w:val="000000"/>
                <w:kern w:val="0"/>
                <w:sz w:val="24"/>
                <w:szCs w:val="24"/>
              </w:rPr>
              <w:t>4</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000</w:t>
            </w:r>
            <w:r>
              <w:rPr>
                <w:rFonts w:hint="eastAsia" w:ascii="Calibri" w:hAnsi="Calibri" w:eastAsia="宋体" w:cs="Calibri"/>
                <w:color w:val="000000"/>
                <w:kern w:val="0"/>
                <w:sz w:val="24"/>
                <w:szCs w:val="24"/>
                <w:lang w:val="en-US" w:eastAsia="zh-CN"/>
              </w:rPr>
              <w:t>.00</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default" w:ascii="Calibri" w:hAnsi="Calibri" w:eastAsia="宋体" w:cs="Calibri"/>
                <w:color w:val="000000"/>
                <w:kern w:val="0"/>
                <w:sz w:val="24"/>
                <w:szCs w:val="24"/>
                <w:lang w:val="en-US" w:eastAsia="zh-CN"/>
              </w:rPr>
            </w:pPr>
            <w:r>
              <w:rPr>
                <w:rFonts w:ascii="Calibri" w:hAnsi="Calibri" w:eastAsia="宋体" w:cs="Calibri"/>
                <w:color w:val="000000"/>
                <w:kern w:val="0"/>
                <w:sz w:val="24"/>
                <w:szCs w:val="24"/>
              </w:rPr>
              <w:t>2</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000</w:t>
            </w:r>
            <w:r>
              <w:rPr>
                <w:rFonts w:hint="eastAsia" w:ascii="Calibri" w:hAnsi="Calibri" w:eastAsia="宋体" w:cs="Calibri"/>
                <w:color w:val="000000"/>
                <w:kern w:val="0"/>
                <w:sz w:val="24"/>
                <w:szCs w:val="24"/>
                <w:lang w:val="en-US" w:eastAsia="zh-CN"/>
              </w:rPr>
              <w:t>.00</w:t>
            </w:r>
          </w:p>
        </w:tc>
        <w:tc>
          <w:tcPr>
            <w:tcW w:w="1188" w:type="dxa"/>
            <w:tcBorders>
              <w:top w:val="nil"/>
              <w:left w:val="nil"/>
              <w:bottom w:val="single" w:color="auto" w:sz="4" w:space="0"/>
              <w:right w:val="single" w:color="auto" w:sz="4" w:space="0"/>
            </w:tcBorders>
            <w:shd w:val="clear" w:color="auto" w:fill="auto"/>
            <w:vAlign w:val="center"/>
          </w:tcPr>
          <w:p>
            <w:pPr>
              <w:widowControl/>
              <w:jc w:val="center"/>
              <w:rPr>
                <w:rFonts w:ascii="Calibri" w:hAnsi="Calibri" w:eastAsia="宋体" w:cs="Calibri"/>
                <w:color w:val="000000"/>
                <w:kern w:val="0"/>
                <w:sz w:val="24"/>
                <w:szCs w:val="24"/>
              </w:rPr>
            </w:pPr>
            <w:r>
              <w:rPr>
                <w:rFonts w:ascii="Calibri" w:hAnsi="Calibri" w:eastAsia="宋体" w:cs="Calibri"/>
                <w:color w:val="000000"/>
                <w:kern w:val="0"/>
                <w:sz w:val="24"/>
                <w:szCs w:val="24"/>
              </w:rPr>
              <w:t>11</w:t>
            </w:r>
            <w:r>
              <w:rPr>
                <w:rFonts w:hint="eastAsia" w:ascii="Calibri" w:hAnsi="Calibri" w:eastAsia="宋体" w:cs="Calibri"/>
                <w:color w:val="000000"/>
                <w:kern w:val="0"/>
                <w:sz w:val="24"/>
                <w:szCs w:val="24"/>
                <w:lang w:val="en-US" w:eastAsia="zh-CN"/>
              </w:rPr>
              <w:t>,</w:t>
            </w:r>
            <w:r>
              <w:rPr>
                <w:rFonts w:ascii="Calibri" w:hAnsi="Calibri" w:eastAsia="宋体" w:cs="Calibri"/>
                <w:color w:val="000000"/>
                <w:kern w:val="0"/>
                <w:sz w:val="24"/>
                <w:szCs w:val="24"/>
              </w:rPr>
              <w:t>882.63</w:t>
            </w:r>
          </w:p>
        </w:tc>
      </w:tr>
    </w:tbl>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本项目资金来源分为：自有资金</w:t>
      </w:r>
      <w:r>
        <w:rPr>
          <w:rFonts w:ascii="仿宋" w:hAnsi="仿宋" w:eastAsia="仿宋" w:cs="仿宋"/>
          <w:sz w:val="28"/>
          <w:szCs w:val="28"/>
        </w:rPr>
        <w:t>6,382.63</w:t>
      </w:r>
      <w:r>
        <w:rPr>
          <w:rFonts w:hint="eastAsia" w:ascii="仿宋" w:hAnsi="仿宋" w:eastAsia="仿宋" w:cs="仿宋"/>
          <w:sz w:val="28"/>
          <w:szCs w:val="28"/>
        </w:rPr>
        <w:t>万元，剩余资金</w:t>
      </w:r>
      <w:r>
        <w:rPr>
          <w:rFonts w:ascii="仿宋" w:hAnsi="仿宋" w:eastAsia="仿宋" w:cs="仿宋"/>
          <w:sz w:val="28"/>
          <w:szCs w:val="28"/>
        </w:rPr>
        <w:t>5,500.00万元</w:t>
      </w:r>
      <w:r>
        <w:rPr>
          <w:rFonts w:hint="eastAsia" w:ascii="仿宋" w:hAnsi="仿宋" w:eastAsia="仿宋" w:cs="仿宋"/>
          <w:sz w:val="28"/>
          <w:szCs w:val="28"/>
        </w:rPr>
        <w:t>通过专项债券筹集，为调整原有已发行的专项债券资金5,500.00万元至本项目（2019年福建省政府专项债券（六期）长汀县城南片区（羊耳坑）供水工程项目专项债券500.00万元、2020年福建省政府专项债券（十二期）长汀县城南片区（羊耳坑）供水工程项目专项债券5,000.00万元）。</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3"/>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bookmarkStart w:id="1"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企业自筹</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ascii="仿宋" w:hAnsi="仿宋" w:eastAsia="仿宋" w:cs="仿宋"/>
                <w:bCs/>
                <w:w w:val="105"/>
                <w:kern w:val="0"/>
                <w:szCs w:val="21"/>
              </w:rPr>
            </w:pPr>
            <w:r>
              <w:rPr>
                <w:rFonts w:ascii="仿宋" w:hAnsi="仿宋" w:eastAsia="仿宋" w:cs="仿宋"/>
                <w:kern w:val="0"/>
                <w:sz w:val="24"/>
                <w:szCs w:val="24"/>
              </w:rPr>
              <w:t>6,382.63</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ascii="仿宋" w:hAnsi="仿宋" w:eastAsia="仿宋" w:cs="仿宋"/>
                <w:bCs/>
                <w:w w:val="105"/>
                <w:kern w:val="0"/>
                <w:szCs w:val="21"/>
              </w:rPr>
            </w:pPr>
            <w:r>
              <w:rPr>
                <w:rFonts w:ascii="仿宋" w:hAnsi="仿宋" w:eastAsia="仿宋" w:cs="仿宋"/>
                <w:kern w:val="0"/>
                <w:sz w:val="24"/>
                <w:szCs w:val="24"/>
              </w:rPr>
              <w:t>5,500.00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ascii="仿宋" w:hAnsi="仿宋" w:eastAsia="仿宋" w:cs="仿宋"/>
                <w:b/>
                <w:w w:val="105"/>
                <w:kern w:val="0"/>
                <w:szCs w:val="21"/>
              </w:rPr>
            </w:pPr>
            <w:r>
              <w:rPr>
                <w:rFonts w:hint="eastAsia" w:ascii="宋体" w:hAnsi="宋体" w:eastAsia="宋体" w:cs="宋体"/>
                <w:color w:val="000000"/>
                <w:kern w:val="0"/>
                <w:sz w:val="24"/>
                <w:szCs w:val="24"/>
              </w:rPr>
              <w:t>11</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882.63</w:t>
            </w:r>
          </w:p>
        </w:tc>
      </w:tr>
      <w:bookmarkEnd w:id="1"/>
    </w:tbl>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adjustRightInd w:val="0"/>
        <w:snapToGrid w:val="0"/>
        <w:spacing w:line="360" w:lineRule="auto"/>
        <w:ind w:firstLine="560" w:firstLineChars="200"/>
        <w:rPr>
          <w:rFonts w:ascii="仿宋" w:hAnsi="仿宋" w:eastAsia="仿宋" w:cs="仿宋"/>
          <w:sz w:val="28"/>
          <w:szCs w:val="28"/>
        </w:rPr>
      </w:pPr>
      <w:r>
        <w:rPr>
          <w:rFonts w:ascii="仿宋" w:hAnsi="仿宋" w:eastAsia="仿宋" w:cs="仿宋"/>
          <w:sz w:val="28"/>
          <w:szCs w:val="28"/>
        </w:rPr>
        <w:t>长汀县东南农产品交易中心外围配套基础设施建设项目</w:t>
      </w:r>
      <w:r>
        <w:rPr>
          <w:rFonts w:hint="eastAsia" w:ascii="仿宋" w:hAnsi="仿宋" w:eastAsia="仿宋" w:cs="仿宋"/>
          <w:sz w:val="28"/>
          <w:szCs w:val="28"/>
        </w:rPr>
        <w:t>在专项债券存续期间有稳定的现金流入，收入主要来源于广告费、停车费、财政税收返还拨款和</w:t>
      </w:r>
      <w:r>
        <w:rPr>
          <w:rFonts w:ascii="仿宋" w:hAnsi="仿宋" w:eastAsia="仿宋" w:cs="仿宋"/>
          <w:sz w:val="28"/>
          <w:szCs w:val="28"/>
        </w:rPr>
        <w:t>交易中心</w:t>
      </w:r>
      <w:r>
        <w:rPr>
          <w:rFonts w:hint="eastAsia" w:ascii="仿宋" w:hAnsi="仿宋" w:eastAsia="仿宋" w:cs="仿宋"/>
          <w:sz w:val="28"/>
          <w:szCs w:val="28"/>
        </w:rPr>
        <w:t>投资收益收入。经测算，债券存续期内，本项目将产生净收益8</w:t>
      </w:r>
      <w:r>
        <w:rPr>
          <w:rFonts w:ascii="仿宋" w:hAnsi="仿宋" w:eastAsia="仿宋" w:cs="仿宋"/>
          <w:sz w:val="28"/>
          <w:szCs w:val="28"/>
        </w:rPr>
        <w:t>,</w:t>
      </w:r>
      <w:r>
        <w:rPr>
          <w:rFonts w:hint="eastAsia" w:ascii="仿宋" w:hAnsi="仿宋" w:eastAsia="仿宋" w:cs="仿宋"/>
          <w:sz w:val="28"/>
          <w:szCs w:val="28"/>
        </w:rPr>
        <w:t>900.00万元，可覆盖债券存续期间各年的项目投资及债券本息偿还的需求，在项目涉及专项债券本息全部偿还后仍有1</w:t>
      </w:r>
      <w:r>
        <w:rPr>
          <w:rFonts w:ascii="仿宋" w:hAnsi="仿宋" w:eastAsia="仿宋" w:cs="仿宋"/>
          <w:sz w:val="28"/>
          <w:szCs w:val="28"/>
        </w:rPr>
        <w:t>,</w:t>
      </w:r>
      <w:r>
        <w:rPr>
          <w:rFonts w:hint="eastAsia" w:ascii="仿宋" w:hAnsi="仿宋" w:eastAsia="仿宋" w:cs="仿宋"/>
          <w:sz w:val="28"/>
          <w:szCs w:val="28"/>
        </w:rPr>
        <w:t>671.00万元期末结余。</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本项目计划使用本期债券资金5</w:t>
      </w:r>
      <w:r>
        <w:rPr>
          <w:rFonts w:ascii="仿宋" w:hAnsi="仿宋" w:eastAsia="仿宋" w:cs="仿宋"/>
          <w:sz w:val="28"/>
          <w:szCs w:val="28"/>
        </w:rPr>
        <w:t>,</w:t>
      </w:r>
      <w:r>
        <w:rPr>
          <w:rFonts w:hint="eastAsia" w:ascii="仿宋" w:hAnsi="仿宋" w:eastAsia="仿宋" w:cs="仿宋"/>
          <w:sz w:val="28"/>
          <w:szCs w:val="28"/>
        </w:rPr>
        <w:t>500</w:t>
      </w:r>
      <w:r>
        <w:rPr>
          <w:rFonts w:ascii="仿宋" w:hAnsi="仿宋" w:eastAsia="仿宋" w:cs="仿宋"/>
          <w:sz w:val="28"/>
          <w:szCs w:val="28"/>
        </w:rPr>
        <w:t>.00</w:t>
      </w:r>
      <w:r>
        <w:rPr>
          <w:rFonts w:hint="eastAsia" w:ascii="仿宋" w:hAnsi="仿宋" w:eastAsia="仿宋" w:cs="仿宋"/>
          <w:sz w:val="28"/>
          <w:szCs w:val="28"/>
        </w:rPr>
        <w:t>万元。本期专项债券利率按“2019年福建省政府专项债券（六期）长汀县城南片区（羊耳坑）供水工程项目”已发行债券利率3.37%，金额500万元，剩余期限8.5年；“2020年福建省政府专项债券（十二期）长汀县城南片区（羊耳坑）供水工程项目”已发行债券利率3.34%，金额5,000.00万元，剩余期限9.5年合并进行测算。专项债本息合计</w:t>
      </w:r>
      <w:r>
        <w:rPr>
          <w:rFonts w:ascii="仿宋" w:hAnsi="仿宋" w:eastAsia="仿宋" w:cs="仿宋"/>
          <w:sz w:val="28"/>
          <w:szCs w:val="28"/>
        </w:rPr>
        <w:t>7,229.73</w:t>
      </w:r>
      <w:r>
        <w:rPr>
          <w:rFonts w:hint="eastAsia" w:ascii="仿宋" w:hAnsi="仿宋" w:eastAsia="仿宋" w:cs="仿宋"/>
          <w:sz w:val="28"/>
          <w:szCs w:val="28"/>
        </w:rPr>
        <w:t>万元，本项目债券应还本付息情况如下表：</w:t>
      </w:r>
    </w:p>
    <w:p>
      <w:pPr>
        <w:spacing w:line="360" w:lineRule="auto"/>
        <w:ind w:firstLine="560" w:firstLineChars="200"/>
        <w:rPr>
          <w:rFonts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3"/>
        <w:tblW w:w="0" w:type="auto"/>
        <w:tblInd w:w="0" w:type="dxa"/>
        <w:tblLayout w:type="fixed"/>
        <w:tblCellMar>
          <w:top w:w="0" w:type="dxa"/>
          <w:left w:w="108" w:type="dxa"/>
          <w:bottom w:w="0" w:type="dxa"/>
          <w:right w:w="108" w:type="dxa"/>
        </w:tblCellMar>
      </w:tblPr>
      <w:tblGrid>
        <w:gridCol w:w="1101"/>
        <w:gridCol w:w="901"/>
        <w:gridCol w:w="1236"/>
        <w:gridCol w:w="1236"/>
        <w:gridCol w:w="1236"/>
        <w:gridCol w:w="1344"/>
        <w:gridCol w:w="1468"/>
      </w:tblGrid>
      <w:tr>
        <w:tblPrEx>
          <w:tblCellMar>
            <w:top w:w="0" w:type="dxa"/>
            <w:left w:w="108" w:type="dxa"/>
            <w:bottom w:w="0" w:type="dxa"/>
            <w:right w:w="108" w:type="dxa"/>
          </w:tblCellMar>
        </w:tblPrEx>
        <w:trPr>
          <w:trHeight w:val="270" w:hRule="atLeast"/>
        </w:trPr>
        <w:tc>
          <w:tcPr>
            <w:tcW w:w="1101"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年份</w:t>
            </w:r>
          </w:p>
        </w:tc>
        <w:tc>
          <w:tcPr>
            <w:tcW w:w="901"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期初本金余额</w:t>
            </w:r>
          </w:p>
        </w:tc>
        <w:tc>
          <w:tcPr>
            <w:tcW w:w="1236"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当年新增本金</w:t>
            </w:r>
          </w:p>
        </w:tc>
        <w:tc>
          <w:tcPr>
            <w:tcW w:w="1236"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当年偿还本金</w:t>
            </w:r>
          </w:p>
        </w:tc>
        <w:tc>
          <w:tcPr>
            <w:tcW w:w="1236"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期末本金余额</w:t>
            </w:r>
          </w:p>
        </w:tc>
        <w:tc>
          <w:tcPr>
            <w:tcW w:w="1344"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当年偿还利息</w:t>
            </w:r>
          </w:p>
        </w:tc>
        <w:tc>
          <w:tcPr>
            <w:tcW w:w="1468"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当年还本付息合计</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2020年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2021年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2022年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2023年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2024年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2025年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2026年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2027年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2028年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183.85</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2029年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5,000.00</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175.43</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675.43</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2030年</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5,000.00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5,000.00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83.50</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5,083.50</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合计</w:t>
            </w:r>
          </w:p>
        </w:tc>
        <w:tc>
          <w:tcPr>
            <w:tcW w:w="901"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　</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5,500.00</w:t>
            </w:r>
          </w:p>
        </w:tc>
        <w:tc>
          <w:tcPr>
            <w:tcW w:w="1236"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　</w:t>
            </w:r>
          </w:p>
        </w:tc>
        <w:tc>
          <w:tcPr>
            <w:tcW w:w="1344"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1,729.73</w:t>
            </w:r>
          </w:p>
        </w:tc>
        <w:tc>
          <w:tcPr>
            <w:tcW w:w="1468" w:type="dxa"/>
            <w:tcBorders>
              <w:top w:val="nil"/>
              <w:left w:val="nil"/>
              <w:bottom w:val="single" w:color="auto" w:sz="4" w:space="0"/>
              <w:right w:val="single" w:color="auto" w:sz="4" w:space="0"/>
            </w:tcBorders>
            <w:shd w:val="clear" w:color="auto" w:fill="auto"/>
            <w:noWrap/>
            <w:vAlign w:val="bottom"/>
          </w:tcPr>
          <w:p>
            <w:pPr>
              <w:widowControl/>
              <w:jc w:val="center"/>
              <w:rPr>
                <w:rFonts w:ascii="华文仿宋" w:hAnsi="华文仿宋" w:eastAsia="华文仿宋" w:cs="宋体"/>
                <w:color w:val="000000"/>
                <w:kern w:val="0"/>
                <w:szCs w:val="21"/>
              </w:rPr>
            </w:pPr>
            <w:r>
              <w:rPr>
                <w:rFonts w:hint="eastAsia" w:ascii="华文仿宋" w:hAnsi="华文仿宋" w:eastAsia="华文仿宋" w:cs="宋体"/>
                <w:color w:val="000000"/>
                <w:kern w:val="0"/>
                <w:szCs w:val="21"/>
              </w:rPr>
              <w:t>7,229.73</w:t>
            </w:r>
          </w:p>
        </w:tc>
      </w:tr>
    </w:tbl>
    <w:p>
      <w:pPr>
        <w:rPr>
          <w:rFonts w:ascii="仿宋" w:hAnsi="仿宋" w:eastAsia="仿宋" w:cs="仿宋"/>
        </w:rPr>
      </w:pPr>
    </w:p>
    <w:p>
      <w:pPr>
        <w:pStyle w:val="6"/>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ascii="仿宋" w:hAnsi="仿宋" w:eastAsia="仿宋" w:cs="仿宋"/>
          <w:b/>
          <w:sz w:val="28"/>
          <w:szCs w:val="28"/>
        </w:rPr>
      </w:pPr>
      <w:r>
        <w:rPr>
          <w:rFonts w:hint="eastAsia" w:ascii="仿宋" w:hAnsi="仿宋" w:eastAsia="仿宋" w:cs="仿宋"/>
          <w:sz w:val="28"/>
          <w:szCs w:val="28"/>
        </w:rPr>
        <w:t>根据项目产生的现金流收入与资金使用计划分析结果，</w:t>
      </w:r>
      <w:r>
        <w:rPr>
          <w:rFonts w:ascii="仿宋" w:hAnsi="仿宋" w:eastAsia="仿宋" w:cs="仿宋"/>
          <w:sz w:val="28"/>
          <w:szCs w:val="28"/>
        </w:rPr>
        <w:t>长汀县东南农产品交易中心外围配套基础设施建设项目</w:t>
      </w:r>
      <w:r>
        <w:rPr>
          <w:rFonts w:hint="eastAsia" w:ascii="仿宋" w:hAnsi="仿宋" w:eastAsia="仿宋" w:cs="仿宋"/>
          <w:sz w:val="28"/>
          <w:szCs w:val="28"/>
        </w:rPr>
        <w:t>债券资金覆盖率可以达到1.23倍。系专项收入与本项目已发行及预计发行的所有债券还本付息总额之比率。项目收益可以覆盖融资成本，债券资金偿还安全度较高。</w:t>
      </w:r>
    </w:p>
    <w:p>
      <w:pPr>
        <w:spacing w:line="360" w:lineRule="auto"/>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305F2"/>
    <w:rsid w:val="000522AA"/>
    <w:rsid w:val="000D71D5"/>
    <w:rsid w:val="000F4ECE"/>
    <w:rsid w:val="0013082B"/>
    <w:rsid w:val="001E51FA"/>
    <w:rsid w:val="002C319C"/>
    <w:rsid w:val="003215AE"/>
    <w:rsid w:val="00336B6F"/>
    <w:rsid w:val="00343A0D"/>
    <w:rsid w:val="004011A3"/>
    <w:rsid w:val="00437A82"/>
    <w:rsid w:val="00481879"/>
    <w:rsid w:val="004963C3"/>
    <w:rsid w:val="0058747F"/>
    <w:rsid w:val="00593554"/>
    <w:rsid w:val="00623B84"/>
    <w:rsid w:val="00710158"/>
    <w:rsid w:val="007132CE"/>
    <w:rsid w:val="007564BB"/>
    <w:rsid w:val="00763819"/>
    <w:rsid w:val="00785963"/>
    <w:rsid w:val="007E5FD8"/>
    <w:rsid w:val="008B0E42"/>
    <w:rsid w:val="009F4874"/>
    <w:rsid w:val="00A36643"/>
    <w:rsid w:val="00A4674A"/>
    <w:rsid w:val="00A649BA"/>
    <w:rsid w:val="00A87F0E"/>
    <w:rsid w:val="00B045F7"/>
    <w:rsid w:val="00B5784F"/>
    <w:rsid w:val="00BA0601"/>
    <w:rsid w:val="00C42271"/>
    <w:rsid w:val="00C52FF9"/>
    <w:rsid w:val="00C57D77"/>
    <w:rsid w:val="00C654D4"/>
    <w:rsid w:val="00C71460"/>
    <w:rsid w:val="00CA49FD"/>
    <w:rsid w:val="00CE797F"/>
    <w:rsid w:val="00D9489C"/>
    <w:rsid w:val="00DE43B3"/>
    <w:rsid w:val="00E04B7D"/>
    <w:rsid w:val="00E11AC1"/>
    <w:rsid w:val="00E858B6"/>
    <w:rsid w:val="00F04E9C"/>
    <w:rsid w:val="00F419D1"/>
    <w:rsid w:val="00F439A6"/>
    <w:rsid w:val="00FD088F"/>
    <w:rsid w:val="02311840"/>
    <w:rsid w:val="062E13D5"/>
    <w:rsid w:val="069549DE"/>
    <w:rsid w:val="06CF5A0A"/>
    <w:rsid w:val="070868BC"/>
    <w:rsid w:val="0B815E16"/>
    <w:rsid w:val="133F4939"/>
    <w:rsid w:val="17325F98"/>
    <w:rsid w:val="187239E1"/>
    <w:rsid w:val="19F655F4"/>
    <w:rsid w:val="1C750FEB"/>
    <w:rsid w:val="1CD51EFC"/>
    <w:rsid w:val="1E7F51E4"/>
    <w:rsid w:val="234B4DA6"/>
    <w:rsid w:val="244A30BB"/>
    <w:rsid w:val="29D64710"/>
    <w:rsid w:val="36BB7A2A"/>
    <w:rsid w:val="3ECC555A"/>
    <w:rsid w:val="41A3147E"/>
    <w:rsid w:val="45004CA1"/>
    <w:rsid w:val="45E52831"/>
    <w:rsid w:val="49F46925"/>
    <w:rsid w:val="4C9D10D3"/>
    <w:rsid w:val="4D9C7ECD"/>
    <w:rsid w:val="4F8D7EDC"/>
    <w:rsid w:val="50CD285B"/>
    <w:rsid w:val="51CA75EB"/>
    <w:rsid w:val="52022F8C"/>
    <w:rsid w:val="52491E68"/>
    <w:rsid w:val="544B06F8"/>
    <w:rsid w:val="56D13A43"/>
    <w:rsid w:val="5B8E4E92"/>
    <w:rsid w:val="60A07011"/>
    <w:rsid w:val="628063D4"/>
    <w:rsid w:val="65A979BD"/>
    <w:rsid w:val="6CCA08D8"/>
    <w:rsid w:val="6CCA5DF4"/>
    <w:rsid w:val="6DC276F7"/>
    <w:rsid w:val="70D101F0"/>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annotation text"/>
    <w:basedOn w:val="1"/>
    <w:link w:val="18"/>
    <w:qFormat/>
    <w:uiPriority w:val="0"/>
    <w:pPr>
      <w:jc w:val="left"/>
    </w:pPr>
  </w:style>
  <w:style w:type="paragraph" w:styleId="8">
    <w:name w:val="Balloon Text"/>
    <w:basedOn w:val="1"/>
    <w:link w:val="17"/>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Indent 3"/>
    <w:basedOn w:val="1"/>
    <w:qFormat/>
    <w:uiPriority w:val="99"/>
    <w:pPr>
      <w:spacing w:after="120"/>
      <w:ind w:left="420" w:leftChars="200"/>
    </w:pPr>
    <w:rPr>
      <w:sz w:val="16"/>
      <w:szCs w:val="16"/>
    </w:rPr>
  </w:style>
  <w:style w:type="paragraph" w:styleId="12">
    <w:name w:val="annotation subject"/>
    <w:basedOn w:val="7"/>
    <w:next w:val="7"/>
    <w:link w:val="19"/>
    <w:qFormat/>
    <w:uiPriority w:val="0"/>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批注框文本 Char"/>
    <w:basedOn w:val="15"/>
    <w:link w:val="8"/>
    <w:qFormat/>
    <w:uiPriority w:val="0"/>
    <w:rPr>
      <w:rFonts w:asciiTheme="minorHAnsi" w:hAnsiTheme="minorHAnsi" w:eastAsiaTheme="minorEastAsia" w:cstheme="minorBidi"/>
      <w:kern w:val="2"/>
      <w:sz w:val="18"/>
      <w:szCs w:val="18"/>
    </w:rPr>
  </w:style>
  <w:style w:type="character" w:customStyle="1" w:styleId="18">
    <w:name w:val="批注文字 Char"/>
    <w:basedOn w:val="15"/>
    <w:link w:val="7"/>
    <w:qFormat/>
    <w:uiPriority w:val="0"/>
    <w:rPr>
      <w:rFonts w:asciiTheme="minorHAnsi" w:hAnsiTheme="minorHAnsi" w:eastAsiaTheme="minorEastAsia" w:cstheme="minorBidi"/>
      <w:kern w:val="2"/>
      <w:sz w:val="21"/>
      <w:szCs w:val="22"/>
    </w:rPr>
  </w:style>
  <w:style w:type="character" w:customStyle="1" w:styleId="19">
    <w:name w:val="批注主题 Char"/>
    <w:basedOn w:val="18"/>
    <w:link w:val="12"/>
    <w:qFormat/>
    <w:uiPriority w:val="0"/>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1501</Words>
  <Characters>821</Characters>
  <Lines>6</Lines>
  <Paragraphs>4</Paragraphs>
  <TotalTime>2</TotalTime>
  <ScaleCrop>false</ScaleCrop>
  <LinksUpToDate>false</LinksUpToDate>
  <CharactersWithSpaces>2318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陈肇远</cp:lastModifiedBy>
  <dcterms:modified xsi:type="dcterms:W3CDTF">2020-11-18T08:45:55Z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