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2019年福建省政府专项债券</w:t>
      </w:r>
      <w:r>
        <w:rPr>
          <w:rFonts w:hint="eastAsia" w:ascii="方正小标宋简体" w:hAnsi="方正小标宋简体" w:eastAsia="方正小标宋简体" w:cs="方正小标宋简体"/>
          <w:bCs/>
          <w:sz w:val="44"/>
          <w:szCs w:val="44"/>
          <w:lang w:eastAsia="zh-CN"/>
        </w:rPr>
        <w:t>（二</w:t>
      </w:r>
      <w:r>
        <w:rPr>
          <w:rFonts w:hint="eastAsia" w:ascii="方正小标宋简体" w:hAnsi="方正小标宋简体" w:eastAsia="方正小标宋简体" w:cs="方正小标宋简体"/>
          <w:bCs/>
          <w:sz w:val="44"/>
          <w:szCs w:val="44"/>
        </w:rPr>
        <w:t>期</w:t>
      </w:r>
      <w:r>
        <w:rPr>
          <w:rFonts w:hint="eastAsia" w:ascii="方正小标宋简体" w:hAnsi="方正小标宋简体" w:eastAsia="方正小标宋简体" w:cs="方正小标宋简体"/>
          <w:bCs/>
          <w:sz w:val="44"/>
          <w:szCs w:val="44"/>
          <w:lang w:eastAsia="zh-CN"/>
        </w:rPr>
        <w:t>）</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之莆田市项目调整情况说明 </w:t>
      </w:r>
    </w:p>
    <w:p>
      <w:pPr>
        <w:pStyle w:val="2"/>
      </w:pP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2019年福建省</w:t>
      </w:r>
      <w:r>
        <w:rPr>
          <w:rFonts w:hint="eastAsia" w:ascii="仿宋" w:hAnsi="仿宋" w:eastAsia="仿宋" w:cs="仿宋"/>
          <w:sz w:val="32"/>
          <w:szCs w:val="32"/>
          <w:lang w:val="en-US" w:eastAsia="zh-CN"/>
        </w:rPr>
        <w:t>（</w:t>
      </w:r>
      <w:r>
        <w:rPr>
          <w:rFonts w:hint="eastAsia" w:ascii="仿宋" w:hAnsi="仿宋" w:eastAsia="仿宋" w:cs="仿宋"/>
          <w:sz w:val="32"/>
          <w:szCs w:val="32"/>
        </w:rPr>
        <w:t>莆田</w:t>
      </w:r>
      <w:r>
        <w:rPr>
          <w:rFonts w:hint="eastAsia" w:ascii="仿宋" w:hAnsi="仿宋" w:eastAsia="仿宋" w:cs="仿宋"/>
          <w:sz w:val="32"/>
          <w:szCs w:val="32"/>
          <w:lang w:eastAsia="zh-CN"/>
        </w:rPr>
        <w:t>市、</w:t>
      </w:r>
      <w:r>
        <w:rPr>
          <w:rFonts w:hint="eastAsia" w:ascii="仿宋" w:hAnsi="仿宋" w:eastAsia="仿宋" w:cs="仿宋"/>
          <w:sz w:val="32"/>
          <w:szCs w:val="32"/>
        </w:rPr>
        <w:t>三明</w:t>
      </w:r>
      <w:r>
        <w:rPr>
          <w:rFonts w:hint="eastAsia" w:ascii="仿宋" w:hAnsi="仿宋" w:eastAsia="仿宋" w:cs="仿宋"/>
          <w:sz w:val="32"/>
          <w:szCs w:val="32"/>
          <w:lang w:eastAsia="zh-CN"/>
        </w:rPr>
        <w:t>市、</w:t>
      </w:r>
      <w:r>
        <w:rPr>
          <w:rFonts w:hint="eastAsia" w:ascii="仿宋" w:hAnsi="仿宋" w:eastAsia="仿宋" w:cs="仿宋"/>
          <w:sz w:val="32"/>
          <w:szCs w:val="32"/>
        </w:rPr>
        <w:t>南平</w:t>
      </w:r>
      <w:r>
        <w:rPr>
          <w:rFonts w:hint="eastAsia" w:ascii="仿宋" w:hAnsi="仿宋" w:eastAsia="仿宋" w:cs="仿宋"/>
          <w:sz w:val="32"/>
          <w:szCs w:val="32"/>
          <w:lang w:eastAsia="zh-CN"/>
        </w:rPr>
        <w:t>市、</w:t>
      </w:r>
      <w:r>
        <w:rPr>
          <w:rFonts w:hint="eastAsia" w:ascii="仿宋" w:hAnsi="仿宋" w:eastAsia="仿宋" w:cs="仿宋"/>
          <w:sz w:val="32"/>
          <w:szCs w:val="32"/>
        </w:rPr>
        <w:t>龙岩</w:t>
      </w:r>
      <w:r>
        <w:rPr>
          <w:rFonts w:hint="eastAsia" w:ascii="仿宋" w:hAnsi="仿宋" w:eastAsia="仿宋" w:cs="仿宋"/>
          <w:sz w:val="32"/>
          <w:szCs w:val="32"/>
          <w:lang w:eastAsia="zh-CN"/>
        </w:rPr>
        <w:t>市</w:t>
      </w:r>
      <w:r>
        <w:rPr>
          <w:rFonts w:hint="eastAsia" w:ascii="仿宋" w:hAnsi="仿宋" w:eastAsia="仿宋" w:cs="仿宋"/>
          <w:sz w:val="32"/>
          <w:szCs w:val="32"/>
          <w:lang w:val="en-US" w:eastAsia="zh-CN"/>
        </w:rPr>
        <w:t>）</w:t>
      </w:r>
      <w:r>
        <w:rPr>
          <w:rFonts w:hint="eastAsia" w:ascii="仿宋" w:hAnsi="仿宋" w:eastAsia="仿宋" w:cs="仿宋"/>
          <w:sz w:val="32"/>
          <w:szCs w:val="32"/>
        </w:rPr>
        <w:t>土</w:t>
      </w:r>
      <w:r>
        <w:rPr>
          <w:rFonts w:hint="eastAsia" w:ascii="仿宋" w:hAnsi="仿宋" w:eastAsia="仿宋" w:cs="仿宋"/>
          <w:sz w:val="32"/>
          <w:szCs w:val="32"/>
          <w:lang w:eastAsia="zh-CN"/>
        </w:rPr>
        <w:t>地</w:t>
      </w:r>
      <w:r>
        <w:rPr>
          <w:rFonts w:hint="eastAsia" w:ascii="仿宋" w:hAnsi="仿宋" w:eastAsia="仿宋" w:cs="仿宋"/>
          <w:sz w:val="32"/>
          <w:szCs w:val="32"/>
        </w:rPr>
        <w:t>储</w:t>
      </w:r>
      <w:r>
        <w:rPr>
          <w:rFonts w:hint="eastAsia" w:ascii="仿宋" w:hAnsi="仿宋" w:eastAsia="仿宋" w:cs="仿宋"/>
          <w:sz w:val="32"/>
          <w:szCs w:val="32"/>
          <w:lang w:eastAsia="zh-CN"/>
        </w:rPr>
        <w:t>备</w:t>
      </w:r>
      <w:r>
        <w:rPr>
          <w:rFonts w:hint="eastAsia" w:ascii="仿宋" w:hAnsi="仿宋" w:eastAsia="仿宋" w:cs="仿宋"/>
          <w:sz w:val="32"/>
          <w:szCs w:val="32"/>
        </w:rPr>
        <w:t>专项债券</w:t>
      </w:r>
      <w:r>
        <w:rPr>
          <w:rFonts w:hint="eastAsia" w:ascii="仿宋" w:hAnsi="仿宋" w:eastAsia="仿宋" w:cs="仿宋"/>
          <w:sz w:val="32"/>
          <w:szCs w:val="32"/>
          <w:lang w:eastAsia="zh-CN"/>
        </w:rPr>
        <w:t>（二期）</w:t>
      </w:r>
      <w:r>
        <w:rPr>
          <w:rFonts w:hint="eastAsia" w:ascii="仿宋" w:hAnsi="仿宋" w:eastAsia="仿宋" w:cs="仿宋"/>
          <w:sz w:val="32"/>
          <w:szCs w:val="32"/>
        </w:rPr>
        <w:t>期</w:t>
      </w:r>
      <w:r>
        <w:rPr>
          <w:rFonts w:hint="eastAsia" w:ascii="仿宋" w:hAnsi="仿宋" w:eastAsia="仿宋" w:cs="仿宋"/>
          <w:sz w:val="32"/>
          <w:szCs w:val="32"/>
          <w:lang w:eastAsia="zh-CN"/>
        </w:rPr>
        <w:t>—</w:t>
      </w:r>
      <w:r>
        <w:rPr>
          <w:rFonts w:hint="eastAsia" w:ascii="仿宋" w:hAnsi="仿宋" w:eastAsia="仿宋" w:cs="仿宋"/>
          <w:sz w:val="32"/>
          <w:szCs w:val="32"/>
        </w:rPr>
        <w:t>2019年福建省政府专项债券</w:t>
      </w:r>
      <w:r>
        <w:rPr>
          <w:rFonts w:hint="eastAsia" w:ascii="仿宋" w:hAnsi="仿宋" w:eastAsia="仿宋" w:cs="仿宋"/>
          <w:sz w:val="32"/>
          <w:szCs w:val="32"/>
          <w:lang w:eastAsia="zh-CN"/>
        </w:rPr>
        <w:t>（二</w:t>
      </w:r>
      <w:r>
        <w:rPr>
          <w:rFonts w:hint="eastAsia" w:ascii="仿宋" w:hAnsi="仿宋" w:eastAsia="仿宋" w:cs="仿宋"/>
          <w:sz w:val="32"/>
          <w:szCs w:val="32"/>
        </w:rPr>
        <w:t>期</w:t>
      </w:r>
      <w:r>
        <w:rPr>
          <w:rFonts w:hint="eastAsia" w:ascii="仿宋" w:hAnsi="仿宋" w:eastAsia="仿宋" w:cs="仿宋"/>
          <w:sz w:val="32"/>
          <w:szCs w:val="32"/>
          <w:lang w:eastAsia="zh-CN"/>
        </w:rPr>
        <w:t>）</w:t>
      </w:r>
      <w:r>
        <w:rPr>
          <w:rFonts w:hint="eastAsia" w:ascii="仿宋" w:hAnsi="仿宋" w:eastAsia="仿宋" w:cs="仿宋"/>
          <w:sz w:val="32"/>
          <w:szCs w:val="32"/>
        </w:rPr>
        <w:t>中“玉湖片区收储地块23#26#项目”发行债券金额</w:t>
      </w:r>
      <w:r>
        <w:rPr>
          <w:rFonts w:ascii="仿宋" w:hAnsi="仿宋" w:eastAsia="仿宋" w:cs="仿宋"/>
          <w:sz w:val="32"/>
          <w:szCs w:val="32"/>
        </w:rPr>
        <w:t>10366.00</w:t>
      </w:r>
      <w:r>
        <w:rPr>
          <w:rFonts w:hint="eastAsia" w:ascii="仿宋" w:hAnsi="仿宋" w:eastAsia="仿宋" w:cs="仿宋"/>
          <w:sz w:val="32"/>
          <w:szCs w:val="32"/>
        </w:rPr>
        <w:t>万元，期限5年，</w:t>
      </w:r>
      <w:r>
        <w:rPr>
          <w:rFonts w:hint="eastAsia" w:ascii="仿宋" w:hAnsi="仿宋" w:eastAsia="仿宋" w:cs="仿宋"/>
          <w:sz w:val="32"/>
          <w:szCs w:val="32"/>
          <w:lang w:eastAsia="zh-CN"/>
        </w:rPr>
        <w:t>因</w:t>
      </w:r>
      <w:r>
        <w:rPr>
          <w:rFonts w:hint="eastAsia" w:ascii="仿宋" w:hAnsi="仿宋" w:eastAsia="仿宋" w:cs="仿宋"/>
          <w:sz w:val="32"/>
          <w:szCs w:val="32"/>
        </w:rPr>
        <w:t>项目实施过程中发生变化，</w:t>
      </w:r>
      <w:bookmarkStart w:id="17" w:name="_GoBack"/>
      <w:bookmarkEnd w:id="17"/>
      <w:r>
        <w:rPr>
          <w:rFonts w:hint="eastAsia" w:ascii="仿宋" w:hAnsi="仿宋" w:eastAsia="仿宋" w:cs="仿宋"/>
          <w:sz w:val="32"/>
          <w:szCs w:val="32"/>
        </w:rPr>
        <w:t>拟调整额度总合计</w:t>
      </w:r>
      <w:r>
        <w:rPr>
          <w:rFonts w:ascii="仿宋" w:hAnsi="仿宋" w:eastAsia="仿宋" w:cs="仿宋"/>
          <w:sz w:val="32"/>
          <w:szCs w:val="32"/>
        </w:rPr>
        <w:t>10366.00</w:t>
      </w:r>
      <w:r>
        <w:rPr>
          <w:rFonts w:hint="eastAsia" w:ascii="仿宋" w:hAnsi="仿宋" w:eastAsia="仿宋" w:cs="仿宋"/>
          <w:sz w:val="32"/>
          <w:szCs w:val="32"/>
        </w:rPr>
        <w:t>万元。故将“玉湖片区收储地块23#26#项目”发债金额</w:t>
      </w:r>
      <w:r>
        <w:rPr>
          <w:rFonts w:ascii="仿宋" w:hAnsi="仿宋" w:eastAsia="仿宋" w:cs="仿宋"/>
          <w:sz w:val="32"/>
          <w:szCs w:val="32"/>
        </w:rPr>
        <w:t>10366.00</w:t>
      </w:r>
      <w:r>
        <w:rPr>
          <w:rFonts w:hint="eastAsia" w:ascii="仿宋" w:hAnsi="仿宋" w:eastAsia="仿宋" w:cs="仿宋"/>
          <w:sz w:val="32"/>
          <w:szCs w:val="32"/>
        </w:rPr>
        <w:t>万元调整用于“荔城经济开发区千亿级创新创业产业园及配套设施建设工程”。</w:t>
      </w:r>
    </w:p>
    <w:p>
      <w:pPr>
        <w:pStyle w:val="3"/>
        <w:spacing w:before="0" w:after="0" w:line="640" w:lineRule="exact"/>
        <w:ind w:firstLine="640" w:firstLineChars="200"/>
        <w:jc w:val="both"/>
        <w:rPr>
          <w:rFonts w:ascii="黑体" w:hAnsi="黑体" w:eastAsia="黑体" w:cs="黑体"/>
          <w:b w:val="0"/>
          <w:bCs w:val="0"/>
          <w:sz w:val="32"/>
          <w:szCs w:val="32"/>
        </w:rPr>
      </w:pPr>
      <w:r>
        <w:rPr>
          <w:rFonts w:hint="eastAsia" w:ascii="黑体" w:hAnsi="黑体" w:eastAsia="黑体" w:cs="黑体"/>
          <w:b w:val="0"/>
          <w:bCs w:val="0"/>
          <w:sz w:val="32"/>
          <w:szCs w:val="32"/>
        </w:rPr>
        <w:t>一、债券资金投向说明</w:t>
      </w:r>
    </w:p>
    <w:p>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专项债券资金拟使用项目情况如下：</w:t>
      </w:r>
    </w:p>
    <w:p>
      <w:pPr>
        <w:spacing w:line="360" w:lineRule="auto"/>
        <w:ind w:firstLine="420" w:firstLineChars="200"/>
        <w:jc w:val="right"/>
        <w:rPr>
          <w:rFonts w:ascii="仿宋" w:hAnsi="仿宋" w:eastAsia="仿宋" w:cs="仿宋"/>
          <w:szCs w:val="21"/>
        </w:rPr>
      </w:pPr>
      <w:r>
        <w:rPr>
          <w:rFonts w:hint="eastAsia" w:ascii="仿宋" w:hAnsi="仿宋" w:eastAsia="仿宋" w:cs="仿宋"/>
          <w:szCs w:val="21"/>
        </w:rPr>
        <w:t>单位：万元</w:t>
      </w:r>
    </w:p>
    <w:tbl>
      <w:tblPr>
        <w:tblStyle w:val="14"/>
        <w:tblW w:w="101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9"/>
        <w:gridCol w:w="1862"/>
        <w:gridCol w:w="1502"/>
        <w:gridCol w:w="1419"/>
        <w:gridCol w:w="1233"/>
        <w:gridCol w:w="1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89" w:type="dxa"/>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调整债券名称</w:t>
            </w:r>
          </w:p>
        </w:tc>
        <w:tc>
          <w:tcPr>
            <w:tcW w:w="1862" w:type="dxa"/>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原项目</w:t>
            </w:r>
          </w:p>
        </w:tc>
        <w:tc>
          <w:tcPr>
            <w:tcW w:w="1502" w:type="dxa"/>
            <w:shd w:val="clear" w:color="auto" w:fill="auto"/>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调整后项目</w:t>
            </w:r>
          </w:p>
        </w:tc>
        <w:tc>
          <w:tcPr>
            <w:tcW w:w="1419" w:type="dxa"/>
            <w:shd w:val="clear" w:color="auto" w:fill="auto"/>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调整后项目总投资</w:t>
            </w:r>
          </w:p>
        </w:tc>
        <w:tc>
          <w:tcPr>
            <w:tcW w:w="1233" w:type="dxa"/>
            <w:shd w:val="clear" w:color="auto" w:fill="auto"/>
            <w:vAlign w:val="center"/>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拟调整专项债金额</w:t>
            </w:r>
          </w:p>
        </w:tc>
        <w:tc>
          <w:tcPr>
            <w:tcW w:w="1658" w:type="dxa"/>
          </w:tcPr>
          <w:p>
            <w:pPr>
              <w:spacing w:line="360" w:lineRule="auto"/>
              <w:jc w:val="center"/>
              <w:rPr>
                <w:rFonts w:ascii="仿宋" w:hAnsi="仿宋" w:eastAsia="仿宋" w:cs="仿宋"/>
                <w:b/>
                <w:sz w:val="24"/>
                <w:szCs w:val="24"/>
              </w:rPr>
            </w:pPr>
            <w:r>
              <w:rPr>
                <w:rFonts w:hint="eastAsia" w:ascii="仿宋" w:hAnsi="仿宋" w:eastAsia="仿宋" w:cs="仿宋"/>
                <w:b/>
                <w:sz w:val="24"/>
                <w:szCs w:val="24"/>
              </w:rPr>
              <w:t>调整后项目实施方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89" w:type="dxa"/>
          </w:tcPr>
          <w:p>
            <w:pPr>
              <w:spacing w:line="360" w:lineRule="auto"/>
              <w:jc w:val="left"/>
              <w:rPr>
                <w:rFonts w:ascii="仿宋" w:hAnsi="仿宋" w:eastAsia="仿宋" w:cs="仿宋"/>
                <w:sz w:val="24"/>
                <w:szCs w:val="24"/>
              </w:rPr>
            </w:pPr>
            <w:r>
              <w:rPr>
                <w:rFonts w:hint="eastAsia" w:ascii="仿宋" w:hAnsi="仿宋" w:eastAsia="仿宋" w:cs="仿宋"/>
                <w:sz w:val="24"/>
                <w:szCs w:val="24"/>
              </w:rPr>
              <w:t>2019年福建省</w:t>
            </w:r>
            <w:r>
              <w:rPr>
                <w:rFonts w:hint="eastAsia" w:ascii="仿宋" w:hAnsi="仿宋" w:eastAsia="仿宋" w:cs="仿宋"/>
                <w:sz w:val="24"/>
                <w:szCs w:val="24"/>
                <w:lang w:val="en-US" w:eastAsia="zh-CN"/>
              </w:rPr>
              <w:t>（</w:t>
            </w:r>
            <w:r>
              <w:rPr>
                <w:rFonts w:hint="eastAsia" w:ascii="仿宋" w:hAnsi="仿宋" w:eastAsia="仿宋" w:cs="仿宋"/>
                <w:sz w:val="24"/>
                <w:szCs w:val="24"/>
              </w:rPr>
              <w:t>莆田</w:t>
            </w:r>
            <w:r>
              <w:rPr>
                <w:rFonts w:hint="eastAsia" w:ascii="仿宋" w:hAnsi="仿宋" w:eastAsia="仿宋" w:cs="仿宋"/>
                <w:sz w:val="24"/>
                <w:szCs w:val="24"/>
                <w:lang w:eastAsia="zh-CN"/>
              </w:rPr>
              <w:t>市、</w:t>
            </w:r>
            <w:r>
              <w:rPr>
                <w:rFonts w:hint="eastAsia" w:ascii="仿宋" w:hAnsi="仿宋" w:eastAsia="仿宋" w:cs="仿宋"/>
                <w:sz w:val="24"/>
                <w:szCs w:val="24"/>
              </w:rPr>
              <w:t>三明</w:t>
            </w:r>
            <w:r>
              <w:rPr>
                <w:rFonts w:hint="eastAsia" w:ascii="仿宋" w:hAnsi="仿宋" w:eastAsia="仿宋" w:cs="仿宋"/>
                <w:sz w:val="24"/>
                <w:szCs w:val="24"/>
                <w:lang w:eastAsia="zh-CN"/>
              </w:rPr>
              <w:t>市、</w:t>
            </w:r>
            <w:r>
              <w:rPr>
                <w:rFonts w:hint="eastAsia" w:ascii="仿宋" w:hAnsi="仿宋" w:eastAsia="仿宋" w:cs="仿宋"/>
                <w:sz w:val="24"/>
                <w:szCs w:val="24"/>
              </w:rPr>
              <w:t>南平</w:t>
            </w:r>
            <w:r>
              <w:rPr>
                <w:rFonts w:hint="eastAsia" w:ascii="仿宋" w:hAnsi="仿宋" w:eastAsia="仿宋" w:cs="仿宋"/>
                <w:sz w:val="24"/>
                <w:szCs w:val="24"/>
                <w:lang w:eastAsia="zh-CN"/>
              </w:rPr>
              <w:t>市、</w:t>
            </w:r>
            <w:r>
              <w:rPr>
                <w:rFonts w:hint="eastAsia" w:ascii="仿宋" w:hAnsi="仿宋" w:eastAsia="仿宋" w:cs="仿宋"/>
                <w:sz w:val="24"/>
                <w:szCs w:val="24"/>
              </w:rPr>
              <w:t>龙岩</w:t>
            </w:r>
            <w:r>
              <w:rPr>
                <w:rFonts w:hint="eastAsia" w:ascii="仿宋" w:hAnsi="仿宋" w:eastAsia="仿宋" w:cs="仿宋"/>
                <w:sz w:val="24"/>
                <w:szCs w:val="24"/>
                <w:lang w:eastAsia="zh-CN"/>
              </w:rPr>
              <w:t>市</w:t>
            </w:r>
            <w:r>
              <w:rPr>
                <w:rFonts w:hint="eastAsia" w:ascii="仿宋" w:hAnsi="仿宋" w:eastAsia="仿宋" w:cs="仿宋"/>
                <w:sz w:val="24"/>
                <w:szCs w:val="24"/>
                <w:lang w:val="en-US" w:eastAsia="zh-CN"/>
              </w:rPr>
              <w:t>）</w:t>
            </w:r>
            <w:r>
              <w:rPr>
                <w:rFonts w:hint="eastAsia" w:ascii="仿宋" w:hAnsi="仿宋" w:eastAsia="仿宋" w:cs="仿宋"/>
                <w:sz w:val="24"/>
                <w:szCs w:val="24"/>
              </w:rPr>
              <w:t>土</w:t>
            </w:r>
            <w:r>
              <w:rPr>
                <w:rFonts w:hint="eastAsia" w:ascii="仿宋" w:hAnsi="仿宋" w:eastAsia="仿宋" w:cs="仿宋"/>
                <w:sz w:val="24"/>
                <w:szCs w:val="24"/>
                <w:lang w:eastAsia="zh-CN"/>
              </w:rPr>
              <w:t>地</w:t>
            </w:r>
            <w:r>
              <w:rPr>
                <w:rFonts w:hint="eastAsia" w:ascii="仿宋" w:hAnsi="仿宋" w:eastAsia="仿宋" w:cs="仿宋"/>
                <w:sz w:val="24"/>
                <w:szCs w:val="24"/>
              </w:rPr>
              <w:t>储</w:t>
            </w:r>
            <w:r>
              <w:rPr>
                <w:rFonts w:hint="eastAsia" w:ascii="仿宋" w:hAnsi="仿宋" w:eastAsia="仿宋" w:cs="仿宋"/>
                <w:sz w:val="24"/>
                <w:szCs w:val="24"/>
                <w:lang w:eastAsia="zh-CN"/>
              </w:rPr>
              <w:t>备</w:t>
            </w:r>
            <w:r>
              <w:rPr>
                <w:rFonts w:hint="eastAsia" w:ascii="仿宋" w:hAnsi="仿宋" w:eastAsia="仿宋" w:cs="仿宋"/>
                <w:sz w:val="24"/>
                <w:szCs w:val="24"/>
              </w:rPr>
              <w:t>专项债券</w:t>
            </w:r>
            <w:r>
              <w:rPr>
                <w:rFonts w:hint="eastAsia" w:ascii="仿宋" w:hAnsi="仿宋" w:eastAsia="仿宋" w:cs="仿宋"/>
                <w:sz w:val="24"/>
                <w:szCs w:val="24"/>
                <w:lang w:eastAsia="zh-CN"/>
              </w:rPr>
              <w:t>（二期）</w:t>
            </w:r>
            <w:r>
              <w:rPr>
                <w:rFonts w:hint="eastAsia" w:ascii="仿宋" w:hAnsi="仿宋" w:eastAsia="仿宋" w:cs="仿宋"/>
                <w:sz w:val="24"/>
                <w:szCs w:val="24"/>
              </w:rPr>
              <w:t>期</w:t>
            </w:r>
            <w:r>
              <w:rPr>
                <w:rFonts w:hint="eastAsia" w:ascii="仿宋" w:hAnsi="仿宋" w:eastAsia="仿宋" w:cs="仿宋"/>
                <w:sz w:val="24"/>
                <w:szCs w:val="24"/>
                <w:lang w:eastAsia="zh-CN"/>
              </w:rPr>
              <w:t>—</w:t>
            </w:r>
            <w:r>
              <w:rPr>
                <w:rFonts w:hint="eastAsia" w:ascii="仿宋" w:hAnsi="仿宋" w:eastAsia="仿宋" w:cs="仿宋"/>
                <w:sz w:val="24"/>
                <w:szCs w:val="24"/>
              </w:rPr>
              <w:t>2019年福建省政府专项债券</w:t>
            </w:r>
            <w:r>
              <w:rPr>
                <w:rFonts w:hint="eastAsia" w:ascii="仿宋" w:hAnsi="仿宋" w:eastAsia="仿宋" w:cs="仿宋"/>
                <w:sz w:val="24"/>
                <w:szCs w:val="24"/>
                <w:lang w:eastAsia="zh-CN"/>
              </w:rPr>
              <w:t>（二</w:t>
            </w:r>
            <w:r>
              <w:rPr>
                <w:rFonts w:hint="eastAsia" w:ascii="仿宋" w:hAnsi="仿宋" w:eastAsia="仿宋" w:cs="仿宋"/>
                <w:sz w:val="24"/>
                <w:szCs w:val="24"/>
              </w:rPr>
              <w:t>期</w:t>
            </w:r>
            <w:r>
              <w:rPr>
                <w:rFonts w:hint="eastAsia" w:ascii="仿宋" w:hAnsi="仿宋" w:eastAsia="仿宋" w:cs="仿宋"/>
                <w:sz w:val="24"/>
                <w:szCs w:val="24"/>
                <w:lang w:eastAsia="zh-CN"/>
              </w:rPr>
              <w:t>）</w:t>
            </w:r>
          </w:p>
        </w:tc>
        <w:tc>
          <w:tcPr>
            <w:tcW w:w="1862" w:type="dxa"/>
          </w:tcPr>
          <w:p>
            <w:pPr>
              <w:spacing w:line="360" w:lineRule="auto"/>
              <w:jc w:val="left"/>
              <w:rPr>
                <w:rFonts w:ascii="仿宋" w:hAnsi="仿宋" w:eastAsia="仿宋" w:cs="仿宋"/>
                <w:sz w:val="24"/>
                <w:szCs w:val="24"/>
              </w:rPr>
            </w:pPr>
            <w:r>
              <w:rPr>
                <w:rFonts w:hint="eastAsia" w:ascii="仿宋" w:hAnsi="仿宋" w:eastAsia="仿宋" w:cs="仿宋"/>
                <w:sz w:val="24"/>
                <w:szCs w:val="24"/>
              </w:rPr>
              <w:t>玉湖片区收储地块23#26#项目</w:t>
            </w:r>
          </w:p>
        </w:tc>
        <w:tc>
          <w:tcPr>
            <w:tcW w:w="1502" w:type="dxa"/>
            <w:vAlign w:val="center"/>
          </w:tcPr>
          <w:p>
            <w:pPr>
              <w:spacing w:line="360" w:lineRule="auto"/>
              <w:jc w:val="left"/>
              <w:rPr>
                <w:rFonts w:ascii="仿宋" w:hAnsi="仿宋" w:eastAsia="仿宋" w:cs="仿宋"/>
                <w:sz w:val="24"/>
                <w:szCs w:val="24"/>
              </w:rPr>
            </w:pPr>
            <w:r>
              <w:rPr>
                <w:rFonts w:hint="eastAsia" w:ascii="仿宋" w:hAnsi="仿宋" w:eastAsia="仿宋" w:cs="仿宋"/>
                <w:sz w:val="24"/>
                <w:szCs w:val="24"/>
              </w:rPr>
              <w:t>荔城经济开发区千亿级创新创业产业园及配套设施建设工程</w:t>
            </w:r>
          </w:p>
        </w:tc>
        <w:tc>
          <w:tcPr>
            <w:tcW w:w="1419" w:type="dxa"/>
            <w:vAlign w:val="center"/>
          </w:tcPr>
          <w:p>
            <w:pPr>
              <w:spacing w:line="360" w:lineRule="auto"/>
              <w:jc w:val="center"/>
              <w:rPr>
                <w:rFonts w:ascii="仿宋" w:hAnsi="仿宋" w:eastAsia="仿宋" w:cs="仿宋"/>
                <w:sz w:val="24"/>
                <w:szCs w:val="24"/>
              </w:rPr>
            </w:pPr>
            <w:r>
              <w:rPr>
                <w:rFonts w:ascii="仿宋" w:hAnsi="仿宋" w:eastAsia="仿宋" w:cs="仿宋"/>
                <w:sz w:val="24"/>
                <w:szCs w:val="24"/>
              </w:rPr>
              <w:t>1457110.83</w:t>
            </w:r>
          </w:p>
        </w:tc>
        <w:tc>
          <w:tcPr>
            <w:tcW w:w="1233" w:type="dxa"/>
            <w:vAlign w:val="center"/>
          </w:tcPr>
          <w:p>
            <w:pPr>
              <w:spacing w:line="360" w:lineRule="auto"/>
              <w:jc w:val="center"/>
              <w:rPr>
                <w:rFonts w:ascii="仿宋" w:hAnsi="仿宋" w:eastAsia="仿宋" w:cs="仿宋"/>
                <w:sz w:val="24"/>
                <w:szCs w:val="24"/>
              </w:rPr>
            </w:pPr>
            <w:r>
              <w:rPr>
                <w:rFonts w:ascii="仿宋" w:hAnsi="仿宋" w:eastAsia="仿宋" w:cs="仿宋"/>
                <w:sz w:val="24"/>
                <w:szCs w:val="24"/>
              </w:rPr>
              <w:t>10366.00</w:t>
            </w:r>
          </w:p>
        </w:tc>
        <w:tc>
          <w:tcPr>
            <w:tcW w:w="1658" w:type="dxa"/>
          </w:tcPr>
          <w:p>
            <w:pPr>
              <w:spacing w:line="360" w:lineRule="auto"/>
              <w:jc w:val="center"/>
              <w:rPr>
                <w:rFonts w:ascii="仿宋" w:hAnsi="仿宋" w:eastAsia="仿宋" w:cs="仿宋"/>
                <w:sz w:val="24"/>
                <w:szCs w:val="24"/>
              </w:rPr>
            </w:pPr>
            <w:r>
              <w:rPr>
                <w:rFonts w:hint="eastAsia" w:ascii="仿宋" w:hAnsi="仿宋" w:eastAsia="仿宋" w:cs="仿宋"/>
                <w:sz w:val="24"/>
                <w:szCs w:val="24"/>
              </w:rPr>
              <w:t>福建荔城经济开发区管理委员会</w:t>
            </w:r>
          </w:p>
        </w:tc>
      </w:tr>
    </w:tbl>
    <w:p>
      <w:pPr>
        <w:pStyle w:val="3"/>
        <w:spacing w:before="0" w:after="0" w:line="640" w:lineRule="exact"/>
        <w:ind w:firstLine="640" w:firstLineChars="200"/>
        <w:jc w:val="both"/>
        <w:rPr>
          <w:rFonts w:ascii="黑体" w:hAnsi="黑体" w:eastAsia="黑体" w:cs="黑体"/>
          <w:b w:val="0"/>
          <w:bCs w:val="0"/>
          <w:sz w:val="32"/>
          <w:szCs w:val="32"/>
        </w:rPr>
      </w:pPr>
      <w:r>
        <w:rPr>
          <w:rFonts w:hint="eastAsia" w:ascii="黑体" w:hAnsi="黑体" w:eastAsia="黑体" w:cs="黑体"/>
          <w:b w:val="0"/>
          <w:bCs w:val="0"/>
          <w:sz w:val="32"/>
          <w:szCs w:val="32"/>
        </w:rPr>
        <w:t>二、项目基本情况</w:t>
      </w:r>
      <w:bookmarkStart w:id="0" w:name="_Hlk524441701"/>
    </w:p>
    <w:p>
      <w:pPr>
        <w:pageBreakBefore w:val="0"/>
        <w:widowControl w:val="0"/>
        <w:kinsoku/>
        <w:wordWrap/>
        <w:overflowPunct/>
        <w:topLinePunct w:val="0"/>
        <w:autoSpaceDE/>
        <w:autoSpaceDN/>
        <w:bidi w:val="0"/>
        <w:adjustRightInd/>
        <w:snapToGrid/>
        <w:spacing w:line="640" w:lineRule="exact"/>
        <w:ind w:firstLine="640" w:firstLineChars="200"/>
        <w:textAlignment w:val="auto"/>
        <w:rPr>
          <w:rFonts w:ascii="楷体" w:hAnsi="楷体" w:eastAsia="楷体" w:cs="楷体"/>
          <w:b w:val="0"/>
          <w:bCs/>
          <w:sz w:val="32"/>
          <w:szCs w:val="32"/>
        </w:rPr>
      </w:pPr>
      <w:r>
        <w:rPr>
          <w:rFonts w:hint="eastAsia" w:ascii="楷体" w:hAnsi="楷体" w:eastAsia="楷体" w:cs="楷体"/>
          <w:b w:val="0"/>
          <w:bCs/>
          <w:sz w:val="32"/>
          <w:szCs w:val="32"/>
        </w:rPr>
        <w:t>（一）荔城经济开发区千亿级创新创业产业园及配套设施建设工程</w:t>
      </w:r>
    </w:p>
    <w:p>
      <w:pPr>
        <w:pageBreakBefore w:val="0"/>
        <w:widowControl w:val="0"/>
        <w:kinsoku/>
        <w:wordWrap/>
        <w:overflowPunct/>
        <w:topLinePunct w:val="0"/>
        <w:autoSpaceDE/>
        <w:autoSpaceDN/>
        <w:bidi w:val="0"/>
        <w:adjustRightInd/>
        <w:snapToGrid/>
        <w:spacing w:line="640" w:lineRule="exact"/>
        <w:ind w:left="3" w:firstLine="640" w:firstLineChars="200"/>
        <w:textAlignment w:val="auto"/>
        <w:rPr>
          <w:rFonts w:ascii="仿宋" w:hAnsi="仿宋" w:eastAsia="仿宋" w:cs="仿宋"/>
          <w:sz w:val="32"/>
        </w:rPr>
      </w:pPr>
      <w:r>
        <w:rPr>
          <w:rFonts w:hint="eastAsia" w:ascii="仿宋" w:hAnsi="仿宋" w:eastAsia="仿宋" w:cs="仿宋"/>
          <w:sz w:val="32"/>
        </w:rPr>
        <w:t>1、项目概况</w:t>
      </w:r>
    </w:p>
    <w:bookmarkEnd w:id="0"/>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本项目建设内容包含一期人才公寓、专家公寓及培训、创业展示中心项目，荔城经济开发区产业员工教育配套工程，一期配套路网提升及地下管廊工程，一期厂房改造提升及孵化中心，福建荔城经济开发区拓展区（北高作业区）工程。</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（1）一期人才公寓、专家公寓及培训、创业展示中心项目：项目用地面积325亩，建筑面积374300平方米。建设人才公寓和专家公寓5000套，建设培训、创业展示中心，以及员工教育配套工程。</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（2）荔城经济开发区产业员工教育配套工程：项目建筑面积39876.3平方米。</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（3）一期配套路网提升及地下管廊工程：建设路网提升及地下管廊工程计20.3公里长。</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（4）一期厂房改造提升及孵化中心：项目用地面积3000亩，改造提升厂房建筑面积600000平方米，建设专业化标准厂房及孵化中心、研发办公中心建筑面积计200000平方米。</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5）福建荔城经济开发区拓展区（北高作业区）：项目建设一座占地244.53亩港区冷链物流基地产业园，依托港口码头，建设食品加工冷冻、冷藏保鲜、仓储厂房140000平方米，建设标准化厂房及配套设施165000平方米，实施产业园基地土地回填，修建配套道路34.51公里，建设日处理能力4万吨的污水处理厂一座，对近期未开发的土地先进行生态修复。</w:t>
      </w:r>
    </w:p>
    <w:p>
      <w:pPr>
        <w:pStyle w:val="6"/>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cs="仿宋"/>
          <w:b w:val="0"/>
          <w:bCs w:val="0"/>
          <w:sz w:val="32"/>
        </w:rPr>
      </w:pPr>
      <w:r>
        <w:rPr>
          <w:rFonts w:hint="eastAsia" w:ascii="仿宋" w:hAnsi="仿宋" w:cs="仿宋"/>
          <w:b w:val="0"/>
          <w:bCs w:val="0"/>
          <w:sz w:val="32"/>
        </w:rPr>
        <w:t>2、项目投资情况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根据批复，荔城经济开发区千亿级创新创业产业园及配套设施建设工程静态投资为1457110.83万元，项目投资计划表如下：</w:t>
      </w:r>
    </w:p>
    <w:p>
      <w:pPr>
        <w:spacing w:line="360" w:lineRule="auto"/>
        <w:jc w:val="center"/>
        <w:rPr>
          <w:rFonts w:ascii="仿宋" w:hAnsi="仿宋" w:eastAsia="仿宋" w:cs="仿宋"/>
          <w:b/>
          <w:bCs w:val="0"/>
          <w:sz w:val="32"/>
          <w:szCs w:val="32"/>
        </w:rPr>
      </w:pPr>
      <w:r>
        <w:rPr>
          <w:rFonts w:hint="eastAsia" w:ascii="仿宋" w:hAnsi="仿宋" w:eastAsia="仿宋" w:cs="仿宋"/>
          <w:b/>
          <w:bCs w:val="0"/>
          <w:sz w:val="32"/>
          <w:szCs w:val="32"/>
        </w:rPr>
        <w:t>项目投资计划表</w:t>
      </w:r>
    </w:p>
    <w:p>
      <w:pPr>
        <w:ind w:firstLine="420" w:firstLineChars="200"/>
        <w:jc w:val="right"/>
        <w:rPr>
          <w:rFonts w:ascii="仿宋" w:hAnsi="仿宋" w:eastAsia="仿宋" w:cs="仿宋"/>
          <w:szCs w:val="21"/>
        </w:rPr>
      </w:pPr>
      <w:r>
        <w:rPr>
          <w:rFonts w:hint="eastAsia" w:ascii="仿宋" w:hAnsi="仿宋" w:eastAsia="仿宋" w:cs="仿宋"/>
          <w:szCs w:val="21"/>
        </w:rPr>
        <w:t>单位：万元</w:t>
      </w:r>
    </w:p>
    <w:tbl>
      <w:tblPr>
        <w:tblStyle w:val="13"/>
        <w:tblW w:w="8960" w:type="dxa"/>
        <w:tblInd w:w="113" w:type="dxa"/>
        <w:tblLayout w:type="autofit"/>
        <w:tblCellMar>
          <w:top w:w="0" w:type="dxa"/>
          <w:left w:w="108" w:type="dxa"/>
          <w:bottom w:w="0" w:type="dxa"/>
          <w:right w:w="108" w:type="dxa"/>
        </w:tblCellMar>
      </w:tblPr>
      <w:tblGrid>
        <w:gridCol w:w="2920"/>
        <w:gridCol w:w="1261"/>
        <w:gridCol w:w="1680"/>
        <w:gridCol w:w="1620"/>
        <w:gridCol w:w="1620"/>
      </w:tblGrid>
      <w:tr>
        <w:tblPrEx>
          <w:tblCellMar>
            <w:top w:w="0" w:type="dxa"/>
            <w:left w:w="108" w:type="dxa"/>
            <w:bottom w:w="0" w:type="dxa"/>
            <w:right w:w="108" w:type="dxa"/>
          </w:tblCellMar>
        </w:tblPrEx>
        <w:trPr>
          <w:trHeight w:val="402" w:hRule="atLeast"/>
        </w:trPr>
        <w:tc>
          <w:tcPr>
            <w:tcW w:w="292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hint="eastAsia" w:ascii="宋体" w:hAnsi="宋体" w:eastAsia="宋体" w:cs="Times New Roman"/>
                <w:b/>
                <w:bCs/>
                <w:color w:val="000000"/>
                <w:kern w:val="0"/>
                <w:sz w:val="22"/>
              </w:rPr>
              <w:t>项目</w:t>
            </w:r>
          </w:p>
        </w:tc>
        <w:tc>
          <w:tcPr>
            <w:tcW w:w="112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hint="eastAsia" w:ascii="宋体" w:hAnsi="宋体" w:eastAsia="宋体" w:cs="Times New Roman"/>
                <w:b/>
                <w:bCs/>
                <w:color w:val="000000"/>
                <w:kern w:val="0"/>
                <w:sz w:val="22"/>
              </w:rPr>
              <w:t>合计</w:t>
            </w:r>
          </w:p>
        </w:tc>
        <w:tc>
          <w:tcPr>
            <w:tcW w:w="16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已投资项目额</w:t>
            </w:r>
          </w:p>
        </w:tc>
        <w:tc>
          <w:tcPr>
            <w:tcW w:w="324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hint="eastAsia" w:ascii="宋体" w:hAnsi="宋体" w:eastAsia="宋体" w:cs="Times New Roman"/>
                <w:b/>
                <w:bCs/>
                <w:color w:val="000000"/>
                <w:kern w:val="0"/>
                <w:sz w:val="22"/>
              </w:rPr>
              <w:t>建设期</w:t>
            </w:r>
          </w:p>
        </w:tc>
      </w:tr>
      <w:tr>
        <w:tblPrEx>
          <w:tblCellMar>
            <w:top w:w="0" w:type="dxa"/>
            <w:left w:w="108" w:type="dxa"/>
            <w:bottom w:w="0" w:type="dxa"/>
            <w:right w:w="108" w:type="dxa"/>
          </w:tblCellMar>
        </w:tblPrEx>
        <w:trPr>
          <w:trHeight w:val="402" w:hRule="atLeast"/>
        </w:trPr>
        <w:tc>
          <w:tcPr>
            <w:tcW w:w="29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color w:val="000000"/>
                <w:kern w:val="0"/>
                <w:sz w:val="22"/>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color w:val="000000"/>
                <w:kern w:val="0"/>
                <w:sz w:val="22"/>
              </w:rPr>
            </w:pPr>
          </w:p>
        </w:tc>
        <w:tc>
          <w:tcPr>
            <w:tcW w:w="1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2021</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2022</w:t>
            </w:r>
          </w:p>
        </w:tc>
      </w:tr>
      <w:tr>
        <w:tblPrEx>
          <w:tblCellMar>
            <w:top w:w="0" w:type="dxa"/>
            <w:left w:w="108" w:type="dxa"/>
            <w:bottom w:w="0" w:type="dxa"/>
            <w:right w:w="108" w:type="dxa"/>
          </w:tblCellMar>
        </w:tblPrEx>
        <w:trPr>
          <w:trHeight w:val="402" w:hRule="atLeast"/>
        </w:trPr>
        <w:tc>
          <w:tcPr>
            <w:tcW w:w="29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color w:val="000000"/>
                <w:kern w:val="0"/>
                <w:sz w:val="22"/>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color w:val="000000"/>
                <w:kern w:val="0"/>
                <w:sz w:val="22"/>
              </w:rPr>
            </w:pPr>
          </w:p>
        </w:tc>
        <w:tc>
          <w:tcPr>
            <w:tcW w:w="1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hint="eastAsia" w:ascii="宋体" w:hAnsi="宋体" w:eastAsia="宋体" w:cs="Times New Roman"/>
                <w:b/>
                <w:bCs/>
                <w:color w:val="000000"/>
                <w:kern w:val="0"/>
                <w:sz w:val="22"/>
              </w:rPr>
              <w:t>第</w:t>
            </w:r>
            <w:r>
              <w:rPr>
                <w:rFonts w:ascii="Times New Roman" w:hAnsi="Times New Roman" w:eastAsia="宋体" w:cs="Times New Roman"/>
                <w:b/>
                <w:bCs/>
                <w:color w:val="000000"/>
                <w:kern w:val="0"/>
                <w:sz w:val="22"/>
              </w:rPr>
              <w:t>1</w:t>
            </w:r>
            <w:r>
              <w:rPr>
                <w:rFonts w:hint="eastAsia" w:ascii="宋体" w:hAnsi="宋体" w:eastAsia="宋体" w:cs="Times New Roman"/>
                <w:b/>
                <w:bCs/>
                <w:color w:val="000000"/>
                <w:kern w:val="0"/>
                <w:sz w:val="22"/>
              </w:rPr>
              <w:t>年</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hint="eastAsia" w:ascii="宋体" w:hAnsi="宋体" w:eastAsia="宋体" w:cs="Times New Roman"/>
                <w:b/>
                <w:bCs/>
                <w:color w:val="000000"/>
                <w:kern w:val="0"/>
                <w:sz w:val="22"/>
              </w:rPr>
              <w:t>第</w:t>
            </w:r>
            <w:r>
              <w:rPr>
                <w:rFonts w:ascii="Times New Roman" w:hAnsi="Times New Roman" w:eastAsia="宋体" w:cs="Times New Roman"/>
                <w:b/>
                <w:bCs/>
                <w:color w:val="000000"/>
                <w:kern w:val="0"/>
                <w:sz w:val="22"/>
              </w:rPr>
              <w:t>2</w:t>
            </w:r>
            <w:r>
              <w:rPr>
                <w:rFonts w:hint="eastAsia" w:ascii="宋体" w:hAnsi="宋体" w:eastAsia="宋体" w:cs="Times New Roman"/>
                <w:b/>
                <w:bCs/>
                <w:color w:val="000000"/>
                <w:kern w:val="0"/>
                <w:sz w:val="22"/>
              </w:rPr>
              <w:t>年</w:t>
            </w:r>
          </w:p>
        </w:tc>
      </w:tr>
      <w:tr>
        <w:tblPrEx>
          <w:tblCellMar>
            <w:top w:w="0" w:type="dxa"/>
            <w:left w:w="108" w:type="dxa"/>
            <w:bottom w:w="0" w:type="dxa"/>
            <w:right w:w="108" w:type="dxa"/>
          </w:tblCellMar>
        </w:tblPrEx>
        <w:trPr>
          <w:trHeight w:val="402" w:hRule="atLeast"/>
        </w:trPr>
        <w:tc>
          <w:tcPr>
            <w:tcW w:w="29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建安工程费</w:t>
            </w:r>
          </w:p>
        </w:tc>
        <w:tc>
          <w:tcPr>
            <w:tcW w:w="11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940724.56</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48434.74</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326144.91</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566144.91</w:t>
            </w:r>
          </w:p>
        </w:tc>
      </w:tr>
      <w:tr>
        <w:tblPrEx>
          <w:tblCellMar>
            <w:top w:w="0" w:type="dxa"/>
            <w:left w:w="108" w:type="dxa"/>
            <w:bottom w:w="0" w:type="dxa"/>
            <w:right w:w="108" w:type="dxa"/>
          </w:tblCellMar>
        </w:tblPrEx>
        <w:trPr>
          <w:trHeight w:val="402" w:hRule="atLeast"/>
        </w:trPr>
        <w:tc>
          <w:tcPr>
            <w:tcW w:w="29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土地征用款</w:t>
            </w:r>
          </w:p>
        </w:tc>
        <w:tc>
          <w:tcPr>
            <w:tcW w:w="11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459898.30</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3778.98</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203059.66</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253059.66</w:t>
            </w:r>
          </w:p>
        </w:tc>
      </w:tr>
      <w:tr>
        <w:tblPrEx>
          <w:tblCellMar>
            <w:top w:w="0" w:type="dxa"/>
            <w:left w:w="108" w:type="dxa"/>
            <w:bottom w:w="0" w:type="dxa"/>
            <w:right w:w="108" w:type="dxa"/>
          </w:tblCellMar>
        </w:tblPrEx>
        <w:trPr>
          <w:trHeight w:val="402" w:hRule="atLeast"/>
        </w:trPr>
        <w:tc>
          <w:tcPr>
            <w:tcW w:w="29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基本预备费</w:t>
            </w:r>
          </w:p>
        </w:tc>
        <w:tc>
          <w:tcPr>
            <w:tcW w:w="11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56487.97</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3982.91</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21252.53</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31252.53</w:t>
            </w:r>
          </w:p>
        </w:tc>
      </w:tr>
      <w:tr>
        <w:tblPrEx>
          <w:tblCellMar>
            <w:top w:w="0" w:type="dxa"/>
            <w:left w:w="108" w:type="dxa"/>
            <w:bottom w:w="0" w:type="dxa"/>
            <w:right w:w="108" w:type="dxa"/>
          </w:tblCellMar>
        </w:tblPrEx>
        <w:trPr>
          <w:trHeight w:val="402" w:hRule="atLeast"/>
        </w:trPr>
        <w:tc>
          <w:tcPr>
            <w:tcW w:w="29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建设期利息费（专项债）</w:t>
            </w:r>
          </w:p>
        </w:tc>
        <w:tc>
          <w:tcPr>
            <w:tcW w:w="11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11043.06</w:t>
            </w:r>
          </w:p>
        </w:tc>
        <w:tc>
          <w:tcPr>
            <w:tcW w:w="168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1357.50</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2715.00</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6970.56</w:t>
            </w:r>
          </w:p>
        </w:tc>
      </w:tr>
      <w:tr>
        <w:tblPrEx>
          <w:tblCellMar>
            <w:top w:w="0" w:type="dxa"/>
            <w:left w:w="108" w:type="dxa"/>
            <w:bottom w:w="0" w:type="dxa"/>
            <w:right w:w="108" w:type="dxa"/>
          </w:tblCellMar>
        </w:tblPrEx>
        <w:trPr>
          <w:trHeight w:val="402" w:hRule="atLeast"/>
        </w:trPr>
        <w:tc>
          <w:tcPr>
            <w:tcW w:w="29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建设期利息费（银行贷款）</w:t>
            </w:r>
          </w:p>
        </w:tc>
        <w:tc>
          <w:tcPr>
            <w:tcW w:w="11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0.00</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　</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0.00</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0.00</w:t>
            </w:r>
          </w:p>
        </w:tc>
      </w:tr>
      <w:tr>
        <w:tblPrEx>
          <w:tblCellMar>
            <w:top w:w="0" w:type="dxa"/>
            <w:left w:w="108" w:type="dxa"/>
            <w:bottom w:w="0" w:type="dxa"/>
            <w:right w:w="108" w:type="dxa"/>
          </w:tblCellMar>
        </w:tblPrEx>
        <w:trPr>
          <w:trHeight w:val="402" w:hRule="atLeast"/>
        </w:trPr>
        <w:tc>
          <w:tcPr>
            <w:tcW w:w="29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Times New Roman" w:hAnsi="Times New Roman" w:eastAsia="宋体" w:cs="Times New Roman"/>
                <w:color w:val="000000"/>
                <w:kern w:val="0"/>
                <w:sz w:val="22"/>
              </w:rPr>
            </w:pPr>
            <w:r>
              <w:rPr>
                <w:rFonts w:hint="eastAsia" w:ascii="宋体" w:hAnsi="宋体" w:eastAsia="宋体" w:cs="Times New Roman"/>
                <w:color w:val="000000"/>
                <w:kern w:val="0"/>
                <w:sz w:val="22"/>
              </w:rPr>
              <w:t>合计</w:t>
            </w:r>
          </w:p>
        </w:tc>
        <w:tc>
          <w:tcPr>
            <w:tcW w:w="11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1468153.89</w:t>
            </w:r>
          </w:p>
        </w:tc>
        <w:tc>
          <w:tcPr>
            <w:tcW w:w="1680" w:type="dxa"/>
            <w:tcBorders>
              <w:top w:val="nil"/>
              <w:left w:val="nil"/>
              <w:bottom w:val="single" w:color="auto" w:sz="4" w:space="0"/>
              <w:right w:val="single" w:color="auto" w:sz="4" w:space="0"/>
            </w:tcBorders>
            <w:shd w:val="clear" w:color="000000" w:fill="FFFFFF"/>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57554.13</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553172.10</w:t>
            </w:r>
          </w:p>
        </w:tc>
        <w:tc>
          <w:tcPr>
            <w:tcW w:w="16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857427.66</w:t>
            </w:r>
          </w:p>
        </w:tc>
      </w:tr>
    </w:tbl>
    <w:p>
      <w:pPr>
        <w:pStyle w:val="6"/>
        <w:spacing w:line="640" w:lineRule="exact"/>
        <w:ind w:firstLine="640" w:firstLineChars="200"/>
        <w:rPr>
          <w:rFonts w:ascii="仿宋" w:hAnsi="仿宋" w:cs="仿宋"/>
          <w:b w:val="0"/>
          <w:bCs w:val="0"/>
          <w:sz w:val="32"/>
        </w:rPr>
      </w:pPr>
      <w:r>
        <w:rPr>
          <w:rFonts w:hint="eastAsia" w:ascii="仿宋" w:hAnsi="仿宋" w:cs="仿宋"/>
          <w:b w:val="0"/>
          <w:bCs w:val="0"/>
          <w:sz w:val="32"/>
        </w:rPr>
        <w:t xml:space="preserve"> 3、项目资金来源</w:t>
      </w:r>
    </w:p>
    <w:p>
      <w:pPr>
        <w:pStyle w:val="2"/>
        <w:ind w:firstLine="64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项目估算总投资为1468153.89万元，资本金为1279953.89万元，占总投的87.18%，其中单位自筹资金1279953.89万元，按项目建设进度到位；拟通过发专项债筹措资金188200万元，其中已发行175165万元（其中2020年第二期发行10000万元，利率3.57%；2020年第三期发行60000万元，利率3.93%；2021年第二期发行60000万元，利率3.5%；2021年第三期发行45165万元，利率3.9%），发行期限20年，通过已发行的土储专项债“玉湖片区收储地块23#26#项目”调整资金用途获得地方债资金10366万元，2022年计划发行2669万元。具体融资情况如下：</w:t>
      </w:r>
    </w:p>
    <w:p>
      <w:pPr>
        <w:pStyle w:val="2"/>
        <w:jc w:val="center"/>
        <w:rPr>
          <w:rFonts w:ascii="楷体" w:hAnsi="楷体" w:eastAsia="楷体" w:cs="楷体"/>
          <w:sz w:val="32"/>
          <w:szCs w:val="32"/>
        </w:rPr>
      </w:pPr>
      <w:r>
        <w:rPr>
          <w:rFonts w:hint="eastAsia" w:ascii="楷体" w:hAnsi="楷体" w:eastAsia="楷体" w:cs="楷体"/>
          <w:sz w:val="32"/>
          <w:szCs w:val="32"/>
        </w:rPr>
        <w:t>资金筹措表</w:t>
      </w:r>
    </w:p>
    <w:p>
      <w:pPr>
        <w:pStyle w:val="2"/>
        <w:ind w:right="960"/>
        <w:jc w:val="center"/>
        <w:rPr>
          <w:rFonts w:ascii="仿宋" w:hAnsi="仿宋" w:eastAsia="仿宋" w:cs="仿宋"/>
        </w:rPr>
      </w:pPr>
      <w:r>
        <w:rPr>
          <w:rFonts w:hint="eastAsia" w:ascii="仿宋" w:hAnsi="仿宋" w:eastAsia="仿宋" w:cs="仿宋"/>
        </w:rPr>
        <w:t xml:space="preserve"> </w:t>
      </w:r>
      <w:r>
        <w:rPr>
          <w:rFonts w:ascii="仿宋" w:hAnsi="仿宋" w:eastAsia="仿宋" w:cs="仿宋"/>
        </w:rPr>
        <w:t xml:space="preserve">                                            </w:t>
      </w:r>
      <w:r>
        <w:rPr>
          <w:rFonts w:hint="eastAsia" w:ascii="仿宋" w:hAnsi="仿宋" w:eastAsia="仿宋" w:cs="仿宋"/>
        </w:rPr>
        <w:t>单位：万元</w:t>
      </w:r>
    </w:p>
    <w:tbl>
      <w:tblPr>
        <w:tblStyle w:val="13"/>
        <w:tblW w:w="7420" w:type="dxa"/>
        <w:tblInd w:w="113" w:type="dxa"/>
        <w:tblLayout w:type="autofit"/>
        <w:tblCellMar>
          <w:top w:w="0" w:type="dxa"/>
          <w:left w:w="108" w:type="dxa"/>
          <w:bottom w:w="0" w:type="dxa"/>
          <w:right w:w="108" w:type="dxa"/>
        </w:tblCellMar>
      </w:tblPr>
      <w:tblGrid>
        <w:gridCol w:w="620"/>
        <w:gridCol w:w="1980"/>
        <w:gridCol w:w="1261"/>
        <w:gridCol w:w="1580"/>
        <w:gridCol w:w="1151"/>
        <w:gridCol w:w="1151"/>
      </w:tblGrid>
      <w:tr>
        <w:tblPrEx>
          <w:tblCellMar>
            <w:top w:w="0" w:type="dxa"/>
            <w:left w:w="108" w:type="dxa"/>
            <w:bottom w:w="0" w:type="dxa"/>
            <w:right w:w="108" w:type="dxa"/>
          </w:tblCellMar>
        </w:tblPrEx>
        <w:trPr>
          <w:trHeight w:val="402" w:hRule="atLeast"/>
        </w:trPr>
        <w:tc>
          <w:tcPr>
            <w:tcW w:w="62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hint="eastAsia" w:ascii="宋体" w:hAnsi="宋体" w:eastAsia="宋体" w:cs="Times New Roman"/>
                <w:b/>
                <w:bCs/>
                <w:color w:val="000000"/>
                <w:kern w:val="0"/>
                <w:sz w:val="22"/>
              </w:rPr>
              <w:t>序号</w:t>
            </w:r>
          </w:p>
        </w:tc>
        <w:tc>
          <w:tcPr>
            <w:tcW w:w="198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hint="eastAsia" w:ascii="宋体" w:hAnsi="宋体" w:eastAsia="宋体" w:cs="Times New Roman"/>
                <w:b/>
                <w:bCs/>
                <w:color w:val="000000"/>
                <w:kern w:val="0"/>
                <w:sz w:val="22"/>
              </w:rPr>
              <w:t>项目</w:t>
            </w:r>
          </w:p>
        </w:tc>
        <w:tc>
          <w:tcPr>
            <w:tcW w:w="112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hint="eastAsia" w:ascii="宋体" w:hAnsi="宋体" w:eastAsia="宋体" w:cs="Times New Roman"/>
                <w:b/>
                <w:bCs/>
                <w:color w:val="000000"/>
                <w:kern w:val="0"/>
                <w:sz w:val="22"/>
              </w:rPr>
              <w:t>合计</w:t>
            </w:r>
          </w:p>
        </w:tc>
        <w:tc>
          <w:tcPr>
            <w:tcW w:w="158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已筹资项目额</w:t>
            </w:r>
          </w:p>
        </w:tc>
        <w:tc>
          <w:tcPr>
            <w:tcW w:w="212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hint="eastAsia" w:ascii="宋体" w:hAnsi="宋体" w:eastAsia="宋体" w:cs="Times New Roman"/>
                <w:b/>
                <w:bCs/>
                <w:color w:val="000000"/>
                <w:kern w:val="0"/>
                <w:sz w:val="22"/>
              </w:rPr>
              <w:t>建设期</w:t>
            </w:r>
          </w:p>
        </w:tc>
      </w:tr>
      <w:tr>
        <w:tblPrEx>
          <w:tblCellMar>
            <w:top w:w="0" w:type="dxa"/>
            <w:left w:w="108" w:type="dxa"/>
            <w:bottom w:w="0" w:type="dxa"/>
            <w:right w:w="108" w:type="dxa"/>
          </w:tblCellMar>
        </w:tblPrEx>
        <w:trPr>
          <w:trHeight w:val="402"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color w:val="000000"/>
                <w:kern w:val="0"/>
                <w:sz w:val="22"/>
              </w:rPr>
            </w:pPr>
          </w:p>
        </w:tc>
        <w:tc>
          <w:tcPr>
            <w:tcW w:w="19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color w:val="000000"/>
                <w:kern w:val="0"/>
                <w:sz w:val="22"/>
              </w:rPr>
            </w:pPr>
          </w:p>
        </w:tc>
        <w:tc>
          <w:tcPr>
            <w:tcW w:w="11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eastAsia="宋体" w:cs="Times New Roman"/>
                <w:b/>
                <w:bCs/>
                <w:color w:val="000000"/>
                <w:kern w:val="0"/>
                <w:sz w:val="22"/>
              </w:rPr>
            </w:pPr>
          </w:p>
        </w:tc>
        <w:tc>
          <w:tcPr>
            <w:tcW w:w="15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2021</w:t>
            </w: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2022</w:t>
            </w:r>
          </w:p>
        </w:tc>
      </w:tr>
      <w:tr>
        <w:tblPrEx>
          <w:tblCellMar>
            <w:top w:w="0" w:type="dxa"/>
            <w:left w:w="108" w:type="dxa"/>
            <w:bottom w:w="0" w:type="dxa"/>
            <w:right w:w="108" w:type="dxa"/>
          </w:tblCellMar>
        </w:tblPrEx>
        <w:trPr>
          <w:trHeight w:val="402" w:hRule="atLeast"/>
        </w:trPr>
        <w:tc>
          <w:tcPr>
            <w:tcW w:w="6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color w:val="000000"/>
                <w:kern w:val="0"/>
                <w:sz w:val="22"/>
              </w:rPr>
            </w:pPr>
          </w:p>
        </w:tc>
        <w:tc>
          <w:tcPr>
            <w:tcW w:w="19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cs="Times New Roman"/>
                <w:b/>
                <w:bCs/>
                <w:color w:val="000000"/>
                <w:kern w:val="0"/>
                <w:sz w:val="22"/>
              </w:rPr>
            </w:pPr>
          </w:p>
        </w:tc>
        <w:tc>
          <w:tcPr>
            <w:tcW w:w="11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Times New Roman" w:hAnsi="Times New Roman" w:eastAsia="宋体" w:cs="Times New Roman"/>
                <w:b/>
                <w:bCs/>
                <w:color w:val="000000"/>
                <w:kern w:val="0"/>
                <w:sz w:val="22"/>
              </w:rPr>
            </w:pPr>
          </w:p>
        </w:tc>
        <w:tc>
          <w:tcPr>
            <w:tcW w:w="15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1</w:t>
            </w: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2</w:t>
            </w:r>
          </w:p>
        </w:tc>
      </w:tr>
      <w:tr>
        <w:tblPrEx>
          <w:tblCellMar>
            <w:top w:w="0" w:type="dxa"/>
            <w:left w:w="108" w:type="dxa"/>
            <w:bottom w:w="0" w:type="dxa"/>
            <w:right w:w="108" w:type="dxa"/>
          </w:tblCellMar>
        </w:tblPrEx>
        <w:trPr>
          <w:trHeight w:val="40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1</w:t>
            </w:r>
          </w:p>
        </w:tc>
        <w:tc>
          <w:tcPr>
            <w:tcW w:w="1980"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eastAsia="宋体" w:cs="Times New Roman"/>
                <w:color w:val="000000"/>
                <w:kern w:val="0"/>
                <w:sz w:val="22"/>
              </w:rPr>
            </w:pPr>
            <w:r>
              <w:rPr>
                <w:rFonts w:hint="eastAsia" w:ascii="宋体" w:hAnsi="宋体" w:eastAsia="宋体" w:cs="Times New Roman"/>
                <w:color w:val="000000"/>
                <w:kern w:val="0"/>
                <w:sz w:val="22"/>
              </w:rPr>
              <w:t>资本金</w:t>
            </w:r>
          </w:p>
        </w:tc>
        <w:tc>
          <w:tcPr>
            <w:tcW w:w="11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1279953.89</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0.00</w:t>
            </w: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425195.23</w:t>
            </w: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854758.66</w:t>
            </w:r>
          </w:p>
        </w:tc>
      </w:tr>
      <w:tr>
        <w:tblPrEx>
          <w:tblCellMar>
            <w:top w:w="0" w:type="dxa"/>
            <w:left w:w="108" w:type="dxa"/>
            <w:bottom w:w="0" w:type="dxa"/>
            <w:right w:w="108" w:type="dxa"/>
          </w:tblCellMar>
        </w:tblPrEx>
        <w:trPr>
          <w:trHeight w:val="40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1.1</w:t>
            </w:r>
          </w:p>
        </w:tc>
        <w:tc>
          <w:tcPr>
            <w:tcW w:w="1980"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eastAsia="宋体" w:cs="Times New Roman"/>
                <w:color w:val="000000"/>
                <w:kern w:val="0"/>
                <w:sz w:val="22"/>
              </w:rPr>
            </w:pPr>
            <w:r>
              <w:rPr>
                <w:rFonts w:hint="eastAsia" w:ascii="宋体" w:hAnsi="宋体" w:eastAsia="宋体" w:cs="Times New Roman"/>
                <w:color w:val="000000"/>
                <w:kern w:val="0"/>
                <w:sz w:val="22"/>
              </w:rPr>
              <w:t>自筹资本金</w:t>
            </w:r>
          </w:p>
        </w:tc>
        <w:tc>
          <w:tcPr>
            <w:tcW w:w="11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1279953.89</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0.00</w:t>
            </w: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425195.23</w:t>
            </w: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854758.66</w:t>
            </w:r>
          </w:p>
        </w:tc>
      </w:tr>
      <w:tr>
        <w:tblPrEx>
          <w:tblCellMar>
            <w:top w:w="0" w:type="dxa"/>
            <w:left w:w="108" w:type="dxa"/>
            <w:bottom w:w="0" w:type="dxa"/>
            <w:right w:w="108" w:type="dxa"/>
          </w:tblCellMar>
        </w:tblPrEx>
        <w:trPr>
          <w:trHeight w:val="40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1.2</w:t>
            </w:r>
          </w:p>
        </w:tc>
        <w:tc>
          <w:tcPr>
            <w:tcW w:w="1980"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eastAsia="宋体" w:cs="Times New Roman"/>
                <w:color w:val="000000"/>
                <w:kern w:val="0"/>
                <w:sz w:val="22"/>
              </w:rPr>
            </w:pPr>
            <w:r>
              <w:rPr>
                <w:rFonts w:hint="eastAsia" w:ascii="宋体" w:hAnsi="宋体" w:eastAsia="宋体" w:cs="Times New Roman"/>
                <w:color w:val="000000"/>
                <w:kern w:val="0"/>
                <w:sz w:val="22"/>
              </w:rPr>
              <w:t>专项债资本金部分</w:t>
            </w:r>
          </w:p>
        </w:tc>
        <w:tc>
          <w:tcPr>
            <w:tcW w:w="11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0.00</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0.00</w:t>
            </w: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0.00</w:t>
            </w: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0.00</w:t>
            </w:r>
          </w:p>
        </w:tc>
      </w:tr>
      <w:tr>
        <w:tblPrEx>
          <w:tblCellMar>
            <w:top w:w="0" w:type="dxa"/>
            <w:left w:w="108" w:type="dxa"/>
            <w:bottom w:w="0" w:type="dxa"/>
            <w:right w:w="108" w:type="dxa"/>
          </w:tblCellMar>
        </w:tblPrEx>
        <w:trPr>
          <w:trHeight w:val="40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2</w:t>
            </w:r>
          </w:p>
        </w:tc>
        <w:tc>
          <w:tcPr>
            <w:tcW w:w="1980"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eastAsia="宋体" w:cs="Times New Roman"/>
                <w:color w:val="000000"/>
                <w:kern w:val="0"/>
                <w:sz w:val="22"/>
              </w:rPr>
            </w:pPr>
            <w:r>
              <w:rPr>
                <w:rFonts w:hint="eastAsia" w:ascii="宋体" w:hAnsi="宋体" w:eastAsia="宋体" w:cs="Times New Roman"/>
                <w:color w:val="000000"/>
                <w:kern w:val="0"/>
                <w:sz w:val="22"/>
              </w:rPr>
              <w:t>地方政府专项债券</w:t>
            </w:r>
          </w:p>
        </w:tc>
        <w:tc>
          <w:tcPr>
            <w:tcW w:w="11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188200.00</w:t>
            </w:r>
          </w:p>
        </w:tc>
        <w:tc>
          <w:tcPr>
            <w:tcW w:w="1580" w:type="dxa"/>
            <w:tcBorders>
              <w:top w:val="nil"/>
              <w:left w:val="nil"/>
              <w:bottom w:val="single" w:color="auto" w:sz="4" w:space="0"/>
              <w:right w:val="single" w:color="auto" w:sz="4" w:space="0"/>
            </w:tcBorders>
            <w:shd w:val="clear" w:color="000000" w:fill="FFFFFF"/>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70000.00</w:t>
            </w:r>
          </w:p>
        </w:tc>
        <w:tc>
          <w:tcPr>
            <w:tcW w:w="1060" w:type="dxa"/>
            <w:tcBorders>
              <w:top w:val="nil"/>
              <w:left w:val="nil"/>
              <w:bottom w:val="single" w:color="auto" w:sz="4" w:space="0"/>
              <w:right w:val="single" w:color="auto" w:sz="4" w:space="0"/>
            </w:tcBorders>
            <w:shd w:val="clear" w:color="000000" w:fill="FFFFFF"/>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115531.00</w:t>
            </w:r>
          </w:p>
        </w:tc>
        <w:tc>
          <w:tcPr>
            <w:tcW w:w="1060" w:type="dxa"/>
            <w:tcBorders>
              <w:top w:val="nil"/>
              <w:left w:val="nil"/>
              <w:bottom w:val="single" w:color="auto" w:sz="4" w:space="0"/>
              <w:right w:val="single" w:color="auto" w:sz="4" w:space="0"/>
            </w:tcBorders>
            <w:shd w:val="clear" w:color="000000" w:fill="FFFFFF"/>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2669.00</w:t>
            </w:r>
          </w:p>
        </w:tc>
      </w:tr>
      <w:tr>
        <w:tblPrEx>
          <w:tblCellMar>
            <w:top w:w="0" w:type="dxa"/>
            <w:left w:w="108" w:type="dxa"/>
            <w:bottom w:w="0" w:type="dxa"/>
            <w:right w:w="108" w:type="dxa"/>
          </w:tblCellMar>
        </w:tblPrEx>
        <w:trPr>
          <w:trHeight w:val="40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3</w:t>
            </w:r>
          </w:p>
        </w:tc>
        <w:tc>
          <w:tcPr>
            <w:tcW w:w="198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银行贷款</w:t>
            </w:r>
          </w:p>
        </w:tc>
        <w:tc>
          <w:tcPr>
            <w:tcW w:w="11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0.00</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0.00</w:t>
            </w: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0.00</w:t>
            </w: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0.00</w:t>
            </w:r>
          </w:p>
        </w:tc>
      </w:tr>
      <w:tr>
        <w:tblPrEx>
          <w:tblCellMar>
            <w:top w:w="0" w:type="dxa"/>
            <w:left w:w="108" w:type="dxa"/>
            <w:bottom w:w="0" w:type="dxa"/>
            <w:right w:w="108" w:type="dxa"/>
          </w:tblCellMar>
        </w:tblPrEx>
        <w:trPr>
          <w:trHeight w:val="402" w:hRule="atLeast"/>
        </w:trPr>
        <w:tc>
          <w:tcPr>
            <w:tcW w:w="6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b/>
                <w:bCs/>
                <w:color w:val="000000"/>
                <w:kern w:val="0"/>
                <w:sz w:val="22"/>
              </w:rPr>
            </w:pPr>
            <w:r>
              <w:rPr>
                <w:rFonts w:ascii="Times New Roman" w:hAnsi="Times New Roman" w:eastAsia="宋体" w:cs="Times New Roman"/>
                <w:b/>
                <w:bCs/>
                <w:color w:val="000000"/>
                <w:kern w:val="0"/>
                <w:sz w:val="22"/>
              </w:rPr>
              <w:t>4</w:t>
            </w:r>
          </w:p>
        </w:tc>
        <w:tc>
          <w:tcPr>
            <w:tcW w:w="1980" w:type="dxa"/>
            <w:tcBorders>
              <w:top w:val="nil"/>
              <w:left w:val="nil"/>
              <w:bottom w:val="single" w:color="auto" w:sz="4" w:space="0"/>
              <w:right w:val="single" w:color="auto" w:sz="4" w:space="0"/>
            </w:tcBorders>
            <w:shd w:val="clear" w:color="auto" w:fill="auto"/>
            <w:noWrap/>
            <w:vAlign w:val="center"/>
          </w:tcPr>
          <w:p>
            <w:pPr>
              <w:widowControl/>
              <w:jc w:val="left"/>
              <w:rPr>
                <w:rFonts w:ascii="Times New Roman" w:hAnsi="Times New Roman" w:eastAsia="宋体" w:cs="Times New Roman"/>
                <w:color w:val="000000"/>
                <w:kern w:val="0"/>
                <w:sz w:val="22"/>
              </w:rPr>
            </w:pPr>
            <w:r>
              <w:rPr>
                <w:rFonts w:hint="eastAsia" w:ascii="宋体" w:hAnsi="宋体" w:eastAsia="宋体" w:cs="Times New Roman"/>
                <w:color w:val="000000"/>
                <w:kern w:val="0"/>
                <w:sz w:val="22"/>
              </w:rPr>
              <w:t>合计</w:t>
            </w:r>
          </w:p>
        </w:tc>
        <w:tc>
          <w:tcPr>
            <w:tcW w:w="112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1468153.89</w:t>
            </w:r>
          </w:p>
        </w:tc>
        <w:tc>
          <w:tcPr>
            <w:tcW w:w="158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70000.00</w:t>
            </w: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kern w:val="0"/>
                <w:sz w:val="22"/>
              </w:rPr>
            </w:pPr>
            <w:r>
              <w:rPr>
                <w:rFonts w:ascii="Times New Roman" w:hAnsi="Times New Roman" w:eastAsia="宋体" w:cs="Times New Roman"/>
                <w:kern w:val="0"/>
                <w:sz w:val="22"/>
              </w:rPr>
              <w:t>540726.23</w:t>
            </w:r>
          </w:p>
        </w:tc>
        <w:tc>
          <w:tcPr>
            <w:tcW w:w="1060" w:type="dxa"/>
            <w:tcBorders>
              <w:top w:val="nil"/>
              <w:left w:val="nil"/>
              <w:bottom w:val="single" w:color="auto" w:sz="4" w:space="0"/>
              <w:right w:val="single" w:color="auto" w:sz="4" w:space="0"/>
            </w:tcBorders>
            <w:shd w:val="clear" w:color="auto" w:fill="auto"/>
            <w:noWrap/>
            <w:vAlign w:val="center"/>
          </w:tcPr>
          <w:p>
            <w:pPr>
              <w:widowControl/>
              <w:jc w:val="center"/>
              <w:rPr>
                <w:rFonts w:ascii="Times New Roman" w:hAnsi="Times New Roman" w:eastAsia="宋体" w:cs="Times New Roman"/>
                <w:color w:val="000000"/>
                <w:kern w:val="0"/>
                <w:sz w:val="22"/>
              </w:rPr>
            </w:pPr>
            <w:r>
              <w:rPr>
                <w:rFonts w:ascii="Times New Roman" w:hAnsi="Times New Roman" w:eastAsia="宋体" w:cs="Times New Roman"/>
                <w:color w:val="000000"/>
                <w:kern w:val="0"/>
                <w:sz w:val="22"/>
              </w:rPr>
              <w:t>857427.66</w:t>
            </w:r>
          </w:p>
        </w:tc>
      </w:tr>
    </w:tbl>
    <w:p>
      <w:pPr>
        <w:pStyle w:val="6"/>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cs="仿宋"/>
          <w:b w:val="0"/>
          <w:bCs w:val="0"/>
          <w:sz w:val="32"/>
        </w:rPr>
      </w:pPr>
      <w:r>
        <w:rPr>
          <w:rFonts w:hint="eastAsia" w:ascii="仿宋" w:hAnsi="仿宋" w:cs="仿宋"/>
          <w:b w:val="0"/>
          <w:bCs w:val="0"/>
          <w:sz w:val="32"/>
        </w:rPr>
        <w:t>4、项目预期收益与融资自求平衡情况</w:t>
      </w:r>
    </w:p>
    <w:p>
      <w:pPr>
        <w:pStyle w:val="7"/>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cs="仿宋"/>
          <w:b w:val="0"/>
          <w:bCs w:val="0"/>
          <w:sz w:val="32"/>
          <w:szCs w:val="32"/>
        </w:rPr>
      </w:pPr>
      <w:r>
        <w:rPr>
          <w:rFonts w:hint="eastAsia" w:ascii="仿宋" w:hAnsi="仿宋" w:cs="仿宋"/>
          <w:b w:val="0"/>
          <w:bCs w:val="0"/>
          <w:sz w:val="32"/>
          <w:szCs w:val="32"/>
        </w:rPr>
        <w:t>（1）项目收益情况</w:t>
      </w:r>
    </w:p>
    <w:p>
      <w:pPr>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荔城经济开发区千亿级创新创业产业园及配套设施建设工程在专项债券存续期间有稳定的现金流入，收入主要来源于</w:t>
      </w:r>
      <w:r>
        <w:rPr>
          <w:rFonts w:ascii="仿宋" w:hAnsi="仿宋" w:eastAsia="仿宋" w:cs="仿宋"/>
          <w:sz w:val="32"/>
          <w:szCs w:val="32"/>
        </w:rPr>
        <w:t>管廊入驻收入</w:t>
      </w:r>
      <w:r>
        <w:rPr>
          <w:rFonts w:hint="eastAsia" w:ascii="仿宋" w:hAnsi="仿宋" w:eastAsia="仿宋" w:cs="仿宋"/>
          <w:sz w:val="32"/>
          <w:szCs w:val="32"/>
        </w:rPr>
        <w:t>、</w:t>
      </w:r>
      <w:r>
        <w:rPr>
          <w:rFonts w:ascii="仿宋" w:hAnsi="仿宋" w:eastAsia="仿宋" w:cs="仿宋"/>
          <w:sz w:val="32"/>
          <w:szCs w:val="32"/>
        </w:rPr>
        <w:t>管廊维护收入</w:t>
      </w:r>
      <w:r>
        <w:rPr>
          <w:rFonts w:hint="eastAsia" w:ascii="仿宋" w:hAnsi="仿宋" w:eastAsia="仿宋" w:cs="仿宋"/>
          <w:sz w:val="32"/>
          <w:szCs w:val="32"/>
        </w:rPr>
        <w:t>、</w:t>
      </w:r>
      <w:r>
        <w:rPr>
          <w:rFonts w:ascii="仿宋" w:hAnsi="仿宋" w:eastAsia="仿宋" w:cs="仿宋"/>
          <w:sz w:val="32"/>
          <w:szCs w:val="32"/>
        </w:rPr>
        <w:t>人才公寓及专家楼年收入</w:t>
      </w:r>
      <w:r>
        <w:rPr>
          <w:rFonts w:hint="eastAsia" w:ascii="仿宋" w:hAnsi="仿宋" w:eastAsia="仿宋" w:cs="仿宋"/>
          <w:sz w:val="32"/>
          <w:szCs w:val="32"/>
        </w:rPr>
        <w:t>、</w:t>
      </w:r>
      <w:r>
        <w:rPr>
          <w:rFonts w:ascii="仿宋" w:hAnsi="仿宋" w:eastAsia="仿宋" w:cs="仿宋"/>
          <w:sz w:val="32"/>
          <w:szCs w:val="32"/>
        </w:rPr>
        <w:t>厂房及孵化中心年收入</w:t>
      </w:r>
      <w:r>
        <w:rPr>
          <w:rFonts w:hint="eastAsia" w:ascii="仿宋" w:hAnsi="仿宋" w:eastAsia="仿宋" w:cs="仿宋"/>
          <w:sz w:val="32"/>
          <w:szCs w:val="32"/>
        </w:rPr>
        <w:t>等。经测算，债券存续期内，本项目将产生净收益</w:t>
      </w:r>
      <w:r>
        <w:rPr>
          <w:rFonts w:ascii="仿宋" w:hAnsi="仿宋" w:eastAsia="仿宋" w:cs="仿宋"/>
          <w:sz w:val="32"/>
          <w:szCs w:val="32"/>
        </w:rPr>
        <w:t>514962.74</w:t>
      </w:r>
      <w:r>
        <w:rPr>
          <w:rFonts w:hint="eastAsia" w:ascii="仿宋" w:hAnsi="仿宋" w:eastAsia="仿宋" w:cs="仿宋"/>
          <w:sz w:val="32"/>
          <w:szCs w:val="32"/>
        </w:rPr>
        <w:t>万元，可覆盖债券存续期间各年的项目投资及债券本息偿还的需求，在项目涉及专项债券本息全部偿还后仍有</w:t>
      </w:r>
      <w:r>
        <w:rPr>
          <w:rFonts w:ascii="仿宋" w:hAnsi="仿宋" w:eastAsia="仿宋" w:cs="仿宋"/>
          <w:sz w:val="32"/>
          <w:szCs w:val="32"/>
        </w:rPr>
        <w:t>192125.99</w:t>
      </w:r>
      <w:r>
        <w:rPr>
          <w:rFonts w:hint="eastAsia" w:ascii="仿宋" w:hAnsi="仿宋" w:eastAsia="仿宋" w:cs="仿宋"/>
          <w:sz w:val="32"/>
          <w:szCs w:val="32"/>
        </w:rPr>
        <w:t>万元期末结余。</w:t>
      </w:r>
    </w:p>
    <w:p>
      <w:pPr>
        <w:pStyle w:val="7"/>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cs="仿宋"/>
          <w:b w:val="0"/>
          <w:bCs w:val="0"/>
          <w:sz w:val="32"/>
          <w:szCs w:val="32"/>
        </w:rPr>
      </w:pPr>
      <w:r>
        <w:rPr>
          <w:rFonts w:hint="eastAsia" w:ascii="仿宋" w:hAnsi="仿宋" w:cs="仿宋"/>
          <w:b w:val="0"/>
          <w:bCs w:val="0"/>
          <w:sz w:val="32"/>
          <w:szCs w:val="32"/>
        </w:rPr>
        <w:t>（2）项目融资还本付息情况</w:t>
      </w:r>
    </w:p>
    <w:p>
      <w:pPr>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该项目拟通过发行专项债券筹集资金共计</w:t>
      </w:r>
      <w:r>
        <w:rPr>
          <w:rFonts w:ascii="仿宋" w:hAnsi="仿宋" w:eastAsia="仿宋" w:cs="仿宋"/>
          <w:sz w:val="32"/>
          <w:szCs w:val="32"/>
        </w:rPr>
        <w:t>188200</w:t>
      </w:r>
      <w:r>
        <w:rPr>
          <w:rFonts w:hint="eastAsia" w:ascii="仿宋" w:hAnsi="仿宋" w:eastAsia="仿宋" w:cs="仿宋"/>
          <w:sz w:val="32"/>
          <w:szCs w:val="32"/>
        </w:rPr>
        <w:t>.00</w:t>
      </w:r>
      <w:r>
        <w:rPr>
          <w:rFonts w:ascii="仿宋" w:hAnsi="仿宋" w:eastAsia="仿宋" w:cs="仿宋"/>
          <w:sz w:val="32"/>
          <w:szCs w:val="32"/>
        </w:rPr>
        <w:t>万元，</w:t>
      </w:r>
      <w:r>
        <w:rPr>
          <w:rFonts w:hint="eastAsia" w:ascii="仿宋" w:hAnsi="仿宋" w:eastAsia="仿宋" w:cs="仿宋"/>
          <w:sz w:val="32"/>
          <w:szCs w:val="32"/>
        </w:rPr>
        <w:t>其中已发行</w:t>
      </w:r>
      <w:r>
        <w:rPr>
          <w:rFonts w:ascii="仿宋" w:hAnsi="仿宋" w:eastAsia="仿宋" w:cs="仿宋"/>
          <w:sz w:val="32"/>
          <w:szCs w:val="32"/>
        </w:rPr>
        <w:t>175165</w:t>
      </w:r>
      <w:r>
        <w:rPr>
          <w:rFonts w:hint="eastAsia" w:ascii="仿宋" w:hAnsi="仿宋" w:eastAsia="仿宋" w:cs="仿宋"/>
          <w:sz w:val="32"/>
          <w:szCs w:val="32"/>
        </w:rPr>
        <w:t>万元，</w:t>
      </w:r>
      <w:bookmarkStart w:id="1" w:name="_Hlk86136302"/>
      <w:r>
        <w:rPr>
          <w:rFonts w:hint="eastAsia" w:ascii="仿宋" w:hAnsi="仿宋" w:eastAsia="仿宋" w:cs="仿宋"/>
          <w:sz w:val="32"/>
          <w:szCs w:val="32"/>
        </w:rPr>
        <w:t>发行期限</w:t>
      </w:r>
      <w:r>
        <w:rPr>
          <w:rFonts w:ascii="仿宋" w:hAnsi="仿宋" w:eastAsia="仿宋" w:cs="仿宋"/>
          <w:sz w:val="32"/>
          <w:szCs w:val="32"/>
        </w:rPr>
        <w:t>20</w:t>
      </w:r>
      <w:r>
        <w:rPr>
          <w:rFonts w:hint="eastAsia" w:ascii="仿宋" w:hAnsi="仿宋" w:eastAsia="仿宋" w:cs="仿宋"/>
          <w:sz w:val="32"/>
          <w:szCs w:val="32"/>
        </w:rPr>
        <w:t>年，通过已发行的土储专项债“玉湖片区收储地块23#26#项目”调整资金用途获得地方债资金</w:t>
      </w:r>
      <w:r>
        <w:rPr>
          <w:rFonts w:ascii="仿宋" w:hAnsi="仿宋" w:eastAsia="仿宋" w:cs="仿宋"/>
          <w:sz w:val="32"/>
          <w:szCs w:val="32"/>
        </w:rPr>
        <w:t>10366</w:t>
      </w:r>
      <w:r>
        <w:rPr>
          <w:rFonts w:hint="eastAsia" w:ascii="仿宋" w:hAnsi="仿宋" w:eastAsia="仿宋" w:cs="仿宋"/>
          <w:sz w:val="32"/>
          <w:szCs w:val="32"/>
        </w:rPr>
        <w:t>万元，2022年计划发行</w:t>
      </w:r>
      <w:r>
        <w:rPr>
          <w:rFonts w:ascii="仿宋" w:hAnsi="仿宋" w:eastAsia="仿宋" w:cs="仿宋"/>
          <w:sz w:val="32"/>
          <w:szCs w:val="32"/>
        </w:rPr>
        <w:t>2669</w:t>
      </w:r>
      <w:r>
        <w:rPr>
          <w:rFonts w:hint="eastAsia" w:ascii="仿宋" w:hAnsi="仿宋" w:eastAsia="仿宋" w:cs="仿宋"/>
          <w:sz w:val="32"/>
          <w:szCs w:val="32"/>
        </w:rPr>
        <w:t>万元。</w:t>
      </w:r>
    </w:p>
    <w:bookmarkEnd w:id="1"/>
    <w:p>
      <w:pPr>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本次（2</w:t>
      </w:r>
      <w:r>
        <w:rPr>
          <w:rFonts w:ascii="仿宋" w:hAnsi="仿宋" w:eastAsia="仿宋" w:cs="仿宋"/>
          <w:sz w:val="32"/>
          <w:szCs w:val="32"/>
        </w:rPr>
        <w:t>021</w:t>
      </w:r>
      <w:r>
        <w:rPr>
          <w:rFonts w:hint="eastAsia" w:ascii="仿宋" w:hAnsi="仿宋" w:eastAsia="仿宋" w:cs="仿宋"/>
          <w:sz w:val="32"/>
          <w:szCs w:val="32"/>
        </w:rPr>
        <w:t>年</w:t>
      </w:r>
      <w:r>
        <w:rPr>
          <w:rFonts w:ascii="仿宋" w:hAnsi="仿宋" w:eastAsia="仿宋" w:cs="仿宋"/>
          <w:sz w:val="32"/>
          <w:szCs w:val="32"/>
        </w:rPr>
        <w:t>1</w:t>
      </w:r>
      <w:r>
        <w:rPr>
          <w:rFonts w:hint="default" w:ascii="仿宋" w:hAnsi="仿宋" w:eastAsia="仿宋" w:cs="仿宋"/>
          <w:sz w:val="32"/>
          <w:szCs w:val="32"/>
          <w:lang w:val="en-US"/>
        </w:rPr>
        <w:t>1</w:t>
      </w:r>
      <w:r>
        <w:rPr>
          <w:rFonts w:hint="eastAsia" w:ascii="仿宋" w:hAnsi="仿宋" w:eastAsia="仿宋" w:cs="仿宋"/>
          <w:sz w:val="32"/>
          <w:szCs w:val="32"/>
        </w:rPr>
        <w:t>月）承接由“玉湖片区收储地块23#26#项目”调整用途的存量债券资金</w:t>
      </w:r>
      <w:r>
        <w:rPr>
          <w:rFonts w:ascii="仿宋" w:hAnsi="仿宋" w:eastAsia="仿宋" w:cs="仿宋"/>
          <w:sz w:val="32"/>
          <w:szCs w:val="32"/>
        </w:rPr>
        <w:t>10366.00</w:t>
      </w:r>
      <w:r>
        <w:rPr>
          <w:rFonts w:hint="eastAsia" w:ascii="仿宋" w:hAnsi="仿宋" w:eastAsia="仿宋" w:cs="仿宋"/>
          <w:sz w:val="32"/>
          <w:szCs w:val="32"/>
        </w:rPr>
        <w:t>万元，承担其剩余期限的还本付息责任;原项目对应债券为2019年福建省</w:t>
      </w:r>
      <w:r>
        <w:rPr>
          <w:rFonts w:hint="eastAsia" w:ascii="仿宋" w:hAnsi="仿宋" w:eastAsia="仿宋" w:cs="仿宋"/>
          <w:sz w:val="32"/>
          <w:szCs w:val="32"/>
          <w:lang w:val="en-US" w:eastAsia="zh-CN"/>
        </w:rPr>
        <w:t>（</w:t>
      </w:r>
      <w:r>
        <w:rPr>
          <w:rFonts w:hint="eastAsia" w:ascii="仿宋" w:hAnsi="仿宋" w:eastAsia="仿宋" w:cs="仿宋"/>
          <w:sz w:val="32"/>
          <w:szCs w:val="32"/>
        </w:rPr>
        <w:t>莆田</w:t>
      </w:r>
      <w:r>
        <w:rPr>
          <w:rFonts w:hint="eastAsia" w:ascii="仿宋" w:hAnsi="仿宋" w:eastAsia="仿宋" w:cs="仿宋"/>
          <w:sz w:val="32"/>
          <w:szCs w:val="32"/>
          <w:lang w:eastAsia="zh-CN"/>
        </w:rPr>
        <w:t>市、</w:t>
      </w:r>
      <w:r>
        <w:rPr>
          <w:rFonts w:hint="eastAsia" w:ascii="仿宋" w:hAnsi="仿宋" w:eastAsia="仿宋" w:cs="仿宋"/>
          <w:sz w:val="32"/>
          <w:szCs w:val="32"/>
        </w:rPr>
        <w:t>三明</w:t>
      </w:r>
      <w:r>
        <w:rPr>
          <w:rFonts w:hint="eastAsia" w:ascii="仿宋" w:hAnsi="仿宋" w:eastAsia="仿宋" w:cs="仿宋"/>
          <w:sz w:val="32"/>
          <w:szCs w:val="32"/>
          <w:lang w:eastAsia="zh-CN"/>
        </w:rPr>
        <w:t>市、</w:t>
      </w:r>
      <w:r>
        <w:rPr>
          <w:rFonts w:hint="eastAsia" w:ascii="仿宋" w:hAnsi="仿宋" w:eastAsia="仿宋" w:cs="仿宋"/>
          <w:sz w:val="32"/>
          <w:szCs w:val="32"/>
        </w:rPr>
        <w:t>南平</w:t>
      </w:r>
      <w:r>
        <w:rPr>
          <w:rFonts w:hint="eastAsia" w:ascii="仿宋" w:hAnsi="仿宋" w:eastAsia="仿宋" w:cs="仿宋"/>
          <w:sz w:val="32"/>
          <w:szCs w:val="32"/>
          <w:lang w:eastAsia="zh-CN"/>
        </w:rPr>
        <w:t>市、</w:t>
      </w:r>
      <w:r>
        <w:rPr>
          <w:rFonts w:hint="eastAsia" w:ascii="仿宋" w:hAnsi="仿宋" w:eastAsia="仿宋" w:cs="仿宋"/>
          <w:sz w:val="32"/>
          <w:szCs w:val="32"/>
        </w:rPr>
        <w:t>龙岩</w:t>
      </w:r>
      <w:r>
        <w:rPr>
          <w:rFonts w:hint="eastAsia" w:ascii="仿宋" w:hAnsi="仿宋" w:eastAsia="仿宋" w:cs="仿宋"/>
          <w:sz w:val="32"/>
          <w:szCs w:val="32"/>
          <w:lang w:eastAsia="zh-CN"/>
        </w:rPr>
        <w:t>市</w:t>
      </w:r>
      <w:r>
        <w:rPr>
          <w:rFonts w:hint="eastAsia" w:ascii="仿宋" w:hAnsi="仿宋" w:eastAsia="仿宋" w:cs="仿宋"/>
          <w:sz w:val="32"/>
          <w:szCs w:val="32"/>
          <w:lang w:val="en-US" w:eastAsia="zh-CN"/>
        </w:rPr>
        <w:t>）</w:t>
      </w:r>
      <w:r>
        <w:rPr>
          <w:rFonts w:hint="eastAsia" w:ascii="仿宋" w:hAnsi="仿宋" w:eastAsia="仿宋" w:cs="仿宋"/>
          <w:sz w:val="32"/>
          <w:szCs w:val="32"/>
        </w:rPr>
        <w:t>土</w:t>
      </w:r>
      <w:r>
        <w:rPr>
          <w:rFonts w:hint="eastAsia" w:ascii="仿宋" w:hAnsi="仿宋" w:eastAsia="仿宋" w:cs="仿宋"/>
          <w:sz w:val="32"/>
          <w:szCs w:val="32"/>
          <w:lang w:eastAsia="zh-CN"/>
        </w:rPr>
        <w:t>地</w:t>
      </w:r>
      <w:r>
        <w:rPr>
          <w:rFonts w:hint="eastAsia" w:ascii="仿宋" w:hAnsi="仿宋" w:eastAsia="仿宋" w:cs="仿宋"/>
          <w:sz w:val="32"/>
          <w:szCs w:val="32"/>
        </w:rPr>
        <w:t>储</w:t>
      </w:r>
      <w:r>
        <w:rPr>
          <w:rFonts w:hint="eastAsia" w:ascii="仿宋" w:hAnsi="仿宋" w:eastAsia="仿宋" w:cs="仿宋"/>
          <w:sz w:val="32"/>
          <w:szCs w:val="32"/>
          <w:lang w:eastAsia="zh-CN"/>
        </w:rPr>
        <w:t>备</w:t>
      </w:r>
      <w:r>
        <w:rPr>
          <w:rFonts w:hint="eastAsia" w:ascii="仿宋" w:hAnsi="仿宋" w:eastAsia="仿宋" w:cs="仿宋"/>
          <w:sz w:val="32"/>
          <w:szCs w:val="32"/>
        </w:rPr>
        <w:t>专项债券</w:t>
      </w:r>
      <w:r>
        <w:rPr>
          <w:rFonts w:hint="eastAsia" w:ascii="仿宋" w:hAnsi="仿宋" w:eastAsia="仿宋" w:cs="仿宋"/>
          <w:sz w:val="32"/>
          <w:szCs w:val="32"/>
          <w:lang w:eastAsia="zh-CN"/>
        </w:rPr>
        <w:t>（二期）</w:t>
      </w:r>
      <w:r>
        <w:rPr>
          <w:rFonts w:hint="eastAsia" w:ascii="仿宋" w:hAnsi="仿宋" w:eastAsia="仿宋" w:cs="仿宋"/>
          <w:sz w:val="32"/>
          <w:szCs w:val="32"/>
        </w:rPr>
        <w:t>期</w:t>
      </w:r>
      <w:r>
        <w:rPr>
          <w:rFonts w:hint="eastAsia" w:ascii="仿宋" w:hAnsi="仿宋" w:eastAsia="仿宋" w:cs="仿宋"/>
          <w:sz w:val="32"/>
          <w:szCs w:val="32"/>
          <w:lang w:eastAsia="zh-CN"/>
        </w:rPr>
        <w:t>—</w:t>
      </w:r>
      <w:r>
        <w:rPr>
          <w:rFonts w:hint="eastAsia" w:ascii="仿宋" w:hAnsi="仿宋" w:eastAsia="仿宋" w:cs="仿宋"/>
          <w:sz w:val="32"/>
          <w:szCs w:val="32"/>
        </w:rPr>
        <w:t>2019年福建省政府专项债券</w:t>
      </w:r>
      <w:r>
        <w:rPr>
          <w:rFonts w:hint="eastAsia" w:ascii="仿宋" w:hAnsi="仿宋" w:eastAsia="仿宋" w:cs="仿宋"/>
          <w:sz w:val="32"/>
          <w:szCs w:val="32"/>
          <w:lang w:eastAsia="zh-CN"/>
        </w:rPr>
        <w:t>（二</w:t>
      </w:r>
      <w:r>
        <w:rPr>
          <w:rFonts w:hint="eastAsia" w:ascii="仿宋" w:hAnsi="仿宋" w:eastAsia="仿宋" w:cs="仿宋"/>
          <w:sz w:val="32"/>
          <w:szCs w:val="32"/>
        </w:rPr>
        <w:t>期</w:t>
      </w:r>
      <w:r>
        <w:rPr>
          <w:rFonts w:hint="eastAsia" w:ascii="仿宋" w:hAnsi="仿宋" w:eastAsia="仿宋" w:cs="仿宋"/>
          <w:sz w:val="32"/>
          <w:szCs w:val="32"/>
          <w:lang w:eastAsia="zh-CN"/>
        </w:rPr>
        <w:t>），</w:t>
      </w:r>
      <w:r>
        <w:rPr>
          <w:rFonts w:hint="eastAsia" w:ascii="仿宋" w:hAnsi="仿宋" w:eastAsia="仿宋" w:cs="仿宋"/>
          <w:sz w:val="32"/>
          <w:szCs w:val="32"/>
        </w:rPr>
        <w:t>发行期限为</w:t>
      </w:r>
      <w:r>
        <w:rPr>
          <w:rFonts w:ascii="仿宋" w:hAnsi="仿宋" w:eastAsia="仿宋" w:cs="仿宋"/>
          <w:sz w:val="32"/>
          <w:szCs w:val="32"/>
        </w:rPr>
        <w:t>5</w:t>
      </w:r>
      <w:r>
        <w:rPr>
          <w:rFonts w:hint="eastAsia" w:ascii="仿宋" w:hAnsi="仿宋" w:eastAsia="仿宋" w:cs="仿宋"/>
          <w:sz w:val="32"/>
          <w:szCs w:val="32"/>
        </w:rPr>
        <w:t>年，当前剩余期限</w:t>
      </w:r>
      <w:r>
        <w:rPr>
          <w:rFonts w:ascii="仿宋" w:hAnsi="仿宋" w:eastAsia="仿宋" w:cs="仿宋"/>
          <w:sz w:val="32"/>
          <w:szCs w:val="32"/>
        </w:rPr>
        <w:t>3</w:t>
      </w:r>
      <w:r>
        <w:rPr>
          <w:rFonts w:hint="eastAsia" w:ascii="仿宋" w:hAnsi="仿宋" w:eastAsia="仿宋" w:cs="仿宋"/>
          <w:sz w:val="32"/>
          <w:szCs w:val="32"/>
        </w:rPr>
        <w:t>年，发行利率为3.</w:t>
      </w:r>
      <w:r>
        <w:rPr>
          <w:rFonts w:ascii="仿宋" w:hAnsi="仿宋" w:eastAsia="仿宋" w:cs="仿宋"/>
          <w:sz w:val="32"/>
          <w:szCs w:val="32"/>
        </w:rPr>
        <w:t>3</w:t>
      </w:r>
      <w:r>
        <w:rPr>
          <w:rFonts w:hint="eastAsia" w:ascii="仿宋" w:hAnsi="仿宋" w:eastAsia="仿宋" w:cs="仿宋"/>
          <w:sz w:val="32"/>
          <w:szCs w:val="32"/>
        </w:rPr>
        <w:t>%。2</w:t>
      </w:r>
      <w:r>
        <w:rPr>
          <w:rFonts w:ascii="仿宋" w:hAnsi="仿宋" w:eastAsia="仿宋" w:cs="仿宋"/>
          <w:sz w:val="32"/>
          <w:szCs w:val="32"/>
        </w:rPr>
        <w:t>021</w:t>
      </w:r>
      <w:r>
        <w:rPr>
          <w:rFonts w:hint="eastAsia" w:ascii="仿宋" w:hAnsi="仿宋" w:eastAsia="仿宋" w:cs="仿宋"/>
          <w:sz w:val="32"/>
          <w:szCs w:val="32"/>
        </w:rPr>
        <w:t>年及2</w:t>
      </w:r>
      <w:r>
        <w:rPr>
          <w:rFonts w:ascii="仿宋" w:hAnsi="仿宋" w:eastAsia="仿宋" w:cs="仿宋"/>
          <w:sz w:val="32"/>
          <w:szCs w:val="32"/>
        </w:rPr>
        <w:t>022</w:t>
      </w:r>
      <w:r>
        <w:rPr>
          <w:rFonts w:hint="eastAsia" w:ascii="仿宋" w:hAnsi="仿宋" w:eastAsia="仿宋" w:cs="仿宋"/>
          <w:sz w:val="32"/>
          <w:szCs w:val="32"/>
        </w:rPr>
        <w:t>年拟新发行债券</w:t>
      </w:r>
      <w:r>
        <w:rPr>
          <w:rFonts w:ascii="仿宋" w:hAnsi="仿宋" w:eastAsia="仿宋" w:cs="仿宋"/>
          <w:sz w:val="32"/>
          <w:szCs w:val="32"/>
        </w:rPr>
        <w:t>47834</w:t>
      </w:r>
      <w:r>
        <w:rPr>
          <w:rFonts w:hint="eastAsia" w:ascii="仿宋" w:hAnsi="仿宋" w:eastAsia="仿宋" w:cs="仿宋"/>
          <w:sz w:val="32"/>
          <w:szCs w:val="32"/>
        </w:rPr>
        <w:t>万元，期限为2</w:t>
      </w:r>
      <w:r>
        <w:rPr>
          <w:rFonts w:ascii="仿宋" w:hAnsi="仿宋" w:eastAsia="仿宋" w:cs="仿宋"/>
          <w:sz w:val="32"/>
          <w:szCs w:val="32"/>
        </w:rPr>
        <w:t>0</w:t>
      </w:r>
      <w:r>
        <w:rPr>
          <w:rFonts w:hint="eastAsia" w:ascii="仿宋" w:hAnsi="仿宋" w:eastAsia="仿宋" w:cs="仿宋"/>
          <w:sz w:val="32"/>
          <w:szCs w:val="32"/>
        </w:rPr>
        <w:t>年，从客观、谨慎角度出发，拟发行的</w:t>
      </w:r>
      <w:r>
        <w:rPr>
          <w:rFonts w:ascii="仿宋" w:hAnsi="仿宋" w:eastAsia="仿宋" w:cs="仿宋"/>
          <w:sz w:val="32"/>
          <w:szCs w:val="32"/>
        </w:rPr>
        <w:t>20</w:t>
      </w:r>
      <w:r>
        <w:rPr>
          <w:rFonts w:hint="eastAsia" w:ascii="仿宋" w:hAnsi="仿宋" w:eastAsia="仿宋" w:cs="仿宋"/>
          <w:sz w:val="32"/>
          <w:szCs w:val="32"/>
        </w:rPr>
        <w:t>年期专项债券利率按3.</w:t>
      </w:r>
      <w:r>
        <w:rPr>
          <w:rFonts w:ascii="仿宋" w:hAnsi="仿宋" w:eastAsia="仿宋" w:cs="仿宋"/>
          <w:sz w:val="32"/>
          <w:szCs w:val="32"/>
        </w:rPr>
        <w:t>90</w:t>
      </w:r>
      <w:r>
        <w:rPr>
          <w:rFonts w:hint="eastAsia" w:ascii="仿宋" w:hAnsi="仿宋" w:eastAsia="仿宋" w:cs="仿宋"/>
          <w:sz w:val="32"/>
          <w:szCs w:val="32"/>
        </w:rPr>
        <w:t>%进行测算，</w:t>
      </w:r>
      <w:r>
        <w:rPr>
          <w:rFonts w:ascii="仿宋" w:hAnsi="仿宋" w:eastAsia="仿宋" w:cs="仿宋"/>
          <w:sz w:val="32"/>
          <w:szCs w:val="32"/>
        </w:rPr>
        <w:t>由此估算债券存续期间利息费用为</w:t>
      </w:r>
      <w:r>
        <w:rPr>
          <w:rFonts w:hint="default" w:ascii="仿宋" w:hAnsi="仿宋" w:eastAsia="仿宋" w:cs="仿宋"/>
          <w:sz w:val="32"/>
          <w:szCs w:val="32"/>
          <w:lang w:val="en-US"/>
        </w:rPr>
        <w:t>128107.41</w:t>
      </w:r>
      <w:r>
        <w:rPr>
          <w:rFonts w:ascii="仿宋" w:hAnsi="仿宋" w:eastAsia="仿宋" w:cs="仿宋"/>
          <w:sz w:val="32"/>
          <w:szCs w:val="32"/>
        </w:rPr>
        <w:t>万</w:t>
      </w:r>
      <w:r>
        <w:rPr>
          <w:rFonts w:hint="eastAsia" w:ascii="仿宋" w:hAnsi="仿宋" w:eastAsia="仿宋" w:cs="仿宋"/>
          <w:sz w:val="32"/>
          <w:szCs w:val="32"/>
        </w:rPr>
        <w:t>元，本项目债券应还本付息情况如下表：</w:t>
      </w:r>
    </w:p>
    <w:p>
      <w:pPr>
        <w:spacing w:line="360" w:lineRule="auto"/>
        <w:jc w:val="center"/>
        <w:rPr>
          <w:rFonts w:ascii="仿宋" w:hAnsi="仿宋" w:eastAsia="仿宋" w:cs="仿宋"/>
          <w:b/>
          <w:sz w:val="28"/>
          <w:szCs w:val="28"/>
        </w:rPr>
      </w:pPr>
      <w:r>
        <w:rPr>
          <w:rFonts w:hint="eastAsia" w:ascii="仿宋" w:hAnsi="仿宋" w:eastAsia="仿宋" w:cs="仿宋"/>
          <w:b/>
          <w:sz w:val="28"/>
          <w:szCs w:val="28"/>
        </w:rPr>
        <w:t>项目还本付息情况表</w:t>
      </w:r>
    </w:p>
    <w:p>
      <w:pPr>
        <w:ind w:firstLine="360" w:firstLineChars="200"/>
        <w:jc w:val="right"/>
        <w:rPr>
          <w:rFonts w:hint="eastAsia" w:ascii="仿宋" w:hAnsi="仿宋" w:eastAsia="仿宋" w:cs="仿宋"/>
          <w:szCs w:val="21"/>
        </w:rPr>
      </w:pPr>
      <w:r>
        <w:rPr>
          <w:rFonts w:hint="eastAsia" w:ascii="仿宋" w:hAnsi="仿宋" w:eastAsia="仿宋" w:cs="仿宋"/>
          <w:sz w:val="18"/>
          <w:szCs w:val="18"/>
        </w:rPr>
        <w:t xml:space="preserve"> </w:t>
      </w:r>
      <w:r>
        <w:rPr>
          <w:rFonts w:ascii="仿宋" w:hAnsi="仿宋" w:eastAsia="仿宋" w:cs="仿宋"/>
          <w:sz w:val="18"/>
          <w:szCs w:val="18"/>
        </w:rPr>
        <w:t xml:space="preserve">                                                      </w:t>
      </w:r>
      <w:r>
        <w:rPr>
          <w:rFonts w:ascii="仿宋" w:hAnsi="仿宋" w:eastAsia="仿宋" w:cs="仿宋"/>
          <w:szCs w:val="21"/>
        </w:rPr>
        <w:t xml:space="preserve">          </w:t>
      </w:r>
      <w:r>
        <w:rPr>
          <w:rFonts w:hint="eastAsia" w:ascii="仿宋" w:hAnsi="仿宋" w:eastAsia="仿宋" w:cs="仿宋"/>
          <w:szCs w:val="21"/>
        </w:rPr>
        <w:t>单位：万元</w:t>
      </w:r>
    </w:p>
    <w:tbl>
      <w:tblPr>
        <w:tblStyle w:val="13"/>
        <w:tblW w:w="9240" w:type="dxa"/>
        <w:tblInd w:w="113" w:type="dxa"/>
        <w:tblLayout w:type="autofit"/>
        <w:tblCellMar>
          <w:top w:w="0" w:type="dxa"/>
          <w:left w:w="108" w:type="dxa"/>
          <w:bottom w:w="0" w:type="dxa"/>
          <w:right w:w="108" w:type="dxa"/>
        </w:tblCellMar>
      </w:tblPr>
      <w:tblGrid>
        <w:gridCol w:w="1060"/>
        <w:gridCol w:w="1360"/>
        <w:gridCol w:w="1360"/>
        <w:gridCol w:w="1360"/>
        <w:gridCol w:w="1460"/>
        <w:gridCol w:w="1280"/>
        <w:gridCol w:w="1360"/>
      </w:tblGrid>
      <w:tr>
        <w:tblPrEx>
          <w:tblCellMar>
            <w:top w:w="0" w:type="dxa"/>
            <w:left w:w="108" w:type="dxa"/>
            <w:bottom w:w="0" w:type="dxa"/>
            <w:right w:w="108" w:type="dxa"/>
          </w:tblCellMar>
        </w:tblPrEx>
        <w:trPr>
          <w:trHeight w:val="432" w:hRule="atLeast"/>
        </w:trPr>
        <w:tc>
          <w:tcPr>
            <w:tcW w:w="10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18"/>
                <w:szCs w:val="18"/>
              </w:rPr>
            </w:pPr>
            <w:r>
              <w:rPr>
                <w:rFonts w:hint="eastAsia" w:ascii="仿宋" w:hAnsi="仿宋" w:eastAsia="仿宋" w:cs="宋体"/>
                <w:b/>
                <w:bCs/>
                <w:color w:val="000000"/>
                <w:kern w:val="0"/>
                <w:sz w:val="18"/>
                <w:szCs w:val="18"/>
              </w:rPr>
              <w:t>年度</w:t>
            </w:r>
          </w:p>
        </w:tc>
        <w:tc>
          <w:tcPr>
            <w:tcW w:w="13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18"/>
                <w:szCs w:val="18"/>
              </w:rPr>
            </w:pPr>
            <w:r>
              <w:rPr>
                <w:rFonts w:hint="eastAsia" w:ascii="仿宋" w:hAnsi="仿宋" w:eastAsia="仿宋" w:cs="宋体"/>
                <w:b/>
                <w:bCs/>
                <w:color w:val="000000"/>
                <w:kern w:val="0"/>
                <w:sz w:val="18"/>
                <w:szCs w:val="18"/>
              </w:rPr>
              <w:t>期初本金余额</w:t>
            </w:r>
          </w:p>
        </w:tc>
        <w:tc>
          <w:tcPr>
            <w:tcW w:w="13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18"/>
                <w:szCs w:val="18"/>
              </w:rPr>
            </w:pPr>
            <w:r>
              <w:rPr>
                <w:rFonts w:hint="eastAsia" w:ascii="仿宋" w:hAnsi="仿宋" w:eastAsia="仿宋" w:cs="宋体"/>
                <w:b/>
                <w:bCs/>
                <w:color w:val="000000"/>
                <w:kern w:val="0"/>
                <w:sz w:val="18"/>
                <w:szCs w:val="18"/>
              </w:rPr>
              <w:t>本年募集资金</w:t>
            </w:r>
          </w:p>
        </w:tc>
        <w:tc>
          <w:tcPr>
            <w:tcW w:w="13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18"/>
                <w:szCs w:val="18"/>
              </w:rPr>
            </w:pPr>
            <w:r>
              <w:rPr>
                <w:rFonts w:hint="eastAsia" w:ascii="仿宋" w:hAnsi="仿宋" w:eastAsia="仿宋" w:cs="宋体"/>
                <w:b/>
                <w:bCs/>
                <w:color w:val="000000"/>
                <w:kern w:val="0"/>
                <w:sz w:val="18"/>
                <w:szCs w:val="18"/>
              </w:rPr>
              <w:t>本年偿还本金</w:t>
            </w:r>
          </w:p>
        </w:tc>
        <w:tc>
          <w:tcPr>
            <w:tcW w:w="14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18"/>
                <w:szCs w:val="18"/>
              </w:rPr>
            </w:pPr>
            <w:r>
              <w:rPr>
                <w:rFonts w:hint="eastAsia" w:ascii="仿宋" w:hAnsi="仿宋" w:eastAsia="仿宋" w:cs="宋体"/>
                <w:b/>
                <w:bCs/>
                <w:color w:val="000000"/>
                <w:kern w:val="0"/>
                <w:sz w:val="18"/>
                <w:szCs w:val="18"/>
              </w:rPr>
              <w:t>期末本金余额</w:t>
            </w:r>
          </w:p>
        </w:tc>
        <w:tc>
          <w:tcPr>
            <w:tcW w:w="12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18"/>
                <w:szCs w:val="18"/>
              </w:rPr>
            </w:pPr>
            <w:r>
              <w:rPr>
                <w:rFonts w:hint="eastAsia" w:ascii="仿宋" w:hAnsi="仿宋" w:eastAsia="仿宋" w:cs="宋体"/>
                <w:b/>
                <w:bCs/>
                <w:color w:val="000000"/>
                <w:kern w:val="0"/>
                <w:sz w:val="18"/>
                <w:szCs w:val="18"/>
              </w:rPr>
              <w:t>本年应付</w:t>
            </w:r>
            <w:r>
              <w:rPr>
                <w:rFonts w:hint="default" w:ascii="仿宋" w:hAnsi="仿宋" w:eastAsia="仿宋" w:cs="宋体"/>
                <w:b/>
                <w:bCs/>
                <w:color w:val="000000"/>
                <w:kern w:val="0"/>
                <w:sz w:val="18"/>
                <w:szCs w:val="18"/>
                <w:lang w:val="en-US"/>
              </w:rPr>
              <w:t xml:space="preserve">  </w:t>
            </w:r>
            <w:r>
              <w:rPr>
                <w:rFonts w:hint="eastAsia" w:ascii="仿宋" w:hAnsi="仿宋" w:eastAsia="仿宋" w:cs="宋体"/>
                <w:b/>
                <w:bCs/>
                <w:color w:val="000000"/>
                <w:kern w:val="0"/>
                <w:sz w:val="18"/>
                <w:szCs w:val="18"/>
              </w:rPr>
              <w:t>利息</w:t>
            </w:r>
          </w:p>
        </w:tc>
        <w:tc>
          <w:tcPr>
            <w:tcW w:w="13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18"/>
                <w:szCs w:val="18"/>
              </w:rPr>
            </w:pPr>
            <w:r>
              <w:rPr>
                <w:rFonts w:hint="eastAsia" w:ascii="仿宋" w:hAnsi="仿宋" w:eastAsia="仿宋" w:cs="宋体"/>
                <w:b/>
                <w:bCs/>
                <w:color w:val="000000"/>
                <w:kern w:val="0"/>
                <w:sz w:val="18"/>
                <w:szCs w:val="18"/>
              </w:rPr>
              <w:t>本年还本付息合计</w:t>
            </w:r>
          </w:p>
        </w:tc>
      </w:tr>
      <w:tr>
        <w:tblPrEx>
          <w:tblCellMar>
            <w:top w:w="0" w:type="dxa"/>
            <w:left w:w="108" w:type="dxa"/>
            <w:bottom w:w="0" w:type="dxa"/>
            <w:right w:w="108" w:type="dxa"/>
          </w:tblCellMar>
        </w:tblPrEx>
        <w:trPr>
          <w:trHeight w:val="432"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2020及往期存量</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70000.00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70000.00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70000.00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1357.50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1357.50</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2021年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70000.00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115531.00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185531.00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2715.00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2715.00</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2022年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185531.00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2669.00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188200.00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6970.56</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6970.56</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2023年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188200.00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188200.00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7022.60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7022.60</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2024年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188200.00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10366.00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7022.60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17388.60</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2025年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2026年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2027年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2028年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2029年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2030年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2031年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177834.00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9033.00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168801.00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6680.53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15713.53</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2032年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168801.00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533.80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168267.20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6317.83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6851.63</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2033年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168267.20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168267.20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6307.42</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6307.42</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2034年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168267.20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168267.20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6307.42</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6307.42</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2035年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168267.20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168267.20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6307.42</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6307.42</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2036年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168267.20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13549.50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154717.70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6307.42</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19856.92</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2037年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154717.70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800.70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153917.00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5763.38</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6564.08</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2038年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153917.00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153917.00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5747.76</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5747.76</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2039年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153917.00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153917.00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5747.76</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5747.76</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2040年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153917.00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70000.00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83917.00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4390.26</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74390.26</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2041年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83917.00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82582.50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1334.50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3032.76</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85615.26</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s="宋体"/>
                <w:color w:val="000000"/>
                <w:kern w:val="0"/>
                <w:sz w:val="18"/>
                <w:szCs w:val="18"/>
              </w:rPr>
              <w:t>2042年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1334.50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1334.50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0.00</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26.02</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1360.52</w:t>
            </w:r>
          </w:p>
        </w:tc>
      </w:tr>
      <w:tr>
        <w:tblPrEx>
          <w:tblCellMar>
            <w:top w:w="0" w:type="dxa"/>
            <w:left w:w="108" w:type="dxa"/>
            <w:bottom w:w="0" w:type="dxa"/>
            <w:right w:w="108" w:type="dxa"/>
          </w:tblCellMar>
        </w:tblPrEx>
        <w:trPr>
          <w:trHeight w:val="288" w:hRule="atLeast"/>
        </w:trPr>
        <w:tc>
          <w:tcPr>
            <w:tcW w:w="10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18"/>
                <w:szCs w:val="18"/>
              </w:rPr>
            </w:pPr>
            <w:r>
              <w:rPr>
                <w:rFonts w:hint="eastAsia" w:ascii="仿宋" w:hAnsi="仿宋" w:eastAsia="仿宋" w:cs="宋体"/>
                <w:b/>
                <w:bCs/>
                <w:color w:val="000000"/>
                <w:kern w:val="0"/>
                <w:sz w:val="18"/>
                <w:szCs w:val="18"/>
              </w:rPr>
              <w:t>合计</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　</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188200.00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188200.00</w:t>
            </w:r>
          </w:p>
        </w:tc>
        <w:tc>
          <w:tcPr>
            <w:tcW w:w="14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　</w:t>
            </w:r>
          </w:p>
        </w:tc>
        <w:tc>
          <w:tcPr>
            <w:tcW w:w="128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128107.41</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18"/>
                <w:szCs w:val="18"/>
              </w:rPr>
            </w:pPr>
            <w:r>
              <w:rPr>
                <w:rFonts w:hint="eastAsia" w:ascii="仿宋" w:hAnsi="仿宋" w:eastAsia="仿宋"/>
                <w:color w:val="000000"/>
                <w:sz w:val="18"/>
                <w:szCs w:val="18"/>
              </w:rPr>
              <w:t>316307.41</w:t>
            </w:r>
          </w:p>
        </w:tc>
      </w:tr>
    </w:tbl>
    <w:p>
      <w:pPr>
        <w:pStyle w:val="7"/>
        <w:pageBreakBefore w:val="0"/>
        <w:widowControl w:val="0"/>
        <w:kinsoku/>
        <w:wordWrap/>
        <w:overflowPunct/>
        <w:topLinePunct w:val="0"/>
        <w:autoSpaceDE/>
        <w:autoSpaceDN/>
        <w:bidi w:val="0"/>
        <w:adjustRightInd/>
        <w:snapToGrid/>
        <w:spacing w:line="640" w:lineRule="exact"/>
        <w:ind w:firstLine="640" w:firstLineChars="200"/>
        <w:textAlignment w:val="auto"/>
        <w:rPr>
          <w:rFonts w:ascii="仿宋" w:hAnsi="仿宋" w:cs="仿宋"/>
          <w:b w:val="0"/>
          <w:bCs w:val="0"/>
          <w:sz w:val="32"/>
          <w:szCs w:val="32"/>
        </w:rPr>
      </w:pPr>
      <w:r>
        <w:rPr>
          <w:rFonts w:hint="eastAsia" w:ascii="仿宋" w:hAnsi="仿宋" w:cs="仿宋"/>
          <w:b w:val="0"/>
          <w:bCs w:val="0"/>
          <w:sz w:val="32"/>
          <w:szCs w:val="32"/>
        </w:rPr>
        <w:t>（3）自求平衡情况</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根据项目产生的现金流收入与资金使用计划分析结果，荔城经济开发区千亿级创新创业产业园及配套设施建设工程收益保障倍数为1.</w:t>
      </w:r>
      <w:r>
        <w:rPr>
          <w:rFonts w:ascii="仿宋" w:hAnsi="仿宋" w:eastAsia="仿宋" w:cs="仿宋"/>
          <w:sz w:val="32"/>
          <w:szCs w:val="32"/>
        </w:rPr>
        <w:t>6</w:t>
      </w:r>
      <w:r>
        <w:rPr>
          <w:rFonts w:hint="default" w:ascii="仿宋" w:hAnsi="仿宋" w:eastAsia="仿宋" w:cs="仿宋"/>
          <w:sz w:val="32"/>
          <w:szCs w:val="32"/>
          <w:lang w:val="en-US"/>
        </w:rPr>
        <w:t>3</w:t>
      </w:r>
      <w:r>
        <w:rPr>
          <w:rFonts w:hint="eastAsia" w:ascii="仿宋" w:hAnsi="仿宋" w:eastAsia="仿宋" w:cs="仿宋"/>
          <w:sz w:val="32"/>
          <w:szCs w:val="32"/>
        </w:rPr>
        <w:t>。项目收益可以覆盖融资成本，债券资金偿还安全度较高。</w:t>
      </w:r>
    </w:p>
    <w:p>
      <w:pPr>
        <w:numPr>
          <w:ilvl w:val="0"/>
          <w:numId w:val="1"/>
        </w:numPr>
        <w:spacing w:line="640" w:lineRule="exact"/>
        <w:ind w:firstLine="640" w:firstLineChars="200"/>
        <w:rPr>
          <w:rFonts w:ascii="黑体" w:hAnsi="黑体" w:eastAsia="黑体" w:cs="黑体"/>
          <w:bCs/>
          <w:sz w:val="32"/>
          <w:szCs w:val="32"/>
        </w:rPr>
      </w:pPr>
      <w:r>
        <w:rPr>
          <w:rFonts w:hint="eastAsia" w:ascii="黑体" w:hAnsi="黑体" w:eastAsia="黑体" w:cs="黑体"/>
          <w:bCs/>
          <w:sz w:val="32"/>
          <w:szCs w:val="32"/>
        </w:rPr>
        <w:t>潜在风险评估</w:t>
      </w:r>
    </w:p>
    <w:p>
      <w:pPr>
        <w:spacing w:line="640" w:lineRule="exact"/>
        <w:ind w:firstLine="640" w:firstLineChars="200"/>
        <w:contextualSpacing/>
        <w:rPr>
          <w:rFonts w:ascii="楷体" w:hAnsi="楷体" w:eastAsia="楷体" w:cs="楷体"/>
          <w:b w:val="0"/>
          <w:sz w:val="32"/>
          <w:szCs w:val="32"/>
        </w:rPr>
      </w:pPr>
      <w:bookmarkStart w:id="2" w:name="_Toc32440_WPSOffice_Level2"/>
      <w:bookmarkStart w:id="3" w:name="_Toc30601_WPSOffice_Level2"/>
      <w:bookmarkStart w:id="4" w:name="_Toc4265"/>
      <w:r>
        <w:rPr>
          <w:rFonts w:hint="eastAsia" w:ascii="楷体" w:hAnsi="楷体" w:eastAsia="楷体" w:cs="楷体"/>
          <w:b w:val="0"/>
          <w:sz w:val="32"/>
          <w:szCs w:val="32"/>
        </w:rPr>
        <w:t>（一）市场风险及控制措施</w:t>
      </w:r>
      <w:bookmarkEnd w:id="2"/>
      <w:bookmarkEnd w:id="3"/>
      <w:bookmarkEnd w:id="4"/>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市场风险：在专项债券存续期内，国际、国内宏观经济环境的变化，国家经济政策变动等因素会引起债务资本市场利率的波动，市场利率波动将会对本项目的财务成本产生一定影响，进而影响项目投资收益的平衡。</w:t>
      </w:r>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风险控制措施：项目单位合理安排专项债券申请金额，做好债务的期限配比、还款计划和资金准备。密切关注宏观经济市场，充分与市场机构沟通，降低财务成本，保证项目收益与融资平衡。</w:t>
      </w:r>
    </w:p>
    <w:p>
      <w:pPr>
        <w:pStyle w:val="4"/>
        <w:spacing w:before="0" w:after="0" w:line="640" w:lineRule="exact"/>
        <w:ind w:firstLine="640" w:firstLineChars="200"/>
        <w:rPr>
          <w:rFonts w:ascii="楷体" w:hAnsi="楷体" w:eastAsia="楷体" w:cs="楷体"/>
          <w:b w:val="0"/>
          <w:sz w:val="32"/>
          <w:szCs w:val="32"/>
        </w:rPr>
      </w:pPr>
      <w:bookmarkStart w:id="5" w:name="_Toc1982_WPSOffice_Level2"/>
      <w:bookmarkStart w:id="6" w:name="_Toc14664"/>
      <w:bookmarkStart w:id="7" w:name="_Toc12669_WPSOffice_Level2"/>
      <w:bookmarkStart w:id="8" w:name="_Toc6108"/>
      <w:r>
        <w:rPr>
          <w:rFonts w:hint="eastAsia" w:ascii="楷体" w:hAnsi="楷体" w:eastAsia="楷体" w:cs="楷体"/>
          <w:b w:val="0"/>
          <w:sz w:val="32"/>
          <w:szCs w:val="32"/>
        </w:rPr>
        <w:t>（二）财务风险及控制措施</w:t>
      </w:r>
      <w:bookmarkEnd w:id="5"/>
      <w:bookmarkEnd w:id="6"/>
      <w:bookmarkEnd w:id="7"/>
      <w:bookmarkEnd w:id="8"/>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财务风险：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风险控制措施：项目可行性研究报告编制过程中，在测算项目总投资时提前考虑相关风险。同时，在项目建设过程中，加强项目施工预算管理、招标及合同管理，尽可能控制建设成本。</w:t>
      </w:r>
    </w:p>
    <w:p>
      <w:pPr>
        <w:pStyle w:val="4"/>
        <w:spacing w:before="0" w:after="0" w:line="640" w:lineRule="exact"/>
        <w:ind w:firstLine="640" w:firstLineChars="200"/>
        <w:rPr>
          <w:rFonts w:ascii="楷体" w:hAnsi="楷体" w:eastAsia="楷体" w:cs="楷体"/>
          <w:b w:val="0"/>
          <w:sz w:val="32"/>
          <w:szCs w:val="32"/>
        </w:rPr>
      </w:pPr>
      <w:bookmarkStart w:id="9" w:name="_Toc14776"/>
      <w:bookmarkStart w:id="10" w:name="_Toc18711_WPSOffice_Level2"/>
      <w:bookmarkStart w:id="11" w:name="_Toc1897"/>
      <w:bookmarkStart w:id="12" w:name="_Toc20441_WPSOffice_Level2"/>
      <w:r>
        <w:rPr>
          <w:rFonts w:hint="eastAsia" w:ascii="楷体" w:hAnsi="楷体" w:eastAsia="楷体" w:cs="楷体"/>
          <w:b w:val="0"/>
          <w:sz w:val="32"/>
          <w:szCs w:val="32"/>
        </w:rPr>
        <w:t>（三）管理风险及控制措施</w:t>
      </w:r>
      <w:bookmarkEnd w:id="9"/>
      <w:bookmarkEnd w:id="10"/>
      <w:bookmarkEnd w:id="11"/>
      <w:bookmarkEnd w:id="12"/>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管理风险：项目建设具有周期长、资金投入大等特点，在实施过程中设计方案的变化、项目管理单位的组织管理水平、项目施工单位的施工技术及管理水平、可能发生的突发性工程事故等因素，会对项目建设产生一定的不确定性。</w:t>
      </w:r>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风险控制措施：项目单位严格按照要求做好设计、勘察工作，选择具有较高技术与管理水平的承建商，督促施工队伍积极学习、引进先进、可靠的施工技术和装备，加强施工安全管理，保证项目工期和质量。</w:t>
      </w:r>
    </w:p>
    <w:p>
      <w:pPr>
        <w:pStyle w:val="4"/>
        <w:spacing w:before="0" w:after="0" w:line="640" w:lineRule="exact"/>
        <w:ind w:firstLine="640" w:firstLineChars="200"/>
        <w:rPr>
          <w:rFonts w:ascii="楷体" w:hAnsi="楷体" w:eastAsia="楷体" w:cs="楷体"/>
          <w:b w:val="0"/>
          <w:sz w:val="32"/>
          <w:szCs w:val="32"/>
        </w:rPr>
      </w:pPr>
      <w:bookmarkStart w:id="13" w:name="_Toc22971"/>
      <w:bookmarkStart w:id="14" w:name="_Toc26928_WPSOffice_Level2"/>
      <w:bookmarkStart w:id="15" w:name="_Toc22331"/>
      <w:bookmarkStart w:id="16" w:name="_Toc16598_WPSOffice_Level2"/>
      <w:r>
        <w:rPr>
          <w:rFonts w:hint="eastAsia" w:ascii="楷体" w:hAnsi="楷体" w:eastAsia="楷体" w:cs="楷体"/>
          <w:b w:val="0"/>
          <w:sz w:val="32"/>
          <w:szCs w:val="32"/>
        </w:rPr>
        <w:t>（四）经营风险及控制措施</w:t>
      </w:r>
      <w:bookmarkEnd w:id="13"/>
      <w:bookmarkEnd w:id="14"/>
      <w:bookmarkEnd w:id="15"/>
      <w:bookmarkEnd w:id="16"/>
    </w:p>
    <w:p>
      <w:pPr>
        <w:spacing w:line="640" w:lineRule="exact"/>
        <w:ind w:firstLine="640" w:firstLineChars="200"/>
        <w:contextualSpacing/>
        <w:rPr>
          <w:rFonts w:ascii="仿宋" w:hAnsi="仿宋" w:eastAsia="仿宋" w:cs="仿宋"/>
          <w:sz w:val="32"/>
          <w:szCs w:val="32"/>
        </w:rPr>
      </w:pPr>
      <w:r>
        <w:rPr>
          <w:rFonts w:hint="eastAsia" w:ascii="仿宋" w:hAnsi="仿宋" w:eastAsia="仿宋" w:cs="仿宋"/>
          <w:sz w:val="32"/>
          <w:szCs w:val="32"/>
        </w:rPr>
        <w:t>经营风险：经营风险是指生产经营的不确定性带来的风险。若本项目投入运营后的实际经营情况未能达到预测值，将影响项目整体收益，对债券还本付息产生影响。同时，项目日常经营性支出涉及人力成本、维修费用等变动因素，实际支出增加也降低偿债能力。</w:t>
      </w:r>
    </w:p>
    <w:p>
      <w:pPr>
        <w:spacing w:line="640" w:lineRule="exact"/>
        <w:ind w:firstLine="640" w:firstLineChars="200"/>
        <w:contextualSpacing/>
        <w:rPr>
          <w:rFonts w:hint="eastAsia" w:ascii="仿宋" w:hAnsi="仿宋" w:eastAsia="仿宋" w:cs="仿宋"/>
          <w:sz w:val="32"/>
          <w:szCs w:val="32"/>
        </w:rPr>
      </w:pPr>
      <w:r>
        <w:rPr>
          <w:rFonts w:hint="eastAsia" w:ascii="仿宋" w:hAnsi="仿宋" w:eastAsia="仿宋" w:cs="仿宋"/>
          <w:sz w:val="32"/>
          <w:szCs w:val="32"/>
        </w:rPr>
        <w:t>风险控制措施：项目单位密切关注经营情况，加强项目运营及资金管理，压缩不合理支出，提高资金使用效率，保证还本付息资金。</w:t>
      </w:r>
    </w:p>
    <w:p>
      <w:pPr>
        <w:numPr>
          <w:ilvl w:val="0"/>
          <w:numId w:val="1"/>
        </w:numPr>
        <w:spacing w:line="640" w:lineRule="exact"/>
        <w:ind w:firstLine="640" w:firstLineChars="200"/>
        <w:rPr>
          <w:rFonts w:ascii="黑体" w:hAnsi="黑体" w:eastAsia="黑体" w:cs="黑体"/>
          <w:bCs/>
          <w:sz w:val="32"/>
          <w:szCs w:val="32"/>
        </w:rPr>
      </w:pPr>
      <w:r>
        <w:rPr>
          <w:rFonts w:hint="eastAsia" w:ascii="黑体" w:hAnsi="黑体" w:eastAsia="黑体" w:cs="黑体"/>
          <w:bCs/>
          <w:sz w:val="32"/>
          <w:szCs w:val="32"/>
        </w:rPr>
        <w:t>主管部门责任</w:t>
      </w:r>
    </w:p>
    <w:p>
      <w:pPr>
        <w:spacing w:line="640" w:lineRule="exact"/>
        <w:ind w:firstLine="640" w:firstLineChars="200"/>
        <w:contextualSpacing/>
      </w:pPr>
      <w:r>
        <w:rPr>
          <w:rFonts w:hint="eastAsia" w:ascii="仿宋" w:hAnsi="仿宋" w:eastAsia="仿宋" w:cs="仿宋"/>
          <w:sz w:val="32"/>
          <w:szCs w:val="32"/>
        </w:rPr>
        <w:t xml:space="preserve"> 项目主管部门负责审核、申报专项债券项目资金需求，组织做好专项债券项目的发行准备工作，督促项目单位规范使用专项债券资金，做好与对应的专项债券还本付息的衔接，加强对项目实施的监控，并统筹协调相关部门保障项目建设进度、如期实现专项收入、确保还本付息资金及时足额上缴财政部门等后续工作。</w:t>
      </w:r>
    </w:p>
    <w:p/>
    <w:p>
      <w:pPr>
        <w:pStyle w:val="2"/>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2639731"/>
    </w:sdtPr>
    <w:sdtEndPr>
      <w:rPr>
        <w:rFonts w:ascii="Times New Roman" w:hAnsi="Times New Roman"/>
      </w:rPr>
    </w:sdtEndPr>
    <w:sdtContent>
      <w:p>
        <w:pPr>
          <w:pStyle w:val="10"/>
          <w:jc w:val="center"/>
          <w:rPr>
            <w:rFonts w:ascii="Times New Roman" w:hAnsi="Times New Roman"/>
          </w:rPr>
        </w:pPr>
        <w:r>
          <w:rPr>
            <w:rFonts w:ascii="Times New Roman" w:hAnsi="Times New Roman"/>
          </w:rPr>
          <w:fldChar w:fldCharType="begin"/>
        </w:r>
        <w:r>
          <w:rPr>
            <w:rFonts w:ascii="Times New Roman" w:hAnsi="Times New Roman"/>
          </w:rPr>
          <w:instrText xml:space="preserve">PAGE   \* MERGEFORMAT</w:instrText>
        </w:r>
        <w:r>
          <w:rPr>
            <w:rFonts w:ascii="Times New Roman" w:hAnsi="Times New Roman"/>
          </w:rPr>
          <w:fldChar w:fldCharType="separate"/>
        </w:r>
        <w:r>
          <w:rPr>
            <w:rFonts w:ascii="Times New Roman" w:hAnsi="Times New Roman"/>
            <w:lang w:val="zh-CN"/>
          </w:rPr>
          <w:t>1</w:t>
        </w:r>
        <w:r>
          <w:rPr>
            <w:rFonts w:ascii="Times New Roman" w:hAnsi="Times New Roma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4AD2ED"/>
    <w:multiLevelType w:val="singleLevel"/>
    <w:tmpl w:val="604AD2ED"/>
    <w:lvl w:ilvl="0" w:tentative="0">
      <w:start w:val="3"/>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C9D10D3"/>
    <w:rsid w:val="00014A5D"/>
    <w:rsid w:val="00017B1C"/>
    <w:rsid w:val="0002242C"/>
    <w:rsid w:val="0003279B"/>
    <w:rsid w:val="0003393D"/>
    <w:rsid w:val="00040742"/>
    <w:rsid w:val="00086C39"/>
    <w:rsid w:val="00091FFA"/>
    <w:rsid w:val="000930A6"/>
    <w:rsid w:val="000A655D"/>
    <w:rsid w:val="000C25F0"/>
    <w:rsid w:val="000C280D"/>
    <w:rsid w:val="000C3BBF"/>
    <w:rsid w:val="000E28F1"/>
    <w:rsid w:val="000E57FE"/>
    <w:rsid w:val="000E5A36"/>
    <w:rsid w:val="000E630B"/>
    <w:rsid w:val="000F06D5"/>
    <w:rsid w:val="000F6ECA"/>
    <w:rsid w:val="000F7804"/>
    <w:rsid w:val="00112B3B"/>
    <w:rsid w:val="001169D2"/>
    <w:rsid w:val="001171B8"/>
    <w:rsid w:val="00125EAA"/>
    <w:rsid w:val="00131355"/>
    <w:rsid w:val="00147E2C"/>
    <w:rsid w:val="00160DB2"/>
    <w:rsid w:val="00172CA2"/>
    <w:rsid w:val="001803E1"/>
    <w:rsid w:val="00186D7E"/>
    <w:rsid w:val="00193D9E"/>
    <w:rsid w:val="00195477"/>
    <w:rsid w:val="001D155D"/>
    <w:rsid w:val="001E2A33"/>
    <w:rsid w:val="002040D0"/>
    <w:rsid w:val="00222B5F"/>
    <w:rsid w:val="00222B68"/>
    <w:rsid w:val="00244F8E"/>
    <w:rsid w:val="002465D9"/>
    <w:rsid w:val="00256C06"/>
    <w:rsid w:val="00256F8A"/>
    <w:rsid w:val="0028258D"/>
    <w:rsid w:val="00284932"/>
    <w:rsid w:val="0028685D"/>
    <w:rsid w:val="00292536"/>
    <w:rsid w:val="002A1FF7"/>
    <w:rsid w:val="002B488F"/>
    <w:rsid w:val="002C1B1B"/>
    <w:rsid w:val="002C1F96"/>
    <w:rsid w:val="002D7E8F"/>
    <w:rsid w:val="002E2EC2"/>
    <w:rsid w:val="002E44A0"/>
    <w:rsid w:val="002F3B44"/>
    <w:rsid w:val="003161FE"/>
    <w:rsid w:val="003323FB"/>
    <w:rsid w:val="00333035"/>
    <w:rsid w:val="00347895"/>
    <w:rsid w:val="00355CAC"/>
    <w:rsid w:val="00365C1B"/>
    <w:rsid w:val="00371D06"/>
    <w:rsid w:val="00381DDE"/>
    <w:rsid w:val="00384E6B"/>
    <w:rsid w:val="00386D84"/>
    <w:rsid w:val="003943DB"/>
    <w:rsid w:val="00396BEB"/>
    <w:rsid w:val="00397AE6"/>
    <w:rsid w:val="003A450C"/>
    <w:rsid w:val="003A5311"/>
    <w:rsid w:val="003C7306"/>
    <w:rsid w:val="003E13F9"/>
    <w:rsid w:val="003E6504"/>
    <w:rsid w:val="003F7B4A"/>
    <w:rsid w:val="0040625A"/>
    <w:rsid w:val="00414739"/>
    <w:rsid w:val="00426F90"/>
    <w:rsid w:val="00434969"/>
    <w:rsid w:val="00441F0D"/>
    <w:rsid w:val="00456A13"/>
    <w:rsid w:val="004623E8"/>
    <w:rsid w:val="004657B0"/>
    <w:rsid w:val="00485E29"/>
    <w:rsid w:val="004B20CE"/>
    <w:rsid w:val="004C6B54"/>
    <w:rsid w:val="004D7AF6"/>
    <w:rsid w:val="004E10C4"/>
    <w:rsid w:val="004F2CE9"/>
    <w:rsid w:val="004F3109"/>
    <w:rsid w:val="004F7AF5"/>
    <w:rsid w:val="00510509"/>
    <w:rsid w:val="00512950"/>
    <w:rsid w:val="005350CC"/>
    <w:rsid w:val="00543E6C"/>
    <w:rsid w:val="00545850"/>
    <w:rsid w:val="00546470"/>
    <w:rsid w:val="0055765E"/>
    <w:rsid w:val="00560679"/>
    <w:rsid w:val="00575100"/>
    <w:rsid w:val="0058634C"/>
    <w:rsid w:val="00587BAB"/>
    <w:rsid w:val="00590A6A"/>
    <w:rsid w:val="00594BAB"/>
    <w:rsid w:val="005A12B7"/>
    <w:rsid w:val="005B0CEB"/>
    <w:rsid w:val="005B3CC6"/>
    <w:rsid w:val="005C69ED"/>
    <w:rsid w:val="005D6E8D"/>
    <w:rsid w:val="005F2124"/>
    <w:rsid w:val="005F3C08"/>
    <w:rsid w:val="005F461D"/>
    <w:rsid w:val="006138D6"/>
    <w:rsid w:val="00616F39"/>
    <w:rsid w:val="0062500A"/>
    <w:rsid w:val="00642622"/>
    <w:rsid w:val="00653497"/>
    <w:rsid w:val="00660162"/>
    <w:rsid w:val="00662CE1"/>
    <w:rsid w:val="006654E4"/>
    <w:rsid w:val="00667CDE"/>
    <w:rsid w:val="00670B30"/>
    <w:rsid w:val="0069111A"/>
    <w:rsid w:val="00695BA3"/>
    <w:rsid w:val="006A0D2F"/>
    <w:rsid w:val="006A14AA"/>
    <w:rsid w:val="006A618E"/>
    <w:rsid w:val="006B23CB"/>
    <w:rsid w:val="006C221D"/>
    <w:rsid w:val="006C33E8"/>
    <w:rsid w:val="006C73EE"/>
    <w:rsid w:val="006E06C0"/>
    <w:rsid w:val="006E3E49"/>
    <w:rsid w:val="006F4820"/>
    <w:rsid w:val="00710391"/>
    <w:rsid w:val="007528C9"/>
    <w:rsid w:val="00780E1A"/>
    <w:rsid w:val="007937B7"/>
    <w:rsid w:val="007D1277"/>
    <w:rsid w:val="007E455F"/>
    <w:rsid w:val="007F7F87"/>
    <w:rsid w:val="00803CF4"/>
    <w:rsid w:val="008334AE"/>
    <w:rsid w:val="00837922"/>
    <w:rsid w:val="00847A84"/>
    <w:rsid w:val="00852E33"/>
    <w:rsid w:val="00881898"/>
    <w:rsid w:val="00881CC0"/>
    <w:rsid w:val="00883785"/>
    <w:rsid w:val="008A32B2"/>
    <w:rsid w:val="008E412B"/>
    <w:rsid w:val="008E520B"/>
    <w:rsid w:val="008E66F4"/>
    <w:rsid w:val="00923A6E"/>
    <w:rsid w:val="00923F05"/>
    <w:rsid w:val="00930ED6"/>
    <w:rsid w:val="009436BC"/>
    <w:rsid w:val="00944C18"/>
    <w:rsid w:val="009504E9"/>
    <w:rsid w:val="009618C8"/>
    <w:rsid w:val="0096219F"/>
    <w:rsid w:val="00970D1D"/>
    <w:rsid w:val="009909E0"/>
    <w:rsid w:val="009A7BED"/>
    <w:rsid w:val="009D3718"/>
    <w:rsid w:val="009D49DF"/>
    <w:rsid w:val="00A13824"/>
    <w:rsid w:val="00A277CB"/>
    <w:rsid w:val="00A64D9A"/>
    <w:rsid w:val="00A65E14"/>
    <w:rsid w:val="00A70A8E"/>
    <w:rsid w:val="00A80534"/>
    <w:rsid w:val="00A85F7A"/>
    <w:rsid w:val="00A93997"/>
    <w:rsid w:val="00AB3901"/>
    <w:rsid w:val="00AE0B2F"/>
    <w:rsid w:val="00AF1AEC"/>
    <w:rsid w:val="00B16A90"/>
    <w:rsid w:val="00B17075"/>
    <w:rsid w:val="00B25619"/>
    <w:rsid w:val="00B266EF"/>
    <w:rsid w:val="00B27654"/>
    <w:rsid w:val="00B307BF"/>
    <w:rsid w:val="00B37CDA"/>
    <w:rsid w:val="00B44D08"/>
    <w:rsid w:val="00B520CC"/>
    <w:rsid w:val="00B808B7"/>
    <w:rsid w:val="00B82460"/>
    <w:rsid w:val="00BA5CC4"/>
    <w:rsid w:val="00BB3957"/>
    <w:rsid w:val="00BC54D9"/>
    <w:rsid w:val="00BD77CA"/>
    <w:rsid w:val="00BE08EF"/>
    <w:rsid w:val="00BE2893"/>
    <w:rsid w:val="00BE2C2C"/>
    <w:rsid w:val="00BE593D"/>
    <w:rsid w:val="00C111A5"/>
    <w:rsid w:val="00C152D3"/>
    <w:rsid w:val="00C238CE"/>
    <w:rsid w:val="00C44596"/>
    <w:rsid w:val="00C72A7C"/>
    <w:rsid w:val="00C83987"/>
    <w:rsid w:val="00C915CD"/>
    <w:rsid w:val="00C92E11"/>
    <w:rsid w:val="00C93DBB"/>
    <w:rsid w:val="00CA08AE"/>
    <w:rsid w:val="00CD10A9"/>
    <w:rsid w:val="00CD53A9"/>
    <w:rsid w:val="00D0270C"/>
    <w:rsid w:val="00D11B89"/>
    <w:rsid w:val="00D13431"/>
    <w:rsid w:val="00D13D72"/>
    <w:rsid w:val="00D31845"/>
    <w:rsid w:val="00D4444A"/>
    <w:rsid w:val="00D6270D"/>
    <w:rsid w:val="00D806D6"/>
    <w:rsid w:val="00D81B60"/>
    <w:rsid w:val="00D86148"/>
    <w:rsid w:val="00DA3D6D"/>
    <w:rsid w:val="00DB25AD"/>
    <w:rsid w:val="00DB48CC"/>
    <w:rsid w:val="00DC476B"/>
    <w:rsid w:val="00DD4B02"/>
    <w:rsid w:val="00DE2438"/>
    <w:rsid w:val="00DE6280"/>
    <w:rsid w:val="00DF2E45"/>
    <w:rsid w:val="00DF33A6"/>
    <w:rsid w:val="00E0441B"/>
    <w:rsid w:val="00E20E46"/>
    <w:rsid w:val="00E36D25"/>
    <w:rsid w:val="00E415F0"/>
    <w:rsid w:val="00E52185"/>
    <w:rsid w:val="00E52F1A"/>
    <w:rsid w:val="00E86EEC"/>
    <w:rsid w:val="00E93BC9"/>
    <w:rsid w:val="00E93F27"/>
    <w:rsid w:val="00EA34C6"/>
    <w:rsid w:val="00EC6FC5"/>
    <w:rsid w:val="00ED0BA0"/>
    <w:rsid w:val="00ED6F08"/>
    <w:rsid w:val="00EF3CE2"/>
    <w:rsid w:val="00EF75A0"/>
    <w:rsid w:val="00F04E9C"/>
    <w:rsid w:val="00F37D37"/>
    <w:rsid w:val="00F42A23"/>
    <w:rsid w:val="00F5005A"/>
    <w:rsid w:val="00F55A39"/>
    <w:rsid w:val="00F63781"/>
    <w:rsid w:val="00F63A88"/>
    <w:rsid w:val="00F84A4E"/>
    <w:rsid w:val="00F86990"/>
    <w:rsid w:val="00F90CF2"/>
    <w:rsid w:val="00FA56EC"/>
    <w:rsid w:val="00FB2A03"/>
    <w:rsid w:val="025C2CCF"/>
    <w:rsid w:val="05016521"/>
    <w:rsid w:val="07A8529E"/>
    <w:rsid w:val="0851567A"/>
    <w:rsid w:val="089542BB"/>
    <w:rsid w:val="094204AE"/>
    <w:rsid w:val="09767178"/>
    <w:rsid w:val="099D2BA4"/>
    <w:rsid w:val="0C705805"/>
    <w:rsid w:val="0EEA570E"/>
    <w:rsid w:val="115033DC"/>
    <w:rsid w:val="116660AF"/>
    <w:rsid w:val="1268177D"/>
    <w:rsid w:val="13AA5FB3"/>
    <w:rsid w:val="14257CD3"/>
    <w:rsid w:val="14A276C4"/>
    <w:rsid w:val="17F019F9"/>
    <w:rsid w:val="18137DC2"/>
    <w:rsid w:val="183D58F7"/>
    <w:rsid w:val="19113493"/>
    <w:rsid w:val="1A6D31A6"/>
    <w:rsid w:val="1A8A12CA"/>
    <w:rsid w:val="1C6A07D9"/>
    <w:rsid w:val="1C7E07DD"/>
    <w:rsid w:val="1E395256"/>
    <w:rsid w:val="21EF2D8D"/>
    <w:rsid w:val="2290443E"/>
    <w:rsid w:val="266C5AFE"/>
    <w:rsid w:val="30F85D8B"/>
    <w:rsid w:val="32435797"/>
    <w:rsid w:val="32B17D42"/>
    <w:rsid w:val="33CD6630"/>
    <w:rsid w:val="3496329B"/>
    <w:rsid w:val="3E14683D"/>
    <w:rsid w:val="41F21559"/>
    <w:rsid w:val="43523A93"/>
    <w:rsid w:val="4AFE3779"/>
    <w:rsid w:val="4C9D10D3"/>
    <w:rsid w:val="5098633C"/>
    <w:rsid w:val="51E3172D"/>
    <w:rsid w:val="52AA22D7"/>
    <w:rsid w:val="53006052"/>
    <w:rsid w:val="5526477A"/>
    <w:rsid w:val="5853197C"/>
    <w:rsid w:val="58BE0310"/>
    <w:rsid w:val="5C022AAF"/>
    <w:rsid w:val="5CB3190A"/>
    <w:rsid w:val="5F645997"/>
    <w:rsid w:val="5FC750C0"/>
    <w:rsid w:val="61C22E98"/>
    <w:rsid w:val="63084A0A"/>
    <w:rsid w:val="652F1E4A"/>
    <w:rsid w:val="65733F56"/>
    <w:rsid w:val="674C31B0"/>
    <w:rsid w:val="678A2BD3"/>
    <w:rsid w:val="680119D9"/>
    <w:rsid w:val="693C1410"/>
    <w:rsid w:val="6AF44EAA"/>
    <w:rsid w:val="6B3B0E1A"/>
    <w:rsid w:val="6C6420B1"/>
    <w:rsid w:val="6C82211E"/>
    <w:rsid w:val="6E32773A"/>
    <w:rsid w:val="6EED642F"/>
    <w:rsid w:val="72D67DAB"/>
    <w:rsid w:val="7627525E"/>
    <w:rsid w:val="766C1D61"/>
    <w:rsid w:val="76BC574E"/>
    <w:rsid w:val="794B21B1"/>
    <w:rsid w:val="7D3E51B6"/>
    <w:rsid w:val="7E0E6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99" w:semiHidden="0" w:name="Normal Indent"/>
    <w:lsdException w:uiPriority="0" w:name="footnote text"/>
    <w:lsdException w:qFormat="1" w:unhideWhenUsed="0" w:uiPriority="0" w:semiHidden="0" w:name="annotation text"/>
    <w:lsdException w:qFormat="1"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nhideWhenUsed="0" w:uiPriority="0" w:semiHidden="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120" w:after="120"/>
      <w:jc w:val="left"/>
      <w:outlineLvl w:val="0"/>
    </w:pPr>
    <w:rPr>
      <w:rFonts w:ascii="Times New Roman" w:hAnsi="Times New Roman" w:eastAsia="仿宋"/>
      <w:b/>
      <w:bCs/>
      <w:kern w:val="44"/>
      <w:sz w:val="28"/>
      <w:szCs w:val="44"/>
    </w:rPr>
  </w:style>
  <w:style w:type="paragraph" w:styleId="4">
    <w:name w:val="heading 2"/>
    <w:basedOn w:val="1"/>
    <w:next w:val="5"/>
    <w:unhideWhenUsed/>
    <w:qFormat/>
    <w:uiPriority w:val="9"/>
    <w:pPr>
      <w:keepNext/>
      <w:keepLines/>
      <w:spacing w:before="120" w:after="120"/>
      <w:outlineLvl w:val="1"/>
    </w:pPr>
    <w:rPr>
      <w:rFonts w:ascii="Arial" w:hAnsi="Arial" w:eastAsia="仿宋"/>
      <w:b/>
      <w:sz w:val="28"/>
      <w:szCs w:val="20"/>
    </w:rPr>
  </w:style>
  <w:style w:type="paragraph" w:styleId="6">
    <w:name w:val="heading 3"/>
    <w:basedOn w:val="1"/>
    <w:next w:val="1"/>
    <w:link w:val="19"/>
    <w:unhideWhenUsed/>
    <w:qFormat/>
    <w:uiPriority w:val="9"/>
    <w:pPr>
      <w:keepNext/>
      <w:keepLines/>
      <w:outlineLvl w:val="2"/>
    </w:pPr>
    <w:rPr>
      <w:rFonts w:ascii="Times New Roman" w:hAnsi="Times New Roman" w:eastAsia="仿宋"/>
      <w:b/>
      <w:bCs/>
      <w:sz w:val="28"/>
      <w:szCs w:val="32"/>
    </w:rPr>
  </w:style>
  <w:style w:type="paragraph" w:styleId="7">
    <w:name w:val="heading 4"/>
    <w:basedOn w:val="1"/>
    <w:next w:val="1"/>
    <w:link w:val="20"/>
    <w:unhideWhenUsed/>
    <w:qFormat/>
    <w:uiPriority w:val="9"/>
    <w:pPr>
      <w:keepNext/>
      <w:keepLines/>
      <w:outlineLvl w:val="3"/>
    </w:pPr>
    <w:rPr>
      <w:rFonts w:ascii="Arial" w:hAnsi="Arial" w:eastAsia="仿宋"/>
      <w:b/>
      <w:bCs/>
      <w:sz w:val="28"/>
      <w:szCs w:val="28"/>
    </w:rPr>
  </w:style>
  <w:style w:type="character" w:default="1" w:styleId="15">
    <w:name w:val="Default Paragraph Font"/>
    <w:semiHidden/>
    <w:unhideWhenUsed/>
    <w:qFormat/>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Body Text 2"/>
    <w:basedOn w:val="1"/>
    <w:uiPriority w:val="0"/>
    <w:rPr>
      <w:rFonts w:ascii="仿宋_GB2312" w:hAnsi="宋体" w:eastAsia="仿宋_GB2312" w:cs="Times New Roman"/>
    </w:rPr>
  </w:style>
  <w:style w:type="paragraph" w:styleId="5">
    <w:name w:val="Normal Indent"/>
    <w:basedOn w:val="1"/>
    <w:unhideWhenUsed/>
    <w:qFormat/>
    <w:uiPriority w:val="99"/>
    <w:pPr>
      <w:ind w:firstLine="420" w:firstLineChars="200"/>
    </w:pPr>
  </w:style>
  <w:style w:type="paragraph" w:styleId="8">
    <w:name w:val="annotation text"/>
    <w:basedOn w:val="1"/>
    <w:link w:val="22"/>
    <w:qFormat/>
    <w:uiPriority w:val="0"/>
    <w:pPr>
      <w:jc w:val="left"/>
    </w:pPr>
  </w:style>
  <w:style w:type="paragraph" w:styleId="9">
    <w:name w:val="Balloon Text"/>
    <w:basedOn w:val="1"/>
    <w:link w:val="17"/>
    <w:qFormat/>
    <w:uiPriority w:val="0"/>
    <w:rPr>
      <w:sz w:val="18"/>
      <w:szCs w:val="18"/>
    </w:rPr>
  </w:style>
  <w:style w:type="paragraph" w:styleId="10">
    <w:name w:val="footer"/>
    <w:basedOn w:val="1"/>
    <w:unhideWhenUsed/>
    <w:qFormat/>
    <w:uiPriority w:val="99"/>
    <w:pPr>
      <w:tabs>
        <w:tab w:val="center" w:pos="4153"/>
        <w:tab w:val="right" w:pos="8306"/>
      </w:tabs>
      <w:snapToGrid w:val="0"/>
      <w:jc w:val="left"/>
    </w:pPr>
    <w:rPr>
      <w:sz w:val="18"/>
      <w:szCs w:val="18"/>
    </w:rPr>
  </w:style>
  <w:style w:type="paragraph" w:styleId="11">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2">
    <w:name w:val="annotation subject"/>
    <w:basedOn w:val="8"/>
    <w:next w:val="8"/>
    <w:link w:val="23"/>
    <w:qFormat/>
    <w:uiPriority w:val="0"/>
    <w:rPr>
      <w:b/>
      <w:bCs/>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qFormat/>
    <w:uiPriority w:val="0"/>
    <w:rPr>
      <w:sz w:val="21"/>
      <w:szCs w:val="21"/>
    </w:rPr>
  </w:style>
  <w:style w:type="character" w:customStyle="1" w:styleId="17">
    <w:name w:val="批注框文本 字符"/>
    <w:basedOn w:val="15"/>
    <w:link w:val="9"/>
    <w:qFormat/>
    <w:uiPriority w:val="0"/>
    <w:rPr>
      <w:rFonts w:asciiTheme="minorHAnsi" w:hAnsiTheme="minorHAnsi" w:eastAsiaTheme="minorEastAsia" w:cstheme="minorBidi"/>
      <w:kern w:val="2"/>
      <w:sz w:val="18"/>
      <w:szCs w:val="18"/>
    </w:rPr>
  </w:style>
  <w:style w:type="character" w:customStyle="1" w:styleId="18">
    <w:name w:val="页眉 字符"/>
    <w:basedOn w:val="15"/>
    <w:link w:val="11"/>
    <w:qFormat/>
    <w:uiPriority w:val="0"/>
    <w:rPr>
      <w:rFonts w:asciiTheme="minorHAnsi" w:hAnsiTheme="minorHAnsi" w:eastAsiaTheme="minorEastAsia" w:cstheme="minorBidi"/>
      <w:kern w:val="2"/>
      <w:sz w:val="18"/>
      <w:szCs w:val="18"/>
    </w:rPr>
  </w:style>
  <w:style w:type="character" w:customStyle="1" w:styleId="19">
    <w:name w:val="标题 3 字符"/>
    <w:basedOn w:val="15"/>
    <w:link w:val="6"/>
    <w:qFormat/>
    <w:uiPriority w:val="9"/>
    <w:rPr>
      <w:rFonts w:eastAsia="仿宋" w:cstheme="minorBidi"/>
      <w:b/>
      <w:bCs/>
      <w:kern w:val="2"/>
      <w:sz w:val="28"/>
      <w:szCs w:val="32"/>
    </w:rPr>
  </w:style>
  <w:style w:type="character" w:customStyle="1" w:styleId="20">
    <w:name w:val="标题 4 字符"/>
    <w:basedOn w:val="15"/>
    <w:link w:val="7"/>
    <w:qFormat/>
    <w:uiPriority w:val="9"/>
    <w:rPr>
      <w:rFonts w:ascii="Arial" w:hAnsi="Arial" w:eastAsia="仿宋" w:cstheme="minorBidi"/>
      <w:b/>
      <w:bCs/>
      <w:kern w:val="2"/>
      <w:sz w:val="28"/>
      <w:szCs w:val="28"/>
    </w:rPr>
  </w:style>
  <w:style w:type="paragraph" w:customStyle="1" w:styleId="21">
    <w:name w:val="修订1"/>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22">
    <w:name w:val="批注文字 字符"/>
    <w:basedOn w:val="15"/>
    <w:link w:val="8"/>
    <w:qFormat/>
    <w:uiPriority w:val="0"/>
    <w:rPr>
      <w:kern w:val="2"/>
      <w:sz w:val="21"/>
      <w:szCs w:val="22"/>
    </w:rPr>
  </w:style>
  <w:style w:type="character" w:customStyle="1" w:styleId="23">
    <w:name w:val="批注主题 字符"/>
    <w:basedOn w:val="22"/>
    <w:link w:val="12"/>
    <w:qFormat/>
    <w:uiPriority w:val="0"/>
    <w:rPr>
      <w:b/>
      <w:bCs/>
      <w:kern w:val="2"/>
      <w:sz w:val="21"/>
      <w:szCs w:val="22"/>
    </w:rPr>
  </w:style>
  <w:style w:type="paragraph" w:styleId="2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626</Words>
  <Characters>3573</Characters>
  <Lines>29</Lines>
  <Paragraphs>8</Paragraphs>
  <TotalTime>0</TotalTime>
  <ScaleCrop>false</ScaleCrop>
  <LinksUpToDate>false</LinksUpToDate>
  <CharactersWithSpaces>4191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2020-09-07T04:07:00Z</dcterms:created>
  <dc:creator>FZ09259566</dc:creator>
  <cp:lastModifiedBy>null</cp:lastModifiedBy>
  <cp:lastPrinted>2021-08-26T00:49:00Z</cp:lastPrinted>
  <dcterms:modified xsi:type="dcterms:W3CDTF">2021-11-29T10:28:48Z</dcterms:modified>
  <cp:revision>115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6AB4AA548B384247B981B8AF5C674ED3</vt:lpwstr>
  </property>
</Properties>
</file>