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B1223">
      <w:pPr>
        <w:spacing w:line="360" w:lineRule="auto"/>
        <w:jc w:val="center"/>
        <w:outlineLvl w:val="0"/>
        <w:rPr>
          <w:rFonts w:hint="eastAsia" w:ascii="仿宋" w:hAnsi="仿宋" w:eastAsia="楷体"/>
          <w:b/>
          <w:sz w:val="44"/>
          <w:szCs w:val="44"/>
          <w:lang w:eastAsia="zh-CN"/>
        </w:rPr>
      </w:pPr>
    </w:p>
    <w:p w14:paraId="4252C0FF">
      <w:pPr>
        <w:spacing w:line="360" w:lineRule="auto"/>
        <w:jc w:val="center"/>
        <w:outlineLvl w:val="0"/>
        <w:rPr>
          <w:rFonts w:hint="eastAsia" w:ascii="仿宋" w:hAnsi="仿宋" w:eastAsia="楷体"/>
          <w:b/>
          <w:sz w:val="44"/>
          <w:szCs w:val="44"/>
          <w:lang w:eastAsia="zh-CN"/>
        </w:rPr>
      </w:pPr>
    </w:p>
    <w:p w14:paraId="33D49CED">
      <w:pPr>
        <w:jc w:val="center"/>
        <w:rPr>
          <w:rFonts w:ascii="楷体" w:hAnsi="楷体" w:eastAsia="楷体"/>
          <w:b/>
          <w:color w:val="auto"/>
          <w:spacing w:val="-20"/>
          <w:sz w:val="44"/>
          <w:szCs w:val="44"/>
        </w:rPr>
      </w:pPr>
      <w:bookmarkStart w:id="70" w:name="_GoBack"/>
      <w:r>
        <w:rPr>
          <w:rFonts w:hint="eastAsia" w:ascii="仿宋" w:hAnsi="仿宋" w:eastAsia="楷体"/>
          <w:b/>
          <w:spacing w:val="-20"/>
          <w:sz w:val="44"/>
          <w:szCs w:val="44"/>
          <w:lang w:eastAsia="zh-CN"/>
        </w:rPr>
        <w:t>2024年江西省政府棚户区改造专项债券（十三期）——2024年江西省政府专项债券（四十二期）</w:t>
      </w:r>
    </w:p>
    <w:p w14:paraId="7B723BE4">
      <w:pPr>
        <w:spacing w:line="360" w:lineRule="auto"/>
        <w:jc w:val="center"/>
        <w:outlineLvl w:val="0"/>
        <w:rPr>
          <w:rFonts w:hint="eastAsia" w:ascii="仿宋" w:hAnsi="仿宋" w:eastAsia="楷体"/>
          <w:b/>
          <w:sz w:val="44"/>
          <w:szCs w:val="44"/>
          <w:lang w:eastAsia="zh-CN"/>
        </w:rPr>
      </w:pPr>
      <w:r>
        <w:rPr>
          <w:rFonts w:hint="eastAsia" w:ascii="仿宋" w:hAnsi="仿宋" w:eastAsia="楷体"/>
          <w:b/>
          <w:sz w:val="44"/>
          <w:szCs w:val="44"/>
          <w:lang w:eastAsia="zh-CN"/>
        </w:rPr>
        <w:t>实施方案</w:t>
      </w:r>
    </w:p>
    <w:bookmarkEnd w:id="70"/>
    <w:p w14:paraId="11379E05">
      <w:pPr>
        <w:ind w:left="-141" w:leftChars="-67" w:right="-99" w:rightChars="-47" w:firstLine="439" w:firstLineChars="157"/>
        <w:jc w:val="center"/>
        <w:rPr>
          <w:rFonts w:ascii="宋体" w:hAnsi="宋体" w:eastAsia="宋体"/>
          <w:color w:val="auto"/>
          <w:sz w:val="28"/>
          <w:szCs w:val="28"/>
        </w:rPr>
      </w:pPr>
    </w:p>
    <w:p w14:paraId="257E2A45">
      <w:pPr>
        <w:ind w:left="-141" w:leftChars="-67" w:right="-99" w:rightChars="-47" w:firstLine="439" w:firstLineChars="157"/>
        <w:rPr>
          <w:rFonts w:ascii="宋体" w:hAnsi="宋体" w:eastAsia="宋体"/>
          <w:color w:val="auto"/>
          <w:sz w:val="28"/>
          <w:szCs w:val="28"/>
        </w:rPr>
      </w:pPr>
    </w:p>
    <w:p w14:paraId="645E8872">
      <w:pPr>
        <w:ind w:left="-141" w:leftChars="-67" w:right="-99" w:rightChars="-47" w:firstLine="439" w:firstLineChars="157"/>
        <w:rPr>
          <w:rFonts w:ascii="宋体" w:hAnsi="宋体" w:eastAsia="宋体"/>
          <w:color w:val="auto"/>
          <w:sz w:val="28"/>
          <w:szCs w:val="28"/>
        </w:rPr>
      </w:pPr>
    </w:p>
    <w:p w14:paraId="5E0211FA">
      <w:pPr>
        <w:ind w:left="-141" w:leftChars="-67" w:right="-99" w:rightChars="-47" w:firstLine="439" w:firstLineChars="157"/>
        <w:rPr>
          <w:rFonts w:ascii="宋体" w:hAnsi="宋体" w:eastAsia="宋体"/>
          <w:color w:val="auto"/>
          <w:sz w:val="28"/>
          <w:szCs w:val="28"/>
          <w:u w:val="single"/>
        </w:rPr>
      </w:pPr>
    </w:p>
    <w:p w14:paraId="35C4AE61">
      <w:pPr>
        <w:ind w:left="-141" w:leftChars="-67" w:right="-99" w:rightChars="-47" w:firstLine="439" w:firstLineChars="157"/>
        <w:rPr>
          <w:rFonts w:ascii="宋体" w:hAnsi="宋体" w:eastAsia="宋体"/>
          <w:color w:val="auto"/>
          <w:sz w:val="28"/>
          <w:szCs w:val="28"/>
          <w:u w:val="single"/>
        </w:rPr>
      </w:pPr>
    </w:p>
    <w:p w14:paraId="52A114C5">
      <w:pPr>
        <w:ind w:left="-141" w:leftChars="-67" w:right="-99" w:rightChars="-47" w:firstLine="502" w:firstLineChars="157"/>
        <w:rPr>
          <w:color w:val="auto"/>
          <w:sz w:val="32"/>
          <w:szCs w:val="32"/>
          <w:u w:val="single"/>
        </w:rPr>
      </w:pPr>
    </w:p>
    <w:p w14:paraId="41555255">
      <w:pPr>
        <w:ind w:left="-141" w:leftChars="-67" w:right="-99" w:rightChars="-47" w:firstLine="502" w:firstLineChars="157"/>
        <w:rPr>
          <w:color w:val="auto"/>
          <w:sz w:val="32"/>
          <w:szCs w:val="32"/>
          <w:u w:val="single"/>
        </w:rPr>
      </w:pPr>
    </w:p>
    <w:p w14:paraId="6C6A9B5F">
      <w:pPr>
        <w:ind w:left="-141" w:leftChars="-67" w:right="-99" w:rightChars="-47" w:firstLine="502" w:firstLineChars="157"/>
        <w:rPr>
          <w:color w:val="auto"/>
          <w:sz w:val="32"/>
          <w:szCs w:val="32"/>
          <w:u w:val="single"/>
        </w:rPr>
      </w:pPr>
    </w:p>
    <w:p w14:paraId="6F1A9C31">
      <w:pPr>
        <w:ind w:left="-141" w:leftChars="-67" w:right="-99" w:rightChars="-47" w:firstLine="502" w:firstLineChars="157"/>
        <w:rPr>
          <w:color w:val="auto"/>
          <w:sz w:val="32"/>
          <w:szCs w:val="32"/>
          <w:u w:val="single"/>
        </w:rPr>
      </w:pPr>
    </w:p>
    <w:p w14:paraId="4D6B9249">
      <w:pPr>
        <w:spacing w:line="360" w:lineRule="auto"/>
        <w:jc w:val="center"/>
        <w:rPr>
          <w:rFonts w:ascii="仿宋" w:hAnsi="仿宋" w:eastAsia="楷体"/>
          <w:b/>
          <w:color w:val="auto"/>
          <w:sz w:val="44"/>
          <w:szCs w:val="44"/>
        </w:rPr>
      </w:pPr>
    </w:p>
    <w:p w14:paraId="42E9E943">
      <w:pPr>
        <w:spacing w:line="360" w:lineRule="auto"/>
        <w:jc w:val="center"/>
        <w:rPr>
          <w:rFonts w:ascii="仿宋" w:hAnsi="仿宋" w:eastAsia="楷体"/>
          <w:b/>
          <w:color w:val="auto"/>
          <w:sz w:val="44"/>
          <w:szCs w:val="44"/>
        </w:rPr>
      </w:pPr>
    </w:p>
    <w:p w14:paraId="5B3B9C83">
      <w:pPr>
        <w:pStyle w:val="29"/>
        <w:rPr>
          <w:rFonts w:hint="eastAsia"/>
          <w:color w:val="auto"/>
        </w:rPr>
      </w:pPr>
    </w:p>
    <w:p w14:paraId="2CA15DD6">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3E018F67">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46629026">
      <w:pPr>
        <w:rPr>
          <w:rFonts w:ascii="楷体" w:hAnsi="楷体" w:eastAsia="楷体"/>
          <w:b/>
          <w:color w:val="auto"/>
          <w:sz w:val="44"/>
          <w:szCs w:val="44"/>
        </w:rPr>
      </w:pPr>
      <w:r>
        <w:rPr>
          <w:rFonts w:ascii="楷体" w:hAnsi="楷体" w:eastAsia="楷体"/>
          <w:b/>
          <w:color w:val="auto"/>
          <w:sz w:val="44"/>
          <w:szCs w:val="44"/>
        </w:rPr>
        <w:br w:type="page"/>
      </w:r>
    </w:p>
    <w:p w14:paraId="2D3DC1B9">
      <w:pPr>
        <w:spacing w:line="360" w:lineRule="auto"/>
        <w:jc w:val="center"/>
        <w:outlineLvl w:val="0"/>
        <w:rPr>
          <w:rFonts w:hint="eastAsia" w:ascii="仿宋" w:hAnsi="仿宋" w:eastAsia="楷体"/>
          <w:b/>
          <w:sz w:val="44"/>
          <w:szCs w:val="44"/>
          <w:lang w:eastAsia="zh-CN"/>
        </w:rPr>
      </w:pPr>
    </w:p>
    <w:p w14:paraId="759FC4AC">
      <w:pPr>
        <w:jc w:val="center"/>
        <w:rPr>
          <w:rFonts w:ascii="楷体" w:hAnsi="楷体" w:eastAsia="楷体"/>
          <w:b/>
          <w:color w:val="auto"/>
          <w:sz w:val="44"/>
          <w:szCs w:val="44"/>
        </w:rPr>
      </w:pPr>
    </w:p>
    <w:p w14:paraId="676CF7BC">
      <w:pPr>
        <w:jc w:val="center"/>
        <w:rPr>
          <w:rFonts w:ascii="楷体" w:hAnsi="楷体" w:eastAsia="楷体"/>
          <w:b/>
          <w:color w:val="auto"/>
          <w:sz w:val="44"/>
          <w:szCs w:val="44"/>
        </w:rPr>
      </w:pPr>
    </w:p>
    <w:p w14:paraId="2B86FD8A">
      <w:pPr>
        <w:spacing w:line="360" w:lineRule="auto"/>
        <w:jc w:val="center"/>
        <w:outlineLvl w:val="0"/>
        <w:rPr>
          <w:rFonts w:hint="eastAsia" w:ascii="仿宋" w:hAnsi="仿宋" w:eastAsia="楷体"/>
          <w:b/>
          <w:sz w:val="44"/>
          <w:szCs w:val="44"/>
          <w:lang w:eastAsia="zh-CN"/>
        </w:rPr>
      </w:pPr>
      <w:r>
        <w:rPr>
          <w:rFonts w:hint="eastAsia" w:ascii="仿宋" w:hAnsi="仿宋" w:eastAsia="楷体"/>
          <w:b/>
          <w:sz w:val="44"/>
          <w:szCs w:val="44"/>
          <w:lang w:eastAsia="zh-CN"/>
        </w:rPr>
        <w:t>东新乡东岳村三期安置房（城市棚户区改造）项目实施方案</w:t>
      </w:r>
    </w:p>
    <w:p w14:paraId="4D3E73C8">
      <w:pPr>
        <w:spacing w:line="360" w:lineRule="auto"/>
        <w:jc w:val="center"/>
        <w:outlineLvl w:val="0"/>
        <w:rPr>
          <w:rFonts w:hint="eastAsia" w:ascii="仿宋" w:hAnsi="仿宋" w:eastAsia="楷体"/>
          <w:b/>
          <w:sz w:val="44"/>
          <w:szCs w:val="44"/>
          <w:lang w:eastAsia="zh-CN"/>
        </w:rPr>
      </w:pPr>
    </w:p>
    <w:p w14:paraId="235C6079">
      <w:pPr>
        <w:ind w:left="-141" w:leftChars="-67" w:right="-99" w:rightChars="-47" w:firstLine="439" w:firstLineChars="157"/>
        <w:jc w:val="center"/>
        <w:rPr>
          <w:rFonts w:ascii="宋体" w:hAnsi="宋体" w:eastAsia="宋体"/>
          <w:color w:val="auto"/>
          <w:sz w:val="28"/>
          <w:szCs w:val="28"/>
        </w:rPr>
      </w:pPr>
    </w:p>
    <w:p w14:paraId="0637774F">
      <w:pPr>
        <w:ind w:left="-141" w:leftChars="-67" w:right="-99" w:rightChars="-47" w:firstLine="439" w:firstLineChars="157"/>
        <w:rPr>
          <w:rFonts w:ascii="宋体" w:hAnsi="宋体" w:eastAsia="宋体"/>
          <w:color w:val="auto"/>
          <w:sz w:val="28"/>
          <w:szCs w:val="28"/>
        </w:rPr>
      </w:pPr>
    </w:p>
    <w:p w14:paraId="1257002E">
      <w:pPr>
        <w:ind w:left="-141" w:leftChars="-67" w:right="-99" w:rightChars="-47" w:firstLine="439" w:firstLineChars="157"/>
        <w:rPr>
          <w:rFonts w:ascii="宋体" w:hAnsi="宋体" w:eastAsia="宋体"/>
          <w:color w:val="auto"/>
          <w:sz w:val="28"/>
          <w:szCs w:val="28"/>
        </w:rPr>
      </w:pPr>
    </w:p>
    <w:p w14:paraId="1581D180">
      <w:pPr>
        <w:ind w:right="-99" w:rightChars="-47"/>
        <w:rPr>
          <w:rFonts w:ascii="宋体" w:hAnsi="宋体" w:eastAsia="宋体"/>
          <w:color w:val="auto"/>
          <w:sz w:val="28"/>
          <w:szCs w:val="28"/>
          <w:u w:val="single"/>
        </w:rPr>
      </w:pPr>
    </w:p>
    <w:p w14:paraId="4FB02D24">
      <w:pPr>
        <w:ind w:left="-141" w:leftChars="-67" w:right="-99" w:rightChars="-47" w:firstLine="502" w:firstLineChars="157"/>
        <w:rPr>
          <w:color w:val="auto"/>
          <w:sz w:val="32"/>
          <w:szCs w:val="32"/>
          <w:u w:val="single"/>
        </w:rPr>
      </w:pPr>
    </w:p>
    <w:p w14:paraId="6BB3EA51">
      <w:pPr>
        <w:ind w:left="-141" w:leftChars="-67" w:right="-99" w:rightChars="-47" w:firstLine="502" w:firstLineChars="157"/>
        <w:rPr>
          <w:color w:val="auto"/>
          <w:sz w:val="32"/>
          <w:szCs w:val="32"/>
          <w:u w:val="single"/>
        </w:rPr>
      </w:pPr>
    </w:p>
    <w:p w14:paraId="21B9949C">
      <w:pPr>
        <w:ind w:left="-141" w:leftChars="-67" w:right="-99" w:rightChars="-47" w:firstLine="502" w:firstLineChars="157"/>
        <w:rPr>
          <w:color w:val="auto"/>
          <w:sz w:val="32"/>
          <w:szCs w:val="32"/>
          <w:u w:val="single"/>
        </w:rPr>
      </w:pPr>
    </w:p>
    <w:p w14:paraId="0BDCF345">
      <w:pPr>
        <w:ind w:left="-141" w:leftChars="-67" w:right="-99" w:rightChars="-47" w:firstLine="502" w:firstLineChars="157"/>
        <w:rPr>
          <w:color w:val="auto"/>
          <w:sz w:val="32"/>
          <w:szCs w:val="32"/>
          <w:u w:val="single"/>
        </w:rPr>
      </w:pPr>
    </w:p>
    <w:p w14:paraId="24FF5B82">
      <w:pPr>
        <w:spacing w:line="360" w:lineRule="auto"/>
        <w:jc w:val="center"/>
        <w:rPr>
          <w:rFonts w:ascii="仿宋" w:hAnsi="仿宋" w:eastAsia="楷体"/>
          <w:b/>
          <w:color w:val="auto"/>
          <w:sz w:val="44"/>
          <w:szCs w:val="44"/>
        </w:rPr>
      </w:pPr>
    </w:p>
    <w:p w14:paraId="353F32F7">
      <w:pPr>
        <w:spacing w:line="360" w:lineRule="auto"/>
        <w:jc w:val="center"/>
        <w:rPr>
          <w:rFonts w:ascii="仿宋" w:hAnsi="仿宋" w:eastAsia="楷体"/>
          <w:b/>
          <w:color w:val="auto"/>
          <w:sz w:val="44"/>
          <w:szCs w:val="44"/>
        </w:rPr>
      </w:pPr>
    </w:p>
    <w:p w14:paraId="69632097">
      <w:pPr>
        <w:pStyle w:val="29"/>
        <w:rPr>
          <w:rFonts w:hint="eastAsia"/>
          <w:color w:val="auto"/>
        </w:rPr>
      </w:pPr>
    </w:p>
    <w:p w14:paraId="12768778">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13C72041">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2BC4AD3C">
      <w:pPr>
        <w:pStyle w:val="29"/>
        <w:rPr>
          <w:rFonts w:hint="eastAsia"/>
          <w:color w:val="auto"/>
        </w:rPr>
      </w:pPr>
      <w:r>
        <w:rPr>
          <w:rFonts w:ascii="楷体" w:hAnsi="楷体" w:eastAsia="楷体"/>
          <w:b/>
          <w:color w:val="auto"/>
          <w:sz w:val="44"/>
          <w:szCs w:val="44"/>
        </w:rPr>
        <w:br w:type="page"/>
      </w:r>
    </w:p>
    <w:p w14:paraId="30381C05">
      <w:pPr>
        <w:ind w:right="-99" w:rightChars="-47"/>
        <w:jc w:val="center"/>
        <w:rPr>
          <w:rFonts w:ascii="楷体" w:hAnsi="楷体" w:eastAsia="楷体"/>
          <w:b/>
          <w:color w:val="auto"/>
          <w:sz w:val="44"/>
          <w:szCs w:val="44"/>
        </w:rPr>
      </w:pPr>
      <w:r>
        <w:rPr>
          <w:rFonts w:hint="eastAsia" w:ascii="楷体" w:hAnsi="楷体" w:eastAsia="楷体"/>
          <w:b/>
          <w:color w:val="auto"/>
          <w:sz w:val="44"/>
          <w:szCs w:val="44"/>
        </w:rPr>
        <w:t>前言</w:t>
      </w:r>
    </w:p>
    <w:p w14:paraId="2B5426D2">
      <w:pPr>
        <w:ind w:left="-141" w:leftChars="-67" w:right="-99" w:rightChars="-47" w:firstLine="439" w:firstLineChars="157"/>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5F65729A">
      <w:pPr>
        <w:ind w:left="-141" w:leftChars="-67" w:right="-99" w:rightChars="-47" w:firstLine="439" w:firstLineChars="157"/>
        <w:rPr>
          <w:rFonts w:ascii="楷体" w:hAnsi="楷体" w:eastAsia="楷体" w:cs="楷体"/>
          <w:bCs/>
          <w:color w:val="auto"/>
          <w:sz w:val="28"/>
          <w:szCs w:val="28"/>
        </w:rPr>
      </w:pPr>
      <w:r>
        <w:rPr>
          <w:rFonts w:ascii="楷体" w:hAnsi="楷体" w:eastAsia="楷体" w:cs="楷体"/>
          <w:bCs/>
          <w:color w:val="auto"/>
          <w:sz w:val="28"/>
          <w:szCs w:val="28"/>
        </w:rPr>
        <w:t>本次申请发行的专项债券</w:t>
      </w:r>
      <w:r>
        <w:rPr>
          <w:rFonts w:hint="eastAsia" w:ascii="楷体" w:hAnsi="楷体" w:eastAsia="楷体" w:cs="楷体"/>
          <w:bCs/>
          <w:color w:val="auto"/>
          <w:sz w:val="28"/>
          <w:szCs w:val="28"/>
        </w:rPr>
        <w:t>项目，符合地方政府重大基础设施建设领域，是</w:t>
      </w:r>
      <w:r>
        <w:rPr>
          <w:rFonts w:ascii="楷体" w:hAnsi="楷体" w:eastAsia="楷体" w:cs="楷体"/>
          <w:bCs/>
          <w:color w:val="auto"/>
          <w:sz w:val="28"/>
          <w:szCs w:val="28"/>
        </w:rPr>
        <w:t>纳政府性基金</w:t>
      </w:r>
      <w:r>
        <w:rPr>
          <w:rFonts w:hint="eastAsia" w:ascii="楷体" w:hAnsi="楷体" w:eastAsia="楷体" w:cs="楷体"/>
          <w:bCs/>
          <w:color w:val="auto"/>
          <w:sz w:val="28"/>
          <w:szCs w:val="28"/>
        </w:rPr>
        <w:t>收入及专项收入</w:t>
      </w:r>
      <w:r>
        <w:rPr>
          <w:rFonts w:ascii="楷体" w:hAnsi="楷体" w:eastAsia="楷体" w:cs="楷体"/>
          <w:bCs/>
          <w:color w:val="auto"/>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color w:val="auto"/>
          <w:sz w:val="28"/>
          <w:szCs w:val="28"/>
        </w:rPr>
        <w:t>。东新乡东岳村三期安置房（城市棚户区改造）项目拟于申请发行地方政府专项债</w:t>
      </w:r>
      <w:r>
        <w:rPr>
          <w:rFonts w:ascii="楷体" w:hAnsi="楷体" w:eastAsia="楷体" w:cs="楷体"/>
          <w:bCs/>
          <w:color w:val="auto"/>
          <w:sz w:val="28"/>
          <w:szCs w:val="28"/>
        </w:rPr>
        <w:t>融资</w:t>
      </w:r>
      <w:r>
        <w:rPr>
          <w:rFonts w:hint="eastAsia" w:ascii="楷体" w:hAnsi="楷体" w:eastAsia="楷体" w:cs="楷体"/>
          <w:bCs/>
          <w:color w:val="auto"/>
          <w:sz w:val="28"/>
          <w:szCs w:val="28"/>
        </w:rPr>
        <w:t>2</w:t>
      </w:r>
      <w:r>
        <w:rPr>
          <w:rFonts w:hint="eastAsia" w:ascii="楷体" w:hAnsi="楷体" w:eastAsia="楷体" w:cs="楷体"/>
          <w:bCs/>
          <w:color w:val="auto"/>
          <w:sz w:val="28"/>
          <w:szCs w:val="28"/>
          <w:lang w:val="en-US" w:eastAsia="zh-CN"/>
        </w:rPr>
        <w:t>2500万</w:t>
      </w:r>
      <w:r>
        <w:rPr>
          <w:rFonts w:ascii="楷体" w:hAnsi="楷体" w:eastAsia="楷体" w:cs="楷体"/>
          <w:bCs/>
          <w:color w:val="auto"/>
          <w:sz w:val="28"/>
          <w:szCs w:val="28"/>
        </w:rPr>
        <w:t>元</w:t>
      </w:r>
      <w:r>
        <w:rPr>
          <w:rFonts w:hint="eastAsia" w:ascii="楷体" w:hAnsi="楷体" w:eastAsia="楷体" w:cs="楷体"/>
          <w:bCs/>
          <w:color w:val="auto"/>
          <w:sz w:val="28"/>
          <w:szCs w:val="28"/>
        </w:rPr>
        <w:t>，2</w:t>
      </w:r>
      <w:r>
        <w:rPr>
          <w:rFonts w:ascii="楷体" w:hAnsi="楷体" w:eastAsia="楷体" w:cs="楷体"/>
          <w:bCs/>
          <w:color w:val="auto"/>
          <w:sz w:val="28"/>
          <w:szCs w:val="28"/>
        </w:rPr>
        <w:t>02</w:t>
      </w:r>
      <w:r>
        <w:rPr>
          <w:rFonts w:hint="eastAsia" w:ascii="楷体" w:hAnsi="楷体" w:eastAsia="楷体" w:cs="楷体"/>
          <w:bCs/>
          <w:color w:val="auto"/>
          <w:sz w:val="28"/>
          <w:szCs w:val="28"/>
          <w:lang w:val="en-US" w:eastAsia="zh-CN"/>
        </w:rPr>
        <w:t>4</w:t>
      </w:r>
      <w:r>
        <w:rPr>
          <w:rFonts w:hint="eastAsia" w:ascii="楷体" w:hAnsi="楷体" w:eastAsia="楷体" w:cs="楷体"/>
          <w:bCs/>
          <w:color w:val="auto"/>
          <w:sz w:val="28"/>
          <w:szCs w:val="28"/>
        </w:rPr>
        <w:t>年</w:t>
      </w:r>
      <w:r>
        <w:rPr>
          <w:rFonts w:hint="eastAsia" w:ascii="楷体" w:hAnsi="楷体" w:eastAsia="楷体" w:cs="楷体"/>
          <w:bCs/>
          <w:color w:val="auto"/>
          <w:sz w:val="28"/>
          <w:szCs w:val="28"/>
          <w:lang w:val="en-US" w:eastAsia="zh-CN"/>
        </w:rPr>
        <w:t>计划</w:t>
      </w:r>
      <w:r>
        <w:rPr>
          <w:rFonts w:hint="eastAsia" w:ascii="楷体" w:hAnsi="楷体" w:eastAsia="楷体" w:cs="楷体"/>
          <w:bCs/>
          <w:color w:val="auto"/>
          <w:sz w:val="28"/>
          <w:szCs w:val="28"/>
        </w:rPr>
        <w:t>发行</w:t>
      </w:r>
      <w:r>
        <w:rPr>
          <w:rFonts w:hint="eastAsia" w:ascii="楷体" w:hAnsi="楷体" w:eastAsia="楷体" w:cs="楷体"/>
          <w:bCs/>
          <w:color w:val="auto"/>
          <w:sz w:val="28"/>
          <w:szCs w:val="28"/>
          <w:lang w:val="en-US" w:eastAsia="zh-CN"/>
        </w:rPr>
        <w:t>7000万</w:t>
      </w:r>
      <w:r>
        <w:rPr>
          <w:rFonts w:hint="eastAsia" w:ascii="楷体" w:hAnsi="楷体" w:eastAsia="楷体" w:cs="楷体"/>
          <w:bCs/>
          <w:color w:val="auto"/>
          <w:sz w:val="28"/>
          <w:szCs w:val="28"/>
        </w:rPr>
        <w:t>元</w:t>
      </w:r>
      <w:r>
        <w:rPr>
          <w:rFonts w:hint="eastAsia" w:ascii="楷体" w:hAnsi="楷体" w:eastAsia="楷体" w:cs="楷体"/>
          <w:bCs/>
          <w:color w:val="auto"/>
          <w:sz w:val="28"/>
          <w:szCs w:val="28"/>
          <w:lang w:eastAsia="zh-CN"/>
        </w:rPr>
        <w:t>，</w:t>
      </w:r>
      <w:r>
        <w:rPr>
          <w:rFonts w:hint="eastAsia" w:ascii="楷体" w:hAnsi="楷体" w:eastAsia="楷体" w:cs="楷体"/>
          <w:bCs/>
          <w:color w:val="auto"/>
          <w:sz w:val="28"/>
          <w:szCs w:val="28"/>
          <w:lang w:val="en-US" w:eastAsia="zh-CN"/>
        </w:rPr>
        <w:t>本期发行1750万元</w:t>
      </w:r>
      <w:r>
        <w:rPr>
          <w:rFonts w:hint="eastAsia" w:ascii="楷体" w:hAnsi="楷体" w:eastAsia="楷体" w:cs="楷体"/>
          <w:bCs/>
          <w:color w:val="auto"/>
          <w:sz w:val="28"/>
          <w:szCs w:val="28"/>
        </w:rPr>
        <w:t>。</w:t>
      </w:r>
    </w:p>
    <w:p w14:paraId="29C7AE25">
      <w:pPr>
        <w:widowControl/>
        <w:autoSpaceDE w:val="0"/>
        <w:autoSpaceDN w:val="0"/>
        <w:spacing w:after="240" w:line="360" w:lineRule="auto"/>
        <w:ind w:left="-141" w:leftChars="-67" w:right="-99" w:rightChars="-47" w:firstLine="439" w:firstLineChars="157"/>
        <w:jc w:val="left"/>
        <w:rPr>
          <w:rFonts w:ascii="楷体" w:hAnsi="楷体" w:eastAsia="楷体" w:cs="楷体"/>
          <w:bCs/>
          <w:color w:val="auto"/>
          <w:sz w:val="28"/>
          <w:szCs w:val="28"/>
        </w:rPr>
      </w:pPr>
      <w:r>
        <w:rPr>
          <w:rFonts w:ascii="楷体" w:hAnsi="楷体" w:eastAsia="楷体" w:cs="楷体"/>
          <w:bCs/>
          <w:color w:val="auto"/>
          <w:sz w:val="28"/>
          <w:szCs w:val="28"/>
        </w:rPr>
        <w:t>项目实施过程中，将按照市场规则向投资者进行详细的项目信息披露，保障投资者权益，更好地发挥专项债券对地方稳增长、促改革、调结构、惠民生、防风险的支持作用。</w:t>
      </w:r>
    </w:p>
    <w:p w14:paraId="3693BBE6">
      <w:pPr>
        <w:widowControl/>
        <w:spacing w:line="360" w:lineRule="auto"/>
        <w:ind w:left="-141" w:leftChars="-67" w:right="-99" w:rightChars="-47" w:firstLine="439" w:firstLineChars="157"/>
        <w:jc w:val="left"/>
        <w:rPr>
          <w:rFonts w:ascii="宋体" w:hAnsi="宋体" w:eastAsia="宋体"/>
          <w:color w:val="auto"/>
          <w:sz w:val="28"/>
          <w:szCs w:val="28"/>
        </w:rPr>
        <w:sectPr>
          <w:footerReference r:id="rId3" w:type="default"/>
          <w:pgSz w:w="11906" w:h="16838"/>
          <w:pgMar w:top="1440" w:right="1133" w:bottom="1440" w:left="1800" w:header="851" w:footer="992" w:gutter="0"/>
          <w:pgNumType w:fmt="decimal" w:start="1"/>
          <w:cols w:space="425" w:num="1"/>
          <w:docGrid w:type="lines" w:linePitch="312" w:charSpace="0"/>
        </w:sectPr>
      </w:pPr>
    </w:p>
    <w:p w14:paraId="13E90730">
      <w:pPr>
        <w:widowControl/>
        <w:spacing w:line="560" w:lineRule="exact"/>
        <w:ind w:firstLine="560" w:firstLineChars="200"/>
        <w:jc w:val="left"/>
        <w:outlineLvl w:val="0"/>
        <w:rPr>
          <w:rFonts w:ascii="黑体" w:hAnsi="黑体" w:eastAsia="黑体" w:cs="黑体"/>
          <w:color w:val="auto"/>
          <w:sz w:val="28"/>
          <w:szCs w:val="28"/>
        </w:rPr>
      </w:pPr>
      <w:bookmarkStart w:id="0" w:name="_Toc25363"/>
      <w:bookmarkStart w:id="1" w:name="_Toc36580088"/>
      <w:r>
        <w:rPr>
          <w:rFonts w:hint="eastAsia" w:ascii="黑体" w:hAnsi="黑体" w:eastAsia="黑体" w:cs="黑体"/>
          <w:color w:val="auto"/>
          <w:sz w:val="28"/>
          <w:szCs w:val="28"/>
        </w:rPr>
        <w:t>一、项目概况</w:t>
      </w:r>
      <w:bookmarkEnd w:id="0"/>
      <w:bookmarkEnd w:id="1"/>
    </w:p>
    <w:p w14:paraId="15B91B11">
      <w:pPr>
        <w:widowControl/>
        <w:spacing w:line="560" w:lineRule="exact"/>
        <w:ind w:firstLine="560" w:firstLineChars="200"/>
        <w:jc w:val="left"/>
        <w:outlineLvl w:val="1"/>
        <w:rPr>
          <w:rFonts w:ascii="楷体" w:hAnsi="楷体" w:eastAsia="楷体" w:cs="楷体"/>
          <w:b/>
          <w:bCs/>
          <w:color w:val="auto"/>
          <w:sz w:val="28"/>
          <w:szCs w:val="28"/>
        </w:rPr>
      </w:pPr>
      <w:bookmarkStart w:id="2" w:name="_Toc1069"/>
      <w:bookmarkStart w:id="3" w:name="_Toc36580089"/>
      <w:r>
        <w:rPr>
          <w:rFonts w:hint="eastAsia" w:ascii="楷体" w:hAnsi="楷体" w:eastAsia="楷体" w:cs="楷体"/>
          <w:b/>
          <w:bCs/>
          <w:color w:val="auto"/>
          <w:sz w:val="28"/>
          <w:szCs w:val="28"/>
        </w:rPr>
        <w:t>（一）项目所在地基本情况</w:t>
      </w:r>
      <w:bookmarkEnd w:id="2"/>
      <w:bookmarkEnd w:id="3"/>
    </w:p>
    <w:p w14:paraId="3BB6DA6E">
      <w:pPr>
        <w:spacing w:line="360" w:lineRule="auto"/>
        <w:ind w:left="-140" w:leftChars="-67" w:right="-98" w:rightChars="-47" w:firstLine="376" w:firstLineChars="157"/>
        <w:rPr>
          <w:rFonts w:hint="eastAsia" w:ascii="宋体" w:hAnsi="宋体" w:eastAsia="宋体" w:cs="宋体"/>
          <w:bCs/>
          <w:color w:val="auto"/>
          <w:sz w:val="24"/>
          <w:szCs w:val="24"/>
        </w:rPr>
      </w:pPr>
      <w:bookmarkStart w:id="4" w:name="_Toc36580090"/>
      <w:r>
        <w:rPr>
          <w:rFonts w:hint="eastAsia" w:ascii="宋体" w:hAnsi="宋体" w:eastAsia="宋体" w:cs="宋体"/>
          <w:bCs/>
          <w:color w:val="auto"/>
          <w:sz w:val="24"/>
          <w:szCs w:val="24"/>
        </w:rPr>
        <w:t>1、所在地情况</w:t>
      </w:r>
      <w:bookmarkEnd w:id="4"/>
    </w:p>
    <w:p w14:paraId="31B96BA0">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7EF1B6C0">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南昌县面积1810.7平方公里；辖7个乡9个镇、1个国家级开发区和银三角管委会；2017年，户籍总人口1039778人，全县地区生产总值（GDP）782亿，按可比价格计算，比2016年增长9.2%。</w:t>
      </w:r>
    </w:p>
    <w:p w14:paraId="7341C4BD">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626BEF30">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5CDB56F0">
      <w:pPr>
        <w:ind w:left="-140" w:leftChars="-67" w:right="-98" w:rightChars="-47" w:firstLine="439" w:firstLineChars="157"/>
        <w:rPr>
          <w:rFonts w:ascii="楷体" w:hAnsi="楷体" w:eastAsia="楷体" w:cs="楷体"/>
          <w:bCs/>
          <w:color w:val="auto"/>
          <w:sz w:val="28"/>
          <w:szCs w:val="28"/>
        </w:rPr>
      </w:pPr>
      <w:bookmarkStart w:id="5" w:name="_Toc36580091"/>
      <w:r>
        <w:rPr>
          <w:rFonts w:hint="eastAsia" w:ascii="楷体" w:hAnsi="楷体" w:eastAsia="楷体" w:cs="楷体"/>
          <w:bCs/>
          <w:color w:val="auto"/>
          <w:sz w:val="28"/>
          <w:szCs w:val="28"/>
        </w:rPr>
        <w:t>2、财政收支情况</w:t>
      </w:r>
      <w:bookmarkEnd w:id="5"/>
    </w:p>
    <w:p w14:paraId="5BCEA167">
      <w:pPr>
        <w:widowControl/>
        <w:spacing w:before="100" w:beforeAutospacing="1" w:after="100" w:afterAutospacing="1"/>
        <w:ind w:firstLine="480"/>
        <w:jc w:val="center"/>
        <w:rPr>
          <w:rFonts w:ascii="宋体" w:hAnsi="宋体" w:eastAsia="宋体" w:cs="宋体"/>
          <w:color w:val="auto"/>
          <w:kern w:val="0"/>
          <w:sz w:val="24"/>
          <w:szCs w:val="24"/>
        </w:rPr>
      </w:pPr>
      <w:bookmarkStart w:id="6" w:name="_Toc36580092"/>
      <w:r>
        <w:rPr>
          <w:rFonts w:ascii="宋体" w:hAnsi="宋体" w:eastAsia="宋体" w:cs="宋体"/>
          <w:color w:val="auto"/>
          <w:kern w:val="0"/>
          <w:sz w:val="24"/>
          <w:szCs w:val="24"/>
        </w:rPr>
        <w:t>南昌县财政支出情况</w:t>
      </w:r>
    </w:p>
    <w:p w14:paraId="01DDDD7F">
      <w:pPr>
        <w:widowControl/>
        <w:spacing w:before="100" w:beforeAutospacing="1" w:after="100" w:afterAutospacing="1"/>
        <w:ind w:firstLine="480"/>
        <w:jc w:val="right"/>
        <w:rPr>
          <w:rFonts w:ascii="宋体" w:hAnsi="宋体" w:eastAsia="宋体" w:cs="宋体"/>
          <w:color w:val="auto"/>
          <w:kern w:val="0"/>
          <w:sz w:val="24"/>
          <w:szCs w:val="24"/>
        </w:rPr>
      </w:pPr>
      <w:r>
        <w:rPr>
          <w:rFonts w:ascii="宋体" w:hAnsi="宋体" w:eastAsia="宋体" w:cs="宋体"/>
          <w:color w:val="auto"/>
          <w:kern w:val="0"/>
          <w:sz w:val="24"/>
          <w:szCs w:val="24"/>
        </w:rPr>
        <w:t>单位：亿元</w:t>
      </w:r>
    </w:p>
    <w:tbl>
      <w:tblPr>
        <w:tblStyle w:val="23"/>
        <w:tblW w:w="4998"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401"/>
        <w:gridCol w:w="1367"/>
        <w:gridCol w:w="1386"/>
        <w:gridCol w:w="1367"/>
      </w:tblGrid>
      <w:tr w14:paraId="337812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2582" w:type="pct"/>
            <w:tcBorders>
              <w:bottom w:val="outset" w:color="auto" w:sz="6" w:space="0"/>
              <w:right w:val="outset" w:color="auto" w:sz="6" w:space="0"/>
            </w:tcBorders>
            <w:shd w:val="clear" w:color="auto" w:fill="BEBEBE"/>
            <w:noWrap w:val="0"/>
            <w:vAlign w:val="center"/>
          </w:tcPr>
          <w:p w14:paraId="4AFC2D5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802" w:type="pct"/>
            <w:tcBorders>
              <w:left w:val="outset" w:color="auto" w:sz="6" w:space="0"/>
              <w:bottom w:val="outset" w:color="auto" w:sz="6" w:space="0"/>
              <w:right w:val="outset" w:color="auto" w:sz="6" w:space="0"/>
            </w:tcBorders>
            <w:shd w:val="clear" w:color="auto" w:fill="BEBEBE"/>
            <w:noWrap w:val="0"/>
            <w:vAlign w:val="top"/>
          </w:tcPr>
          <w:p w14:paraId="4E165B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813" w:type="pct"/>
            <w:tcBorders>
              <w:left w:val="outset" w:color="auto" w:sz="6" w:space="0"/>
              <w:bottom w:val="outset" w:color="auto" w:sz="6" w:space="0"/>
              <w:right w:val="outset" w:color="auto" w:sz="6" w:space="0"/>
            </w:tcBorders>
            <w:shd w:val="clear" w:color="auto" w:fill="BEBEBE"/>
            <w:noWrap w:val="0"/>
            <w:vAlign w:val="top"/>
          </w:tcPr>
          <w:p w14:paraId="75DD12D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802" w:type="pct"/>
            <w:tcBorders>
              <w:left w:val="outset" w:color="auto" w:sz="6" w:space="0"/>
              <w:bottom w:val="outset" w:color="auto" w:sz="6" w:space="0"/>
            </w:tcBorders>
            <w:shd w:val="clear" w:color="auto" w:fill="BEBEBE"/>
            <w:noWrap w:val="0"/>
            <w:vAlign w:val="top"/>
          </w:tcPr>
          <w:p w14:paraId="4D55033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46673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2582" w:type="pct"/>
            <w:tcBorders>
              <w:top w:val="outset" w:color="auto" w:sz="6" w:space="0"/>
              <w:bottom w:val="outset" w:color="auto" w:sz="6" w:space="0"/>
              <w:right w:val="outset" w:color="auto" w:sz="6" w:space="0"/>
            </w:tcBorders>
            <w:noWrap w:val="0"/>
            <w:vAlign w:val="center"/>
          </w:tcPr>
          <w:p w14:paraId="322BC4C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802" w:type="pct"/>
            <w:tcBorders>
              <w:top w:val="outset" w:color="auto" w:sz="6" w:space="0"/>
              <w:left w:val="outset" w:color="auto" w:sz="6" w:space="0"/>
              <w:bottom w:val="outset" w:color="auto" w:sz="6" w:space="0"/>
              <w:right w:val="outset" w:color="auto" w:sz="6" w:space="0"/>
            </w:tcBorders>
            <w:noWrap w:val="0"/>
            <w:vAlign w:val="top"/>
          </w:tcPr>
          <w:p w14:paraId="3C3DB24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813" w:type="pct"/>
            <w:tcBorders>
              <w:top w:val="outset" w:color="auto" w:sz="6" w:space="0"/>
              <w:left w:val="outset" w:color="auto" w:sz="6" w:space="0"/>
              <w:bottom w:val="outset" w:color="auto" w:sz="6" w:space="0"/>
              <w:right w:val="outset" w:color="auto" w:sz="6" w:space="0"/>
            </w:tcBorders>
            <w:noWrap w:val="0"/>
            <w:vAlign w:val="top"/>
          </w:tcPr>
          <w:p w14:paraId="6EE5F04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802" w:type="pct"/>
            <w:tcBorders>
              <w:top w:val="outset" w:color="auto" w:sz="6" w:space="0"/>
              <w:left w:val="outset" w:color="auto" w:sz="6" w:space="0"/>
              <w:bottom w:val="outset" w:color="auto" w:sz="6" w:space="0"/>
            </w:tcBorders>
            <w:noWrap w:val="0"/>
            <w:vAlign w:val="top"/>
          </w:tcPr>
          <w:p w14:paraId="36B733A6">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18F21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2582" w:type="pct"/>
            <w:tcBorders>
              <w:top w:val="outset" w:color="auto" w:sz="6" w:space="0"/>
              <w:bottom w:val="outset" w:color="auto" w:sz="6" w:space="0"/>
              <w:right w:val="outset" w:color="auto" w:sz="6" w:space="0"/>
            </w:tcBorders>
            <w:noWrap w:val="0"/>
            <w:vAlign w:val="center"/>
          </w:tcPr>
          <w:p w14:paraId="43E5326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802" w:type="pct"/>
            <w:tcBorders>
              <w:top w:val="outset" w:color="auto" w:sz="6" w:space="0"/>
              <w:left w:val="outset" w:color="auto" w:sz="6" w:space="0"/>
              <w:bottom w:val="outset" w:color="auto" w:sz="6" w:space="0"/>
              <w:right w:val="outset" w:color="auto" w:sz="6" w:space="0"/>
            </w:tcBorders>
            <w:noWrap w:val="0"/>
            <w:vAlign w:val="top"/>
          </w:tcPr>
          <w:p w14:paraId="3465AA7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813" w:type="pct"/>
            <w:tcBorders>
              <w:top w:val="outset" w:color="auto" w:sz="6" w:space="0"/>
              <w:left w:val="outset" w:color="auto" w:sz="6" w:space="0"/>
              <w:bottom w:val="outset" w:color="auto" w:sz="6" w:space="0"/>
              <w:right w:val="outset" w:color="auto" w:sz="6" w:space="0"/>
            </w:tcBorders>
            <w:noWrap w:val="0"/>
            <w:vAlign w:val="top"/>
          </w:tcPr>
          <w:p w14:paraId="76ACEDD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802" w:type="pct"/>
            <w:tcBorders>
              <w:top w:val="outset" w:color="auto" w:sz="6" w:space="0"/>
              <w:left w:val="outset" w:color="auto" w:sz="6" w:space="0"/>
              <w:bottom w:val="outset" w:color="auto" w:sz="6" w:space="0"/>
            </w:tcBorders>
            <w:noWrap w:val="0"/>
            <w:vAlign w:val="top"/>
          </w:tcPr>
          <w:p w14:paraId="2DF17465">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3DB347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2582" w:type="pct"/>
            <w:tcBorders>
              <w:top w:val="outset" w:color="auto" w:sz="6" w:space="0"/>
              <w:bottom w:val="outset" w:color="auto" w:sz="6" w:space="0"/>
              <w:right w:val="outset" w:color="auto" w:sz="6" w:space="0"/>
            </w:tcBorders>
            <w:noWrap w:val="0"/>
            <w:vAlign w:val="center"/>
          </w:tcPr>
          <w:p w14:paraId="5BD975D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802" w:type="pct"/>
            <w:tcBorders>
              <w:top w:val="outset" w:color="auto" w:sz="6" w:space="0"/>
              <w:left w:val="outset" w:color="auto" w:sz="6" w:space="0"/>
              <w:bottom w:val="outset" w:color="auto" w:sz="6" w:space="0"/>
              <w:right w:val="outset" w:color="auto" w:sz="6" w:space="0"/>
            </w:tcBorders>
            <w:noWrap w:val="0"/>
            <w:vAlign w:val="top"/>
          </w:tcPr>
          <w:p w14:paraId="05901D8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813" w:type="pct"/>
            <w:tcBorders>
              <w:top w:val="outset" w:color="auto" w:sz="6" w:space="0"/>
              <w:left w:val="outset" w:color="auto" w:sz="6" w:space="0"/>
              <w:bottom w:val="outset" w:color="auto" w:sz="6" w:space="0"/>
              <w:right w:val="outset" w:color="auto" w:sz="6" w:space="0"/>
            </w:tcBorders>
            <w:noWrap w:val="0"/>
            <w:vAlign w:val="top"/>
          </w:tcPr>
          <w:p w14:paraId="7D46B2A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802" w:type="pct"/>
            <w:tcBorders>
              <w:top w:val="outset" w:color="auto" w:sz="6" w:space="0"/>
              <w:left w:val="outset" w:color="auto" w:sz="6" w:space="0"/>
              <w:bottom w:val="outset" w:color="auto" w:sz="6" w:space="0"/>
            </w:tcBorders>
            <w:noWrap w:val="0"/>
            <w:vAlign w:val="top"/>
          </w:tcPr>
          <w:p w14:paraId="508AAD5D">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0BF00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2582" w:type="pct"/>
            <w:tcBorders>
              <w:top w:val="outset" w:color="auto" w:sz="6" w:space="0"/>
              <w:bottom w:val="outset" w:color="auto" w:sz="6" w:space="0"/>
              <w:right w:val="outset" w:color="auto" w:sz="6" w:space="0"/>
            </w:tcBorders>
            <w:noWrap w:val="0"/>
            <w:vAlign w:val="center"/>
          </w:tcPr>
          <w:p w14:paraId="3265A87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802" w:type="pct"/>
            <w:tcBorders>
              <w:top w:val="outset" w:color="auto" w:sz="6" w:space="0"/>
              <w:left w:val="outset" w:color="auto" w:sz="6" w:space="0"/>
              <w:bottom w:val="outset" w:color="auto" w:sz="6" w:space="0"/>
              <w:right w:val="outset" w:color="auto" w:sz="6" w:space="0"/>
            </w:tcBorders>
            <w:noWrap w:val="0"/>
            <w:vAlign w:val="top"/>
          </w:tcPr>
          <w:p w14:paraId="0A6B28D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813" w:type="pct"/>
            <w:tcBorders>
              <w:top w:val="outset" w:color="auto" w:sz="6" w:space="0"/>
              <w:left w:val="outset" w:color="auto" w:sz="6" w:space="0"/>
              <w:bottom w:val="outset" w:color="auto" w:sz="6" w:space="0"/>
              <w:right w:val="outset" w:color="auto" w:sz="6" w:space="0"/>
            </w:tcBorders>
            <w:noWrap w:val="0"/>
            <w:vAlign w:val="top"/>
          </w:tcPr>
          <w:p w14:paraId="63F805B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802" w:type="pct"/>
            <w:tcBorders>
              <w:top w:val="outset" w:color="auto" w:sz="6" w:space="0"/>
              <w:left w:val="outset" w:color="auto" w:sz="6" w:space="0"/>
              <w:bottom w:val="outset" w:color="auto" w:sz="6" w:space="0"/>
            </w:tcBorders>
            <w:noWrap w:val="0"/>
            <w:vAlign w:val="top"/>
          </w:tcPr>
          <w:p w14:paraId="25D7C5CE">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3E0D6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7" w:hRule="atLeast"/>
          <w:tblCellSpacing w:w="0" w:type="dxa"/>
        </w:trPr>
        <w:tc>
          <w:tcPr>
            <w:tcW w:w="2582" w:type="pct"/>
            <w:tcBorders>
              <w:top w:val="outset" w:color="auto" w:sz="6" w:space="0"/>
              <w:bottom w:val="outset" w:color="auto" w:sz="6" w:space="0"/>
              <w:right w:val="outset" w:color="auto" w:sz="6" w:space="0"/>
            </w:tcBorders>
            <w:noWrap w:val="0"/>
            <w:vAlign w:val="center"/>
          </w:tcPr>
          <w:p w14:paraId="55025B4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802" w:type="pct"/>
            <w:tcBorders>
              <w:top w:val="outset" w:color="auto" w:sz="6" w:space="0"/>
              <w:left w:val="outset" w:color="auto" w:sz="6" w:space="0"/>
              <w:bottom w:val="outset" w:color="auto" w:sz="6" w:space="0"/>
              <w:right w:val="outset" w:color="auto" w:sz="6" w:space="0"/>
            </w:tcBorders>
            <w:noWrap w:val="0"/>
            <w:vAlign w:val="top"/>
          </w:tcPr>
          <w:p w14:paraId="66D4E43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813" w:type="pct"/>
            <w:tcBorders>
              <w:top w:val="outset" w:color="auto" w:sz="6" w:space="0"/>
              <w:left w:val="outset" w:color="auto" w:sz="6" w:space="0"/>
              <w:bottom w:val="outset" w:color="auto" w:sz="6" w:space="0"/>
              <w:right w:val="outset" w:color="auto" w:sz="6" w:space="0"/>
            </w:tcBorders>
            <w:noWrap w:val="0"/>
            <w:vAlign w:val="top"/>
          </w:tcPr>
          <w:p w14:paraId="1FD0087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802" w:type="pct"/>
            <w:tcBorders>
              <w:top w:val="outset" w:color="auto" w:sz="6" w:space="0"/>
              <w:left w:val="outset" w:color="auto" w:sz="6" w:space="0"/>
              <w:bottom w:val="outset" w:color="auto" w:sz="6" w:space="0"/>
            </w:tcBorders>
            <w:noWrap w:val="0"/>
            <w:vAlign w:val="top"/>
          </w:tcPr>
          <w:p w14:paraId="5E94F51D">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54FEB0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05" w:hRule="atLeast"/>
          <w:tblCellSpacing w:w="0" w:type="dxa"/>
        </w:trPr>
        <w:tc>
          <w:tcPr>
            <w:tcW w:w="2582" w:type="pct"/>
            <w:tcBorders>
              <w:top w:val="outset" w:color="auto" w:sz="6" w:space="0"/>
              <w:right w:val="outset" w:color="auto" w:sz="6" w:space="0"/>
            </w:tcBorders>
            <w:noWrap w:val="0"/>
            <w:vAlign w:val="center"/>
          </w:tcPr>
          <w:p w14:paraId="151B285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802" w:type="pct"/>
            <w:tcBorders>
              <w:top w:val="outset" w:color="auto" w:sz="6" w:space="0"/>
              <w:left w:val="outset" w:color="auto" w:sz="6" w:space="0"/>
              <w:right w:val="outset" w:color="auto" w:sz="6" w:space="0"/>
            </w:tcBorders>
            <w:noWrap w:val="0"/>
            <w:vAlign w:val="top"/>
          </w:tcPr>
          <w:p w14:paraId="3273F77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813" w:type="pct"/>
            <w:tcBorders>
              <w:top w:val="outset" w:color="auto" w:sz="6" w:space="0"/>
              <w:left w:val="outset" w:color="auto" w:sz="6" w:space="0"/>
              <w:right w:val="outset" w:color="auto" w:sz="6" w:space="0"/>
            </w:tcBorders>
            <w:noWrap w:val="0"/>
            <w:vAlign w:val="top"/>
          </w:tcPr>
          <w:p w14:paraId="3C3F2BC3">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802" w:type="pct"/>
            <w:tcBorders>
              <w:top w:val="outset" w:color="auto" w:sz="6" w:space="0"/>
              <w:left w:val="outset" w:color="auto" w:sz="6" w:space="0"/>
            </w:tcBorders>
            <w:noWrap w:val="0"/>
            <w:vAlign w:val="top"/>
          </w:tcPr>
          <w:p w14:paraId="0FD65B11">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469E475E">
      <w:pPr>
        <w:widowControl/>
        <w:spacing w:line="560" w:lineRule="exact"/>
        <w:jc w:val="left"/>
        <w:outlineLvl w:val="1"/>
        <w:rPr>
          <w:rFonts w:ascii="楷体" w:hAnsi="楷体" w:eastAsia="楷体" w:cs="楷体"/>
          <w:b/>
          <w:bCs/>
          <w:color w:val="auto"/>
          <w:sz w:val="28"/>
          <w:szCs w:val="28"/>
        </w:rPr>
      </w:pPr>
      <w:bookmarkStart w:id="7" w:name="_Toc10701"/>
      <w:r>
        <w:rPr>
          <w:rFonts w:hint="eastAsia" w:ascii="楷体" w:hAnsi="楷体" w:eastAsia="楷体" w:cs="楷体"/>
          <w:b/>
          <w:bCs/>
          <w:color w:val="auto"/>
          <w:sz w:val="28"/>
          <w:szCs w:val="28"/>
        </w:rPr>
        <w:t>（二）项目实施背景</w:t>
      </w:r>
      <w:bookmarkEnd w:id="6"/>
      <w:bookmarkEnd w:id="7"/>
    </w:p>
    <w:p w14:paraId="7E0F45FF">
      <w:pPr>
        <w:spacing w:line="360" w:lineRule="auto"/>
        <w:ind w:left="-140" w:leftChars="-67" w:right="-98" w:rightChars="-47" w:firstLine="376" w:firstLineChars="157"/>
        <w:rPr>
          <w:rFonts w:hint="eastAsia" w:ascii="宋体" w:hAnsi="宋体" w:eastAsia="宋体" w:cs="宋体"/>
          <w:bCs/>
          <w:color w:val="auto"/>
          <w:sz w:val="24"/>
          <w:szCs w:val="24"/>
        </w:rPr>
      </w:pPr>
      <w:bookmarkStart w:id="8" w:name="_Toc36580093"/>
      <w:r>
        <w:rPr>
          <w:rFonts w:hint="eastAsia" w:ascii="宋体" w:hAnsi="宋体" w:eastAsia="宋体" w:cs="宋体"/>
          <w:bCs/>
          <w:color w:val="auto"/>
          <w:sz w:val="24"/>
          <w:szCs w:val="24"/>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7CB7F196">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5666A475">
      <w:pPr>
        <w:widowControl/>
        <w:spacing w:line="560" w:lineRule="exact"/>
        <w:ind w:firstLine="560" w:firstLineChars="200"/>
        <w:jc w:val="left"/>
        <w:outlineLvl w:val="1"/>
        <w:rPr>
          <w:rFonts w:ascii="楷体" w:hAnsi="楷体" w:eastAsia="楷体" w:cs="楷体"/>
          <w:b/>
          <w:bCs/>
          <w:color w:val="auto"/>
          <w:sz w:val="28"/>
          <w:szCs w:val="28"/>
        </w:rPr>
      </w:pPr>
      <w:bookmarkStart w:id="9" w:name="_Toc2646"/>
      <w:r>
        <w:rPr>
          <w:rFonts w:hint="eastAsia" w:ascii="楷体" w:hAnsi="楷体" w:eastAsia="楷体" w:cs="楷体"/>
          <w:b/>
          <w:bCs/>
          <w:color w:val="auto"/>
          <w:sz w:val="28"/>
          <w:szCs w:val="28"/>
        </w:rPr>
        <w:t>（三）项目基本情况</w:t>
      </w:r>
      <w:bookmarkEnd w:id="8"/>
      <w:bookmarkEnd w:id="9"/>
    </w:p>
    <w:p w14:paraId="3254109C">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项目名称：东新乡东岳村三期安置房（城市棚户区改造）项目</w:t>
      </w:r>
    </w:p>
    <w:p w14:paraId="7B08E155">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建设单位：南昌县城市建设投资发展有限公司</w:t>
      </w:r>
    </w:p>
    <w:p w14:paraId="5D7485F4">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建设内容：本项目总用地面积约53974.56平方米（80.96亩），总建筑面积156663.93平方米，其中，计容面积约121691.98平方米、不计容面积约34971.95平方米(其中架空层约53.53平方米、风井约63.82 平方米，地下室约34854.6平方米)。住宅建筑面积约116902.87平方米、商业网点建筑面积约459.28平方米、幼儿园建筑面积约2122.54平方米，养老服务设施用房面积约207.93平方米、物业用房面积约328.66平方米、社区服务用房面积约680.61平方米、垃圾站公厕建筑面积约130.95平方米、消防控制室面积约44.72平方米、地下室出入口面积约83.83平方米、烟道面积约24.86平方米、非机动车停车库面积约596.79平方米、架空层约108.94平方米。</w:t>
      </w:r>
    </w:p>
    <w:p w14:paraId="3C2C4CC5">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项目规划建设8栋建筑物，其中2栋32层住字楼(舍社区用房、养老服务设施用房、物业用房、公厕)、2栋28层住宅楼(含商业)、2栋26层住字楼 1栋3层幼儿园、1栋1层垃圾站。容积率2.25、建筑密度11.35%、绿地率 54.83%，总户数为1113户。</w:t>
      </w:r>
    </w:p>
    <w:p w14:paraId="5D8ACB84">
      <w:pPr>
        <w:widowControl/>
        <w:spacing w:line="560" w:lineRule="exact"/>
        <w:ind w:firstLine="560" w:firstLineChars="200"/>
        <w:jc w:val="left"/>
        <w:outlineLvl w:val="1"/>
        <w:rPr>
          <w:rFonts w:ascii="楷体" w:hAnsi="楷体" w:eastAsia="楷体" w:cs="楷体"/>
          <w:b/>
          <w:bCs/>
          <w:color w:val="auto"/>
          <w:sz w:val="28"/>
          <w:szCs w:val="28"/>
        </w:rPr>
      </w:pPr>
      <w:bookmarkStart w:id="10" w:name="_Toc28658"/>
      <w:r>
        <w:rPr>
          <w:rFonts w:hint="eastAsia" w:ascii="楷体" w:hAnsi="楷体" w:eastAsia="楷体" w:cs="楷体"/>
          <w:b/>
          <w:bCs/>
          <w:color w:val="auto"/>
          <w:sz w:val="28"/>
          <w:szCs w:val="28"/>
        </w:rPr>
        <w:t>（四）项目总投资额</w:t>
      </w:r>
      <w:bookmarkEnd w:id="10"/>
    </w:p>
    <w:p w14:paraId="5C209ED7">
      <w:pPr>
        <w:pStyle w:val="19"/>
        <w:spacing w:before="0" w:beforeAutospacing="0" w:after="156" w:afterLines="50" w:afterAutospacing="0" w:line="360" w:lineRule="auto"/>
        <w:ind w:firstLine="480" w:firstLineChars="200"/>
        <w:jc w:val="both"/>
        <w:rPr>
          <w:color w:val="000000" w:themeColor="text1"/>
          <w:sz w:val="24"/>
          <w:szCs w:val="24"/>
          <w:highlight w:val="none"/>
          <w14:textFill>
            <w14:solidFill>
              <w14:schemeClr w14:val="tx1"/>
            </w14:solidFill>
          </w14:textFill>
        </w:rPr>
      </w:pPr>
      <w:bookmarkStart w:id="11" w:name="_Toc36580094"/>
      <w:r>
        <w:rPr>
          <w:rFonts w:hint="eastAsia"/>
          <w:color w:val="000000" w:themeColor="text1"/>
          <w:sz w:val="24"/>
          <w:szCs w:val="24"/>
          <w:highlight w:val="none"/>
          <w14:textFill>
            <w14:solidFill>
              <w14:schemeClr w14:val="tx1"/>
            </w14:solidFill>
          </w14:textFill>
        </w:rPr>
        <w:t>东新乡东岳村三期安置房（城市棚户区改造）项目，根据江西省发展和改革委员会《江西省发展改革委关于</w:t>
      </w:r>
      <w:r>
        <w:rPr>
          <w:rFonts w:hint="eastAsia"/>
          <w:color w:val="000000" w:themeColor="text1"/>
          <w:sz w:val="24"/>
          <w:szCs w:val="24"/>
          <w:highlight w:val="none"/>
          <w:lang w:eastAsia="zh-CN"/>
          <w14:textFill>
            <w14:solidFill>
              <w14:schemeClr w14:val="tx1"/>
            </w14:solidFill>
          </w14:textFill>
        </w:rPr>
        <w:t>东新乡东岳村三期安置房（城市棚户区改造）项目</w:t>
      </w:r>
      <w:r>
        <w:rPr>
          <w:rFonts w:hint="eastAsia"/>
          <w:color w:val="000000" w:themeColor="text1"/>
          <w:sz w:val="24"/>
          <w:szCs w:val="24"/>
          <w:highlight w:val="none"/>
          <w14:textFill>
            <w14:solidFill>
              <w14:schemeClr w14:val="tx1"/>
            </w14:solidFill>
          </w14:textFill>
        </w:rPr>
        <w:t>可行性研究的批复》（赣发改投资〔20</w:t>
      </w:r>
      <w:r>
        <w:rPr>
          <w:rFonts w:hint="eastAsia"/>
          <w:color w:val="000000" w:themeColor="text1"/>
          <w:sz w:val="24"/>
          <w:szCs w:val="24"/>
          <w:highlight w:val="none"/>
          <w:lang w:val="en-US" w:eastAsia="zh-CN"/>
          <w14:textFill>
            <w14:solidFill>
              <w14:schemeClr w14:val="tx1"/>
            </w14:solidFill>
          </w14:textFill>
        </w:rPr>
        <w:t>19</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235</w:t>
      </w:r>
      <w:r>
        <w:rPr>
          <w:rFonts w:hint="eastAsia"/>
          <w:color w:val="000000" w:themeColor="text1"/>
          <w:sz w:val="24"/>
          <w:szCs w:val="24"/>
          <w:highlight w:val="none"/>
          <w14:textFill>
            <w14:solidFill>
              <w14:schemeClr w14:val="tx1"/>
            </w14:solidFill>
          </w14:textFill>
        </w:rPr>
        <w:t>号）核定总投资为</w:t>
      </w:r>
      <w:r>
        <w:rPr>
          <w:rFonts w:hint="eastAsia"/>
          <w:color w:val="000000" w:themeColor="text1"/>
          <w:sz w:val="24"/>
          <w:szCs w:val="24"/>
          <w:highlight w:val="none"/>
          <w:lang w:val="en-US" w:eastAsia="zh-CN"/>
          <w14:textFill>
            <w14:solidFill>
              <w14:schemeClr w14:val="tx1"/>
            </w14:solidFill>
          </w14:textFill>
        </w:rPr>
        <w:t>49</w:t>
      </w:r>
      <w:r>
        <w:rPr>
          <w:color w:val="000000" w:themeColor="text1"/>
          <w:sz w:val="24"/>
          <w:szCs w:val="24"/>
          <w:highlight w:val="none"/>
          <w14:textFill>
            <w14:solidFill>
              <w14:schemeClr w14:val="tx1"/>
            </w14:solidFill>
          </w14:textFill>
        </w:rPr>
        <w:t>,9</w:t>
      </w:r>
      <w:r>
        <w:rPr>
          <w:rFonts w:hint="eastAsia"/>
          <w:color w:val="000000" w:themeColor="text1"/>
          <w:sz w:val="24"/>
          <w:szCs w:val="24"/>
          <w:highlight w:val="none"/>
          <w:lang w:val="en-US" w:eastAsia="zh-CN"/>
          <w14:textFill>
            <w14:solidFill>
              <w14:schemeClr w14:val="tx1"/>
            </w14:solidFill>
          </w14:textFill>
        </w:rPr>
        <w:t>42</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81</w:t>
      </w:r>
      <w:r>
        <w:rPr>
          <w:rFonts w:hint="eastAsia"/>
          <w:color w:val="000000" w:themeColor="text1"/>
          <w:sz w:val="24"/>
          <w:szCs w:val="24"/>
          <w:highlight w:val="none"/>
          <w14:textFill>
            <w14:solidFill>
              <w14:schemeClr w14:val="tx1"/>
            </w14:solidFill>
          </w14:textFill>
        </w:rPr>
        <w:t>万元。主要包括工程费用、工程建设其他费用及预备费等。</w:t>
      </w:r>
    </w:p>
    <w:p w14:paraId="173CB929">
      <w:pPr>
        <w:pStyle w:val="19"/>
        <w:spacing w:before="0" w:beforeAutospacing="0" w:after="156" w:afterLines="50" w:afterAutospacing="0" w:line="360" w:lineRule="auto"/>
        <w:ind w:firstLine="480" w:firstLineChars="200"/>
        <w:jc w:val="both"/>
        <w:rPr>
          <w:color w:val="000000" w:themeColor="text1"/>
          <w:sz w:val="21"/>
          <w:szCs w:val="2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为了保障以上建设项目合理的融资需求，更好地发挥专项债券对东新乡东岳村三期安置房（城市棚户区改造）项目支持作用，本次项目计划通过自筹资金及发行项目收益与融资自求平衡专项债券的方式完成项目建设。</w:t>
      </w:r>
      <w:r>
        <w:rPr>
          <w:rFonts w:hint="eastAsia"/>
          <w:color w:val="000000" w:themeColor="text1"/>
          <w:sz w:val="24"/>
          <w:szCs w:val="24"/>
          <w:highlight w:val="none"/>
          <w:lang w:eastAsia="zh-CN"/>
          <w14:textFill>
            <w14:solidFill>
              <w14:schemeClr w14:val="tx1"/>
            </w14:solidFill>
          </w14:textFill>
        </w:rPr>
        <w:t>南昌县住房和城乡建设局</w:t>
      </w:r>
      <w:r>
        <w:rPr>
          <w:rFonts w:hint="eastAsia"/>
          <w:color w:val="000000" w:themeColor="text1"/>
          <w:sz w:val="24"/>
          <w:szCs w:val="24"/>
          <w:highlight w:val="none"/>
          <w14:textFill>
            <w14:solidFill>
              <w14:schemeClr w14:val="tx1"/>
            </w14:solidFill>
          </w14:textFill>
        </w:rPr>
        <w:t>申请地方政府专项债券的明细情况见下表：</w:t>
      </w:r>
    </w:p>
    <w:p w14:paraId="18F40369">
      <w:pPr>
        <w:pStyle w:val="19"/>
        <w:keepNext/>
        <w:spacing w:before="0" w:beforeAutospacing="0" w:after="0" w:afterAutospacing="0" w:line="360" w:lineRule="exact"/>
        <w:ind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889" w:type="pct"/>
        <w:tblInd w:w="0" w:type="dxa"/>
        <w:tblLayout w:type="fixed"/>
        <w:tblCellMar>
          <w:top w:w="0" w:type="dxa"/>
          <w:left w:w="108" w:type="dxa"/>
          <w:bottom w:w="0" w:type="dxa"/>
          <w:right w:w="108" w:type="dxa"/>
        </w:tblCellMar>
      </w:tblPr>
      <w:tblGrid>
        <w:gridCol w:w="1332"/>
        <w:gridCol w:w="1148"/>
        <w:gridCol w:w="1262"/>
        <w:gridCol w:w="1416"/>
        <w:gridCol w:w="1272"/>
        <w:gridCol w:w="2097"/>
      </w:tblGrid>
      <w:tr w14:paraId="38BAB045">
        <w:tblPrEx>
          <w:tblCellMar>
            <w:top w:w="0" w:type="dxa"/>
            <w:left w:w="108" w:type="dxa"/>
            <w:bottom w:w="0" w:type="dxa"/>
            <w:right w:w="108" w:type="dxa"/>
          </w:tblCellMar>
        </w:tblPrEx>
        <w:trPr>
          <w:trHeight w:val="270" w:hRule="atLeast"/>
        </w:trPr>
        <w:tc>
          <w:tcPr>
            <w:tcW w:w="78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EC95DF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FE14C8">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545" w:type="pct"/>
            <w:gridSpan w:val="4"/>
            <w:tcBorders>
              <w:top w:val="single" w:color="auto" w:sz="4" w:space="0"/>
              <w:left w:val="nil"/>
              <w:bottom w:val="single" w:color="auto" w:sz="4" w:space="0"/>
              <w:right w:val="nil"/>
            </w:tcBorders>
          </w:tcPr>
          <w:p w14:paraId="1820B046">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40B472A1">
        <w:tblPrEx>
          <w:tblCellMar>
            <w:top w:w="0" w:type="dxa"/>
            <w:left w:w="108" w:type="dxa"/>
            <w:bottom w:w="0" w:type="dxa"/>
            <w:right w:w="108" w:type="dxa"/>
          </w:tblCellMar>
        </w:tblPrEx>
        <w:trPr>
          <w:trHeight w:val="270" w:hRule="atLeast"/>
        </w:trPr>
        <w:tc>
          <w:tcPr>
            <w:tcW w:w="781" w:type="pct"/>
            <w:vMerge w:val="continue"/>
            <w:tcBorders>
              <w:top w:val="single" w:color="auto" w:sz="4" w:space="0"/>
              <w:left w:val="single" w:color="auto" w:sz="4" w:space="0"/>
              <w:bottom w:val="single" w:color="auto" w:sz="4" w:space="0"/>
              <w:right w:val="single" w:color="auto" w:sz="4" w:space="0"/>
            </w:tcBorders>
            <w:vAlign w:val="center"/>
          </w:tcPr>
          <w:p w14:paraId="269AE746">
            <w:pPr>
              <w:widowControl/>
              <w:jc w:val="center"/>
              <w:rPr>
                <w:rFonts w:ascii="宋体" w:hAnsi="宋体" w:cs="宋体"/>
                <w:b/>
                <w:bCs/>
                <w:color w:val="000000"/>
                <w:kern w:val="0"/>
                <w:sz w:val="18"/>
                <w:szCs w:val="18"/>
                <w:highlight w:val="none"/>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14:paraId="50DBBF5A">
            <w:pPr>
              <w:widowControl/>
              <w:jc w:val="center"/>
              <w:rPr>
                <w:rFonts w:ascii="宋体" w:hAnsi="宋体" w:cs="宋体"/>
                <w:b/>
                <w:bCs/>
                <w:color w:val="000000"/>
                <w:kern w:val="0"/>
                <w:sz w:val="18"/>
                <w:szCs w:val="18"/>
                <w:highlight w:val="none"/>
              </w:rPr>
            </w:pPr>
          </w:p>
        </w:tc>
        <w:tc>
          <w:tcPr>
            <w:tcW w:w="740" w:type="pct"/>
            <w:tcBorders>
              <w:top w:val="nil"/>
              <w:left w:val="nil"/>
              <w:bottom w:val="single" w:color="auto" w:sz="4" w:space="0"/>
              <w:right w:val="single" w:color="auto" w:sz="4" w:space="0"/>
            </w:tcBorders>
            <w:shd w:val="clear" w:color="auto" w:fill="auto"/>
            <w:vAlign w:val="center"/>
          </w:tcPr>
          <w:p w14:paraId="5E399A7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830" w:type="pct"/>
            <w:tcBorders>
              <w:top w:val="single" w:color="auto" w:sz="4" w:space="0"/>
              <w:left w:val="nil"/>
              <w:bottom w:val="single" w:color="auto" w:sz="4" w:space="0"/>
              <w:right w:val="single" w:color="auto" w:sz="4" w:space="0"/>
            </w:tcBorders>
          </w:tcPr>
          <w:p w14:paraId="50A3943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调整金额</w:t>
            </w:r>
          </w:p>
        </w:tc>
        <w:tc>
          <w:tcPr>
            <w:tcW w:w="745" w:type="pct"/>
            <w:tcBorders>
              <w:top w:val="nil"/>
              <w:left w:val="nil"/>
              <w:bottom w:val="single" w:color="auto" w:sz="4" w:space="0"/>
              <w:right w:val="single" w:color="auto" w:sz="4" w:space="0"/>
            </w:tcBorders>
            <w:shd w:val="clear" w:color="auto" w:fill="auto"/>
            <w:noWrap/>
            <w:vAlign w:val="center"/>
          </w:tcPr>
          <w:p w14:paraId="17A5890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1229" w:type="pct"/>
            <w:tcBorders>
              <w:top w:val="nil"/>
              <w:left w:val="nil"/>
              <w:bottom w:val="single" w:color="auto" w:sz="4" w:space="0"/>
              <w:right w:val="single" w:color="auto" w:sz="4" w:space="0"/>
            </w:tcBorders>
            <w:shd w:val="clear" w:color="auto" w:fill="auto"/>
            <w:noWrap/>
            <w:vAlign w:val="center"/>
          </w:tcPr>
          <w:p w14:paraId="75E76FBC">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r>
              <w:rPr>
                <w:rFonts w:hint="eastAsia" w:ascii="宋体" w:hAnsi="宋体" w:cs="宋体"/>
                <w:b/>
                <w:bCs/>
                <w:color w:val="000000"/>
                <w:kern w:val="0"/>
                <w:sz w:val="18"/>
                <w:szCs w:val="18"/>
                <w:highlight w:val="none"/>
                <w:lang w:val="en-US" w:eastAsia="zh-CN"/>
              </w:rPr>
              <w:t>计划</w:t>
            </w:r>
            <w:r>
              <w:rPr>
                <w:rFonts w:hint="eastAsia" w:ascii="宋体" w:hAnsi="宋体" w:cs="宋体"/>
                <w:b/>
                <w:bCs/>
                <w:color w:val="000000"/>
                <w:kern w:val="0"/>
                <w:sz w:val="18"/>
                <w:szCs w:val="18"/>
                <w:highlight w:val="none"/>
              </w:rPr>
              <w:t>发行</w:t>
            </w:r>
          </w:p>
        </w:tc>
      </w:tr>
      <w:tr w14:paraId="38853919">
        <w:tblPrEx>
          <w:tblCellMar>
            <w:top w:w="0" w:type="dxa"/>
            <w:left w:w="108" w:type="dxa"/>
            <w:bottom w:w="0" w:type="dxa"/>
            <w:right w:w="108" w:type="dxa"/>
          </w:tblCellMar>
        </w:tblPrEx>
        <w:trPr>
          <w:trHeight w:val="270" w:hRule="atLeast"/>
        </w:trPr>
        <w:tc>
          <w:tcPr>
            <w:tcW w:w="781" w:type="pct"/>
            <w:tcBorders>
              <w:top w:val="nil"/>
              <w:left w:val="single" w:color="auto" w:sz="4" w:space="0"/>
              <w:bottom w:val="single" w:color="auto" w:sz="4" w:space="0"/>
              <w:right w:val="single" w:color="auto" w:sz="4" w:space="0"/>
            </w:tcBorders>
            <w:shd w:val="clear" w:color="auto" w:fill="auto"/>
            <w:noWrap/>
            <w:vAlign w:val="center"/>
          </w:tcPr>
          <w:p w14:paraId="1319AB79">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49,942.81</w:t>
            </w:r>
          </w:p>
        </w:tc>
        <w:tc>
          <w:tcPr>
            <w:tcW w:w="673" w:type="pct"/>
            <w:tcBorders>
              <w:top w:val="nil"/>
              <w:left w:val="nil"/>
              <w:bottom w:val="single" w:color="auto" w:sz="4" w:space="0"/>
              <w:right w:val="single" w:color="auto" w:sz="4" w:space="0"/>
            </w:tcBorders>
            <w:shd w:val="clear" w:color="auto" w:fill="auto"/>
            <w:noWrap/>
            <w:vAlign w:val="center"/>
          </w:tcPr>
          <w:p w14:paraId="71253B18">
            <w:pPr>
              <w:widowControl/>
              <w:jc w:val="center"/>
              <w:rPr>
                <w:rFonts w:hint="default"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27,442.81</w:t>
            </w:r>
          </w:p>
        </w:tc>
        <w:tc>
          <w:tcPr>
            <w:tcW w:w="740" w:type="pct"/>
            <w:tcBorders>
              <w:top w:val="nil"/>
              <w:left w:val="nil"/>
              <w:bottom w:val="single" w:color="auto" w:sz="4" w:space="0"/>
              <w:right w:val="single" w:color="auto" w:sz="4" w:space="0"/>
            </w:tcBorders>
            <w:shd w:val="clear" w:color="auto" w:fill="auto"/>
            <w:vAlign w:val="center"/>
          </w:tcPr>
          <w:p w14:paraId="6F8D8A75">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22,500.00</w:t>
            </w:r>
          </w:p>
        </w:tc>
        <w:tc>
          <w:tcPr>
            <w:tcW w:w="830" w:type="pct"/>
            <w:tcBorders>
              <w:top w:val="single" w:color="auto" w:sz="4" w:space="0"/>
              <w:left w:val="nil"/>
              <w:bottom w:val="single" w:color="auto" w:sz="4" w:space="0"/>
              <w:right w:val="single" w:color="auto" w:sz="4" w:space="0"/>
            </w:tcBorders>
          </w:tcPr>
          <w:p w14:paraId="621122E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w:t>
            </w:r>
            <w:r>
              <w:rPr>
                <w:rFonts w:ascii="宋体" w:hAnsi="宋体" w:cs="宋体"/>
                <w:color w:val="000000"/>
                <w:kern w:val="0"/>
                <w:sz w:val="18"/>
                <w:szCs w:val="18"/>
                <w:highlight w:val="none"/>
              </w:rPr>
              <w:t>,000.00</w:t>
            </w:r>
          </w:p>
        </w:tc>
        <w:tc>
          <w:tcPr>
            <w:tcW w:w="745" w:type="pct"/>
            <w:tcBorders>
              <w:top w:val="nil"/>
              <w:left w:val="nil"/>
              <w:bottom w:val="single" w:color="auto" w:sz="4" w:space="0"/>
              <w:right w:val="single" w:color="auto" w:sz="4" w:space="0"/>
            </w:tcBorders>
            <w:shd w:val="clear" w:color="auto" w:fill="auto"/>
            <w:vAlign w:val="center"/>
          </w:tcPr>
          <w:p w14:paraId="2E153C9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00.00</w:t>
            </w:r>
          </w:p>
        </w:tc>
        <w:tc>
          <w:tcPr>
            <w:tcW w:w="1229" w:type="pct"/>
            <w:tcBorders>
              <w:top w:val="nil"/>
              <w:left w:val="nil"/>
              <w:bottom w:val="single" w:color="auto" w:sz="4" w:space="0"/>
              <w:right w:val="single" w:color="auto" w:sz="4" w:space="0"/>
            </w:tcBorders>
            <w:shd w:val="clear" w:color="auto" w:fill="auto"/>
            <w:vAlign w:val="center"/>
          </w:tcPr>
          <w:p w14:paraId="2183D7B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00</w:t>
            </w:r>
            <w:r>
              <w:rPr>
                <w:rFonts w:hint="eastAsia" w:ascii="宋体" w:hAnsi="宋体" w:cs="宋体"/>
                <w:color w:val="000000"/>
                <w:kern w:val="0"/>
                <w:sz w:val="18"/>
                <w:szCs w:val="18"/>
                <w:highlight w:val="none"/>
              </w:rPr>
              <w:t>0.00</w:t>
            </w:r>
          </w:p>
        </w:tc>
      </w:tr>
    </w:tbl>
    <w:p w14:paraId="11CD89AC">
      <w:pPr>
        <w:pStyle w:val="19"/>
        <w:spacing w:before="156" w:beforeLines="50" w:beforeAutospacing="0" w:after="156" w:afterLines="50" w:afterAutospacing="0" w:line="360" w:lineRule="auto"/>
        <w:ind w:firstLine="480" w:firstLineChars="20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按照发行方案及筹资计划，本次拟发行项目的总投资为49,942.81万元，通过自筹资金、申请专项债券、其他合规性融资等途径解决，其一，自筹资金2</w:t>
      </w:r>
      <w:r>
        <w:rPr>
          <w:rFonts w:hint="eastAsia"/>
          <w:color w:val="000000" w:themeColor="text1"/>
          <w:sz w:val="24"/>
          <w:szCs w:val="24"/>
          <w:highlight w:val="none"/>
          <w:lang w:val="en-US" w:eastAsia="zh-CN"/>
          <w14:textFill>
            <w14:solidFill>
              <w14:schemeClr w14:val="tx1"/>
            </w14:solidFill>
          </w14:textFill>
        </w:rPr>
        <w:t>7</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442</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81</w:t>
      </w:r>
      <w:r>
        <w:rPr>
          <w:rFonts w:hint="eastAsia"/>
          <w:color w:val="000000" w:themeColor="text1"/>
          <w:sz w:val="24"/>
          <w:szCs w:val="24"/>
          <w:highlight w:val="none"/>
          <w14:textFill>
            <w14:solidFill>
              <w14:schemeClr w14:val="tx1"/>
            </w14:solidFill>
          </w14:textFill>
        </w:rPr>
        <w:t>万元。其二，拟发行专项债券</w:t>
      </w:r>
      <w:r>
        <w:rPr>
          <w:rFonts w:hint="eastAsia"/>
          <w:color w:val="000000" w:themeColor="text1"/>
          <w:sz w:val="24"/>
          <w:szCs w:val="24"/>
          <w:highlight w:val="none"/>
          <w:lang w:val="en-US" w:eastAsia="zh-CN"/>
          <w14:textFill>
            <w14:solidFill>
              <w14:schemeClr w14:val="tx1"/>
            </w14:solidFill>
          </w14:textFill>
        </w:rPr>
        <w:t>22</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50</w:t>
      </w:r>
      <w:r>
        <w:rPr>
          <w:rFonts w:hint="eastAsia"/>
          <w:color w:val="000000" w:themeColor="text1"/>
          <w:sz w:val="24"/>
          <w:szCs w:val="24"/>
          <w:highlight w:val="none"/>
          <w14:textFill>
            <w14:solidFill>
              <w14:schemeClr w14:val="tx1"/>
            </w14:solidFill>
          </w14:textFill>
        </w:rPr>
        <w:t>0.00万元，其中，</w:t>
      </w:r>
      <w:r>
        <w:rPr>
          <w:rFonts w:hint="eastAsia"/>
          <w:sz w:val="24"/>
          <w:szCs w:val="24"/>
          <w:highlight w:val="none"/>
          <w:lang w:val="en-US" w:eastAsia="zh-CN"/>
        </w:rPr>
        <w:t>5</w:t>
      </w:r>
      <w:r>
        <w:rPr>
          <w:sz w:val="24"/>
          <w:szCs w:val="24"/>
          <w:highlight w:val="none"/>
        </w:rPr>
        <w:t>,000.00</w:t>
      </w:r>
      <w:r>
        <w:rPr>
          <w:rFonts w:hint="eastAsia"/>
          <w:sz w:val="24"/>
          <w:szCs w:val="24"/>
          <w:highlight w:val="none"/>
        </w:rPr>
        <w:t>万元由</w:t>
      </w:r>
      <w:r>
        <w:rPr>
          <w:rFonts w:hint="eastAsia"/>
          <w:color w:val="000000" w:themeColor="text1"/>
          <w:sz w:val="24"/>
          <w:szCs w:val="24"/>
          <w:highlight w:val="none"/>
          <w:lang w:eastAsia="zh-CN"/>
          <w14:textFill>
            <w14:solidFill>
              <w14:schemeClr w14:val="tx1"/>
            </w14:solidFill>
          </w14:textFill>
        </w:rPr>
        <w:t>2022年江西省高质量发展补短板专项债券（十二期）—2022年江西省政府专项债券（二十期）</w:t>
      </w:r>
      <w:r>
        <w:rPr>
          <w:rFonts w:hint="eastAsia"/>
          <w:sz w:val="24"/>
          <w:szCs w:val="24"/>
          <w:highlight w:val="none"/>
        </w:rPr>
        <w:t>调整至本项目，发行期限</w:t>
      </w:r>
      <w:r>
        <w:rPr>
          <w:rFonts w:hint="eastAsia"/>
          <w:sz w:val="24"/>
          <w:szCs w:val="24"/>
          <w:highlight w:val="none"/>
          <w:lang w:val="en-US" w:eastAsia="zh-CN"/>
        </w:rPr>
        <w:t>30</w:t>
      </w:r>
      <w:r>
        <w:rPr>
          <w:rFonts w:hint="eastAsia"/>
          <w:sz w:val="24"/>
          <w:szCs w:val="24"/>
          <w:highlight w:val="none"/>
        </w:rPr>
        <w:t>年</w:t>
      </w:r>
      <w:r>
        <w:rPr>
          <w:rFonts w:hint="eastAsia"/>
          <w:sz w:val="24"/>
          <w:szCs w:val="24"/>
          <w:highlight w:val="none"/>
          <w:lang w:eastAsia="zh-CN"/>
        </w:rPr>
        <w:t>，</w:t>
      </w:r>
      <w:r>
        <w:rPr>
          <w:rFonts w:hint="eastAsia"/>
          <w:sz w:val="24"/>
          <w:szCs w:val="24"/>
          <w:highlight w:val="none"/>
          <w:lang w:val="en-US" w:eastAsia="zh-CN"/>
        </w:rPr>
        <w:t>2024年计划发行7,000万，本期计划发行1,750万，发行期限5年</w:t>
      </w:r>
      <w:r>
        <w:rPr>
          <w:rFonts w:hint="eastAsia"/>
          <w:sz w:val="24"/>
          <w:szCs w:val="24"/>
          <w:highlight w:val="none"/>
        </w:rPr>
        <w:t>。</w:t>
      </w:r>
    </w:p>
    <w:p w14:paraId="04728D00">
      <w:pPr>
        <w:pStyle w:val="19"/>
        <w:spacing w:after="156" w:afterLines="50" w:line="360" w:lineRule="auto"/>
        <w:ind w:firstLine="480" w:firstLineChars="20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根据《</w:t>
      </w:r>
      <w:r>
        <w:rPr>
          <w:rFonts w:hint="eastAsia"/>
          <w:color w:val="000000" w:themeColor="text1"/>
          <w:sz w:val="24"/>
          <w:szCs w:val="24"/>
          <w:highlight w:val="none"/>
          <w:lang w:eastAsia="zh-CN"/>
          <w14:textFill>
            <w14:solidFill>
              <w14:schemeClr w14:val="tx1"/>
            </w14:solidFill>
          </w14:textFill>
        </w:rPr>
        <w:t>东新乡东岳村三期安置房（城市棚户区改造）项目</w:t>
      </w:r>
      <w:r>
        <w:rPr>
          <w:rFonts w:hint="eastAsia"/>
          <w:color w:val="000000" w:themeColor="text1"/>
          <w:sz w:val="24"/>
          <w:szCs w:val="24"/>
          <w:highlight w:val="none"/>
          <w14:textFill>
            <w14:solidFill>
              <w14:schemeClr w14:val="tx1"/>
            </w14:solidFill>
          </w14:textFill>
        </w:rPr>
        <w:t>项目可行性研究报告》（以下简称“可研报告”），项目建设内容为：项目主要建设内容及规模为项目总用地面积约53974.56平方米（80.96亩），总建筑面积156663.93平方米，其中，计容面积约121691.98平方米、不计容面积约34971.95平方米(其中架空层约53.53平方米、风井约63.82平方米，地下室约34854.6平方米)。住宅建筑面积约116902.87平方米、商业网点建筑面积约459.28平方米、幼儿园建筑面积约2122.54平方米，养老服务设施用房面积约207.93平方米、物业用房面积约328.66平方米、社区服务用房面积约680.61平方米、垃圾站公厕建筑面积约130.95平方米、消防控制室面积约44.72平方米、地下室出入口面积约83.83平方米、烟道面积约24.86平方米、非机动车停车库面积约596.79平方米、架空层约108.94平方米。项目规划建设8栋建筑物，其中2栋32层住字楼(舍社区用房、养老服务设施用房、物业用房、公厕)、2栋28层住宅楼(含商业)、2栋26层住字楼1栋3层幼儿园、1栋1层垃圾站。容积率2.25、建筑密度11.35%、绿地率54.83%，总户数为1113户。</w:t>
      </w:r>
    </w:p>
    <w:p w14:paraId="4301EE44">
      <w:pPr>
        <w:pStyle w:val="19"/>
        <w:spacing w:before="0" w:beforeAutospacing="0" w:after="156" w:afterLines="50" w:afterAutospacing="0" w:line="360" w:lineRule="auto"/>
        <w:ind w:firstLine="480" w:firstLineChars="200"/>
        <w:jc w:val="both"/>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根据可研报告及其批复，本项目投资估算详见表1-1；项目建设期内的年度资金计划表详见表1-2。</w:t>
      </w:r>
    </w:p>
    <w:p w14:paraId="497A7756">
      <w:pPr>
        <w:pStyle w:val="19"/>
        <w:spacing w:before="0" w:beforeAutospacing="0" w:after="156" w:afterLines="50" w:afterAutospacing="0" w:line="360" w:lineRule="exact"/>
        <w:ind w:firstLine="420" w:firstLineChars="200"/>
        <w:jc w:val="both"/>
        <w:rPr>
          <w:rFonts w:hint="eastAsia"/>
          <w:color w:val="000000" w:themeColor="text1"/>
          <w:sz w:val="21"/>
          <w:szCs w:val="21"/>
          <w:highlight w:val="none"/>
          <w14:textFill>
            <w14:solidFill>
              <w14:schemeClr w14:val="tx1"/>
            </w14:solidFill>
          </w14:textFill>
        </w:rPr>
      </w:pPr>
    </w:p>
    <w:p w14:paraId="2DA1A06F">
      <w:pPr>
        <w:pStyle w:val="19"/>
        <w:spacing w:after="156" w:afterLines="50" w:line="360" w:lineRule="exact"/>
        <w:ind w:firstLine="420" w:firstLineChars="200"/>
        <w:jc w:val="center"/>
        <w:rPr>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表1-</w:t>
      </w:r>
      <w:r>
        <w:rPr>
          <w:b/>
          <w:color w:val="000000" w:themeColor="text1"/>
          <w:sz w:val="21"/>
          <w:szCs w:val="21"/>
          <w:highlight w:val="none"/>
          <w14:textFill>
            <w14:solidFill>
              <w14:schemeClr w14:val="tx1"/>
            </w14:solidFill>
          </w14:textFill>
        </w:rPr>
        <w:t>1</w:t>
      </w:r>
      <w:r>
        <w:rPr>
          <w:rFonts w:hint="eastAsia"/>
          <w:b/>
          <w:color w:val="000000" w:themeColor="text1"/>
          <w:sz w:val="21"/>
          <w:szCs w:val="21"/>
          <w:highlight w:val="none"/>
          <w14:textFill>
            <w14:solidFill>
              <w14:schemeClr w14:val="tx1"/>
            </w14:solidFill>
          </w14:textFill>
        </w:rPr>
        <w:t>项目总投资估算表</w:t>
      </w:r>
    </w:p>
    <w:p w14:paraId="503DED8C">
      <w:pPr>
        <w:pStyle w:val="19"/>
        <w:spacing w:before="0" w:beforeAutospacing="0" w:after="156" w:afterLines="50" w:afterAutospacing="0" w:line="360" w:lineRule="exact"/>
        <w:ind w:firstLine="360" w:firstLineChars="200"/>
        <w:jc w:val="right"/>
        <w:rPr>
          <w:color w:val="000000" w:themeColor="text1"/>
          <w:sz w:val="2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5000" w:type="pct"/>
        <w:tblInd w:w="0" w:type="dxa"/>
        <w:tblLayout w:type="autofit"/>
        <w:tblCellMar>
          <w:top w:w="0" w:type="dxa"/>
          <w:left w:w="108" w:type="dxa"/>
          <w:bottom w:w="0" w:type="dxa"/>
          <w:right w:w="108" w:type="dxa"/>
        </w:tblCellMar>
      </w:tblPr>
      <w:tblGrid>
        <w:gridCol w:w="2091"/>
        <w:gridCol w:w="3732"/>
        <w:gridCol w:w="2897"/>
      </w:tblGrid>
      <w:tr w14:paraId="3CBC99DB">
        <w:tblPrEx>
          <w:tblCellMar>
            <w:top w:w="0" w:type="dxa"/>
            <w:left w:w="108" w:type="dxa"/>
            <w:bottom w:w="0" w:type="dxa"/>
            <w:right w:w="108" w:type="dxa"/>
          </w:tblCellMar>
        </w:tblPrEx>
        <w:trPr>
          <w:trHeight w:val="285" w:hRule="atLeast"/>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1E7AF880">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序号</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3227F7DE">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项目名称</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708FCA48">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合计</w:t>
            </w:r>
          </w:p>
        </w:tc>
      </w:tr>
      <w:tr w14:paraId="1FDE269A">
        <w:tblPrEx>
          <w:tblCellMar>
            <w:top w:w="0" w:type="dxa"/>
            <w:left w:w="108" w:type="dxa"/>
            <w:bottom w:w="0" w:type="dxa"/>
            <w:right w:w="108" w:type="dxa"/>
          </w:tblCellMar>
        </w:tblPrEx>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6326466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2140" w:type="pct"/>
            <w:tcBorders>
              <w:top w:val="nil"/>
              <w:left w:val="nil"/>
              <w:bottom w:val="single" w:color="auto" w:sz="8" w:space="0"/>
              <w:right w:val="single" w:color="auto" w:sz="8" w:space="0"/>
            </w:tcBorders>
            <w:shd w:val="clear" w:color="auto" w:fill="auto"/>
            <w:vAlign w:val="center"/>
          </w:tcPr>
          <w:p w14:paraId="4E89BBA1">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建设工程费用</w:t>
            </w:r>
          </w:p>
        </w:tc>
        <w:tc>
          <w:tcPr>
            <w:tcW w:w="2818" w:type="dxa"/>
            <w:tcBorders>
              <w:top w:val="nil"/>
              <w:left w:val="nil"/>
              <w:bottom w:val="single" w:color="auto" w:sz="8" w:space="0"/>
              <w:right w:val="single" w:color="auto" w:sz="8" w:space="0"/>
            </w:tcBorders>
            <w:shd w:val="clear" w:color="auto" w:fill="auto"/>
            <w:vAlign w:val="center"/>
          </w:tcPr>
          <w:p w14:paraId="635AB4F3">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40,424.54</w:t>
            </w:r>
          </w:p>
        </w:tc>
      </w:tr>
      <w:tr w14:paraId="15DB8987">
        <w:tblPrEx>
          <w:tblCellMar>
            <w:top w:w="0" w:type="dxa"/>
            <w:left w:w="108" w:type="dxa"/>
            <w:bottom w:w="0" w:type="dxa"/>
            <w:right w:w="108" w:type="dxa"/>
          </w:tblCellMar>
        </w:tblPrEx>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04C09A3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2140" w:type="pct"/>
            <w:tcBorders>
              <w:top w:val="nil"/>
              <w:left w:val="nil"/>
              <w:bottom w:val="single" w:color="auto" w:sz="8" w:space="0"/>
              <w:right w:val="single" w:color="auto" w:sz="8" w:space="0"/>
            </w:tcBorders>
            <w:shd w:val="clear" w:color="auto" w:fill="auto"/>
            <w:vAlign w:val="center"/>
          </w:tcPr>
          <w:p w14:paraId="4C1F3E1F">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工程建设其他费用</w:t>
            </w:r>
          </w:p>
        </w:tc>
        <w:tc>
          <w:tcPr>
            <w:tcW w:w="2818" w:type="dxa"/>
            <w:tcBorders>
              <w:top w:val="nil"/>
              <w:left w:val="nil"/>
              <w:bottom w:val="single" w:color="auto" w:sz="8" w:space="0"/>
              <w:right w:val="single" w:color="auto" w:sz="8" w:space="0"/>
            </w:tcBorders>
            <w:shd w:val="clear" w:color="auto" w:fill="auto"/>
            <w:vAlign w:val="center"/>
          </w:tcPr>
          <w:p w14:paraId="0D458991">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3,708.55</w:t>
            </w:r>
          </w:p>
        </w:tc>
      </w:tr>
      <w:tr w14:paraId="57394968">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7CEC829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2140" w:type="pct"/>
            <w:tcBorders>
              <w:top w:val="nil"/>
              <w:left w:val="nil"/>
              <w:bottom w:val="single" w:color="auto" w:sz="8" w:space="0"/>
              <w:right w:val="single" w:color="auto" w:sz="8" w:space="0"/>
            </w:tcBorders>
            <w:shd w:val="clear" w:color="auto" w:fill="auto"/>
            <w:vAlign w:val="center"/>
          </w:tcPr>
          <w:p w14:paraId="537E4AFC">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基本预备费</w:t>
            </w:r>
          </w:p>
        </w:tc>
        <w:tc>
          <w:tcPr>
            <w:tcW w:w="2818" w:type="dxa"/>
            <w:tcBorders>
              <w:top w:val="nil"/>
              <w:left w:val="nil"/>
              <w:bottom w:val="single" w:color="auto" w:sz="8" w:space="0"/>
              <w:right w:val="single" w:color="auto" w:sz="8" w:space="0"/>
            </w:tcBorders>
            <w:shd w:val="clear" w:color="auto" w:fill="auto"/>
            <w:vAlign w:val="center"/>
          </w:tcPr>
          <w:p w14:paraId="44327F4B">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3,530.65</w:t>
            </w:r>
          </w:p>
        </w:tc>
      </w:tr>
      <w:tr w14:paraId="3B46658F">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548DA11B">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4</w:t>
            </w:r>
          </w:p>
        </w:tc>
        <w:tc>
          <w:tcPr>
            <w:tcW w:w="2140" w:type="pct"/>
            <w:tcBorders>
              <w:top w:val="nil"/>
              <w:left w:val="nil"/>
              <w:bottom w:val="single" w:color="auto" w:sz="8" w:space="0"/>
              <w:right w:val="single" w:color="auto" w:sz="8" w:space="0"/>
            </w:tcBorders>
            <w:shd w:val="clear" w:color="auto" w:fill="auto"/>
            <w:vAlign w:val="center"/>
          </w:tcPr>
          <w:p w14:paraId="3B8CDFA5">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专项费用</w:t>
            </w:r>
          </w:p>
        </w:tc>
        <w:tc>
          <w:tcPr>
            <w:tcW w:w="2818" w:type="dxa"/>
            <w:tcBorders>
              <w:top w:val="nil"/>
              <w:left w:val="nil"/>
              <w:bottom w:val="single" w:color="auto" w:sz="8" w:space="0"/>
              <w:right w:val="single" w:color="auto" w:sz="8" w:space="0"/>
            </w:tcBorders>
            <w:shd w:val="clear" w:color="auto" w:fill="auto"/>
            <w:vAlign w:val="center"/>
          </w:tcPr>
          <w:p w14:paraId="3EFAF29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2,279.07</w:t>
            </w:r>
          </w:p>
        </w:tc>
      </w:tr>
      <w:tr w14:paraId="1FBB3881">
        <w:tblPrEx>
          <w:tblCellMar>
            <w:top w:w="0" w:type="dxa"/>
            <w:left w:w="108" w:type="dxa"/>
            <w:bottom w:w="0" w:type="dxa"/>
            <w:right w:w="108" w:type="dxa"/>
          </w:tblCellMar>
        </w:tblPrEx>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3BE5E83C">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项目总投资</w:t>
            </w:r>
          </w:p>
        </w:tc>
        <w:tc>
          <w:tcPr>
            <w:tcW w:w="2818" w:type="dxa"/>
            <w:tcBorders>
              <w:top w:val="nil"/>
              <w:left w:val="nil"/>
              <w:bottom w:val="single" w:color="auto" w:sz="8" w:space="0"/>
              <w:right w:val="single" w:color="auto" w:sz="8" w:space="0"/>
            </w:tcBorders>
            <w:shd w:val="clear" w:color="auto" w:fill="auto"/>
            <w:vAlign w:val="center"/>
          </w:tcPr>
          <w:p w14:paraId="7B96BDE5">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49,942.81</w:t>
            </w:r>
          </w:p>
        </w:tc>
      </w:tr>
    </w:tbl>
    <w:p w14:paraId="4227AE92">
      <w:pPr>
        <w:spacing w:before="156" w:beforeLines="50" w:line="360" w:lineRule="auto"/>
        <w:ind w:firstLine="420" w:firstLineChars="200"/>
        <w:jc w:val="center"/>
        <w:rPr>
          <w:rFonts w:ascii="宋体" w:hAnsi="宋体" w:cs="仿宋"/>
          <w:b/>
          <w:bCs/>
          <w:color w:val="000000" w:themeColor="text1"/>
          <w:szCs w:val="28"/>
          <w:highlight w:val="none"/>
          <w14:textFill>
            <w14:solidFill>
              <w14:schemeClr w14:val="tx1"/>
            </w14:solidFill>
          </w14:textFill>
        </w:rPr>
      </w:pPr>
    </w:p>
    <w:p w14:paraId="5FAB5399">
      <w:pPr>
        <w:spacing w:before="156" w:beforeLines="50" w:line="360" w:lineRule="auto"/>
        <w:ind w:firstLine="420" w:firstLineChars="200"/>
        <w:jc w:val="center"/>
        <w:rPr>
          <w:rFonts w:ascii="宋体" w:hAnsi="宋体" w:cs="仿宋"/>
          <w:b/>
          <w:bCs/>
          <w:color w:val="000000" w:themeColor="text1"/>
          <w:szCs w:val="28"/>
          <w:highlight w:val="none"/>
          <w14:textFill>
            <w14:solidFill>
              <w14:schemeClr w14:val="tx1"/>
            </w14:solidFill>
          </w14:textFill>
        </w:rPr>
      </w:pPr>
      <w:r>
        <w:rPr>
          <w:rFonts w:hint="eastAsia" w:ascii="宋体" w:hAnsi="宋体" w:cs="仿宋"/>
          <w:b/>
          <w:bCs/>
          <w:color w:val="000000" w:themeColor="text1"/>
          <w:szCs w:val="28"/>
          <w:highlight w:val="none"/>
          <w14:textFill>
            <w14:solidFill>
              <w14:schemeClr w14:val="tx1"/>
            </w14:solidFill>
          </w14:textFill>
        </w:rPr>
        <w:t>表1-2</w:t>
      </w:r>
      <w:r>
        <w:rPr>
          <w:rFonts w:hint="eastAsia" w:ascii="宋体" w:hAnsi="宋体" w:cs="仿宋"/>
          <w:b/>
          <w:bCs/>
          <w:color w:val="000000" w:themeColor="text1"/>
          <w:szCs w:val="28"/>
          <w:highlight w:val="none"/>
          <w:lang w:val="en-US" w:eastAsia="zh-CN"/>
          <w14:textFill>
            <w14:solidFill>
              <w14:schemeClr w14:val="tx1"/>
            </w14:solidFill>
          </w14:textFill>
        </w:rPr>
        <w:t xml:space="preserve"> </w:t>
      </w:r>
      <w:r>
        <w:rPr>
          <w:rFonts w:hint="eastAsia" w:ascii="宋体" w:hAnsi="宋体" w:cs="仿宋"/>
          <w:b/>
          <w:bCs/>
          <w:color w:val="000000" w:themeColor="text1"/>
          <w:szCs w:val="28"/>
          <w:highlight w:val="none"/>
          <w14:textFill>
            <w14:solidFill>
              <w14:schemeClr w14:val="tx1"/>
            </w14:solidFill>
          </w14:textFill>
        </w:rPr>
        <w:t>项目分年度支出计划表</w:t>
      </w:r>
    </w:p>
    <w:p w14:paraId="0BE3A769">
      <w:pPr>
        <w:ind w:firstLine="360" w:firstLineChars="200"/>
        <w:jc w:val="right"/>
        <w:rPr>
          <w:rFonts w:ascii="宋体" w:hAnsi="宋体" w:cs="仿宋"/>
          <w:b/>
          <w:bCs/>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5004" w:type="pct"/>
        <w:tblInd w:w="0" w:type="dxa"/>
        <w:tblLayout w:type="autofit"/>
        <w:tblCellMar>
          <w:top w:w="0" w:type="dxa"/>
          <w:left w:w="108" w:type="dxa"/>
          <w:bottom w:w="0" w:type="dxa"/>
          <w:right w:w="108" w:type="dxa"/>
        </w:tblCellMar>
      </w:tblPr>
      <w:tblGrid>
        <w:gridCol w:w="516"/>
        <w:gridCol w:w="1179"/>
        <w:gridCol w:w="1406"/>
        <w:gridCol w:w="1406"/>
        <w:gridCol w:w="1406"/>
        <w:gridCol w:w="1406"/>
        <w:gridCol w:w="1408"/>
      </w:tblGrid>
      <w:tr w14:paraId="5500CABF">
        <w:tblPrEx>
          <w:tblCellMar>
            <w:top w:w="0" w:type="dxa"/>
            <w:left w:w="108" w:type="dxa"/>
            <w:bottom w:w="0" w:type="dxa"/>
            <w:right w:w="108" w:type="dxa"/>
          </w:tblCellMar>
        </w:tblPrEx>
        <w:trPr>
          <w:trHeight w:val="285" w:hRule="atLeast"/>
        </w:trPr>
        <w:tc>
          <w:tcPr>
            <w:tcW w:w="296" w:type="pct"/>
            <w:tcBorders>
              <w:top w:val="single" w:color="auto" w:sz="8" w:space="0"/>
              <w:left w:val="single" w:color="auto" w:sz="8" w:space="0"/>
              <w:bottom w:val="single" w:color="auto" w:sz="8" w:space="0"/>
              <w:right w:val="single" w:color="auto" w:sz="8" w:space="0"/>
            </w:tcBorders>
            <w:shd w:val="clear" w:color="auto" w:fill="auto"/>
            <w:vAlign w:val="center"/>
          </w:tcPr>
          <w:p w14:paraId="6FE00B94">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序号</w:t>
            </w:r>
          </w:p>
        </w:tc>
        <w:tc>
          <w:tcPr>
            <w:tcW w:w="674" w:type="pct"/>
            <w:tcBorders>
              <w:top w:val="single" w:color="auto" w:sz="8" w:space="0"/>
              <w:left w:val="nil"/>
              <w:bottom w:val="single" w:color="auto" w:sz="8" w:space="0"/>
              <w:right w:val="single" w:color="auto" w:sz="8" w:space="0"/>
            </w:tcBorders>
            <w:shd w:val="clear" w:color="auto" w:fill="auto"/>
            <w:vAlign w:val="center"/>
          </w:tcPr>
          <w:p w14:paraId="5120C8B5">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费用类型</w:t>
            </w:r>
          </w:p>
        </w:tc>
        <w:tc>
          <w:tcPr>
            <w:tcW w:w="805" w:type="pct"/>
            <w:tcBorders>
              <w:top w:val="single" w:color="auto" w:sz="8" w:space="0"/>
              <w:left w:val="nil"/>
              <w:bottom w:val="single" w:color="auto" w:sz="8" w:space="0"/>
              <w:right w:val="single" w:color="auto" w:sz="8" w:space="0"/>
            </w:tcBorders>
            <w:shd w:val="clear" w:color="auto" w:fill="auto"/>
            <w:vAlign w:val="center"/>
          </w:tcPr>
          <w:p w14:paraId="343EA569">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805" w:type="pct"/>
            <w:tcBorders>
              <w:top w:val="single" w:color="auto" w:sz="8" w:space="0"/>
              <w:left w:val="nil"/>
              <w:bottom w:val="single" w:color="auto" w:sz="8" w:space="0"/>
              <w:right w:val="single" w:color="auto" w:sz="8" w:space="0"/>
            </w:tcBorders>
            <w:shd w:val="clear" w:color="auto" w:fill="auto"/>
            <w:vAlign w:val="center"/>
          </w:tcPr>
          <w:p w14:paraId="09050DD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2022年</w:t>
            </w:r>
          </w:p>
        </w:tc>
        <w:tc>
          <w:tcPr>
            <w:tcW w:w="805" w:type="pct"/>
            <w:tcBorders>
              <w:top w:val="single" w:color="auto" w:sz="8" w:space="0"/>
              <w:left w:val="nil"/>
              <w:bottom w:val="single" w:color="auto" w:sz="8" w:space="0"/>
              <w:right w:val="single" w:color="auto" w:sz="8" w:space="0"/>
            </w:tcBorders>
            <w:shd w:val="clear" w:color="auto" w:fill="auto"/>
            <w:vAlign w:val="center"/>
          </w:tcPr>
          <w:p w14:paraId="041BD32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w:t>
            </w:r>
          </w:p>
        </w:tc>
        <w:tc>
          <w:tcPr>
            <w:tcW w:w="805" w:type="pct"/>
            <w:tcBorders>
              <w:top w:val="single" w:color="auto" w:sz="8" w:space="0"/>
              <w:left w:val="nil"/>
              <w:bottom w:val="single" w:color="auto" w:sz="8" w:space="0"/>
              <w:right w:val="single" w:color="auto" w:sz="8" w:space="0"/>
            </w:tcBorders>
            <w:shd w:val="clear" w:color="auto" w:fill="auto"/>
            <w:vAlign w:val="center"/>
          </w:tcPr>
          <w:p w14:paraId="4F39883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p>
        </w:tc>
        <w:tc>
          <w:tcPr>
            <w:tcW w:w="806" w:type="pct"/>
            <w:tcBorders>
              <w:top w:val="single" w:color="auto" w:sz="8" w:space="0"/>
              <w:left w:val="nil"/>
              <w:bottom w:val="single" w:color="auto" w:sz="8" w:space="0"/>
              <w:right w:val="single" w:color="auto" w:sz="8" w:space="0"/>
            </w:tcBorders>
            <w:shd w:val="clear" w:color="auto" w:fill="auto"/>
            <w:vAlign w:val="center"/>
          </w:tcPr>
          <w:p w14:paraId="0FE4039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2025年</w:t>
            </w:r>
          </w:p>
        </w:tc>
      </w:tr>
      <w:tr w14:paraId="5BBE158C">
        <w:tblPrEx>
          <w:tblCellMar>
            <w:top w:w="0" w:type="dxa"/>
            <w:left w:w="108" w:type="dxa"/>
            <w:bottom w:w="0" w:type="dxa"/>
            <w:right w:w="108" w:type="dxa"/>
          </w:tblCellMar>
        </w:tblPrEx>
        <w:trPr>
          <w:trHeight w:val="285" w:hRule="atLeast"/>
        </w:trPr>
        <w:tc>
          <w:tcPr>
            <w:tcW w:w="296" w:type="pct"/>
            <w:tcBorders>
              <w:top w:val="nil"/>
              <w:left w:val="single" w:color="auto" w:sz="8" w:space="0"/>
              <w:bottom w:val="single" w:color="auto" w:sz="8" w:space="0"/>
              <w:right w:val="single" w:color="auto" w:sz="8" w:space="0"/>
            </w:tcBorders>
            <w:shd w:val="clear" w:color="auto" w:fill="auto"/>
            <w:vAlign w:val="center"/>
          </w:tcPr>
          <w:p w14:paraId="0C929E2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w:t>
            </w:r>
          </w:p>
        </w:tc>
        <w:tc>
          <w:tcPr>
            <w:tcW w:w="674" w:type="pct"/>
            <w:tcBorders>
              <w:top w:val="nil"/>
              <w:left w:val="nil"/>
              <w:bottom w:val="single" w:color="auto" w:sz="8" w:space="0"/>
              <w:right w:val="single" w:color="auto" w:sz="8" w:space="0"/>
            </w:tcBorders>
            <w:shd w:val="clear" w:color="auto" w:fill="auto"/>
            <w:vAlign w:val="center"/>
          </w:tcPr>
          <w:p w14:paraId="3D93277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建设工程费用</w:t>
            </w:r>
          </w:p>
        </w:tc>
        <w:tc>
          <w:tcPr>
            <w:tcW w:w="80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0584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40,424.54</w:t>
            </w:r>
          </w:p>
        </w:tc>
        <w:tc>
          <w:tcPr>
            <w:tcW w:w="805" w:type="pct"/>
            <w:tcBorders>
              <w:top w:val="nil"/>
              <w:left w:val="nil"/>
              <w:bottom w:val="single" w:color="auto" w:sz="8" w:space="0"/>
              <w:right w:val="single" w:color="auto" w:sz="8" w:space="0"/>
            </w:tcBorders>
            <w:shd w:val="clear" w:color="auto" w:fill="auto"/>
            <w:vAlign w:val="center"/>
          </w:tcPr>
          <w:p w14:paraId="68039F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5" w:type="pct"/>
            <w:tcBorders>
              <w:top w:val="nil"/>
              <w:left w:val="nil"/>
              <w:bottom w:val="single" w:color="auto" w:sz="8" w:space="0"/>
              <w:right w:val="single" w:color="auto" w:sz="8" w:space="0"/>
            </w:tcBorders>
            <w:shd w:val="clear" w:color="auto" w:fill="auto"/>
            <w:vAlign w:val="center"/>
          </w:tcPr>
          <w:p w14:paraId="28D6DE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13,096.49</w:t>
            </w:r>
          </w:p>
        </w:tc>
        <w:tc>
          <w:tcPr>
            <w:tcW w:w="805" w:type="pct"/>
            <w:tcBorders>
              <w:top w:val="nil"/>
              <w:left w:val="nil"/>
              <w:bottom w:val="single" w:color="auto" w:sz="8" w:space="0"/>
              <w:right w:val="single" w:color="auto" w:sz="8" w:space="0"/>
            </w:tcBorders>
            <w:shd w:val="clear" w:color="auto" w:fill="auto"/>
            <w:vAlign w:val="center"/>
          </w:tcPr>
          <w:p w14:paraId="483700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12,548.81</w:t>
            </w:r>
          </w:p>
        </w:tc>
        <w:tc>
          <w:tcPr>
            <w:tcW w:w="806" w:type="pct"/>
            <w:tcBorders>
              <w:top w:val="nil"/>
              <w:left w:val="nil"/>
              <w:bottom w:val="single" w:color="auto" w:sz="8" w:space="0"/>
              <w:right w:val="single" w:color="auto" w:sz="8" w:space="0"/>
            </w:tcBorders>
            <w:shd w:val="clear" w:color="auto" w:fill="auto"/>
            <w:vAlign w:val="center"/>
          </w:tcPr>
          <w:p w14:paraId="1940C6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14,779.24</w:t>
            </w:r>
          </w:p>
        </w:tc>
      </w:tr>
      <w:tr w14:paraId="30E45987">
        <w:tblPrEx>
          <w:tblCellMar>
            <w:top w:w="0" w:type="dxa"/>
            <w:left w:w="108" w:type="dxa"/>
            <w:bottom w:w="0" w:type="dxa"/>
            <w:right w:w="108" w:type="dxa"/>
          </w:tblCellMar>
        </w:tblPrEx>
        <w:trPr>
          <w:trHeight w:val="285" w:hRule="atLeast"/>
        </w:trPr>
        <w:tc>
          <w:tcPr>
            <w:tcW w:w="296" w:type="pct"/>
            <w:tcBorders>
              <w:top w:val="nil"/>
              <w:left w:val="single" w:color="auto" w:sz="8" w:space="0"/>
              <w:bottom w:val="single" w:color="auto" w:sz="8" w:space="0"/>
              <w:right w:val="single" w:color="auto" w:sz="8" w:space="0"/>
            </w:tcBorders>
            <w:shd w:val="clear" w:color="auto" w:fill="auto"/>
            <w:vAlign w:val="center"/>
          </w:tcPr>
          <w:p w14:paraId="7852AF7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w:t>
            </w:r>
          </w:p>
        </w:tc>
        <w:tc>
          <w:tcPr>
            <w:tcW w:w="674" w:type="pct"/>
            <w:tcBorders>
              <w:top w:val="nil"/>
              <w:left w:val="nil"/>
              <w:bottom w:val="single" w:color="auto" w:sz="8" w:space="0"/>
              <w:right w:val="single" w:color="auto" w:sz="8" w:space="0"/>
            </w:tcBorders>
            <w:shd w:val="clear" w:color="auto" w:fill="auto"/>
            <w:vAlign w:val="center"/>
          </w:tcPr>
          <w:p w14:paraId="6F1E0B6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工程建设其他费用</w:t>
            </w:r>
          </w:p>
        </w:tc>
        <w:tc>
          <w:tcPr>
            <w:tcW w:w="805" w:type="pct"/>
            <w:tcBorders>
              <w:top w:val="nil"/>
              <w:left w:val="single" w:color="auto" w:sz="4" w:space="0"/>
              <w:bottom w:val="single" w:color="auto" w:sz="4" w:space="0"/>
              <w:right w:val="single" w:color="auto" w:sz="4" w:space="0"/>
            </w:tcBorders>
            <w:shd w:val="clear" w:color="auto" w:fill="auto"/>
            <w:noWrap/>
            <w:vAlign w:val="center"/>
          </w:tcPr>
          <w:p w14:paraId="1C2B89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3,708.55</w:t>
            </w:r>
          </w:p>
        </w:tc>
        <w:tc>
          <w:tcPr>
            <w:tcW w:w="805" w:type="pct"/>
            <w:tcBorders>
              <w:top w:val="nil"/>
              <w:left w:val="nil"/>
              <w:bottom w:val="single" w:color="auto" w:sz="8" w:space="0"/>
              <w:right w:val="single" w:color="auto" w:sz="8" w:space="0"/>
            </w:tcBorders>
            <w:shd w:val="clear" w:color="auto" w:fill="auto"/>
            <w:vAlign w:val="center"/>
          </w:tcPr>
          <w:p w14:paraId="558C25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5" w:type="pct"/>
            <w:tcBorders>
              <w:top w:val="nil"/>
              <w:left w:val="nil"/>
              <w:bottom w:val="single" w:color="auto" w:sz="8" w:space="0"/>
              <w:right w:val="single" w:color="auto" w:sz="8" w:space="0"/>
            </w:tcBorders>
            <w:shd w:val="clear" w:color="auto" w:fill="auto"/>
            <w:vAlign w:val="center"/>
          </w:tcPr>
          <w:p w14:paraId="49DAD34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1201.17</w:t>
            </w:r>
          </w:p>
        </w:tc>
        <w:tc>
          <w:tcPr>
            <w:tcW w:w="805" w:type="pct"/>
            <w:tcBorders>
              <w:top w:val="nil"/>
              <w:left w:val="nil"/>
              <w:bottom w:val="single" w:color="auto" w:sz="8" w:space="0"/>
              <w:right w:val="single" w:color="auto" w:sz="8" w:space="0"/>
            </w:tcBorders>
            <w:shd w:val="clear" w:color="auto" w:fill="auto"/>
            <w:vAlign w:val="center"/>
          </w:tcPr>
          <w:p w14:paraId="504D44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1151.14</w:t>
            </w:r>
          </w:p>
        </w:tc>
        <w:tc>
          <w:tcPr>
            <w:tcW w:w="806" w:type="pct"/>
            <w:tcBorders>
              <w:top w:val="nil"/>
              <w:left w:val="nil"/>
              <w:bottom w:val="single" w:color="auto" w:sz="8" w:space="0"/>
              <w:right w:val="single" w:color="auto" w:sz="8" w:space="0"/>
            </w:tcBorders>
            <w:shd w:val="clear" w:color="auto" w:fill="auto"/>
            <w:vAlign w:val="center"/>
          </w:tcPr>
          <w:p w14:paraId="565600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1356.24</w:t>
            </w:r>
          </w:p>
        </w:tc>
      </w:tr>
      <w:tr w14:paraId="742C09AE">
        <w:tblPrEx>
          <w:tblCellMar>
            <w:top w:w="0" w:type="dxa"/>
            <w:left w:w="108" w:type="dxa"/>
            <w:bottom w:w="0" w:type="dxa"/>
            <w:right w:w="108" w:type="dxa"/>
          </w:tblCellMar>
        </w:tblPrEx>
        <w:trPr>
          <w:trHeight w:val="285" w:hRule="atLeast"/>
        </w:trPr>
        <w:tc>
          <w:tcPr>
            <w:tcW w:w="296" w:type="pct"/>
            <w:tcBorders>
              <w:top w:val="nil"/>
              <w:left w:val="single" w:color="auto" w:sz="8" w:space="0"/>
              <w:bottom w:val="single" w:color="auto" w:sz="8" w:space="0"/>
              <w:right w:val="single" w:color="auto" w:sz="8" w:space="0"/>
            </w:tcBorders>
            <w:shd w:val="clear" w:color="auto" w:fill="auto"/>
            <w:vAlign w:val="center"/>
          </w:tcPr>
          <w:p w14:paraId="56E007CC">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w:t>
            </w:r>
          </w:p>
        </w:tc>
        <w:tc>
          <w:tcPr>
            <w:tcW w:w="674" w:type="pct"/>
            <w:tcBorders>
              <w:top w:val="nil"/>
              <w:left w:val="nil"/>
              <w:bottom w:val="single" w:color="auto" w:sz="8" w:space="0"/>
              <w:right w:val="single" w:color="auto" w:sz="8" w:space="0"/>
            </w:tcBorders>
            <w:shd w:val="clear" w:color="auto" w:fill="auto"/>
            <w:vAlign w:val="center"/>
          </w:tcPr>
          <w:p w14:paraId="3358B5B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基本预备费</w:t>
            </w:r>
          </w:p>
        </w:tc>
        <w:tc>
          <w:tcPr>
            <w:tcW w:w="805" w:type="pct"/>
            <w:tcBorders>
              <w:top w:val="nil"/>
              <w:left w:val="single" w:color="auto" w:sz="4" w:space="0"/>
              <w:bottom w:val="single" w:color="auto" w:sz="4" w:space="0"/>
              <w:right w:val="single" w:color="auto" w:sz="4" w:space="0"/>
            </w:tcBorders>
            <w:shd w:val="clear" w:color="auto" w:fill="auto"/>
            <w:noWrap/>
            <w:vAlign w:val="center"/>
          </w:tcPr>
          <w:p w14:paraId="285FA0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3,530.65</w:t>
            </w:r>
          </w:p>
        </w:tc>
        <w:tc>
          <w:tcPr>
            <w:tcW w:w="805" w:type="pct"/>
            <w:tcBorders>
              <w:top w:val="nil"/>
              <w:left w:val="nil"/>
              <w:bottom w:val="single" w:color="auto" w:sz="8" w:space="0"/>
              <w:right w:val="single" w:color="auto" w:sz="8" w:space="0"/>
            </w:tcBorders>
            <w:shd w:val="clear" w:color="auto" w:fill="auto"/>
            <w:vAlign w:val="center"/>
          </w:tcPr>
          <w:p w14:paraId="2080ED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380.21</w:t>
            </w:r>
          </w:p>
        </w:tc>
        <w:tc>
          <w:tcPr>
            <w:tcW w:w="805" w:type="pct"/>
            <w:tcBorders>
              <w:top w:val="nil"/>
              <w:left w:val="nil"/>
              <w:bottom w:val="single" w:color="auto" w:sz="8" w:space="0"/>
              <w:right w:val="single" w:color="auto" w:sz="8" w:space="0"/>
            </w:tcBorders>
            <w:shd w:val="clear" w:color="auto" w:fill="auto"/>
            <w:vAlign w:val="center"/>
          </w:tcPr>
          <w:p w14:paraId="0E9EED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1020.84</w:t>
            </w:r>
          </w:p>
        </w:tc>
        <w:tc>
          <w:tcPr>
            <w:tcW w:w="805" w:type="pct"/>
            <w:tcBorders>
              <w:top w:val="nil"/>
              <w:left w:val="nil"/>
              <w:bottom w:val="single" w:color="auto" w:sz="8" w:space="0"/>
              <w:right w:val="single" w:color="auto" w:sz="8" w:space="0"/>
            </w:tcBorders>
            <w:shd w:val="clear" w:color="auto" w:fill="auto"/>
            <w:vAlign w:val="center"/>
          </w:tcPr>
          <w:p w14:paraId="66F671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977.94</w:t>
            </w:r>
          </w:p>
        </w:tc>
        <w:tc>
          <w:tcPr>
            <w:tcW w:w="806" w:type="pct"/>
            <w:tcBorders>
              <w:top w:val="nil"/>
              <w:left w:val="nil"/>
              <w:bottom w:val="single" w:color="auto" w:sz="8" w:space="0"/>
              <w:right w:val="single" w:color="auto" w:sz="8" w:space="0"/>
            </w:tcBorders>
            <w:shd w:val="clear" w:color="auto" w:fill="auto"/>
            <w:vAlign w:val="center"/>
          </w:tcPr>
          <w:p w14:paraId="1C693D1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1151.66</w:t>
            </w:r>
          </w:p>
        </w:tc>
      </w:tr>
      <w:tr w14:paraId="25C738FA">
        <w:tblPrEx>
          <w:tblCellMar>
            <w:top w:w="0" w:type="dxa"/>
            <w:left w:w="108" w:type="dxa"/>
            <w:bottom w:w="0" w:type="dxa"/>
            <w:right w:w="108" w:type="dxa"/>
          </w:tblCellMar>
        </w:tblPrEx>
        <w:trPr>
          <w:trHeight w:val="285" w:hRule="atLeast"/>
        </w:trPr>
        <w:tc>
          <w:tcPr>
            <w:tcW w:w="296" w:type="pct"/>
            <w:tcBorders>
              <w:top w:val="nil"/>
              <w:left w:val="single" w:color="auto" w:sz="8" w:space="0"/>
              <w:bottom w:val="single" w:color="auto" w:sz="8" w:space="0"/>
              <w:right w:val="single" w:color="auto" w:sz="8" w:space="0"/>
            </w:tcBorders>
            <w:shd w:val="clear" w:color="auto" w:fill="auto"/>
            <w:vAlign w:val="center"/>
          </w:tcPr>
          <w:p w14:paraId="3308A34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w:t>
            </w:r>
          </w:p>
        </w:tc>
        <w:tc>
          <w:tcPr>
            <w:tcW w:w="674" w:type="pct"/>
            <w:tcBorders>
              <w:top w:val="nil"/>
              <w:left w:val="nil"/>
              <w:bottom w:val="single" w:color="auto" w:sz="8" w:space="0"/>
              <w:right w:val="single" w:color="auto" w:sz="8" w:space="0"/>
            </w:tcBorders>
            <w:shd w:val="clear" w:color="auto" w:fill="auto"/>
            <w:vAlign w:val="center"/>
          </w:tcPr>
          <w:p w14:paraId="7D3565E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专项费用</w:t>
            </w:r>
          </w:p>
        </w:tc>
        <w:tc>
          <w:tcPr>
            <w:tcW w:w="805" w:type="pct"/>
            <w:tcBorders>
              <w:top w:val="nil"/>
              <w:left w:val="single" w:color="auto" w:sz="4" w:space="0"/>
              <w:bottom w:val="single" w:color="auto" w:sz="4" w:space="0"/>
              <w:right w:val="single" w:color="auto" w:sz="4" w:space="0"/>
            </w:tcBorders>
            <w:shd w:val="clear" w:color="auto" w:fill="auto"/>
            <w:noWrap/>
            <w:vAlign w:val="center"/>
          </w:tcPr>
          <w:p w14:paraId="6F1529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2,279.07</w:t>
            </w:r>
          </w:p>
        </w:tc>
        <w:tc>
          <w:tcPr>
            <w:tcW w:w="805" w:type="pct"/>
            <w:tcBorders>
              <w:top w:val="nil"/>
              <w:left w:val="nil"/>
              <w:bottom w:val="single" w:color="auto" w:sz="8" w:space="0"/>
              <w:right w:val="single" w:color="auto" w:sz="8" w:space="0"/>
            </w:tcBorders>
            <w:shd w:val="clear" w:color="auto" w:fill="auto"/>
            <w:vAlign w:val="center"/>
          </w:tcPr>
          <w:p w14:paraId="20B242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2,279.07</w:t>
            </w:r>
          </w:p>
        </w:tc>
        <w:tc>
          <w:tcPr>
            <w:tcW w:w="805" w:type="pct"/>
            <w:tcBorders>
              <w:top w:val="nil"/>
              <w:left w:val="nil"/>
              <w:bottom w:val="single" w:color="auto" w:sz="8" w:space="0"/>
              <w:right w:val="single" w:color="auto" w:sz="8" w:space="0"/>
            </w:tcBorders>
            <w:shd w:val="clear" w:color="auto" w:fill="auto"/>
            <w:vAlign w:val="center"/>
          </w:tcPr>
          <w:p w14:paraId="1A1EAA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5" w:type="pct"/>
            <w:tcBorders>
              <w:top w:val="nil"/>
              <w:left w:val="nil"/>
              <w:bottom w:val="single" w:color="auto" w:sz="8" w:space="0"/>
              <w:right w:val="single" w:color="auto" w:sz="8" w:space="0"/>
            </w:tcBorders>
            <w:shd w:val="clear" w:color="auto" w:fill="auto"/>
            <w:vAlign w:val="center"/>
          </w:tcPr>
          <w:p w14:paraId="62FBEF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06" w:type="pct"/>
            <w:tcBorders>
              <w:top w:val="nil"/>
              <w:left w:val="nil"/>
              <w:bottom w:val="single" w:color="auto" w:sz="8" w:space="0"/>
              <w:right w:val="single" w:color="auto" w:sz="8" w:space="0"/>
            </w:tcBorders>
            <w:shd w:val="clear" w:color="auto" w:fill="auto"/>
            <w:vAlign w:val="center"/>
          </w:tcPr>
          <w:p w14:paraId="600F4A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36BC5D2">
        <w:tblPrEx>
          <w:tblCellMar>
            <w:top w:w="0" w:type="dxa"/>
            <w:left w:w="108" w:type="dxa"/>
            <w:bottom w:w="0" w:type="dxa"/>
            <w:right w:w="108" w:type="dxa"/>
          </w:tblCellMar>
        </w:tblPrEx>
        <w:trPr>
          <w:trHeight w:val="285" w:hRule="atLeast"/>
        </w:trPr>
        <w:tc>
          <w:tcPr>
            <w:tcW w:w="971"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60B1CC6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本次建设项目支出总计</w:t>
            </w:r>
          </w:p>
        </w:tc>
        <w:tc>
          <w:tcPr>
            <w:tcW w:w="805" w:type="pct"/>
            <w:tcBorders>
              <w:top w:val="single" w:color="auto" w:sz="8" w:space="0"/>
              <w:left w:val="nil"/>
              <w:bottom w:val="single" w:color="auto" w:sz="8" w:space="0"/>
              <w:right w:val="single" w:color="auto" w:sz="8" w:space="0"/>
            </w:tcBorders>
            <w:shd w:val="clear" w:color="auto" w:fill="auto"/>
            <w:vAlign w:val="center"/>
          </w:tcPr>
          <w:p w14:paraId="5FEF3A44">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49,942.81</w:t>
            </w:r>
          </w:p>
        </w:tc>
        <w:tc>
          <w:tcPr>
            <w:tcW w:w="805" w:type="pct"/>
            <w:tcBorders>
              <w:top w:val="nil"/>
              <w:left w:val="nil"/>
              <w:bottom w:val="single" w:color="auto" w:sz="8" w:space="0"/>
              <w:right w:val="single" w:color="auto" w:sz="8" w:space="0"/>
            </w:tcBorders>
            <w:shd w:val="clear" w:color="auto" w:fill="auto"/>
            <w:vAlign w:val="center"/>
          </w:tcPr>
          <w:p w14:paraId="7E7F0329">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2,659.28</w:t>
            </w:r>
          </w:p>
        </w:tc>
        <w:tc>
          <w:tcPr>
            <w:tcW w:w="805" w:type="pct"/>
            <w:tcBorders>
              <w:top w:val="nil"/>
              <w:left w:val="nil"/>
              <w:bottom w:val="single" w:color="auto" w:sz="8" w:space="0"/>
              <w:right w:val="single" w:color="auto" w:sz="8" w:space="0"/>
            </w:tcBorders>
            <w:shd w:val="clear" w:color="auto" w:fill="auto"/>
            <w:vAlign w:val="center"/>
          </w:tcPr>
          <w:p w14:paraId="63CD076B">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15,318.50</w:t>
            </w:r>
          </w:p>
        </w:tc>
        <w:tc>
          <w:tcPr>
            <w:tcW w:w="805" w:type="pct"/>
            <w:tcBorders>
              <w:top w:val="nil"/>
              <w:left w:val="nil"/>
              <w:bottom w:val="single" w:color="auto" w:sz="8" w:space="0"/>
              <w:right w:val="single" w:color="auto" w:sz="8" w:space="0"/>
            </w:tcBorders>
            <w:shd w:val="clear" w:color="auto" w:fill="auto"/>
            <w:vAlign w:val="center"/>
          </w:tcPr>
          <w:p w14:paraId="4E96213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14,677.89</w:t>
            </w:r>
          </w:p>
        </w:tc>
        <w:tc>
          <w:tcPr>
            <w:tcW w:w="806" w:type="pct"/>
            <w:tcBorders>
              <w:top w:val="nil"/>
              <w:left w:val="nil"/>
              <w:bottom w:val="single" w:color="auto" w:sz="8" w:space="0"/>
              <w:right w:val="single" w:color="auto" w:sz="8" w:space="0"/>
            </w:tcBorders>
            <w:shd w:val="clear" w:color="auto" w:fill="auto"/>
            <w:vAlign w:val="center"/>
          </w:tcPr>
          <w:p w14:paraId="4D7BF941">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17,287.14</w:t>
            </w:r>
          </w:p>
        </w:tc>
      </w:tr>
    </w:tbl>
    <w:p w14:paraId="2D7BBC9C">
      <w:pPr>
        <w:ind w:left="-140" w:leftChars="-67" w:right="-98" w:rightChars="-47" w:firstLine="282" w:firstLineChars="157"/>
        <w:rPr>
          <w:rFonts w:ascii="楷体" w:hAnsi="楷体" w:eastAsia="楷体" w:cs="楷体"/>
          <w:bCs/>
          <w:color w:val="auto"/>
          <w:sz w:val="28"/>
          <w:szCs w:val="28"/>
        </w:rPr>
      </w:pPr>
      <w:r>
        <w:rPr>
          <w:rFonts w:hint="eastAsia"/>
          <w:color w:val="000000" w:themeColor="text1"/>
          <w:sz w:val="18"/>
          <w:szCs w:val="18"/>
          <w:highlight w:val="none"/>
          <w14:textFill>
            <w14:solidFill>
              <w14:schemeClr w14:val="tx1"/>
            </w14:solidFill>
          </w14:textFill>
        </w:rPr>
        <w:t>注：项目建设周期为</w:t>
      </w:r>
      <w:r>
        <w:rPr>
          <w:rFonts w:hint="eastAsia"/>
          <w:color w:val="000000" w:themeColor="text1"/>
          <w:sz w:val="18"/>
          <w:szCs w:val="18"/>
          <w:highlight w:val="none"/>
          <w:lang w:val="en-US" w:eastAsia="zh-CN"/>
          <w14:textFill>
            <w14:solidFill>
              <w14:schemeClr w14:val="tx1"/>
            </w14:solidFill>
          </w14:textFill>
        </w:rPr>
        <w:t>4</w:t>
      </w:r>
      <w:r>
        <w:rPr>
          <w:rFonts w:hint="eastAsia"/>
          <w:color w:val="000000" w:themeColor="text1"/>
          <w:sz w:val="18"/>
          <w:szCs w:val="18"/>
          <w:highlight w:val="none"/>
          <w14:textFill>
            <w14:solidFill>
              <w14:schemeClr w14:val="tx1"/>
            </w14:solidFill>
          </w14:textFill>
        </w:rPr>
        <w:t>年，自202</w:t>
      </w:r>
      <w:r>
        <w:rPr>
          <w:rFonts w:hint="eastAsia"/>
          <w:color w:val="000000" w:themeColor="text1"/>
          <w:sz w:val="18"/>
          <w:szCs w:val="18"/>
          <w:highlight w:val="none"/>
          <w:lang w:val="en-US" w:eastAsia="zh-CN"/>
          <w14:textFill>
            <w14:solidFill>
              <w14:schemeClr w14:val="tx1"/>
            </w14:solidFill>
          </w14:textFill>
        </w:rPr>
        <w:t>2</w:t>
      </w:r>
      <w:r>
        <w:rPr>
          <w:rFonts w:hint="eastAsia"/>
          <w:color w:val="000000" w:themeColor="text1"/>
          <w:sz w:val="18"/>
          <w:szCs w:val="18"/>
          <w:highlight w:val="none"/>
          <w14:textFill>
            <w14:solidFill>
              <w14:schemeClr w14:val="tx1"/>
            </w14:solidFill>
          </w14:textFill>
        </w:rPr>
        <w:t>年</w:t>
      </w:r>
      <w:r>
        <w:rPr>
          <w:rFonts w:hint="eastAsia"/>
          <w:color w:val="000000" w:themeColor="text1"/>
          <w:sz w:val="18"/>
          <w:szCs w:val="18"/>
          <w:highlight w:val="none"/>
          <w:lang w:val="en-US" w:eastAsia="zh-CN"/>
          <w14:textFill>
            <w14:solidFill>
              <w14:schemeClr w14:val="tx1"/>
            </w14:solidFill>
          </w14:textFill>
        </w:rPr>
        <w:t>12</w:t>
      </w:r>
      <w:r>
        <w:rPr>
          <w:rFonts w:hint="eastAsia"/>
          <w:color w:val="000000" w:themeColor="text1"/>
          <w:sz w:val="18"/>
          <w:szCs w:val="18"/>
          <w:highlight w:val="none"/>
          <w14:textFill>
            <w14:solidFill>
              <w14:schemeClr w14:val="tx1"/>
            </w14:solidFill>
          </w14:textFill>
        </w:rPr>
        <w:t>月至2025年</w:t>
      </w:r>
      <w:r>
        <w:rPr>
          <w:rFonts w:hint="eastAsia"/>
          <w:color w:val="000000" w:themeColor="text1"/>
          <w:sz w:val="18"/>
          <w:szCs w:val="18"/>
          <w:highlight w:val="none"/>
          <w:lang w:val="en-US" w:eastAsia="zh-CN"/>
          <w14:textFill>
            <w14:solidFill>
              <w14:schemeClr w14:val="tx1"/>
            </w14:solidFill>
          </w14:textFill>
        </w:rPr>
        <w:t>12</w:t>
      </w:r>
      <w:r>
        <w:rPr>
          <w:rFonts w:hint="eastAsia"/>
          <w:color w:val="000000" w:themeColor="text1"/>
          <w:sz w:val="18"/>
          <w:szCs w:val="18"/>
          <w:highlight w:val="none"/>
          <w14:textFill>
            <w14:solidFill>
              <w14:schemeClr w14:val="tx1"/>
            </w14:solidFill>
          </w14:textFill>
        </w:rPr>
        <w:t>月。</w:t>
      </w:r>
    </w:p>
    <w:p w14:paraId="36DB2FF1">
      <w:pPr>
        <w:widowControl/>
        <w:spacing w:line="560" w:lineRule="exact"/>
        <w:ind w:firstLine="560" w:firstLineChars="200"/>
        <w:jc w:val="left"/>
        <w:outlineLvl w:val="0"/>
        <w:rPr>
          <w:rFonts w:ascii="黑体" w:hAnsi="黑体" w:eastAsia="黑体" w:cs="黑体"/>
          <w:color w:val="auto"/>
          <w:sz w:val="28"/>
          <w:szCs w:val="28"/>
        </w:rPr>
      </w:pPr>
      <w:bookmarkStart w:id="12" w:name="_Toc30503"/>
      <w:r>
        <w:rPr>
          <w:rFonts w:hint="eastAsia" w:ascii="黑体" w:hAnsi="黑体" w:eastAsia="黑体" w:cs="黑体"/>
          <w:color w:val="auto"/>
          <w:sz w:val="28"/>
          <w:szCs w:val="28"/>
        </w:rPr>
        <w:t>二、项目投资估算及资金筹措方案</w:t>
      </w:r>
      <w:bookmarkEnd w:id="11"/>
      <w:bookmarkEnd w:id="12"/>
    </w:p>
    <w:p w14:paraId="321A689A">
      <w:pPr>
        <w:widowControl/>
        <w:spacing w:line="560" w:lineRule="exact"/>
        <w:ind w:firstLine="560" w:firstLineChars="200"/>
        <w:jc w:val="left"/>
        <w:outlineLvl w:val="1"/>
        <w:rPr>
          <w:rFonts w:ascii="楷体" w:hAnsi="楷体" w:eastAsia="楷体" w:cs="楷体"/>
          <w:b/>
          <w:bCs/>
          <w:color w:val="auto"/>
          <w:sz w:val="28"/>
          <w:szCs w:val="28"/>
        </w:rPr>
      </w:pPr>
      <w:bookmarkStart w:id="13" w:name="_Toc36580095"/>
      <w:bookmarkStart w:id="14" w:name="_Toc4190"/>
      <w:r>
        <w:rPr>
          <w:rFonts w:hint="eastAsia" w:ascii="楷体" w:hAnsi="楷体" w:eastAsia="楷体" w:cs="楷体"/>
          <w:b/>
          <w:bCs/>
          <w:color w:val="auto"/>
          <w:sz w:val="28"/>
          <w:szCs w:val="28"/>
        </w:rPr>
        <w:t>（一）投资估算</w:t>
      </w:r>
      <w:bookmarkEnd w:id="13"/>
      <w:bookmarkEnd w:id="14"/>
    </w:p>
    <w:p w14:paraId="3EAF70EB">
      <w:pPr>
        <w:spacing w:line="360" w:lineRule="auto"/>
        <w:ind w:left="-140" w:leftChars="-67" w:right="-98" w:rightChars="-47" w:firstLine="376" w:firstLineChars="157"/>
        <w:rPr>
          <w:rFonts w:hint="eastAsia" w:ascii="宋体" w:hAnsi="宋体" w:eastAsia="宋体" w:cs="宋体"/>
          <w:bCs/>
          <w:color w:val="auto"/>
          <w:sz w:val="24"/>
          <w:szCs w:val="24"/>
        </w:rPr>
      </w:pPr>
      <w:bookmarkStart w:id="15" w:name="_Toc36580096"/>
      <w:r>
        <w:rPr>
          <w:rFonts w:hint="eastAsia" w:ascii="宋体" w:hAnsi="宋体" w:eastAsia="宋体" w:cs="宋体"/>
          <w:bCs/>
          <w:color w:val="auto"/>
          <w:sz w:val="24"/>
          <w:szCs w:val="24"/>
        </w:rPr>
        <w:t>1、估算编制依据</w:t>
      </w:r>
      <w:bookmarkEnd w:id="15"/>
    </w:p>
    <w:p w14:paraId="4DB8C95B">
      <w:pPr>
        <w:spacing w:line="360" w:lineRule="auto"/>
        <w:ind w:left="-140" w:leftChars="-67" w:right="-98" w:rightChars="-47" w:firstLine="376" w:firstLineChars="157"/>
        <w:rPr>
          <w:rFonts w:hint="eastAsia" w:ascii="宋体" w:hAnsi="宋体" w:eastAsia="宋体" w:cs="宋体"/>
          <w:bCs/>
          <w:color w:val="auto"/>
          <w:sz w:val="24"/>
          <w:szCs w:val="24"/>
        </w:rPr>
      </w:pPr>
      <w:bookmarkStart w:id="16" w:name="_Toc36580097"/>
      <w:r>
        <w:rPr>
          <w:rFonts w:hint="eastAsia" w:ascii="宋体" w:hAnsi="宋体" w:eastAsia="宋体" w:cs="宋体"/>
          <w:bCs/>
          <w:color w:val="auto"/>
          <w:sz w:val="24"/>
          <w:szCs w:val="24"/>
        </w:rPr>
        <w:t>1)关于南昌县行政审批局《关于东新乡东岳村三期安置房建设项目可行性研究报告的批复》（南行审投资投字【2019】235号)</w:t>
      </w:r>
    </w:p>
    <w:p w14:paraId="29327EA1">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2)财政部《关于试点发展项目收益与融资自求平衡的地方政府专项债券品种的通知》（财预〔2017〕89号文）；</w:t>
      </w:r>
    </w:p>
    <w:p w14:paraId="4034BEC4">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3)财政部《关于做好2018年地方政府债券发行工作的意见》（财库〔2018〕61号）；</w:t>
      </w:r>
    </w:p>
    <w:p w14:paraId="536DDA23">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4)《国家鼓励发展的资源节约综合利用和环境保护技术》（国家发展改革委令[2005]第65号）；</w:t>
      </w:r>
    </w:p>
    <w:p w14:paraId="6C95F1CD">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5)《中华人民共和国电力法（2015年修正）》（国家主席令[2015]第24号）；</w:t>
      </w:r>
    </w:p>
    <w:p w14:paraId="1D9B286A">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6)《水利建设项目经济评价规范》（SL72-2013）；</w:t>
      </w:r>
    </w:p>
    <w:p w14:paraId="365E45F2">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7)《水电建设项目经济评价规范》（DL/T5441-2010）；</w:t>
      </w:r>
    </w:p>
    <w:p w14:paraId="220D2988">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8) 《东新乡东岳村三期安置房建设项目可行性研究报告》；</w:t>
      </w:r>
    </w:p>
    <w:p w14:paraId="712680E0">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9)建设工程规划设计要求（蓝协（2018）第001号）；</w:t>
      </w:r>
    </w:p>
    <w:p w14:paraId="76668112">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2、费率及参数</w:t>
      </w:r>
      <w:bookmarkEnd w:id="16"/>
    </w:p>
    <w:p w14:paraId="5E3C9CD2">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本项目从客观、谨慎角度出发、发行利率取3.7%进行测算，本次债券发行按照每半年付息，到期一次性还本的方式。另外，按0.1%费率计算债券发行费用，符合专项债发行现状。</w:t>
      </w:r>
    </w:p>
    <w:p w14:paraId="47D2392B">
      <w:pPr>
        <w:widowControl/>
        <w:spacing w:line="560" w:lineRule="exact"/>
        <w:ind w:firstLine="560" w:firstLineChars="200"/>
        <w:jc w:val="left"/>
        <w:outlineLvl w:val="1"/>
        <w:rPr>
          <w:rFonts w:ascii="楷体" w:hAnsi="楷体" w:eastAsia="楷体" w:cs="楷体"/>
          <w:b/>
          <w:bCs/>
          <w:color w:val="auto"/>
          <w:sz w:val="28"/>
          <w:szCs w:val="28"/>
        </w:rPr>
      </w:pPr>
      <w:bookmarkStart w:id="17" w:name="_Toc36580100"/>
      <w:bookmarkStart w:id="18" w:name="_Toc29546"/>
      <w:r>
        <w:rPr>
          <w:rFonts w:hint="eastAsia" w:ascii="楷体" w:hAnsi="楷体" w:eastAsia="楷体" w:cs="楷体"/>
          <w:b/>
          <w:bCs/>
          <w:color w:val="auto"/>
          <w:sz w:val="28"/>
          <w:szCs w:val="28"/>
        </w:rPr>
        <w:t>（二）资金筹措方案</w:t>
      </w:r>
      <w:bookmarkEnd w:id="17"/>
      <w:bookmarkEnd w:id="18"/>
    </w:p>
    <w:p w14:paraId="62D46D65">
      <w:pPr>
        <w:spacing w:line="360" w:lineRule="auto"/>
        <w:ind w:left="-140" w:leftChars="-67" w:right="-98" w:rightChars="-47" w:firstLine="376" w:firstLineChars="157"/>
        <w:rPr>
          <w:rFonts w:hint="eastAsia" w:ascii="宋体" w:hAnsi="宋体" w:eastAsia="宋体" w:cs="宋体"/>
          <w:bCs/>
          <w:color w:val="auto"/>
          <w:sz w:val="24"/>
          <w:szCs w:val="24"/>
        </w:rPr>
      </w:pPr>
      <w:bookmarkStart w:id="19" w:name="_Toc36580101"/>
      <w:r>
        <w:rPr>
          <w:rFonts w:hint="eastAsia" w:ascii="宋体" w:hAnsi="宋体" w:eastAsia="宋体" w:cs="宋体"/>
          <w:bCs/>
          <w:color w:val="auto"/>
          <w:sz w:val="24"/>
          <w:szCs w:val="24"/>
        </w:rPr>
        <w:t>1、资金筹措原则</w:t>
      </w:r>
      <w:bookmarkEnd w:id="19"/>
    </w:p>
    <w:p w14:paraId="1DDCA76E">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本次资金筹措遵循以下原则：</w:t>
      </w:r>
    </w:p>
    <w:p w14:paraId="757880CE">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（1）项目投入一定资本金，保证项目顺利开工及后续融资的可能；</w:t>
      </w:r>
    </w:p>
    <w:p w14:paraId="512797A3">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（2）发行地方政府专项债券、其他融资。</w:t>
      </w:r>
    </w:p>
    <w:p w14:paraId="4BAF8D6B">
      <w:pPr>
        <w:spacing w:line="360" w:lineRule="auto"/>
        <w:ind w:left="-140" w:leftChars="-67" w:right="-98" w:rightChars="-47" w:firstLine="376" w:firstLineChars="157"/>
        <w:rPr>
          <w:rFonts w:hint="eastAsia" w:ascii="宋体" w:hAnsi="宋体" w:eastAsia="宋体" w:cs="宋体"/>
          <w:bCs/>
          <w:color w:val="auto"/>
          <w:sz w:val="24"/>
          <w:szCs w:val="24"/>
        </w:rPr>
      </w:pPr>
      <w:bookmarkStart w:id="20" w:name="_Toc36580102"/>
      <w:r>
        <w:rPr>
          <w:rFonts w:hint="eastAsia" w:ascii="宋体" w:hAnsi="宋体" w:eastAsia="宋体" w:cs="宋体"/>
          <w:bCs/>
          <w:color w:val="auto"/>
          <w:sz w:val="24"/>
          <w:szCs w:val="24"/>
        </w:rPr>
        <w:t>2、资金筹措方案</w:t>
      </w:r>
      <w:bookmarkEnd w:id="20"/>
    </w:p>
    <w:p w14:paraId="5C234D3E">
      <w:pPr>
        <w:spacing w:line="360" w:lineRule="auto"/>
        <w:ind w:left="-140" w:leftChars="-67" w:right="-98" w:rightChars="-47" w:firstLine="376" w:firstLineChars="157"/>
        <w:rPr>
          <w:rFonts w:hint="eastAsia" w:ascii="楷体" w:hAnsi="楷体" w:eastAsia="楷体" w:cs="楷体"/>
          <w:bCs/>
          <w:color w:val="auto"/>
          <w:sz w:val="28"/>
          <w:szCs w:val="28"/>
        </w:rPr>
      </w:pPr>
      <w:r>
        <w:rPr>
          <w:rFonts w:hint="eastAsia" w:ascii="宋体" w:hAnsi="宋体" w:eastAsia="宋体" w:cs="宋体"/>
          <w:bCs/>
          <w:color w:val="auto"/>
          <w:sz w:val="24"/>
          <w:szCs w:val="24"/>
        </w:rPr>
        <w:t>考虑资金成本，结合本次发行项目实际情况，为降低资金成本，减轻财务负担，提高资金流动性，保障项目现金流最大化，本项目投资人根据国家相关规定，初步确定项目资金来源如下：</w:t>
      </w:r>
    </w:p>
    <w:p w14:paraId="72894905">
      <w:pPr>
        <w:pStyle w:val="19"/>
        <w:keepNext/>
        <w:spacing w:before="0" w:beforeAutospacing="0" w:after="0" w:afterAutospacing="0" w:line="360" w:lineRule="exact"/>
        <w:ind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889" w:type="pct"/>
        <w:tblInd w:w="0" w:type="dxa"/>
        <w:tblLayout w:type="fixed"/>
        <w:tblCellMar>
          <w:top w:w="0" w:type="dxa"/>
          <w:left w:w="108" w:type="dxa"/>
          <w:bottom w:w="0" w:type="dxa"/>
          <w:right w:w="108" w:type="dxa"/>
        </w:tblCellMar>
      </w:tblPr>
      <w:tblGrid>
        <w:gridCol w:w="1332"/>
        <w:gridCol w:w="1148"/>
        <w:gridCol w:w="1298"/>
        <w:gridCol w:w="1272"/>
        <w:gridCol w:w="1692"/>
        <w:gridCol w:w="1785"/>
      </w:tblGrid>
      <w:tr w14:paraId="50B5D529">
        <w:tblPrEx>
          <w:tblCellMar>
            <w:top w:w="0" w:type="dxa"/>
            <w:left w:w="108" w:type="dxa"/>
            <w:bottom w:w="0" w:type="dxa"/>
            <w:right w:w="108" w:type="dxa"/>
          </w:tblCellMar>
        </w:tblPrEx>
        <w:trPr>
          <w:trHeight w:val="270" w:hRule="atLeast"/>
        </w:trPr>
        <w:tc>
          <w:tcPr>
            <w:tcW w:w="78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82B65E2">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FE0292">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545" w:type="pct"/>
            <w:gridSpan w:val="4"/>
            <w:tcBorders>
              <w:top w:val="single" w:color="auto" w:sz="4" w:space="0"/>
              <w:left w:val="nil"/>
              <w:bottom w:val="single" w:color="auto" w:sz="4" w:space="0"/>
              <w:right w:val="nil"/>
            </w:tcBorders>
          </w:tcPr>
          <w:p w14:paraId="7392BB16">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0887DA74">
        <w:tblPrEx>
          <w:tblCellMar>
            <w:top w:w="0" w:type="dxa"/>
            <w:left w:w="108" w:type="dxa"/>
            <w:bottom w:w="0" w:type="dxa"/>
            <w:right w:w="108" w:type="dxa"/>
          </w:tblCellMar>
        </w:tblPrEx>
        <w:trPr>
          <w:trHeight w:val="270" w:hRule="atLeast"/>
        </w:trPr>
        <w:tc>
          <w:tcPr>
            <w:tcW w:w="781" w:type="pct"/>
            <w:vMerge w:val="continue"/>
            <w:tcBorders>
              <w:top w:val="single" w:color="auto" w:sz="4" w:space="0"/>
              <w:left w:val="single" w:color="auto" w:sz="4" w:space="0"/>
              <w:bottom w:val="single" w:color="auto" w:sz="4" w:space="0"/>
              <w:right w:val="single" w:color="auto" w:sz="4" w:space="0"/>
            </w:tcBorders>
            <w:vAlign w:val="center"/>
          </w:tcPr>
          <w:p w14:paraId="076264C3">
            <w:pPr>
              <w:widowControl/>
              <w:jc w:val="center"/>
              <w:rPr>
                <w:rFonts w:ascii="宋体" w:hAnsi="宋体" w:cs="宋体"/>
                <w:b/>
                <w:bCs/>
                <w:color w:val="000000"/>
                <w:kern w:val="0"/>
                <w:sz w:val="18"/>
                <w:szCs w:val="18"/>
                <w:highlight w:val="none"/>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14:paraId="3278572C">
            <w:pPr>
              <w:widowControl/>
              <w:jc w:val="center"/>
              <w:rPr>
                <w:rFonts w:ascii="宋体" w:hAnsi="宋体" w:cs="宋体"/>
                <w:b/>
                <w:bCs/>
                <w:color w:val="000000"/>
                <w:kern w:val="0"/>
                <w:sz w:val="18"/>
                <w:szCs w:val="18"/>
                <w:highlight w:val="none"/>
              </w:rPr>
            </w:pPr>
          </w:p>
        </w:tc>
        <w:tc>
          <w:tcPr>
            <w:tcW w:w="761" w:type="pct"/>
            <w:tcBorders>
              <w:top w:val="nil"/>
              <w:left w:val="nil"/>
              <w:bottom w:val="single" w:color="auto" w:sz="4" w:space="0"/>
              <w:right w:val="single" w:color="auto" w:sz="4" w:space="0"/>
            </w:tcBorders>
            <w:shd w:val="clear" w:color="auto" w:fill="auto"/>
            <w:vAlign w:val="center"/>
          </w:tcPr>
          <w:p w14:paraId="6F7923DC">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745" w:type="pct"/>
            <w:tcBorders>
              <w:top w:val="single" w:color="auto" w:sz="4" w:space="0"/>
              <w:left w:val="nil"/>
              <w:bottom w:val="single" w:color="auto" w:sz="4" w:space="0"/>
              <w:right w:val="single" w:color="auto" w:sz="4" w:space="0"/>
            </w:tcBorders>
          </w:tcPr>
          <w:p w14:paraId="0331E4F3">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调整金额</w:t>
            </w:r>
          </w:p>
        </w:tc>
        <w:tc>
          <w:tcPr>
            <w:tcW w:w="992" w:type="pct"/>
            <w:tcBorders>
              <w:top w:val="nil"/>
              <w:left w:val="nil"/>
              <w:bottom w:val="single" w:color="auto" w:sz="4" w:space="0"/>
              <w:right w:val="single" w:color="auto" w:sz="4" w:space="0"/>
            </w:tcBorders>
            <w:shd w:val="clear" w:color="auto" w:fill="auto"/>
            <w:noWrap/>
            <w:vAlign w:val="center"/>
          </w:tcPr>
          <w:p w14:paraId="35165EF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1046" w:type="pct"/>
            <w:tcBorders>
              <w:top w:val="nil"/>
              <w:left w:val="nil"/>
              <w:bottom w:val="single" w:color="auto" w:sz="4" w:space="0"/>
              <w:right w:val="single" w:color="auto" w:sz="4" w:space="0"/>
            </w:tcBorders>
            <w:shd w:val="clear" w:color="auto" w:fill="auto"/>
            <w:noWrap/>
            <w:vAlign w:val="center"/>
          </w:tcPr>
          <w:p w14:paraId="1A34C77E">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r>
              <w:rPr>
                <w:rFonts w:hint="eastAsia" w:ascii="宋体" w:hAnsi="宋体" w:cs="宋体"/>
                <w:b/>
                <w:bCs/>
                <w:color w:val="000000"/>
                <w:kern w:val="0"/>
                <w:sz w:val="18"/>
                <w:szCs w:val="18"/>
                <w:highlight w:val="none"/>
                <w:lang w:val="en-US" w:eastAsia="zh-CN"/>
              </w:rPr>
              <w:t>计划</w:t>
            </w:r>
            <w:r>
              <w:rPr>
                <w:rFonts w:hint="eastAsia" w:ascii="宋体" w:hAnsi="宋体" w:cs="宋体"/>
                <w:b/>
                <w:bCs/>
                <w:color w:val="000000"/>
                <w:kern w:val="0"/>
                <w:sz w:val="18"/>
                <w:szCs w:val="18"/>
                <w:highlight w:val="none"/>
              </w:rPr>
              <w:t>发行</w:t>
            </w:r>
          </w:p>
        </w:tc>
      </w:tr>
      <w:tr w14:paraId="14E649FC">
        <w:tblPrEx>
          <w:tblCellMar>
            <w:top w:w="0" w:type="dxa"/>
            <w:left w:w="108" w:type="dxa"/>
            <w:bottom w:w="0" w:type="dxa"/>
            <w:right w:w="108" w:type="dxa"/>
          </w:tblCellMar>
        </w:tblPrEx>
        <w:trPr>
          <w:trHeight w:val="270" w:hRule="atLeast"/>
        </w:trPr>
        <w:tc>
          <w:tcPr>
            <w:tcW w:w="781" w:type="pct"/>
            <w:tcBorders>
              <w:top w:val="nil"/>
              <w:left w:val="single" w:color="auto" w:sz="4" w:space="0"/>
              <w:bottom w:val="single" w:color="auto" w:sz="4" w:space="0"/>
              <w:right w:val="single" w:color="auto" w:sz="4" w:space="0"/>
            </w:tcBorders>
            <w:shd w:val="clear" w:color="auto" w:fill="auto"/>
            <w:noWrap/>
            <w:vAlign w:val="center"/>
          </w:tcPr>
          <w:p w14:paraId="5943C39D">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49,942.81</w:t>
            </w:r>
          </w:p>
        </w:tc>
        <w:tc>
          <w:tcPr>
            <w:tcW w:w="673" w:type="pct"/>
            <w:tcBorders>
              <w:top w:val="nil"/>
              <w:left w:val="nil"/>
              <w:bottom w:val="single" w:color="auto" w:sz="4" w:space="0"/>
              <w:right w:val="single" w:color="auto" w:sz="4" w:space="0"/>
            </w:tcBorders>
            <w:shd w:val="clear" w:color="auto" w:fill="auto"/>
            <w:noWrap/>
            <w:vAlign w:val="center"/>
          </w:tcPr>
          <w:p w14:paraId="0812F9DB">
            <w:pPr>
              <w:widowControl/>
              <w:jc w:val="center"/>
              <w:rPr>
                <w:rFonts w:hint="default"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27,442.81</w:t>
            </w:r>
          </w:p>
        </w:tc>
        <w:tc>
          <w:tcPr>
            <w:tcW w:w="761" w:type="pct"/>
            <w:tcBorders>
              <w:top w:val="nil"/>
              <w:left w:val="nil"/>
              <w:bottom w:val="single" w:color="auto" w:sz="4" w:space="0"/>
              <w:right w:val="single" w:color="auto" w:sz="4" w:space="0"/>
            </w:tcBorders>
            <w:shd w:val="clear" w:color="auto" w:fill="auto"/>
            <w:vAlign w:val="center"/>
          </w:tcPr>
          <w:p w14:paraId="7EE22388">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22,500.00</w:t>
            </w:r>
          </w:p>
        </w:tc>
        <w:tc>
          <w:tcPr>
            <w:tcW w:w="745" w:type="pct"/>
            <w:tcBorders>
              <w:top w:val="single" w:color="auto" w:sz="4" w:space="0"/>
              <w:left w:val="nil"/>
              <w:bottom w:val="single" w:color="auto" w:sz="4" w:space="0"/>
              <w:right w:val="single" w:color="auto" w:sz="4" w:space="0"/>
            </w:tcBorders>
          </w:tcPr>
          <w:p w14:paraId="26EF831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w:t>
            </w:r>
            <w:r>
              <w:rPr>
                <w:rFonts w:ascii="宋体" w:hAnsi="宋体" w:cs="宋体"/>
                <w:color w:val="000000"/>
                <w:kern w:val="0"/>
                <w:sz w:val="18"/>
                <w:szCs w:val="18"/>
                <w:highlight w:val="none"/>
              </w:rPr>
              <w:t>,000.00</w:t>
            </w:r>
          </w:p>
        </w:tc>
        <w:tc>
          <w:tcPr>
            <w:tcW w:w="992" w:type="pct"/>
            <w:tcBorders>
              <w:top w:val="nil"/>
              <w:left w:val="nil"/>
              <w:bottom w:val="single" w:color="auto" w:sz="4" w:space="0"/>
              <w:right w:val="single" w:color="auto" w:sz="4" w:space="0"/>
            </w:tcBorders>
            <w:shd w:val="clear" w:color="auto" w:fill="auto"/>
            <w:vAlign w:val="center"/>
          </w:tcPr>
          <w:p w14:paraId="1CC520A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00.00</w:t>
            </w:r>
          </w:p>
        </w:tc>
        <w:tc>
          <w:tcPr>
            <w:tcW w:w="1046" w:type="pct"/>
            <w:tcBorders>
              <w:top w:val="nil"/>
              <w:left w:val="nil"/>
              <w:bottom w:val="single" w:color="auto" w:sz="4" w:space="0"/>
              <w:right w:val="single" w:color="auto" w:sz="4" w:space="0"/>
            </w:tcBorders>
            <w:shd w:val="clear" w:color="auto" w:fill="auto"/>
            <w:vAlign w:val="center"/>
          </w:tcPr>
          <w:p w14:paraId="628F87A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00</w:t>
            </w:r>
            <w:r>
              <w:rPr>
                <w:rFonts w:hint="eastAsia" w:ascii="宋体" w:hAnsi="宋体" w:cs="宋体"/>
                <w:color w:val="000000"/>
                <w:kern w:val="0"/>
                <w:sz w:val="18"/>
                <w:szCs w:val="18"/>
                <w:highlight w:val="none"/>
              </w:rPr>
              <w:t>0.00</w:t>
            </w:r>
          </w:p>
        </w:tc>
      </w:tr>
    </w:tbl>
    <w:p w14:paraId="49D63D77">
      <w:pPr>
        <w:ind w:right="-98" w:rightChars="-47"/>
        <w:rPr>
          <w:rFonts w:hint="eastAsia" w:ascii="楷体" w:hAnsi="楷体" w:eastAsia="楷体" w:cs="楷体"/>
          <w:bCs/>
          <w:color w:val="auto"/>
          <w:sz w:val="28"/>
          <w:szCs w:val="28"/>
        </w:rPr>
      </w:pPr>
    </w:p>
    <w:p w14:paraId="3ADDB14F">
      <w:pPr>
        <w:widowControl/>
        <w:spacing w:line="560" w:lineRule="exact"/>
        <w:ind w:firstLine="560" w:firstLineChars="200"/>
        <w:jc w:val="left"/>
        <w:outlineLvl w:val="0"/>
        <w:rPr>
          <w:rFonts w:ascii="黑体" w:hAnsi="黑体" w:eastAsia="黑体" w:cs="黑体"/>
          <w:color w:val="auto"/>
          <w:sz w:val="28"/>
          <w:szCs w:val="28"/>
        </w:rPr>
      </w:pPr>
      <w:bookmarkStart w:id="21" w:name="_Toc19618"/>
      <w:bookmarkStart w:id="22" w:name="_Toc36580103"/>
      <w:r>
        <w:rPr>
          <w:rFonts w:hint="eastAsia" w:ascii="黑体" w:hAnsi="黑体" w:eastAsia="黑体" w:cs="黑体"/>
          <w:color w:val="auto"/>
          <w:sz w:val="28"/>
          <w:szCs w:val="28"/>
        </w:rPr>
        <w:t>三、项目预期收益、成本及融资平衡情况</w:t>
      </w:r>
      <w:bookmarkEnd w:id="21"/>
      <w:bookmarkEnd w:id="22"/>
    </w:p>
    <w:p w14:paraId="263DAF71">
      <w:pPr>
        <w:widowControl/>
        <w:spacing w:line="560" w:lineRule="exact"/>
        <w:ind w:firstLine="560" w:firstLineChars="200"/>
        <w:jc w:val="left"/>
        <w:outlineLvl w:val="1"/>
        <w:rPr>
          <w:rFonts w:ascii="楷体" w:hAnsi="楷体" w:eastAsia="楷体" w:cs="楷体"/>
          <w:b/>
          <w:bCs/>
          <w:color w:val="auto"/>
          <w:sz w:val="28"/>
          <w:szCs w:val="28"/>
        </w:rPr>
      </w:pPr>
      <w:bookmarkStart w:id="23" w:name="_Toc20112"/>
      <w:bookmarkStart w:id="24" w:name="_Toc36580104"/>
      <w:r>
        <w:rPr>
          <w:rFonts w:hint="eastAsia" w:ascii="楷体" w:hAnsi="楷体" w:eastAsia="楷体" w:cs="楷体"/>
          <w:b/>
          <w:bCs/>
          <w:color w:val="auto"/>
          <w:sz w:val="28"/>
          <w:szCs w:val="28"/>
        </w:rPr>
        <w:t>（一）收入测算</w:t>
      </w:r>
      <w:bookmarkEnd w:id="23"/>
      <w:bookmarkEnd w:id="24"/>
    </w:p>
    <w:p w14:paraId="37935E6A">
      <w:pPr>
        <w:pStyle w:val="19"/>
        <w:spacing w:before="0" w:beforeAutospacing="0" w:after="156" w:afterLines="50" w:afterAutospacing="0" w:line="360" w:lineRule="auto"/>
        <w:ind w:firstLine="480" w:firstLineChars="200"/>
        <w:jc w:val="both"/>
        <w:rPr>
          <w:color w:val="000000" w:themeColor="text1"/>
          <w:sz w:val="24"/>
          <w:szCs w:val="24"/>
          <w:highlight w:val="none"/>
          <w14:textFill>
            <w14:solidFill>
              <w14:schemeClr w14:val="tx1"/>
            </w14:solidFill>
          </w14:textFill>
        </w:rPr>
      </w:pPr>
      <w:bookmarkStart w:id="25" w:name="_Toc36580107"/>
      <w:r>
        <w:rPr>
          <w:rFonts w:hint="eastAsia"/>
          <w:color w:val="000000" w:themeColor="text1"/>
          <w:sz w:val="24"/>
          <w:szCs w:val="24"/>
          <w:highlight w:val="none"/>
          <w14:textFill>
            <w14:solidFill>
              <w14:schemeClr w14:val="tx1"/>
            </w14:solidFill>
          </w14:textFill>
        </w:rPr>
        <w:t>本次申请发行的</w:t>
      </w:r>
      <w:r>
        <w:rPr>
          <w:rFonts w:hint="eastAsia"/>
          <w:color w:val="000000" w:themeColor="text1"/>
          <w:sz w:val="24"/>
          <w:szCs w:val="24"/>
          <w:highlight w:val="none"/>
          <w:lang w:eastAsia="zh-CN"/>
          <w14:textFill>
            <w14:solidFill>
              <w14:schemeClr w14:val="tx1"/>
            </w14:solidFill>
          </w14:textFill>
        </w:rPr>
        <w:t>2022年江西省高质量发展补短板专项债券（十二期）——2022年江西省政府专项债券（二十期）债券资金调整之东新乡东岳村三期安置房（城市棚户区改造）项目</w:t>
      </w:r>
      <w:r>
        <w:rPr>
          <w:rFonts w:hint="eastAsia"/>
          <w:color w:val="000000" w:themeColor="text1"/>
          <w:sz w:val="24"/>
          <w:szCs w:val="24"/>
          <w:highlight w:val="none"/>
          <w14:textFill>
            <w14:solidFill>
              <w14:schemeClr w14:val="tx1"/>
            </w14:solidFill>
          </w14:textFill>
        </w:rPr>
        <w:t>专项债券项目，在债券存续期内合理预计业务活动现金流入合计3</w:t>
      </w:r>
      <w:r>
        <w:rPr>
          <w:rFonts w:hint="eastAsia"/>
          <w:color w:val="000000" w:themeColor="text1"/>
          <w:sz w:val="24"/>
          <w:szCs w:val="24"/>
          <w:highlight w:val="none"/>
          <w:lang w:val="en-US" w:eastAsia="zh-CN"/>
          <w14:textFill>
            <w14:solidFill>
              <w14:schemeClr w14:val="tx1"/>
            </w14:solidFill>
          </w14:textFill>
        </w:rPr>
        <w:t>7</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413</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12</w:t>
      </w:r>
      <w:r>
        <w:rPr>
          <w:rFonts w:hint="eastAsia"/>
          <w:color w:val="000000" w:themeColor="text1"/>
          <w:sz w:val="24"/>
          <w:szCs w:val="24"/>
          <w:highlight w:val="none"/>
          <w14:textFill>
            <w14:solidFill>
              <w14:schemeClr w14:val="tx1"/>
            </w14:solidFill>
          </w14:textFill>
        </w:rPr>
        <w:t>万元</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项目自运营期（202</w:t>
      </w:r>
      <w:r>
        <w:rPr>
          <w:color w:val="000000" w:themeColor="text1"/>
          <w:sz w:val="24"/>
          <w:szCs w:val="24"/>
          <w:highlight w:val="none"/>
          <w14:textFill>
            <w14:solidFill>
              <w14:schemeClr w14:val="tx1"/>
            </w14:solidFill>
          </w14:textFill>
        </w:rPr>
        <w:t>6年1</w:t>
      </w:r>
      <w:r>
        <w:rPr>
          <w:rFonts w:hint="eastAsia"/>
          <w:color w:val="000000" w:themeColor="text1"/>
          <w:sz w:val="24"/>
          <w:szCs w:val="24"/>
          <w:highlight w:val="none"/>
          <w14:textFill>
            <w14:solidFill>
              <w14:schemeClr w14:val="tx1"/>
            </w14:solidFill>
          </w14:textFill>
        </w:rPr>
        <w:t>月）开始至债券到期的项目收益年度分布情况如下：</w:t>
      </w:r>
    </w:p>
    <w:p w14:paraId="4461D1F4">
      <w:pPr>
        <w:pStyle w:val="19"/>
        <w:keepNext/>
        <w:spacing w:before="0" w:beforeAutospacing="0" w:after="0" w:afterAutospacing="0" w:line="360" w:lineRule="exact"/>
        <w:jc w:val="center"/>
        <w:rPr>
          <w:b/>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表3-</w:t>
      </w:r>
      <w:r>
        <w:rPr>
          <w:b/>
          <w:color w:val="000000" w:themeColor="text1"/>
          <w:sz w:val="21"/>
          <w:szCs w:val="21"/>
          <w:highlight w:val="none"/>
          <w14:textFill>
            <w14:solidFill>
              <w14:schemeClr w14:val="tx1"/>
            </w14:solidFill>
          </w14:textFill>
        </w:rPr>
        <w:t>1</w:t>
      </w:r>
      <w:r>
        <w:rPr>
          <w:rFonts w:hint="eastAsia"/>
          <w:b/>
          <w:color w:val="000000" w:themeColor="text1"/>
          <w:sz w:val="21"/>
          <w:szCs w:val="21"/>
          <w:highlight w:val="none"/>
          <w14:textFill>
            <w14:solidFill>
              <w14:schemeClr w14:val="tx1"/>
            </w14:solidFill>
          </w14:textFill>
        </w:rPr>
        <w:t>项目收益年度分布情况分析</w:t>
      </w:r>
    </w:p>
    <w:p w14:paraId="1626FBD2">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8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3227"/>
        <w:gridCol w:w="3786"/>
      </w:tblGrid>
      <w:tr w14:paraId="732B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60" w:type="dxa"/>
            <w:shd w:val="clear" w:color="auto" w:fill="auto"/>
            <w:noWrap/>
            <w:vAlign w:val="center"/>
          </w:tcPr>
          <w:p w14:paraId="0D2EE91B">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年份</w:t>
            </w:r>
          </w:p>
        </w:tc>
        <w:tc>
          <w:tcPr>
            <w:tcW w:w="3227" w:type="dxa"/>
            <w:shd w:val="clear" w:color="auto" w:fill="auto"/>
            <w:noWrap/>
            <w:vAlign w:val="center"/>
          </w:tcPr>
          <w:p w14:paraId="2D211C21">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lang w:val="en-US" w:eastAsia="zh-CN"/>
              </w:rPr>
              <w:t>土地出让</w:t>
            </w:r>
            <w:r>
              <w:rPr>
                <w:rFonts w:hint="eastAsia" w:ascii="宋体" w:hAnsi="宋体" w:cs="宋体"/>
                <w:b/>
                <w:bCs/>
                <w:kern w:val="0"/>
                <w:sz w:val="18"/>
                <w:szCs w:val="18"/>
                <w:highlight w:val="none"/>
              </w:rPr>
              <w:t>收入</w:t>
            </w:r>
          </w:p>
        </w:tc>
        <w:tc>
          <w:tcPr>
            <w:tcW w:w="3786" w:type="dxa"/>
            <w:shd w:val="clear" w:color="auto" w:fill="auto"/>
            <w:noWrap/>
            <w:vAlign w:val="center"/>
          </w:tcPr>
          <w:p w14:paraId="3F9F591A">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合计</w:t>
            </w:r>
          </w:p>
        </w:tc>
      </w:tr>
      <w:tr w14:paraId="69AD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60" w:type="dxa"/>
            <w:shd w:val="clear" w:color="auto" w:fill="auto"/>
            <w:noWrap/>
            <w:vAlign w:val="center"/>
          </w:tcPr>
          <w:p w14:paraId="10B67A20">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2027</w:t>
            </w:r>
          </w:p>
        </w:tc>
        <w:tc>
          <w:tcPr>
            <w:tcW w:w="3227" w:type="dxa"/>
            <w:shd w:val="clear" w:color="auto" w:fill="auto"/>
            <w:noWrap/>
            <w:vAlign w:val="center"/>
          </w:tcPr>
          <w:p w14:paraId="20B553C9">
            <w:pPr>
              <w:widowControl/>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lang w:val="en-US" w:eastAsia="zh-CN"/>
              </w:rPr>
              <w:t>33663.78</w:t>
            </w:r>
          </w:p>
        </w:tc>
        <w:tc>
          <w:tcPr>
            <w:tcW w:w="3786" w:type="dxa"/>
            <w:shd w:val="clear" w:color="auto" w:fill="auto"/>
            <w:noWrap/>
            <w:vAlign w:val="center"/>
          </w:tcPr>
          <w:p w14:paraId="318F0C87">
            <w:pPr>
              <w:widowControl/>
              <w:jc w:val="center"/>
              <w:rPr>
                <w:rFonts w:ascii="宋体" w:hAnsi="宋体" w:cs="宋体"/>
                <w:kern w:val="0"/>
                <w:sz w:val="18"/>
                <w:szCs w:val="18"/>
                <w:highlight w:val="none"/>
              </w:rPr>
            </w:pPr>
            <w:r>
              <w:rPr>
                <w:rFonts w:hint="eastAsia" w:ascii="宋体" w:hAnsi="宋体" w:eastAsia="宋体" w:cs="Times New Roman"/>
                <w:sz w:val="18"/>
                <w:szCs w:val="18"/>
                <w:highlight w:val="none"/>
                <w:lang w:val="en-US" w:eastAsia="zh-CN"/>
              </w:rPr>
              <w:t>33663.78</w:t>
            </w:r>
          </w:p>
        </w:tc>
      </w:tr>
      <w:tr w14:paraId="46B4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60" w:type="dxa"/>
            <w:shd w:val="clear" w:color="auto" w:fill="auto"/>
            <w:noWrap/>
            <w:vAlign w:val="center"/>
          </w:tcPr>
          <w:p w14:paraId="2584193E">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3227" w:type="dxa"/>
            <w:shd w:val="clear" w:color="auto" w:fill="auto"/>
            <w:noWrap/>
            <w:vAlign w:val="center"/>
          </w:tcPr>
          <w:p w14:paraId="5DF1793B">
            <w:pPr>
              <w:widowControl/>
              <w:jc w:val="center"/>
              <w:rPr>
                <w:rFonts w:ascii="宋体" w:hAnsi="宋体" w:cs="宋体"/>
                <w:kern w:val="0"/>
                <w:sz w:val="18"/>
                <w:szCs w:val="18"/>
                <w:highlight w:val="none"/>
              </w:rPr>
            </w:pPr>
            <w:r>
              <w:rPr>
                <w:rFonts w:hint="eastAsia" w:ascii="宋体" w:hAnsi="宋体" w:eastAsia="宋体" w:cs="Times New Roman"/>
                <w:sz w:val="18"/>
                <w:szCs w:val="18"/>
                <w:highlight w:val="none"/>
                <w:lang w:val="en-US" w:eastAsia="zh-CN"/>
              </w:rPr>
              <w:t>33663.78</w:t>
            </w:r>
          </w:p>
        </w:tc>
        <w:tc>
          <w:tcPr>
            <w:tcW w:w="3786" w:type="dxa"/>
            <w:shd w:val="clear" w:color="auto" w:fill="auto"/>
            <w:noWrap/>
            <w:vAlign w:val="center"/>
          </w:tcPr>
          <w:p w14:paraId="49A12658">
            <w:pPr>
              <w:widowControl/>
              <w:jc w:val="center"/>
              <w:rPr>
                <w:rFonts w:ascii="宋体" w:hAnsi="宋体" w:cs="宋体"/>
                <w:kern w:val="0"/>
                <w:sz w:val="18"/>
                <w:szCs w:val="18"/>
                <w:highlight w:val="none"/>
              </w:rPr>
            </w:pPr>
            <w:r>
              <w:rPr>
                <w:rFonts w:hint="eastAsia" w:ascii="宋体" w:hAnsi="宋体" w:eastAsia="宋体" w:cs="Times New Roman"/>
                <w:sz w:val="18"/>
                <w:szCs w:val="18"/>
                <w:highlight w:val="none"/>
                <w:lang w:val="en-US" w:eastAsia="zh-CN"/>
              </w:rPr>
              <w:t>33663.78</w:t>
            </w:r>
          </w:p>
        </w:tc>
      </w:tr>
    </w:tbl>
    <w:p w14:paraId="288739BA">
      <w:pPr>
        <w:pStyle w:val="19"/>
        <w:spacing w:before="156" w:beforeLines="5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本项目经营收入的估算依据如下：</w:t>
      </w:r>
    </w:p>
    <w:p w14:paraId="63EC3AFA">
      <w:pPr>
        <w:pStyle w:val="19"/>
        <w:spacing w:before="156" w:beforeLines="50" w:beforeAutospacing="0" w:after="156" w:afterLines="50" w:afterAutospacing="0" w:line="360" w:lineRule="exact"/>
        <w:ind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1.土地市场情况和土地出让价格预测</w:t>
      </w:r>
    </w:p>
    <w:p w14:paraId="6CED4085">
      <w:pPr>
        <w:pStyle w:val="19"/>
        <w:spacing w:before="156" w:beforeLines="50" w:beforeAutospacing="0" w:after="156" w:afterLines="50" w:afterAutospacing="0" w:line="360" w:lineRule="exact"/>
        <w:ind w:firstLine="420" w:firstLineChars="200"/>
        <w:jc w:val="both"/>
        <w:rPr>
          <w:rFonts w:hint="eastAsia"/>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项目地块价格参照南昌县2019年成交地块南昌县范围内东岳四路以南，滨江西路以西，沿江南大道以东(E4)地块成交价为422万元/亩，结合时间因素，配套因素和地块的区位因素，并考虑地理位置及土地性质、使用年限等考虑地块在2027年出让时间低价上涨4.10%。则计算出让区域内商服土地2027年综合地价。根据项目建设及出让计划，拟2027年进行土地出让。得出本项目2027年土地出让价格为515.90万元。</w:t>
      </w:r>
    </w:p>
    <w:p w14:paraId="4D3995CE">
      <w:pPr>
        <w:pStyle w:val="19"/>
        <w:spacing w:before="156" w:beforeLines="5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eastAsia="zh-CN"/>
          <w14:textFill>
            <w14:solidFill>
              <w14:schemeClr w14:val="tx1"/>
            </w14:solidFill>
          </w14:textFill>
        </w:rPr>
        <w:t>南昌县住房和城乡建设局</w:t>
      </w:r>
      <w:r>
        <w:rPr>
          <w:rFonts w:hint="eastAsia"/>
          <w:color w:val="000000" w:themeColor="text1"/>
          <w:sz w:val="21"/>
          <w:szCs w:val="21"/>
          <w:highlight w:val="none"/>
          <w14:textFill>
            <w14:solidFill>
              <w14:schemeClr w14:val="tx1"/>
            </w14:solidFill>
          </w14:textFill>
        </w:rPr>
        <w:t>综合考虑适度增长因素，保守预测了</w:t>
      </w:r>
      <w:r>
        <w:rPr>
          <w:rFonts w:hint="eastAsia"/>
          <w:color w:val="000000" w:themeColor="text1"/>
          <w:sz w:val="21"/>
          <w:szCs w:val="21"/>
          <w:highlight w:val="none"/>
          <w:lang w:val="en-US" w:eastAsia="zh-CN"/>
          <w14:textFill>
            <w14:solidFill>
              <w14:schemeClr w14:val="tx1"/>
            </w14:solidFill>
          </w14:textFill>
        </w:rPr>
        <w:t>2027</w:t>
      </w:r>
      <w:r>
        <w:rPr>
          <w:rFonts w:hint="eastAsia"/>
          <w:color w:val="000000" w:themeColor="text1"/>
          <w:sz w:val="21"/>
          <w:szCs w:val="21"/>
          <w:highlight w:val="none"/>
          <w14:textFill>
            <w14:solidFill>
              <w14:schemeClr w14:val="tx1"/>
            </w14:solidFill>
          </w14:textFill>
        </w:rPr>
        <w:t>年的收入、支出，在本项目的实施过程中，可以产生持续稳定的收益，各年现金流入及现金流出均保持了稳定的增长，且保持了各年现金结余的总体增长。</w:t>
      </w:r>
    </w:p>
    <w:p w14:paraId="7CEEA255">
      <w:pPr>
        <w:widowControl/>
        <w:spacing w:line="560" w:lineRule="exact"/>
        <w:ind w:firstLine="560" w:firstLineChars="200"/>
        <w:jc w:val="left"/>
        <w:outlineLvl w:val="1"/>
        <w:rPr>
          <w:rFonts w:ascii="楷体" w:hAnsi="楷体" w:eastAsia="楷体" w:cs="楷体"/>
          <w:b/>
          <w:bCs/>
          <w:color w:val="auto"/>
          <w:sz w:val="28"/>
          <w:szCs w:val="28"/>
        </w:rPr>
      </w:pPr>
    </w:p>
    <w:p w14:paraId="78799254">
      <w:pPr>
        <w:widowControl/>
        <w:spacing w:line="560" w:lineRule="exact"/>
        <w:ind w:firstLine="560" w:firstLineChars="200"/>
        <w:jc w:val="left"/>
        <w:outlineLvl w:val="1"/>
        <w:rPr>
          <w:rFonts w:ascii="楷体" w:hAnsi="楷体" w:eastAsia="楷体" w:cs="楷体"/>
          <w:b/>
          <w:bCs/>
          <w:color w:val="auto"/>
          <w:sz w:val="28"/>
          <w:szCs w:val="28"/>
        </w:rPr>
      </w:pPr>
      <w:bookmarkStart w:id="26" w:name="_Toc8688"/>
      <w:r>
        <w:rPr>
          <w:rFonts w:hint="eastAsia" w:ascii="楷体" w:hAnsi="楷体" w:eastAsia="楷体" w:cs="楷体"/>
          <w:b/>
          <w:bCs/>
          <w:color w:val="auto"/>
          <w:sz w:val="28"/>
          <w:szCs w:val="28"/>
        </w:rPr>
        <w:t>（二）项目运营成本测算</w:t>
      </w:r>
      <w:bookmarkEnd w:id="25"/>
      <w:bookmarkEnd w:id="26"/>
    </w:p>
    <w:p w14:paraId="43385EC0">
      <w:pPr>
        <w:ind w:left="-140" w:leftChars="-67" w:right="-98" w:rightChars="-47" w:firstLine="439" w:firstLineChars="157"/>
        <w:rPr>
          <w:rFonts w:ascii="楷体" w:hAnsi="楷体" w:eastAsia="楷体" w:cs="楷体"/>
          <w:bCs/>
          <w:color w:val="auto"/>
          <w:sz w:val="28"/>
          <w:szCs w:val="28"/>
        </w:rPr>
      </w:pPr>
      <w:bookmarkStart w:id="27" w:name="_Toc36580108"/>
      <w:r>
        <w:rPr>
          <w:rFonts w:hint="eastAsia" w:ascii="楷体" w:hAnsi="楷体" w:eastAsia="楷体" w:cs="楷体"/>
          <w:bCs/>
          <w:color w:val="auto"/>
          <w:sz w:val="28"/>
          <w:szCs w:val="28"/>
        </w:rPr>
        <w:t>1、运营成本</w:t>
      </w:r>
      <w:bookmarkEnd w:id="27"/>
    </w:p>
    <w:p w14:paraId="2CD32DF7">
      <w:pPr>
        <w:pStyle w:val="19"/>
        <w:spacing w:before="0" w:beforeAutospacing="0" w:after="156" w:afterLines="50" w:afterAutospacing="0" w:line="360" w:lineRule="exact"/>
        <w:ind w:firstLine="420" w:firstLineChars="200"/>
        <w:jc w:val="both"/>
        <w:rPr>
          <w:rFonts w:hint="default"/>
          <w:color w:val="000000" w:themeColor="text1"/>
          <w:sz w:val="21"/>
          <w:szCs w:val="21"/>
          <w:highlight w:val="none"/>
          <w:lang w:val="en-US"/>
          <w14:textFill>
            <w14:solidFill>
              <w14:schemeClr w14:val="tx1"/>
            </w14:solidFill>
          </w14:textFill>
        </w:rPr>
      </w:pPr>
      <w:bookmarkStart w:id="28" w:name="_Toc36580109"/>
      <w:r>
        <w:rPr>
          <w:rFonts w:hint="eastAsia"/>
          <w:color w:val="000000" w:themeColor="text1"/>
          <w:sz w:val="21"/>
          <w:szCs w:val="21"/>
          <w:highlight w:val="none"/>
          <w:lang w:val="en-US" w:eastAsia="zh-CN"/>
          <w14:textFill>
            <w14:solidFill>
              <w14:schemeClr w14:val="tx1"/>
            </w14:solidFill>
          </w14:textFill>
        </w:rPr>
        <w:t>本</w:t>
      </w:r>
      <w:r>
        <w:rPr>
          <w:rFonts w:hint="eastAsia"/>
          <w:color w:val="000000" w:themeColor="text1"/>
          <w:sz w:val="21"/>
          <w:szCs w:val="21"/>
          <w:highlight w:val="none"/>
          <w14:textFill>
            <w14:solidFill>
              <w14:schemeClr w14:val="tx1"/>
            </w14:solidFill>
          </w14:textFill>
        </w:rPr>
        <w:t>项目经营成本</w:t>
      </w:r>
      <w:r>
        <w:rPr>
          <w:rFonts w:hint="eastAsia"/>
          <w:color w:val="000000" w:themeColor="text1"/>
          <w:sz w:val="21"/>
          <w:szCs w:val="21"/>
          <w:highlight w:val="none"/>
          <w:lang w:val="en-US" w:eastAsia="zh-CN"/>
          <w14:textFill>
            <w14:solidFill>
              <w14:schemeClr w14:val="tx1"/>
            </w14:solidFill>
          </w14:textFill>
        </w:rPr>
        <w:t>为土地出让扣减项目:省级统筹资金按照土地出让收入的2%收取。</w:t>
      </w:r>
    </w:p>
    <w:p w14:paraId="7DAC04B1">
      <w:pPr>
        <w:pStyle w:val="19"/>
        <w:spacing w:before="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业务活动支出及投资建设支出预测情况如下表3</w:t>
      </w:r>
      <w:r>
        <w:rPr>
          <w:color w:val="000000" w:themeColor="text1"/>
          <w:sz w:val="21"/>
          <w:szCs w:val="21"/>
          <w:highlight w:val="none"/>
          <w14:textFill>
            <w14:solidFill>
              <w14:schemeClr w14:val="tx1"/>
            </w14:solidFill>
          </w14:textFill>
        </w:rPr>
        <w:t>-4</w:t>
      </w:r>
      <w:r>
        <w:rPr>
          <w:rFonts w:hint="eastAsia"/>
          <w:color w:val="000000" w:themeColor="text1"/>
          <w:sz w:val="21"/>
          <w:szCs w:val="21"/>
          <w:highlight w:val="none"/>
          <w14:textFill>
            <w14:solidFill>
              <w14:schemeClr w14:val="tx1"/>
            </w14:solidFill>
          </w14:textFill>
        </w:rPr>
        <w:t>所示：</w:t>
      </w:r>
    </w:p>
    <w:p w14:paraId="1777CE50">
      <w:pPr>
        <w:pStyle w:val="19"/>
        <w:spacing w:before="0" w:beforeAutospacing="0" w:after="156" w:afterLines="50" w:afterAutospacing="0" w:line="360" w:lineRule="exact"/>
        <w:ind w:firstLine="420" w:firstLineChars="200"/>
        <w:jc w:val="center"/>
        <w:rPr>
          <w:b/>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表3-</w:t>
      </w:r>
      <w:r>
        <w:rPr>
          <w:b/>
          <w:color w:val="000000" w:themeColor="text1"/>
          <w:sz w:val="21"/>
          <w:szCs w:val="21"/>
          <w:highlight w:val="none"/>
          <w14:textFill>
            <w14:solidFill>
              <w14:schemeClr w14:val="tx1"/>
            </w14:solidFill>
          </w14:textFill>
        </w:rPr>
        <w:t>4</w:t>
      </w:r>
      <w:r>
        <w:rPr>
          <w:rFonts w:hint="eastAsia"/>
          <w:b/>
          <w:color w:val="000000" w:themeColor="text1"/>
          <w:sz w:val="21"/>
          <w:szCs w:val="21"/>
          <w:highlight w:val="none"/>
          <w:lang w:val="en-US" w:eastAsia="zh-CN"/>
          <w14:textFill>
            <w14:solidFill>
              <w14:schemeClr w14:val="tx1"/>
            </w14:solidFill>
          </w14:textFill>
        </w:rPr>
        <w:t xml:space="preserve"> </w:t>
      </w:r>
      <w:r>
        <w:rPr>
          <w:b/>
          <w:color w:val="000000" w:themeColor="text1"/>
          <w:sz w:val="21"/>
          <w:szCs w:val="21"/>
          <w:highlight w:val="none"/>
          <w14:textFill>
            <w14:solidFill>
              <w14:schemeClr w14:val="tx1"/>
            </w14:solidFill>
          </w14:textFill>
        </w:rPr>
        <w:t>2026</w:t>
      </w:r>
      <w:r>
        <w:rPr>
          <w:rFonts w:hint="eastAsia"/>
          <w:b/>
          <w:color w:val="000000" w:themeColor="text1"/>
          <w:sz w:val="21"/>
          <w:szCs w:val="21"/>
          <w:highlight w:val="none"/>
          <w14:textFill>
            <w14:solidFill>
              <w14:schemeClr w14:val="tx1"/>
            </w14:solidFill>
          </w14:textFill>
        </w:rPr>
        <w:t>-</w:t>
      </w:r>
      <w:r>
        <w:rPr>
          <w:b/>
          <w:color w:val="000000" w:themeColor="text1"/>
          <w:sz w:val="21"/>
          <w:szCs w:val="21"/>
          <w:highlight w:val="none"/>
          <w14:textFill>
            <w14:solidFill>
              <w14:schemeClr w14:val="tx1"/>
            </w14:solidFill>
          </w14:textFill>
        </w:rPr>
        <w:t>2036</w:t>
      </w:r>
      <w:r>
        <w:rPr>
          <w:rFonts w:hint="eastAsia"/>
          <w:b/>
          <w:color w:val="000000" w:themeColor="text1"/>
          <w:sz w:val="21"/>
          <w:szCs w:val="21"/>
          <w:highlight w:val="none"/>
          <w14:textFill>
            <w14:solidFill>
              <w14:schemeClr w14:val="tx1"/>
            </w14:solidFill>
          </w14:textFill>
        </w:rPr>
        <w:t>年支出情况预测表</w:t>
      </w:r>
    </w:p>
    <w:p w14:paraId="6C47625A">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854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3927"/>
        <w:gridCol w:w="3973"/>
      </w:tblGrid>
      <w:tr w14:paraId="294E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640" w:type="dxa"/>
            <w:shd w:val="clear" w:color="auto" w:fill="auto"/>
            <w:noWrap/>
            <w:vAlign w:val="center"/>
          </w:tcPr>
          <w:p w14:paraId="45FCC004">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年份</w:t>
            </w:r>
          </w:p>
        </w:tc>
        <w:tc>
          <w:tcPr>
            <w:tcW w:w="3927" w:type="dxa"/>
            <w:shd w:val="clear" w:color="auto" w:fill="auto"/>
            <w:noWrap/>
            <w:vAlign w:val="center"/>
          </w:tcPr>
          <w:p w14:paraId="409003C9">
            <w:pPr>
              <w:widowControl/>
              <w:jc w:val="center"/>
              <w:rPr>
                <w:rFonts w:ascii="宋体" w:hAnsi="宋体" w:cs="宋体"/>
                <w:b/>
                <w:kern w:val="0"/>
                <w:sz w:val="18"/>
                <w:szCs w:val="18"/>
                <w:highlight w:val="none"/>
              </w:rPr>
            </w:pPr>
            <w:r>
              <w:rPr>
                <w:rFonts w:hint="eastAsia" w:ascii="宋体" w:hAnsi="宋体" w:eastAsia="宋体" w:cs="宋体"/>
                <w:b/>
                <w:kern w:val="0"/>
                <w:sz w:val="18"/>
                <w:szCs w:val="18"/>
                <w:highlight w:val="none"/>
                <w:lang w:val="en-US" w:eastAsia="zh-CN"/>
              </w:rPr>
              <w:t>省级统筹资金</w:t>
            </w:r>
          </w:p>
        </w:tc>
        <w:tc>
          <w:tcPr>
            <w:tcW w:w="3973" w:type="dxa"/>
            <w:shd w:val="clear" w:color="auto" w:fill="auto"/>
            <w:noWrap/>
            <w:vAlign w:val="center"/>
          </w:tcPr>
          <w:p w14:paraId="05B0B5A9">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年成本</w:t>
            </w:r>
          </w:p>
        </w:tc>
      </w:tr>
      <w:tr w14:paraId="0D4D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40" w:type="dxa"/>
            <w:shd w:val="clear" w:color="auto" w:fill="auto"/>
            <w:noWrap/>
            <w:vAlign w:val="center"/>
          </w:tcPr>
          <w:p w14:paraId="0200AA95">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2027</w:t>
            </w:r>
          </w:p>
        </w:tc>
        <w:tc>
          <w:tcPr>
            <w:tcW w:w="3927" w:type="dxa"/>
            <w:shd w:val="clear" w:color="auto" w:fill="auto"/>
            <w:noWrap/>
            <w:vAlign w:val="center"/>
          </w:tcPr>
          <w:p w14:paraId="3E5E6E2F">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748.26</w:t>
            </w:r>
          </w:p>
        </w:tc>
        <w:tc>
          <w:tcPr>
            <w:tcW w:w="3973" w:type="dxa"/>
            <w:shd w:val="clear" w:color="auto" w:fill="auto"/>
            <w:noWrap/>
            <w:vAlign w:val="center"/>
          </w:tcPr>
          <w:p w14:paraId="5E03563D">
            <w:pPr>
              <w:widowControl/>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748.26</w:t>
            </w:r>
          </w:p>
        </w:tc>
      </w:tr>
      <w:tr w14:paraId="1B58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0" w:type="dxa"/>
            <w:shd w:val="clear" w:color="auto" w:fill="auto"/>
            <w:noWrap/>
            <w:vAlign w:val="center"/>
          </w:tcPr>
          <w:p w14:paraId="4EC09244">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合计</w:t>
            </w:r>
          </w:p>
        </w:tc>
        <w:tc>
          <w:tcPr>
            <w:tcW w:w="3927" w:type="dxa"/>
            <w:shd w:val="clear" w:color="auto" w:fill="auto"/>
            <w:noWrap/>
            <w:vAlign w:val="center"/>
          </w:tcPr>
          <w:p w14:paraId="6641A3CD">
            <w:pPr>
              <w:widowControl/>
              <w:jc w:val="center"/>
              <w:rPr>
                <w:rFonts w:ascii="宋体" w:hAnsi="宋体" w:cs="宋体"/>
                <w:b/>
                <w:bCs/>
                <w:kern w:val="0"/>
                <w:sz w:val="18"/>
                <w:szCs w:val="18"/>
                <w:highlight w:val="none"/>
              </w:rPr>
            </w:pPr>
            <w:r>
              <w:rPr>
                <w:rFonts w:hint="eastAsia" w:ascii="宋体" w:hAnsi="宋体" w:eastAsia="宋体" w:cs="宋体"/>
                <w:b/>
                <w:bCs/>
                <w:kern w:val="0"/>
                <w:sz w:val="18"/>
                <w:szCs w:val="18"/>
                <w:highlight w:val="none"/>
                <w:lang w:val="en-US" w:eastAsia="zh-CN"/>
              </w:rPr>
              <w:t>748.26</w:t>
            </w:r>
          </w:p>
        </w:tc>
        <w:tc>
          <w:tcPr>
            <w:tcW w:w="3973" w:type="dxa"/>
            <w:shd w:val="clear" w:color="auto" w:fill="auto"/>
            <w:noWrap/>
            <w:vAlign w:val="center"/>
          </w:tcPr>
          <w:p w14:paraId="6ACC8F23">
            <w:pPr>
              <w:widowControl/>
              <w:jc w:val="center"/>
              <w:rPr>
                <w:rFonts w:ascii="宋体" w:hAnsi="宋体" w:cs="宋体"/>
                <w:b/>
                <w:bCs/>
                <w:kern w:val="0"/>
                <w:sz w:val="18"/>
                <w:szCs w:val="18"/>
                <w:highlight w:val="none"/>
              </w:rPr>
            </w:pPr>
            <w:r>
              <w:rPr>
                <w:rFonts w:hint="eastAsia" w:ascii="宋体" w:hAnsi="宋体" w:eastAsia="宋体" w:cs="宋体"/>
                <w:b/>
                <w:bCs/>
                <w:kern w:val="0"/>
                <w:sz w:val="18"/>
                <w:szCs w:val="18"/>
                <w:highlight w:val="none"/>
                <w:lang w:val="en-US" w:eastAsia="zh-CN"/>
              </w:rPr>
              <w:t>748.26</w:t>
            </w:r>
          </w:p>
        </w:tc>
      </w:tr>
    </w:tbl>
    <w:p w14:paraId="76EBD7A1">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p>
    <w:p w14:paraId="3891D660">
      <w:pPr>
        <w:pStyle w:val="19"/>
        <w:spacing w:before="0" w:beforeAutospacing="0" w:after="156" w:afterLines="50" w:afterAutospacing="0" w:line="360" w:lineRule="exact"/>
        <w:ind w:firstLine="360" w:firstLineChars="200"/>
        <w:jc w:val="both"/>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注：1.支出情况预测表主要体现的是需要支付现金的成本费用部分，故对于不需付现的费用（如折旧摊销等）进行了剔除，暂不在上表中反映。</w:t>
      </w:r>
    </w:p>
    <w:p w14:paraId="23999750">
      <w:pPr>
        <w:pStyle w:val="19"/>
        <w:spacing w:before="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sectPr>
          <w:pgSz w:w="11906" w:h="16838"/>
          <w:pgMar w:top="1531" w:right="1701" w:bottom="1418" w:left="1701" w:header="851" w:footer="992" w:gutter="0"/>
          <w:pgNumType w:fmt="decimal"/>
          <w:cols w:space="425" w:num="1"/>
          <w:docGrid w:type="linesAndChars" w:linePitch="312" w:charSpace="0"/>
        </w:sectPr>
      </w:pPr>
    </w:p>
    <w:p w14:paraId="3F4C86CA">
      <w:pPr>
        <w:ind w:left="-140" w:leftChars="-67" w:right="-98" w:rightChars="-47" w:firstLine="439" w:firstLineChars="157"/>
        <w:rPr>
          <w:rFonts w:ascii="楷体" w:hAnsi="楷体" w:eastAsia="楷体" w:cs="楷体"/>
          <w:bCs/>
          <w:color w:val="auto"/>
          <w:sz w:val="28"/>
          <w:szCs w:val="28"/>
        </w:rPr>
      </w:pPr>
      <w:r>
        <w:rPr>
          <w:rFonts w:hint="eastAsia" w:ascii="楷体" w:hAnsi="楷体" w:eastAsia="楷体" w:cs="楷体"/>
          <w:bCs/>
          <w:color w:val="auto"/>
          <w:sz w:val="28"/>
          <w:szCs w:val="28"/>
        </w:rPr>
        <w:t>2、财务费用</w:t>
      </w:r>
      <w:bookmarkEnd w:id="28"/>
    </w:p>
    <w:p w14:paraId="371C8CD9">
      <w:pPr>
        <w:spacing w:line="360" w:lineRule="auto"/>
        <w:ind w:left="-140" w:leftChars="-67" w:right="-98"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本次拟发行东新乡东岳村三期安置房建设项目地方政府专项债券以满足项目投资需求，债券计划在202</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年发行，年利率按照3.</w:t>
      </w:r>
      <w:r>
        <w:rPr>
          <w:rFonts w:hint="eastAsia" w:ascii="宋体" w:hAnsi="宋体" w:eastAsia="宋体" w:cs="宋体"/>
          <w:bCs/>
          <w:color w:val="auto"/>
          <w:sz w:val="24"/>
          <w:szCs w:val="24"/>
          <w:lang w:val="en-US" w:eastAsia="zh-CN"/>
        </w:rPr>
        <w:t>9</w:t>
      </w:r>
      <w:r>
        <w:rPr>
          <w:rFonts w:hint="eastAsia" w:ascii="宋体" w:hAnsi="宋体" w:eastAsia="宋体" w:cs="宋体"/>
          <w:bCs/>
          <w:color w:val="auto"/>
          <w:sz w:val="24"/>
          <w:szCs w:val="24"/>
        </w:rPr>
        <w:t>%计算。根据债券发行计划及利率计算每年财务费用。按照债券发行要求，专项债券每半年偿还债券利息，到期一次性偿还本金。</w:t>
      </w:r>
    </w:p>
    <w:p w14:paraId="01BA1A12">
      <w:pPr>
        <w:widowControl/>
        <w:spacing w:line="560" w:lineRule="exact"/>
        <w:ind w:firstLine="560" w:firstLineChars="200"/>
        <w:jc w:val="left"/>
        <w:outlineLvl w:val="1"/>
        <w:rPr>
          <w:rFonts w:ascii="楷体" w:hAnsi="楷体" w:eastAsia="楷体" w:cs="楷体"/>
          <w:b/>
          <w:bCs/>
          <w:color w:val="auto"/>
          <w:sz w:val="28"/>
          <w:szCs w:val="28"/>
        </w:rPr>
      </w:pPr>
      <w:bookmarkStart w:id="29" w:name="_Toc22151"/>
      <w:bookmarkStart w:id="30" w:name="_Toc36580111"/>
      <w:r>
        <w:rPr>
          <w:rFonts w:hint="eastAsia" w:ascii="楷体" w:hAnsi="楷体" w:eastAsia="楷体" w:cs="楷体"/>
          <w:b/>
          <w:bCs/>
          <w:color w:val="auto"/>
          <w:sz w:val="28"/>
          <w:szCs w:val="28"/>
        </w:rPr>
        <w:t>（三）项目资金测算平衡表</w:t>
      </w:r>
      <w:bookmarkEnd w:id="29"/>
      <w:bookmarkEnd w:id="30"/>
    </w:p>
    <w:p w14:paraId="6A2AFFAA">
      <w:pPr>
        <w:ind w:left="-140" w:leftChars="-67" w:right="-98" w:rightChars="-47" w:firstLine="439" w:firstLineChars="157"/>
        <w:rPr>
          <w:rFonts w:ascii="楷体" w:hAnsi="楷体" w:eastAsia="楷体" w:cs="楷体"/>
          <w:bCs/>
          <w:color w:val="auto"/>
          <w:sz w:val="28"/>
          <w:szCs w:val="28"/>
        </w:rPr>
      </w:pPr>
      <w:r>
        <w:rPr>
          <w:rFonts w:hint="eastAsia" w:ascii="楷体" w:hAnsi="楷体" w:eastAsia="楷体" w:cs="楷体"/>
          <w:bCs/>
          <w:color w:val="auto"/>
          <w:sz w:val="28"/>
          <w:szCs w:val="28"/>
        </w:rPr>
        <w:t>1．本期债券调整项目应付本息情况</w:t>
      </w:r>
    </w:p>
    <w:p w14:paraId="4EC5D1A8">
      <w:pPr>
        <w:pStyle w:val="19"/>
        <w:spacing w:before="0" w:beforeAutospacing="0" w:after="156" w:afterLines="50" w:afterAutospacing="0" w:line="360" w:lineRule="auto"/>
        <w:ind w:firstLine="480" w:firstLineChars="200"/>
        <w:jc w:val="both"/>
        <w:rPr>
          <w:color w:val="000000" w:themeColor="text1"/>
          <w:sz w:val="24"/>
          <w:szCs w:val="24"/>
          <w:highlight w:val="none"/>
          <w14:textFill>
            <w14:solidFill>
              <w14:schemeClr w14:val="tx1"/>
            </w14:solidFill>
          </w14:textFill>
        </w:rPr>
      </w:pPr>
      <w:bookmarkStart w:id="31" w:name="_Toc36580115"/>
      <w:r>
        <w:rPr>
          <w:rFonts w:hint="eastAsia"/>
          <w:color w:val="000000" w:themeColor="text1"/>
          <w:sz w:val="24"/>
          <w:szCs w:val="24"/>
          <w:highlight w:val="none"/>
          <w14:textFill>
            <w14:solidFill>
              <w14:schemeClr w14:val="tx1"/>
            </w14:solidFill>
          </w14:textFill>
        </w:rPr>
        <w:t>本次</w:t>
      </w:r>
      <w:r>
        <w:rPr>
          <w:rFonts w:hint="eastAsia"/>
          <w:color w:val="000000" w:themeColor="text1"/>
          <w:sz w:val="24"/>
          <w:szCs w:val="24"/>
          <w:highlight w:val="none"/>
          <w:lang w:eastAsia="zh-CN"/>
          <w14:textFill>
            <w14:solidFill>
              <w14:schemeClr w14:val="tx1"/>
            </w14:solidFill>
          </w14:textFill>
        </w:rPr>
        <w:t>南昌县住房和城乡建设局</w:t>
      </w:r>
      <w:r>
        <w:rPr>
          <w:rFonts w:hint="eastAsia"/>
          <w:color w:val="000000" w:themeColor="text1"/>
          <w:sz w:val="24"/>
          <w:szCs w:val="24"/>
          <w:highlight w:val="none"/>
          <w14:textFill>
            <w14:solidFill>
              <w14:schemeClr w14:val="tx1"/>
            </w14:solidFill>
          </w14:textFill>
        </w:rPr>
        <w:t>组织申报发行</w:t>
      </w:r>
      <w:r>
        <w:rPr>
          <w:rFonts w:hint="eastAsia"/>
          <w:color w:val="000000" w:themeColor="text1"/>
          <w:sz w:val="24"/>
          <w:szCs w:val="24"/>
          <w:highlight w:val="none"/>
          <w:lang w:eastAsia="zh-CN"/>
          <w14:textFill>
            <w14:solidFill>
              <w14:schemeClr w14:val="tx1"/>
            </w14:solidFill>
          </w14:textFill>
        </w:rPr>
        <w:t>东新乡东岳村三期安置房（城市棚户区改造）项目</w:t>
      </w:r>
      <w:r>
        <w:rPr>
          <w:rFonts w:hint="eastAsia"/>
          <w:color w:val="000000" w:themeColor="text1"/>
          <w:sz w:val="24"/>
          <w:szCs w:val="24"/>
          <w:highlight w:val="none"/>
          <w14:textFill>
            <w14:solidFill>
              <w14:schemeClr w14:val="tx1"/>
            </w14:solidFill>
          </w14:textFill>
        </w:rPr>
        <w:t>项目专项债券项目的总投资额</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9,9</w:t>
      </w:r>
      <w:r>
        <w:rPr>
          <w:rFonts w:hint="eastAsia"/>
          <w:color w:val="000000" w:themeColor="text1"/>
          <w:sz w:val="24"/>
          <w:szCs w:val="24"/>
          <w:highlight w:val="none"/>
          <w:lang w:val="en-US" w:eastAsia="zh-CN"/>
          <w14:textFill>
            <w14:solidFill>
              <w14:schemeClr w14:val="tx1"/>
            </w14:solidFill>
          </w14:textFill>
        </w:rPr>
        <w:t>42</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81</w:t>
      </w:r>
      <w:r>
        <w:rPr>
          <w:rFonts w:hint="eastAsia"/>
          <w:color w:val="000000" w:themeColor="text1"/>
          <w:sz w:val="24"/>
          <w:szCs w:val="24"/>
          <w:highlight w:val="none"/>
          <w14:textFill>
            <w14:solidFill>
              <w14:schemeClr w14:val="tx1"/>
            </w14:solidFill>
          </w14:textFill>
        </w:rPr>
        <w:t>万元。计划发行专项债券金额</w:t>
      </w:r>
      <w:r>
        <w:rPr>
          <w:rFonts w:hint="eastAsia"/>
          <w:color w:val="000000" w:themeColor="text1"/>
          <w:sz w:val="24"/>
          <w:szCs w:val="24"/>
          <w:highlight w:val="none"/>
          <w:lang w:val="en-US" w:eastAsia="zh-CN"/>
          <w14:textFill>
            <w14:solidFill>
              <w14:schemeClr w14:val="tx1"/>
            </w14:solidFill>
          </w14:textFill>
        </w:rPr>
        <w:t>22</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50</w:t>
      </w:r>
      <w:r>
        <w:rPr>
          <w:color w:val="000000" w:themeColor="text1"/>
          <w:sz w:val="24"/>
          <w:szCs w:val="24"/>
          <w:highlight w:val="none"/>
          <w14:textFill>
            <w14:solidFill>
              <w14:schemeClr w14:val="tx1"/>
            </w14:solidFill>
          </w14:textFill>
        </w:rPr>
        <w:t>0.00</w:t>
      </w:r>
      <w:r>
        <w:rPr>
          <w:rFonts w:hint="eastAsia"/>
          <w:color w:val="000000" w:themeColor="text1"/>
          <w:sz w:val="24"/>
          <w:szCs w:val="24"/>
          <w:highlight w:val="none"/>
          <w14:textFill>
            <w14:solidFill>
              <w14:schemeClr w14:val="tx1"/>
            </w14:solidFill>
          </w14:textFill>
        </w:rPr>
        <w:t>万元，其中：</w:t>
      </w:r>
      <w:r>
        <w:rPr>
          <w:rFonts w:hint="eastAsia"/>
          <w:color w:val="000000" w:themeColor="text1"/>
          <w:sz w:val="24"/>
          <w:szCs w:val="24"/>
          <w:highlight w:val="none"/>
          <w:lang w:val="en-US" w:eastAsia="zh-CN"/>
          <w14:textFill>
            <w14:solidFill>
              <w14:schemeClr w14:val="tx1"/>
            </w14:solidFill>
          </w14:textFill>
        </w:rPr>
        <w:t>5</w:t>
      </w:r>
      <w:r>
        <w:rPr>
          <w:sz w:val="24"/>
          <w:szCs w:val="24"/>
          <w:highlight w:val="none"/>
        </w:rPr>
        <w:t>,000.00</w:t>
      </w:r>
      <w:r>
        <w:rPr>
          <w:rFonts w:hint="eastAsia"/>
          <w:sz w:val="24"/>
          <w:szCs w:val="24"/>
          <w:highlight w:val="none"/>
        </w:rPr>
        <w:t>万元由</w:t>
      </w:r>
      <w:r>
        <w:rPr>
          <w:rFonts w:hint="eastAsia"/>
          <w:color w:val="000000" w:themeColor="text1"/>
          <w:sz w:val="24"/>
          <w:szCs w:val="24"/>
          <w:highlight w:val="none"/>
          <w:lang w:eastAsia="zh-CN"/>
          <w14:textFill>
            <w14:solidFill>
              <w14:schemeClr w14:val="tx1"/>
            </w14:solidFill>
          </w14:textFill>
        </w:rPr>
        <w:t>2022年江西省高质量发展补短板专项债券（十二期）——2022年江西省政府专项债券（二十期）</w:t>
      </w:r>
      <w:r>
        <w:rPr>
          <w:rFonts w:hint="eastAsia"/>
          <w:sz w:val="24"/>
          <w:szCs w:val="24"/>
          <w:highlight w:val="none"/>
        </w:rPr>
        <w:t>调整至本项目，发行期限</w:t>
      </w:r>
      <w:r>
        <w:rPr>
          <w:rFonts w:hint="eastAsia"/>
          <w:sz w:val="24"/>
          <w:szCs w:val="24"/>
          <w:highlight w:val="none"/>
          <w:lang w:val="en-US" w:eastAsia="zh-CN"/>
        </w:rPr>
        <w:t>30</w:t>
      </w:r>
      <w:r>
        <w:rPr>
          <w:rFonts w:hint="eastAsia"/>
          <w:sz w:val="24"/>
          <w:szCs w:val="24"/>
          <w:highlight w:val="none"/>
        </w:rPr>
        <w:t>年，发行利率3</w:t>
      </w:r>
      <w:r>
        <w:rPr>
          <w:sz w:val="24"/>
          <w:szCs w:val="24"/>
          <w:highlight w:val="none"/>
        </w:rPr>
        <w:t>.</w:t>
      </w:r>
      <w:r>
        <w:rPr>
          <w:rFonts w:hint="eastAsia"/>
          <w:sz w:val="24"/>
          <w:szCs w:val="24"/>
          <w:highlight w:val="none"/>
          <w:lang w:val="en-US" w:eastAsia="zh-CN"/>
        </w:rPr>
        <w:t>54</w:t>
      </w:r>
      <w:r>
        <w:rPr>
          <w:sz w:val="24"/>
          <w:szCs w:val="24"/>
          <w:highlight w:val="none"/>
        </w:rPr>
        <w:t>%</w:t>
      </w:r>
      <w:r>
        <w:rPr>
          <w:rFonts w:hint="eastAsia"/>
          <w:sz w:val="24"/>
          <w:szCs w:val="24"/>
          <w:highlight w:val="none"/>
          <w:lang w:eastAsia="zh-CN"/>
        </w:rPr>
        <w:t>，</w:t>
      </w:r>
      <w:r>
        <w:rPr>
          <w:rFonts w:hint="eastAsia"/>
          <w:color w:val="000000" w:themeColor="text1"/>
          <w:sz w:val="24"/>
          <w:szCs w:val="24"/>
          <w:highlight w:val="none"/>
          <w14:textFill>
            <w14:solidFill>
              <w14:schemeClr w14:val="tx1"/>
            </w14:solidFill>
          </w14:textFill>
        </w:rPr>
        <w:t>发行费率暂按照0.10%测算，</w:t>
      </w:r>
      <w:r>
        <w:rPr>
          <w:rFonts w:hint="eastAsia"/>
          <w:sz w:val="24"/>
          <w:szCs w:val="24"/>
          <w:highlight w:val="none"/>
          <w:lang w:val="en-US" w:eastAsia="zh-CN"/>
        </w:rPr>
        <w:t>2024年计划发行7,000万，本期计划发行1,750万，发行期限5年</w:t>
      </w:r>
      <w:r>
        <w:rPr>
          <w:rFonts w:hint="eastAsia"/>
          <w:sz w:val="24"/>
          <w:szCs w:val="24"/>
          <w:highlight w:val="none"/>
        </w:rPr>
        <w:t>。</w:t>
      </w:r>
      <w:r>
        <w:rPr>
          <w:rFonts w:hint="eastAsia"/>
          <w:color w:val="000000" w:themeColor="text1"/>
          <w:sz w:val="24"/>
          <w:szCs w:val="24"/>
          <w:highlight w:val="none"/>
          <w14:textFill>
            <w14:solidFill>
              <w14:schemeClr w14:val="tx1"/>
            </w14:solidFill>
          </w14:textFill>
        </w:rPr>
        <w:t>据此预计专项债券利息合计为</w:t>
      </w:r>
      <w:r>
        <w:rPr>
          <w:rFonts w:hint="eastAsia"/>
          <w:color w:val="000000" w:themeColor="text1"/>
          <w:sz w:val="24"/>
          <w:szCs w:val="24"/>
          <w:highlight w:val="none"/>
          <w:lang w:val="en-US" w:eastAsia="zh-CN"/>
          <w14:textFill>
            <w14:solidFill>
              <w14:schemeClr w14:val="tx1"/>
            </w14:solidFill>
          </w14:textFill>
        </w:rPr>
        <w:t>7</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970</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00</w:t>
      </w:r>
      <w:r>
        <w:rPr>
          <w:rFonts w:hint="eastAsia"/>
          <w:color w:val="000000" w:themeColor="text1"/>
          <w:sz w:val="24"/>
          <w:szCs w:val="24"/>
          <w:highlight w:val="none"/>
          <w14:textFill>
            <w14:solidFill>
              <w14:schemeClr w14:val="tx1"/>
            </w14:solidFill>
          </w14:textFill>
        </w:rPr>
        <w:t>万元，预计发行费用为</w:t>
      </w:r>
      <w:r>
        <w:rPr>
          <w:rFonts w:hint="eastAsia"/>
          <w:color w:val="000000" w:themeColor="text1"/>
          <w:sz w:val="24"/>
          <w:szCs w:val="24"/>
          <w:highlight w:val="none"/>
          <w:lang w:val="en-US" w:eastAsia="zh-CN"/>
          <w14:textFill>
            <w14:solidFill>
              <w14:schemeClr w14:val="tx1"/>
            </w14:solidFill>
          </w14:textFill>
        </w:rPr>
        <w:t>17.50</w:t>
      </w:r>
      <w:r>
        <w:rPr>
          <w:rFonts w:hint="eastAsia"/>
          <w:color w:val="000000" w:themeColor="text1"/>
          <w:sz w:val="24"/>
          <w:szCs w:val="24"/>
          <w:highlight w:val="none"/>
          <w14:textFill>
            <w14:solidFill>
              <w14:schemeClr w14:val="tx1"/>
            </w14:solidFill>
          </w14:textFill>
        </w:rPr>
        <w:t>万元。</w:t>
      </w:r>
    </w:p>
    <w:p w14:paraId="2581366F">
      <w:pPr>
        <w:pStyle w:val="19"/>
        <w:spacing w:before="0" w:beforeAutospacing="0" w:after="156" w:afterLines="50" w:afterAutospacing="0" w:line="360" w:lineRule="auto"/>
        <w:ind w:firstLine="480" w:firstLineChars="20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按照该</w:t>
      </w:r>
      <w:r>
        <w:rPr>
          <w:color w:val="000000" w:themeColor="text1"/>
          <w:sz w:val="24"/>
          <w:szCs w:val="24"/>
          <w:highlight w:val="none"/>
          <w14:textFill>
            <w14:solidFill>
              <w14:schemeClr w14:val="tx1"/>
            </w14:solidFill>
          </w14:textFill>
        </w:rPr>
        <w:t>项目</w:t>
      </w:r>
      <w:r>
        <w:rPr>
          <w:rFonts w:hint="eastAsia"/>
          <w:color w:val="000000" w:themeColor="text1"/>
          <w:sz w:val="24"/>
          <w:szCs w:val="24"/>
          <w:highlight w:val="none"/>
          <w14:textFill>
            <w14:solidFill>
              <w14:schemeClr w14:val="tx1"/>
            </w14:solidFill>
          </w14:textFill>
        </w:rPr>
        <w:t>专项债券发行计划</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2</w:t>
      </w:r>
      <w:r>
        <w:rPr>
          <w:color w:val="000000" w:themeColor="text1"/>
          <w:sz w:val="24"/>
          <w:szCs w:val="24"/>
          <w:highlight w:val="none"/>
          <w14:textFill>
            <w14:solidFill>
              <w14:schemeClr w14:val="tx1"/>
            </w14:solidFill>
          </w14:textFill>
        </w:rPr>
        <w:t>02</w:t>
      </w:r>
      <w:r>
        <w:rPr>
          <w:rFonts w:hint="eastAsia"/>
          <w:color w:val="000000" w:themeColor="text1"/>
          <w:sz w:val="24"/>
          <w:szCs w:val="24"/>
          <w:highlight w:val="none"/>
          <w:lang w:val="en-US" w:eastAsia="zh-CN"/>
          <w14:textFill>
            <w14:solidFill>
              <w14:schemeClr w14:val="tx1"/>
            </w14:solidFill>
          </w14:textFill>
        </w:rPr>
        <w:t>3</w:t>
      </w:r>
      <w:r>
        <w:rPr>
          <w:rFonts w:hint="eastAsia"/>
          <w:color w:val="000000" w:themeColor="text1"/>
          <w:sz w:val="24"/>
          <w:szCs w:val="24"/>
          <w:highlight w:val="none"/>
          <w14:textFill>
            <w14:solidFill>
              <w14:schemeClr w14:val="tx1"/>
            </w14:solidFill>
          </w14:textFill>
        </w:rPr>
        <w:t>年发行</w:t>
      </w:r>
      <w:r>
        <w:rPr>
          <w:rFonts w:hint="eastAsia"/>
          <w:color w:val="000000" w:themeColor="text1"/>
          <w:sz w:val="24"/>
          <w:szCs w:val="24"/>
          <w:highlight w:val="none"/>
          <w:lang w:val="en-US" w:eastAsia="zh-CN"/>
          <w14:textFill>
            <w14:solidFill>
              <w14:schemeClr w14:val="tx1"/>
            </w14:solidFill>
          </w14:textFill>
        </w:rPr>
        <w:t>5</w:t>
      </w:r>
      <w:r>
        <w:rPr>
          <w:rFonts w:hint="eastAsia"/>
          <w:color w:val="000000" w:themeColor="text1"/>
          <w:sz w:val="24"/>
          <w:szCs w:val="24"/>
          <w:highlight w:val="none"/>
          <w14:textFill>
            <w14:solidFill>
              <w14:schemeClr w14:val="tx1"/>
            </w14:solidFill>
          </w14:textFill>
        </w:rPr>
        <w:t>年期债券以年利率</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60</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预计每年利息支出；2</w:t>
      </w:r>
      <w:r>
        <w:rPr>
          <w:color w:val="000000" w:themeColor="text1"/>
          <w:sz w:val="24"/>
          <w:szCs w:val="24"/>
          <w:highlight w:val="none"/>
          <w14:textFill>
            <w14:solidFill>
              <w14:schemeClr w14:val="tx1"/>
            </w14:solidFill>
          </w14:textFill>
        </w:rPr>
        <w:t>02</w:t>
      </w:r>
      <w:r>
        <w:rPr>
          <w:rFonts w:hint="eastAsia"/>
          <w:color w:val="000000" w:themeColor="text1"/>
          <w:sz w:val="24"/>
          <w:szCs w:val="24"/>
          <w:highlight w:val="none"/>
          <w:lang w:val="en-US" w:eastAsia="zh-CN"/>
          <w14:textFill>
            <w14:solidFill>
              <w14:schemeClr w14:val="tx1"/>
            </w14:solidFill>
          </w14:textFill>
        </w:rPr>
        <w:t>4</w:t>
      </w:r>
      <w:r>
        <w:rPr>
          <w:rFonts w:hint="eastAsia"/>
          <w:color w:val="000000" w:themeColor="text1"/>
          <w:sz w:val="24"/>
          <w:szCs w:val="24"/>
          <w:highlight w:val="none"/>
          <w14:textFill>
            <w14:solidFill>
              <w14:schemeClr w14:val="tx1"/>
            </w14:solidFill>
          </w14:textFill>
        </w:rPr>
        <w:t>年计划发行债券</w:t>
      </w:r>
      <w:r>
        <w:rPr>
          <w:color w:val="000000" w:themeColor="text1"/>
          <w:sz w:val="24"/>
          <w:szCs w:val="24"/>
          <w:highlight w:val="none"/>
          <w14:textFill>
            <w14:solidFill>
              <w14:schemeClr w14:val="tx1"/>
            </w14:solidFill>
          </w14:textFill>
        </w:rPr>
        <w:t>5</w:t>
      </w:r>
      <w:r>
        <w:rPr>
          <w:rFonts w:hint="eastAsia"/>
          <w:color w:val="000000" w:themeColor="text1"/>
          <w:sz w:val="24"/>
          <w:szCs w:val="24"/>
          <w:highlight w:val="none"/>
          <w14:textFill>
            <w14:solidFill>
              <w14:schemeClr w14:val="tx1"/>
            </w14:solidFill>
          </w14:textFill>
        </w:rPr>
        <w:t>年期以年利率</w:t>
      </w:r>
      <w:r>
        <w:rPr>
          <w:color w:val="000000" w:themeColor="text1"/>
          <w:sz w:val="24"/>
          <w:szCs w:val="24"/>
          <w:highlight w:val="none"/>
          <w14:textFill>
            <w14:solidFill>
              <w14:schemeClr w14:val="tx1"/>
            </w14:solidFill>
          </w14:textFill>
        </w:rPr>
        <w:t>3</w:t>
      </w:r>
      <w:r>
        <w:rPr>
          <w:rFonts w:hint="eastAsia"/>
          <w:color w:val="000000" w:themeColor="text1"/>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70%</w:t>
      </w:r>
      <w:r>
        <w:rPr>
          <w:rFonts w:hint="eastAsia"/>
          <w:color w:val="000000" w:themeColor="text1"/>
          <w:sz w:val="24"/>
          <w:szCs w:val="24"/>
          <w:highlight w:val="none"/>
          <w14:textFill>
            <w14:solidFill>
              <w14:schemeClr w14:val="tx1"/>
            </w14:solidFill>
          </w14:textFill>
        </w:rPr>
        <w:t>预计</w:t>
      </w:r>
      <w:r>
        <w:rPr>
          <w:color w:val="000000" w:themeColor="text1"/>
          <w:sz w:val="24"/>
          <w:szCs w:val="24"/>
          <w:highlight w:val="none"/>
          <w14:textFill>
            <w14:solidFill>
              <w14:schemeClr w14:val="tx1"/>
            </w14:solidFill>
          </w14:textFill>
        </w:rPr>
        <w:t>每年</w:t>
      </w:r>
      <w:r>
        <w:rPr>
          <w:rFonts w:hint="eastAsia"/>
          <w:color w:val="000000" w:themeColor="text1"/>
          <w:sz w:val="24"/>
          <w:szCs w:val="24"/>
          <w:highlight w:val="none"/>
          <w14:textFill>
            <w14:solidFill>
              <w14:schemeClr w14:val="tx1"/>
            </w14:solidFill>
          </w14:textFill>
        </w:rPr>
        <w:t>利息支出，每年支付一次利息，到期一次还本，本项目专项债券还本付息情况如下表所示：</w:t>
      </w:r>
    </w:p>
    <w:p w14:paraId="414A8942">
      <w:pPr>
        <w:jc w:val="center"/>
        <w:rPr>
          <w:rFonts w:ascii="宋体" w:hAnsi="宋体" w:cs="仿宋"/>
          <w:b/>
          <w:color w:val="000000" w:themeColor="text1"/>
          <w:szCs w:val="24"/>
          <w:highlight w:val="none"/>
          <w14:textFill>
            <w14:solidFill>
              <w14:schemeClr w14:val="tx1"/>
            </w14:solidFill>
          </w14:textFill>
        </w:rPr>
      </w:pPr>
      <w:r>
        <w:rPr>
          <w:rFonts w:hint="eastAsia" w:ascii="宋体" w:hAnsi="宋体" w:cs="仿宋"/>
          <w:b/>
          <w:color w:val="000000" w:themeColor="text1"/>
          <w:szCs w:val="24"/>
          <w:highlight w:val="none"/>
          <w14:textFill>
            <w14:solidFill>
              <w14:schemeClr w14:val="tx1"/>
            </w14:solidFill>
          </w14:textFill>
        </w:rPr>
        <w:t>表3</w:t>
      </w:r>
      <w:r>
        <w:rPr>
          <w:rFonts w:hint="eastAsia" w:ascii="宋体" w:hAnsi="宋体"/>
          <w:b/>
          <w:color w:val="000000" w:themeColor="text1"/>
          <w:szCs w:val="24"/>
          <w:highlight w:val="none"/>
          <w14:textFill>
            <w14:solidFill>
              <w14:schemeClr w14:val="tx1"/>
            </w14:solidFill>
          </w14:textFill>
        </w:rPr>
        <w:t>-</w:t>
      </w:r>
      <w:r>
        <w:rPr>
          <w:rFonts w:ascii="宋体" w:hAnsi="宋体"/>
          <w:b/>
          <w:color w:val="000000" w:themeColor="text1"/>
          <w:szCs w:val="24"/>
          <w:highlight w:val="none"/>
          <w14:textFill>
            <w14:solidFill>
              <w14:schemeClr w14:val="tx1"/>
            </w14:solidFill>
          </w14:textFill>
        </w:rPr>
        <w:t>2202</w:t>
      </w:r>
      <w:r>
        <w:rPr>
          <w:rFonts w:hint="eastAsia" w:ascii="宋体" w:hAnsi="宋体"/>
          <w:b/>
          <w:color w:val="000000" w:themeColor="text1"/>
          <w:szCs w:val="24"/>
          <w:highlight w:val="none"/>
          <w:lang w:val="en-US" w:eastAsia="zh-CN"/>
          <w14:textFill>
            <w14:solidFill>
              <w14:schemeClr w14:val="tx1"/>
            </w14:solidFill>
          </w14:textFill>
        </w:rPr>
        <w:t>3</w:t>
      </w:r>
      <w:r>
        <w:rPr>
          <w:rFonts w:hint="eastAsia" w:ascii="宋体" w:hAnsi="宋体" w:cs="仿宋"/>
          <w:b/>
          <w:color w:val="000000" w:themeColor="text1"/>
          <w:szCs w:val="24"/>
          <w:highlight w:val="none"/>
          <w14:textFill>
            <w14:solidFill>
              <w14:schemeClr w14:val="tx1"/>
            </w14:solidFill>
          </w14:textFill>
        </w:rPr>
        <w:t>-</w:t>
      </w:r>
      <w:r>
        <w:rPr>
          <w:rFonts w:ascii="宋体" w:hAnsi="宋体" w:cs="仿宋"/>
          <w:b/>
          <w:color w:val="000000" w:themeColor="text1"/>
          <w:szCs w:val="24"/>
          <w:highlight w:val="none"/>
          <w14:textFill>
            <w14:solidFill>
              <w14:schemeClr w14:val="tx1"/>
            </w14:solidFill>
          </w14:textFill>
        </w:rPr>
        <w:t>2036</w:t>
      </w:r>
      <w:r>
        <w:rPr>
          <w:rFonts w:hint="eastAsia" w:ascii="宋体" w:hAnsi="宋体" w:cs="仿宋"/>
          <w:b/>
          <w:color w:val="000000" w:themeColor="text1"/>
          <w:szCs w:val="24"/>
          <w:highlight w:val="none"/>
          <w14:textFill>
            <w14:solidFill>
              <w14:schemeClr w14:val="tx1"/>
            </w14:solidFill>
          </w14:textFill>
        </w:rPr>
        <w:t>年专项债券还本付息情况预测表</w:t>
      </w:r>
    </w:p>
    <w:p w14:paraId="4762DF68">
      <w:pPr>
        <w:jc w:val="right"/>
        <w:rPr>
          <w:rFonts w:ascii="宋体" w:hAnsi="宋体" w:cs="仿宋"/>
          <w:color w:val="000000" w:themeColor="text1"/>
          <w:sz w:val="18"/>
          <w:szCs w:val="18"/>
          <w:highlight w:val="none"/>
          <w14:textFill>
            <w14:solidFill>
              <w14:schemeClr w14:val="tx1"/>
            </w14:solidFill>
          </w14:textFill>
        </w:rPr>
      </w:pPr>
      <w:r>
        <w:rPr>
          <w:rFonts w:hint="eastAsia" w:ascii="宋体" w:hAnsi="宋体" w:cs="仿宋"/>
          <w:color w:val="000000" w:themeColor="text1"/>
          <w:sz w:val="18"/>
          <w:szCs w:val="18"/>
          <w:highlight w:val="none"/>
          <w14:textFill>
            <w14:solidFill>
              <w14:schemeClr w14:val="tx1"/>
            </w14:solidFill>
          </w14:textFill>
        </w:rPr>
        <w:t>单位：万元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241"/>
        <w:gridCol w:w="1124"/>
        <w:gridCol w:w="881"/>
        <w:gridCol w:w="1033"/>
        <w:gridCol w:w="1124"/>
        <w:gridCol w:w="1241"/>
      </w:tblGrid>
      <w:tr w14:paraId="29DE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0" w:type="auto"/>
            <w:shd w:val="clear" w:color="auto" w:fill="auto"/>
            <w:vAlign w:val="center"/>
          </w:tcPr>
          <w:p w14:paraId="53AF58D8">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年份</w:t>
            </w:r>
          </w:p>
        </w:tc>
        <w:tc>
          <w:tcPr>
            <w:tcW w:w="0" w:type="auto"/>
            <w:shd w:val="clear" w:color="auto" w:fill="auto"/>
            <w:vAlign w:val="center"/>
          </w:tcPr>
          <w:p w14:paraId="7EAA63E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期初债券余额</w:t>
            </w:r>
          </w:p>
        </w:tc>
        <w:tc>
          <w:tcPr>
            <w:tcW w:w="0" w:type="auto"/>
            <w:shd w:val="clear" w:color="auto" w:fill="auto"/>
            <w:vAlign w:val="center"/>
          </w:tcPr>
          <w:p w14:paraId="6D52DA49">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本期发行</w:t>
            </w:r>
          </w:p>
        </w:tc>
        <w:tc>
          <w:tcPr>
            <w:tcW w:w="0" w:type="auto"/>
            <w:shd w:val="clear" w:color="auto" w:fill="auto"/>
            <w:vAlign w:val="center"/>
          </w:tcPr>
          <w:p w14:paraId="4E436B6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发行费用</w:t>
            </w:r>
          </w:p>
        </w:tc>
        <w:tc>
          <w:tcPr>
            <w:tcW w:w="0" w:type="auto"/>
            <w:shd w:val="clear" w:color="auto" w:fill="auto"/>
            <w:vAlign w:val="center"/>
          </w:tcPr>
          <w:p w14:paraId="36D34223">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本期付息</w:t>
            </w:r>
          </w:p>
        </w:tc>
        <w:tc>
          <w:tcPr>
            <w:tcW w:w="0" w:type="auto"/>
            <w:shd w:val="clear" w:color="auto" w:fill="auto"/>
            <w:vAlign w:val="center"/>
          </w:tcPr>
          <w:p w14:paraId="5946045C">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本期还本</w:t>
            </w:r>
          </w:p>
        </w:tc>
        <w:tc>
          <w:tcPr>
            <w:tcW w:w="0" w:type="auto"/>
            <w:shd w:val="clear" w:color="auto" w:fill="auto"/>
            <w:vAlign w:val="center"/>
          </w:tcPr>
          <w:p w14:paraId="5899FA67">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期末债券余额</w:t>
            </w:r>
          </w:p>
        </w:tc>
      </w:tr>
      <w:tr w14:paraId="10FE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8CCC13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2023年</w:t>
            </w:r>
          </w:p>
        </w:tc>
        <w:tc>
          <w:tcPr>
            <w:tcW w:w="1241" w:type="dxa"/>
            <w:shd w:val="clear" w:color="auto" w:fill="auto"/>
            <w:vAlign w:val="center"/>
          </w:tcPr>
          <w:p w14:paraId="352DAF05">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124" w:type="dxa"/>
            <w:shd w:val="clear" w:color="auto" w:fill="auto"/>
            <w:vAlign w:val="center"/>
          </w:tcPr>
          <w:p w14:paraId="1DA8001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10,500.00</w:t>
            </w:r>
          </w:p>
        </w:tc>
        <w:tc>
          <w:tcPr>
            <w:tcW w:w="881" w:type="dxa"/>
            <w:shd w:val="clear" w:color="auto" w:fill="auto"/>
            <w:vAlign w:val="center"/>
          </w:tcPr>
          <w:p w14:paraId="602431F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10.50</w:t>
            </w:r>
          </w:p>
        </w:tc>
        <w:tc>
          <w:tcPr>
            <w:tcW w:w="1033" w:type="dxa"/>
            <w:shd w:val="clear" w:color="auto" w:fill="auto"/>
            <w:vAlign w:val="center"/>
          </w:tcPr>
          <w:p w14:paraId="4E4191C0">
            <w:pPr>
              <w:jc w:val="center"/>
              <w:rPr>
                <w:rFonts w:ascii="宋体" w:hAnsi="宋体" w:cs="宋体"/>
                <w:color w:val="000000"/>
                <w:kern w:val="0"/>
                <w:sz w:val="18"/>
                <w:szCs w:val="18"/>
                <w:highlight w:val="none"/>
              </w:rPr>
            </w:pPr>
          </w:p>
        </w:tc>
        <w:tc>
          <w:tcPr>
            <w:tcW w:w="1124" w:type="dxa"/>
            <w:shd w:val="clear" w:color="auto" w:fill="auto"/>
            <w:vAlign w:val="center"/>
          </w:tcPr>
          <w:p w14:paraId="1F78D4D8">
            <w:pPr>
              <w:jc w:val="center"/>
              <w:rPr>
                <w:rFonts w:ascii="宋体" w:hAnsi="宋体" w:cs="宋体"/>
                <w:color w:val="000000"/>
                <w:kern w:val="0"/>
                <w:sz w:val="18"/>
                <w:szCs w:val="18"/>
                <w:highlight w:val="none"/>
              </w:rPr>
            </w:pPr>
          </w:p>
        </w:tc>
        <w:tc>
          <w:tcPr>
            <w:tcW w:w="1241" w:type="dxa"/>
            <w:shd w:val="clear" w:color="auto" w:fill="auto"/>
            <w:vAlign w:val="center"/>
          </w:tcPr>
          <w:p w14:paraId="1B947CD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10,500.00</w:t>
            </w:r>
          </w:p>
        </w:tc>
      </w:tr>
      <w:tr w14:paraId="1E24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EDB88D6">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2024年</w:t>
            </w:r>
            <w:r>
              <w:rPr>
                <w:rFonts w:hint="eastAsia" w:ascii="宋体" w:hAnsi="宋体" w:cs="宋体"/>
                <w:i w:val="0"/>
                <w:iCs w:val="0"/>
                <w:color w:val="000000"/>
                <w:kern w:val="0"/>
                <w:sz w:val="18"/>
                <w:szCs w:val="18"/>
                <w:highlight w:val="none"/>
                <w:u w:val="none"/>
                <w:lang w:val="en-US" w:eastAsia="zh-CN" w:bidi="ar"/>
              </w:rPr>
              <w:t>本期</w:t>
            </w:r>
            <w:r>
              <w:rPr>
                <w:rFonts w:hint="eastAsia" w:ascii="宋体" w:hAnsi="宋体" w:eastAsia="宋体" w:cs="宋体"/>
                <w:i w:val="0"/>
                <w:iCs w:val="0"/>
                <w:color w:val="000000"/>
                <w:kern w:val="0"/>
                <w:sz w:val="18"/>
                <w:szCs w:val="18"/>
                <w:highlight w:val="none"/>
                <w:u w:val="none"/>
                <w:lang w:val="en-US" w:eastAsia="zh-CN" w:bidi="ar"/>
              </w:rPr>
              <w:t>发行</w:t>
            </w:r>
          </w:p>
        </w:tc>
        <w:tc>
          <w:tcPr>
            <w:tcW w:w="1241" w:type="dxa"/>
            <w:shd w:val="clear" w:color="auto" w:fill="auto"/>
            <w:vAlign w:val="center"/>
          </w:tcPr>
          <w:p w14:paraId="669D9407">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10,500.00</w:t>
            </w:r>
          </w:p>
        </w:tc>
        <w:tc>
          <w:tcPr>
            <w:tcW w:w="1124" w:type="dxa"/>
            <w:shd w:val="clear" w:color="auto" w:fill="auto"/>
            <w:vAlign w:val="center"/>
          </w:tcPr>
          <w:p w14:paraId="1FAEF354">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50.00</w:t>
            </w:r>
          </w:p>
        </w:tc>
        <w:tc>
          <w:tcPr>
            <w:tcW w:w="881" w:type="dxa"/>
            <w:shd w:val="clear" w:color="auto" w:fill="auto"/>
            <w:vAlign w:val="center"/>
          </w:tcPr>
          <w:p w14:paraId="70543CC6">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5</w:t>
            </w:r>
          </w:p>
        </w:tc>
        <w:tc>
          <w:tcPr>
            <w:tcW w:w="1033" w:type="dxa"/>
            <w:shd w:val="clear" w:color="auto" w:fill="auto"/>
            <w:vAlign w:val="center"/>
          </w:tcPr>
          <w:p w14:paraId="3BE501ED">
            <w:pPr>
              <w:jc w:val="center"/>
              <w:rPr>
                <w:rFonts w:ascii="宋体" w:hAnsi="宋体" w:cs="宋体"/>
                <w:color w:val="000000"/>
                <w:kern w:val="0"/>
                <w:sz w:val="18"/>
                <w:szCs w:val="18"/>
                <w:highlight w:val="none"/>
              </w:rPr>
            </w:pPr>
          </w:p>
        </w:tc>
        <w:tc>
          <w:tcPr>
            <w:tcW w:w="1124" w:type="dxa"/>
            <w:shd w:val="clear" w:color="auto" w:fill="auto"/>
            <w:vAlign w:val="center"/>
          </w:tcPr>
          <w:p w14:paraId="4E6F1429">
            <w:pPr>
              <w:jc w:val="center"/>
              <w:rPr>
                <w:rFonts w:ascii="宋体" w:hAnsi="宋体" w:cs="宋体"/>
                <w:color w:val="000000"/>
                <w:kern w:val="0"/>
                <w:sz w:val="18"/>
                <w:szCs w:val="18"/>
                <w:highlight w:val="none"/>
              </w:rPr>
            </w:pPr>
          </w:p>
        </w:tc>
        <w:tc>
          <w:tcPr>
            <w:tcW w:w="1241" w:type="dxa"/>
            <w:shd w:val="clear" w:color="auto" w:fill="auto"/>
            <w:vAlign w:val="center"/>
          </w:tcPr>
          <w:p w14:paraId="297E95C8">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50.00</w:t>
            </w:r>
          </w:p>
        </w:tc>
      </w:tr>
      <w:tr w14:paraId="71EF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6C454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2024年</w:t>
            </w:r>
            <w:r>
              <w:rPr>
                <w:rFonts w:hint="eastAsia" w:ascii="宋体" w:hAnsi="宋体" w:cs="宋体"/>
                <w:i w:val="0"/>
                <w:iCs w:val="0"/>
                <w:color w:val="000000"/>
                <w:kern w:val="0"/>
                <w:sz w:val="18"/>
                <w:szCs w:val="18"/>
                <w:highlight w:val="none"/>
                <w:u w:val="none"/>
                <w:lang w:val="en-US" w:eastAsia="zh-CN" w:bidi="ar"/>
              </w:rPr>
              <w:t>后续</w:t>
            </w:r>
            <w:r>
              <w:rPr>
                <w:rFonts w:hint="eastAsia" w:ascii="宋体" w:hAnsi="宋体" w:eastAsia="宋体" w:cs="宋体"/>
                <w:i w:val="0"/>
                <w:iCs w:val="0"/>
                <w:color w:val="000000"/>
                <w:kern w:val="0"/>
                <w:sz w:val="18"/>
                <w:szCs w:val="18"/>
                <w:highlight w:val="none"/>
                <w:u w:val="none"/>
                <w:lang w:val="en-US" w:eastAsia="zh-CN" w:bidi="ar"/>
              </w:rPr>
              <w:t>发行</w:t>
            </w:r>
          </w:p>
        </w:tc>
        <w:tc>
          <w:tcPr>
            <w:tcW w:w="1241" w:type="dxa"/>
            <w:shd w:val="clear" w:color="auto" w:fill="auto"/>
            <w:vAlign w:val="center"/>
          </w:tcPr>
          <w:p w14:paraId="68FB164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50.00</w:t>
            </w:r>
          </w:p>
        </w:tc>
        <w:tc>
          <w:tcPr>
            <w:tcW w:w="1124" w:type="dxa"/>
            <w:shd w:val="clear" w:color="auto" w:fill="auto"/>
            <w:vAlign w:val="center"/>
          </w:tcPr>
          <w:p w14:paraId="0C9A2758">
            <w:pPr>
              <w:keepNext w:val="0"/>
              <w:keepLines w:val="0"/>
              <w:widowControl/>
              <w:suppressLineNumbers w:val="0"/>
              <w:jc w:val="center"/>
              <w:textAlignment w:val="center"/>
              <w:rPr>
                <w:rFonts w:hint="eastAsia" w:ascii="宋体" w:hAnsi="宋体" w:eastAsia="宋体" w:cs="宋体"/>
                <w:color w:val="000000"/>
                <w:kern w:val="0"/>
                <w:sz w:val="18"/>
                <w:szCs w:val="18"/>
                <w:highlight w:val="none"/>
                <w:lang w:val="en-US" w:eastAsia="zh-CN" w:bidi="ar-SA"/>
              </w:rPr>
            </w:pP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25</w:t>
            </w:r>
            <w:r>
              <w:rPr>
                <w:rFonts w:hint="eastAsia" w:ascii="宋体" w:hAnsi="宋体" w:eastAsia="宋体" w:cs="宋体"/>
                <w:i w:val="0"/>
                <w:iCs w:val="0"/>
                <w:color w:val="000000"/>
                <w:kern w:val="0"/>
                <w:sz w:val="18"/>
                <w:szCs w:val="18"/>
                <w:u w:val="none"/>
                <w:lang w:val="en-US" w:eastAsia="zh-CN" w:bidi="ar"/>
              </w:rPr>
              <w:t>0.00</w:t>
            </w:r>
          </w:p>
        </w:tc>
        <w:tc>
          <w:tcPr>
            <w:tcW w:w="881" w:type="dxa"/>
            <w:shd w:val="clear" w:color="auto" w:fill="auto"/>
            <w:vAlign w:val="center"/>
          </w:tcPr>
          <w:p w14:paraId="61D43614">
            <w:pPr>
              <w:keepNext w:val="0"/>
              <w:keepLines w:val="0"/>
              <w:widowControl/>
              <w:suppressLineNumbers w:val="0"/>
              <w:jc w:val="center"/>
              <w:textAlignment w:val="center"/>
              <w:rPr>
                <w:rFonts w:hint="eastAsia" w:ascii="宋体" w:hAnsi="宋体" w:eastAsia="宋体" w:cs="宋体"/>
                <w:color w:val="000000"/>
                <w:kern w:val="0"/>
                <w:sz w:val="18"/>
                <w:szCs w:val="18"/>
                <w:highlight w:val="none"/>
                <w:lang w:val="en-US" w:eastAsia="zh-CN" w:bidi="ar-SA"/>
              </w:rPr>
            </w:pP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25</w:t>
            </w:r>
          </w:p>
        </w:tc>
        <w:tc>
          <w:tcPr>
            <w:tcW w:w="1033" w:type="dxa"/>
            <w:shd w:val="clear" w:color="auto" w:fill="auto"/>
            <w:vAlign w:val="center"/>
          </w:tcPr>
          <w:p w14:paraId="09CCFC3F">
            <w:pPr>
              <w:jc w:val="center"/>
              <w:rPr>
                <w:rFonts w:ascii="宋体" w:hAnsi="宋体" w:eastAsia="宋体" w:cs="宋体"/>
                <w:color w:val="000000"/>
                <w:kern w:val="0"/>
                <w:sz w:val="18"/>
                <w:szCs w:val="18"/>
                <w:highlight w:val="none"/>
                <w:lang w:val="en-US" w:eastAsia="zh-CN" w:bidi="ar-SA"/>
              </w:rPr>
            </w:pPr>
          </w:p>
        </w:tc>
        <w:tc>
          <w:tcPr>
            <w:tcW w:w="1124" w:type="dxa"/>
            <w:shd w:val="clear" w:color="auto" w:fill="auto"/>
            <w:vAlign w:val="center"/>
          </w:tcPr>
          <w:p w14:paraId="4401AF7D">
            <w:pPr>
              <w:jc w:val="center"/>
              <w:rPr>
                <w:rFonts w:ascii="宋体" w:hAnsi="宋体" w:eastAsia="宋体" w:cs="宋体"/>
                <w:color w:val="000000"/>
                <w:kern w:val="0"/>
                <w:sz w:val="18"/>
                <w:szCs w:val="18"/>
                <w:highlight w:val="none"/>
                <w:lang w:val="en-US" w:eastAsia="zh-CN" w:bidi="ar-SA"/>
              </w:rPr>
            </w:pPr>
          </w:p>
        </w:tc>
        <w:tc>
          <w:tcPr>
            <w:tcW w:w="1241" w:type="dxa"/>
            <w:shd w:val="clear" w:color="auto" w:fill="auto"/>
            <w:vAlign w:val="center"/>
          </w:tcPr>
          <w:p w14:paraId="5430F36D">
            <w:pPr>
              <w:keepNext w:val="0"/>
              <w:keepLines w:val="0"/>
              <w:widowControl/>
              <w:suppressLineNumbers w:val="0"/>
              <w:jc w:val="center"/>
              <w:textAlignment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,5</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0.00</w:t>
            </w:r>
          </w:p>
        </w:tc>
      </w:tr>
      <w:tr w14:paraId="52D4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3995631">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2024年调整</w:t>
            </w:r>
          </w:p>
        </w:tc>
        <w:tc>
          <w:tcPr>
            <w:tcW w:w="1241" w:type="dxa"/>
            <w:shd w:val="clear" w:color="auto" w:fill="auto"/>
            <w:vAlign w:val="center"/>
          </w:tcPr>
          <w:p w14:paraId="327725E8">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,5</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0.00</w:t>
            </w:r>
          </w:p>
        </w:tc>
        <w:tc>
          <w:tcPr>
            <w:tcW w:w="1124" w:type="dxa"/>
            <w:shd w:val="clear" w:color="auto" w:fill="auto"/>
            <w:vAlign w:val="center"/>
          </w:tcPr>
          <w:p w14:paraId="045EA034">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5,000.00</w:t>
            </w:r>
          </w:p>
        </w:tc>
        <w:tc>
          <w:tcPr>
            <w:tcW w:w="881" w:type="dxa"/>
            <w:shd w:val="clear" w:color="auto" w:fill="auto"/>
            <w:vAlign w:val="center"/>
          </w:tcPr>
          <w:p w14:paraId="0633CED7">
            <w:pPr>
              <w:jc w:val="center"/>
              <w:rPr>
                <w:rFonts w:ascii="宋体" w:hAnsi="宋体" w:cs="宋体"/>
                <w:color w:val="000000"/>
                <w:kern w:val="0"/>
                <w:sz w:val="18"/>
                <w:szCs w:val="18"/>
                <w:highlight w:val="none"/>
              </w:rPr>
            </w:pPr>
          </w:p>
        </w:tc>
        <w:tc>
          <w:tcPr>
            <w:tcW w:w="1033" w:type="dxa"/>
            <w:shd w:val="clear" w:color="auto" w:fill="auto"/>
            <w:vAlign w:val="center"/>
          </w:tcPr>
          <w:p w14:paraId="1805699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273.00</w:t>
            </w:r>
          </w:p>
        </w:tc>
        <w:tc>
          <w:tcPr>
            <w:tcW w:w="1124" w:type="dxa"/>
            <w:shd w:val="clear" w:color="auto" w:fill="auto"/>
            <w:vAlign w:val="center"/>
          </w:tcPr>
          <w:p w14:paraId="275D8B6F">
            <w:pPr>
              <w:jc w:val="center"/>
              <w:rPr>
                <w:rFonts w:ascii="宋体" w:hAnsi="宋体" w:cs="宋体"/>
                <w:color w:val="000000"/>
                <w:kern w:val="0"/>
                <w:sz w:val="18"/>
                <w:szCs w:val="18"/>
                <w:highlight w:val="none"/>
              </w:rPr>
            </w:pPr>
          </w:p>
        </w:tc>
        <w:tc>
          <w:tcPr>
            <w:tcW w:w="1241" w:type="dxa"/>
            <w:shd w:val="clear" w:color="auto" w:fill="auto"/>
            <w:vAlign w:val="center"/>
          </w:tcPr>
          <w:p w14:paraId="05F14066">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50</w:t>
            </w:r>
            <w:r>
              <w:rPr>
                <w:rFonts w:hint="eastAsia" w:ascii="宋体" w:hAnsi="宋体" w:eastAsia="宋体" w:cs="宋体"/>
                <w:i w:val="0"/>
                <w:iCs w:val="0"/>
                <w:color w:val="000000"/>
                <w:kern w:val="0"/>
                <w:sz w:val="18"/>
                <w:szCs w:val="18"/>
                <w:u w:val="none"/>
                <w:lang w:val="en-US" w:eastAsia="zh-CN" w:bidi="ar"/>
              </w:rPr>
              <w:t>0.00</w:t>
            </w:r>
          </w:p>
        </w:tc>
      </w:tr>
      <w:tr w14:paraId="4221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CC97AB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2025年</w:t>
            </w:r>
          </w:p>
        </w:tc>
        <w:tc>
          <w:tcPr>
            <w:tcW w:w="1241" w:type="dxa"/>
            <w:shd w:val="clear" w:color="auto" w:fill="auto"/>
            <w:vAlign w:val="center"/>
          </w:tcPr>
          <w:p w14:paraId="11D4DF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c>
          <w:tcPr>
            <w:tcW w:w="1124" w:type="dxa"/>
            <w:shd w:val="clear" w:color="auto" w:fill="auto"/>
            <w:vAlign w:val="center"/>
          </w:tcPr>
          <w:p w14:paraId="507F38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81" w:type="dxa"/>
            <w:shd w:val="clear" w:color="auto" w:fill="auto"/>
            <w:vAlign w:val="center"/>
          </w:tcPr>
          <w:p w14:paraId="371AA8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033" w:type="dxa"/>
            <w:shd w:val="clear" w:color="auto" w:fill="auto"/>
            <w:vAlign w:val="center"/>
          </w:tcPr>
          <w:p w14:paraId="3069A5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709.00</w:t>
            </w:r>
          </w:p>
        </w:tc>
        <w:tc>
          <w:tcPr>
            <w:tcW w:w="1124" w:type="dxa"/>
            <w:shd w:val="clear" w:color="auto" w:fill="auto"/>
            <w:vAlign w:val="center"/>
          </w:tcPr>
          <w:p w14:paraId="4C4CDD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2D8309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r>
      <w:tr w14:paraId="5685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172AFF1F">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2026年</w:t>
            </w:r>
          </w:p>
        </w:tc>
        <w:tc>
          <w:tcPr>
            <w:tcW w:w="1241" w:type="dxa"/>
            <w:shd w:val="clear" w:color="auto" w:fill="auto"/>
            <w:vAlign w:val="center"/>
          </w:tcPr>
          <w:p w14:paraId="68C825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c>
          <w:tcPr>
            <w:tcW w:w="1124" w:type="dxa"/>
            <w:shd w:val="clear" w:color="auto" w:fill="auto"/>
            <w:vAlign w:val="center"/>
          </w:tcPr>
          <w:p w14:paraId="38662B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25047DD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39C603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709.00</w:t>
            </w:r>
          </w:p>
        </w:tc>
        <w:tc>
          <w:tcPr>
            <w:tcW w:w="1124" w:type="dxa"/>
            <w:shd w:val="clear" w:color="auto" w:fill="auto"/>
            <w:vAlign w:val="center"/>
          </w:tcPr>
          <w:p w14:paraId="0693E1C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1930C8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r>
      <w:tr w14:paraId="725D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EF7D126">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2027年</w:t>
            </w:r>
          </w:p>
        </w:tc>
        <w:tc>
          <w:tcPr>
            <w:tcW w:w="1241" w:type="dxa"/>
            <w:shd w:val="clear" w:color="auto" w:fill="auto"/>
            <w:vAlign w:val="center"/>
          </w:tcPr>
          <w:p w14:paraId="04E228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c>
          <w:tcPr>
            <w:tcW w:w="1124" w:type="dxa"/>
            <w:shd w:val="clear" w:color="auto" w:fill="auto"/>
            <w:vAlign w:val="center"/>
          </w:tcPr>
          <w:p w14:paraId="3DEAE5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5055A2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075EA3B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709.00</w:t>
            </w:r>
          </w:p>
        </w:tc>
        <w:tc>
          <w:tcPr>
            <w:tcW w:w="1124" w:type="dxa"/>
            <w:shd w:val="clear" w:color="auto" w:fill="auto"/>
            <w:vAlign w:val="center"/>
          </w:tcPr>
          <w:p w14:paraId="3BF4B7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422365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r>
      <w:tr w14:paraId="25BE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103577E">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2028年</w:t>
            </w:r>
          </w:p>
        </w:tc>
        <w:tc>
          <w:tcPr>
            <w:tcW w:w="1241" w:type="dxa"/>
            <w:shd w:val="clear" w:color="auto" w:fill="auto"/>
            <w:vAlign w:val="center"/>
          </w:tcPr>
          <w:p w14:paraId="4D90D5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22,500.00</w:t>
            </w:r>
          </w:p>
        </w:tc>
        <w:tc>
          <w:tcPr>
            <w:tcW w:w="1124" w:type="dxa"/>
            <w:shd w:val="clear" w:color="auto" w:fill="auto"/>
            <w:vAlign w:val="center"/>
          </w:tcPr>
          <w:p w14:paraId="408420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38D87A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32863F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709.00</w:t>
            </w:r>
          </w:p>
        </w:tc>
        <w:tc>
          <w:tcPr>
            <w:tcW w:w="1124" w:type="dxa"/>
            <w:shd w:val="clear" w:color="auto" w:fill="auto"/>
            <w:vAlign w:val="center"/>
          </w:tcPr>
          <w:p w14:paraId="5F3415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10,500.00</w:t>
            </w:r>
          </w:p>
        </w:tc>
        <w:tc>
          <w:tcPr>
            <w:tcW w:w="1241" w:type="dxa"/>
            <w:shd w:val="clear" w:color="auto" w:fill="auto"/>
            <w:vAlign w:val="center"/>
          </w:tcPr>
          <w:p w14:paraId="2553D0F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12,000.00</w:t>
            </w:r>
          </w:p>
        </w:tc>
      </w:tr>
      <w:tr w14:paraId="435F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14:paraId="215E7FF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2029年</w:t>
            </w:r>
          </w:p>
        </w:tc>
        <w:tc>
          <w:tcPr>
            <w:tcW w:w="1241" w:type="dxa"/>
            <w:shd w:val="clear" w:color="auto" w:fill="auto"/>
            <w:vAlign w:val="center"/>
          </w:tcPr>
          <w:p w14:paraId="24306A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12,000.00</w:t>
            </w:r>
          </w:p>
        </w:tc>
        <w:tc>
          <w:tcPr>
            <w:tcW w:w="1124" w:type="dxa"/>
            <w:shd w:val="clear" w:color="auto" w:fill="auto"/>
            <w:vAlign w:val="center"/>
          </w:tcPr>
          <w:p w14:paraId="41EBA6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754E4C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5E8D6B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436.00</w:t>
            </w:r>
          </w:p>
        </w:tc>
        <w:tc>
          <w:tcPr>
            <w:tcW w:w="1124" w:type="dxa"/>
            <w:shd w:val="clear" w:color="auto" w:fill="auto"/>
            <w:vAlign w:val="center"/>
          </w:tcPr>
          <w:p w14:paraId="7AF149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7,000.00</w:t>
            </w:r>
          </w:p>
        </w:tc>
        <w:tc>
          <w:tcPr>
            <w:tcW w:w="1241" w:type="dxa"/>
            <w:shd w:val="clear" w:color="auto" w:fill="auto"/>
            <w:vAlign w:val="center"/>
          </w:tcPr>
          <w:p w14:paraId="6FF4C8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F3B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FFC8ED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2030年</w:t>
            </w:r>
          </w:p>
        </w:tc>
        <w:tc>
          <w:tcPr>
            <w:tcW w:w="1241" w:type="dxa"/>
            <w:shd w:val="clear" w:color="auto" w:fill="auto"/>
            <w:vAlign w:val="center"/>
          </w:tcPr>
          <w:p w14:paraId="11FE59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629510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E86D6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7992437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2A6DD5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2C6583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444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F4A439C">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2031年</w:t>
            </w:r>
          </w:p>
        </w:tc>
        <w:tc>
          <w:tcPr>
            <w:tcW w:w="1241" w:type="dxa"/>
            <w:shd w:val="clear" w:color="auto" w:fill="auto"/>
            <w:vAlign w:val="center"/>
          </w:tcPr>
          <w:p w14:paraId="5425AA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3FC57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644CC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484B04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7ED494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71584F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0576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46B1BB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2032年</w:t>
            </w:r>
          </w:p>
        </w:tc>
        <w:tc>
          <w:tcPr>
            <w:tcW w:w="1241" w:type="dxa"/>
            <w:shd w:val="clear" w:color="auto" w:fill="auto"/>
            <w:vAlign w:val="center"/>
          </w:tcPr>
          <w:p w14:paraId="41306B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7FB62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2C27D84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768CC4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46AAE9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4F183C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D426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1A1B42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2033年</w:t>
            </w:r>
          </w:p>
        </w:tc>
        <w:tc>
          <w:tcPr>
            <w:tcW w:w="1241" w:type="dxa"/>
            <w:shd w:val="clear" w:color="auto" w:fill="auto"/>
            <w:vAlign w:val="center"/>
          </w:tcPr>
          <w:p w14:paraId="0C22AA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27458C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73D240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22910B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75C2DB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49C062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6437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3EB1042">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2034年</w:t>
            </w:r>
          </w:p>
        </w:tc>
        <w:tc>
          <w:tcPr>
            <w:tcW w:w="1241" w:type="dxa"/>
            <w:shd w:val="clear" w:color="auto" w:fill="auto"/>
            <w:vAlign w:val="center"/>
          </w:tcPr>
          <w:p w14:paraId="3CB5D0E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4988108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04B45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459DCA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7CA9CA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06135F4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B70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25B6113">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2035年</w:t>
            </w:r>
          </w:p>
        </w:tc>
        <w:tc>
          <w:tcPr>
            <w:tcW w:w="1241" w:type="dxa"/>
            <w:shd w:val="clear" w:color="auto" w:fill="auto"/>
            <w:vAlign w:val="center"/>
          </w:tcPr>
          <w:p w14:paraId="39D38A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7D27972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F6823C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6ECA9EC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7AD1DD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79F8311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106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6B9F023">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2036年</w:t>
            </w:r>
          </w:p>
        </w:tc>
        <w:tc>
          <w:tcPr>
            <w:tcW w:w="1241" w:type="dxa"/>
            <w:shd w:val="clear" w:color="auto" w:fill="auto"/>
            <w:vAlign w:val="center"/>
          </w:tcPr>
          <w:p w14:paraId="5F3E2F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EFC36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35F8B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3CC6EC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599B3E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777D59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2D49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9692168">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2037年</w:t>
            </w:r>
          </w:p>
        </w:tc>
        <w:tc>
          <w:tcPr>
            <w:tcW w:w="1241" w:type="dxa"/>
            <w:shd w:val="clear" w:color="auto" w:fill="auto"/>
            <w:vAlign w:val="center"/>
          </w:tcPr>
          <w:p w14:paraId="51E593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4156E9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49EF10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4CF499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4E1AD6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44B9C06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920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21F50BC">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2038年</w:t>
            </w:r>
          </w:p>
        </w:tc>
        <w:tc>
          <w:tcPr>
            <w:tcW w:w="1241" w:type="dxa"/>
            <w:shd w:val="clear" w:color="auto" w:fill="auto"/>
            <w:vAlign w:val="center"/>
          </w:tcPr>
          <w:p w14:paraId="6698844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6C1DE82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2703D5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1EF9A5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515F09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0082DA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03D8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CDEC1D5">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2039年</w:t>
            </w:r>
          </w:p>
        </w:tc>
        <w:tc>
          <w:tcPr>
            <w:tcW w:w="1241" w:type="dxa"/>
            <w:shd w:val="clear" w:color="auto" w:fill="auto"/>
            <w:vAlign w:val="center"/>
          </w:tcPr>
          <w:p w14:paraId="530943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501F1C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512F1C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24F94C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4C66EE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516F11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5F81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3A3B3DE">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2040年</w:t>
            </w:r>
          </w:p>
        </w:tc>
        <w:tc>
          <w:tcPr>
            <w:tcW w:w="1241" w:type="dxa"/>
            <w:shd w:val="clear" w:color="auto" w:fill="auto"/>
            <w:vAlign w:val="center"/>
          </w:tcPr>
          <w:p w14:paraId="2A5EDD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2979BD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14BA7F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26CE065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6C70F5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78A6F4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5632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E36BEC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2041年</w:t>
            </w:r>
          </w:p>
        </w:tc>
        <w:tc>
          <w:tcPr>
            <w:tcW w:w="1241" w:type="dxa"/>
            <w:shd w:val="clear" w:color="auto" w:fill="auto"/>
            <w:vAlign w:val="center"/>
          </w:tcPr>
          <w:p w14:paraId="492923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16C356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EEEDA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1C7D0C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31324C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0B618E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4BF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03F96E15">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2042年</w:t>
            </w:r>
          </w:p>
        </w:tc>
        <w:tc>
          <w:tcPr>
            <w:tcW w:w="1241" w:type="dxa"/>
            <w:shd w:val="clear" w:color="auto" w:fill="auto"/>
            <w:vAlign w:val="center"/>
          </w:tcPr>
          <w:p w14:paraId="48C4765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198DBF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58E539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0534C6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42C1A3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5B901D3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6F3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433BCBE1">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2043年</w:t>
            </w:r>
          </w:p>
        </w:tc>
        <w:tc>
          <w:tcPr>
            <w:tcW w:w="1241" w:type="dxa"/>
            <w:shd w:val="clear" w:color="auto" w:fill="auto"/>
            <w:vAlign w:val="center"/>
          </w:tcPr>
          <w:p w14:paraId="74768D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480326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70219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2021BEA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28B101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7B9A8C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7424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F19EC91">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2044年</w:t>
            </w:r>
          </w:p>
        </w:tc>
        <w:tc>
          <w:tcPr>
            <w:tcW w:w="1241" w:type="dxa"/>
            <w:shd w:val="clear" w:color="auto" w:fill="auto"/>
            <w:vAlign w:val="center"/>
          </w:tcPr>
          <w:p w14:paraId="2A77A3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6C2DF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00E6B5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38751F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0B7A24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4FDF1D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0186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D6C048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2045年</w:t>
            </w:r>
          </w:p>
        </w:tc>
        <w:tc>
          <w:tcPr>
            <w:tcW w:w="1241" w:type="dxa"/>
            <w:shd w:val="clear" w:color="auto" w:fill="auto"/>
            <w:vAlign w:val="center"/>
          </w:tcPr>
          <w:p w14:paraId="16CD3B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6E566D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86A33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0E903B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399C87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6F5425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7AC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ACF781D">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2046年</w:t>
            </w:r>
          </w:p>
        </w:tc>
        <w:tc>
          <w:tcPr>
            <w:tcW w:w="1241" w:type="dxa"/>
            <w:shd w:val="clear" w:color="auto" w:fill="auto"/>
            <w:vAlign w:val="center"/>
          </w:tcPr>
          <w:p w14:paraId="6C4FDE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72538E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1E7C472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4B7355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16C0E8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5295F4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67D0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405826A">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2047年</w:t>
            </w:r>
          </w:p>
        </w:tc>
        <w:tc>
          <w:tcPr>
            <w:tcW w:w="1241" w:type="dxa"/>
            <w:shd w:val="clear" w:color="auto" w:fill="auto"/>
            <w:vAlign w:val="center"/>
          </w:tcPr>
          <w:p w14:paraId="384DF3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CB4EA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73321D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13513A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7A3671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1EC4FC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2E0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85C39D7">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2048年</w:t>
            </w:r>
          </w:p>
        </w:tc>
        <w:tc>
          <w:tcPr>
            <w:tcW w:w="1241" w:type="dxa"/>
            <w:shd w:val="clear" w:color="auto" w:fill="auto"/>
            <w:vAlign w:val="center"/>
          </w:tcPr>
          <w:p w14:paraId="6BB8CDB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6E508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337EB0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509AE7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03111C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28BD50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10FC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7AC2E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2049年</w:t>
            </w:r>
          </w:p>
        </w:tc>
        <w:tc>
          <w:tcPr>
            <w:tcW w:w="1241" w:type="dxa"/>
            <w:shd w:val="clear" w:color="auto" w:fill="auto"/>
            <w:vAlign w:val="center"/>
          </w:tcPr>
          <w:p w14:paraId="46F224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58BA66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1E7BA8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5D4E4B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26D121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6701D0E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411A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7A990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2050年</w:t>
            </w:r>
          </w:p>
        </w:tc>
        <w:tc>
          <w:tcPr>
            <w:tcW w:w="1241" w:type="dxa"/>
            <w:shd w:val="clear" w:color="auto" w:fill="auto"/>
            <w:vAlign w:val="center"/>
          </w:tcPr>
          <w:p w14:paraId="5E5F53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9E06B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033B3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01774D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11523E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0D7E45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23D3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1FC15C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2051年</w:t>
            </w:r>
          </w:p>
        </w:tc>
        <w:tc>
          <w:tcPr>
            <w:tcW w:w="1241" w:type="dxa"/>
            <w:shd w:val="clear" w:color="auto" w:fill="auto"/>
            <w:vAlign w:val="center"/>
          </w:tcPr>
          <w:p w14:paraId="2C0430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F6099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2B6767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05A632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563921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31C41D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B0E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B617E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2052年</w:t>
            </w:r>
          </w:p>
        </w:tc>
        <w:tc>
          <w:tcPr>
            <w:tcW w:w="1241" w:type="dxa"/>
            <w:shd w:val="clear" w:color="auto" w:fill="auto"/>
            <w:vAlign w:val="center"/>
          </w:tcPr>
          <w:p w14:paraId="02970B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00642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C0AF2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641409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532D2F0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657DAF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4C1F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10AC09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2053年</w:t>
            </w:r>
          </w:p>
        </w:tc>
        <w:tc>
          <w:tcPr>
            <w:tcW w:w="1241" w:type="dxa"/>
            <w:shd w:val="clear" w:color="auto" w:fill="auto"/>
            <w:vAlign w:val="center"/>
          </w:tcPr>
          <w:p w14:paraId="53220E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3BA9FB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43D5D0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45DE20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3B048C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41" w:type="dxa"/>
            <w:shd w:val="clear" w:color="auto" w:fill="auto"/>
            <w:vAlign w:val="center"/>
          </w:tcPr>
          <w:p w14:paraId="5E92F18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r>
      <w:tr w14:paraId="3F17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3934E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2054年</w:t>
            </w:r>
          </w:p>
        </w:tc>
        <w:tc>
          <w:tcPr>
            <w:tcW w:w="1241" w:type="dxa"/>
            <w:shd w:val="clear" w:color="auto" w:fill="auto"/>
            <w:vAlign w:val="center"/>
          </w:tcPr>
          <w:p w14:paraId="548385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124" w:type="dxa"/>
            <w:shd w:val="clear" w:color="auto" w:fill="auto"/>
            <w:vAlign w:val="center"/>
          </w:tcPr>
          <w:p w14:paraId="0DED0D4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81" w:type="dxa"/>
            <w:shd w:val="clear" w:color="auto" w:fill="auto"/>
            <w:vAlign w:val="center"/>
          </w:tcPr>
          <w:p w14:paraId="6A3009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33" w:type="dxa"/>
            <w:shd w:val="clear" w:color="auto" w:fill="auto"/>
            <w:vAlign w:val="center"/>
          </w:tcPr>
          <w:p w14:paraId="1C5CDA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177.00</w:t>
            </w:r>
          </w:p>
        </w:tc>
        <w:tc>
          <w:tcPr>
            <w:tcW w:w="1124" w:type="dxa"/>
            <w:shd w:val="clear" w:color="auto" w:fill="auto"/>
            <w:vAlign w:val="center"/>
          </w:tcPr>
          <w:p w14:paraId="3D0EB81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5,000.00</w:t>
            </w:r>
          </w:p>
        </w:tc>
        <w:tc>
          <w:tcPr>
            <w:tcW w:w="1241" w:type="dxa"/>
            <w:shd w:val="clear" w:color="auto" w:fill="auto"/>
            <w:vAlign w:val="center"/>
          </w:tcPr>
          <w:p w14:paraId="5D5C4A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r>
      <w:tr w14:paraId="40C8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D29675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合计</w:t>
            </w:r>
          </w:p>
        </w:tc>
        <w:tc>
          <w:tcPr>
            <w:tcW w:w="1241" w:type="dxa"/>
            <w:shd w:val="clear" w:color="auto" w:fill="auto"/>
            <w:vAlign w:val="center"/>
          </w:tcPr>
          <w:p w14:paraId="02BFE953">
            <w:pPr>
              <w:jc w:val="center"/>
              <w:rPr>
                <w:rFonts w:ascii="宋体" w:hAnsi="宋体" w:cs="宋体"/>
                <w:b/>
                <w:bCs/>
                <w:color w:val="000000"/>
                <w:kern w:val="0"/>
                <w:sz w:val="18"/>
                <w:szCs w:val="18"/>
                <w:highlight w:val="none"/>
              </w:rPr>
            </w:pPr>
          </w:p>
        </w:tc>
        <w:tc>
          <w:tcPr>
            <w:tcW w:w="1124" w:type="dxa"/>
            <w:shd w:val="clear" w:color="auto" w:fill="auto"/>
            <w:vAlign w:val="center"/>
          </w:tcPr>
          <w:p w14:paraId="0DAEFFB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22,500.00</w:t>
            </w:r>
          </w:p>
        </w:tc>
        <w:tc>
          <w:tcPr>
            <w:tcW w:w="881" w:type="dxa"/>
            <w:shd w:val="clear" w:color="auto" w:fill="auto"/>
            <w:vAlign w:val="center"/>
          </w:tcPr>
          <w:p w14:paraId="36EBE5F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17.50</w:t>
            </w:r>
          </w:p>
        </w:tc>
        <w:tc>
          <w:tcPr>
            <w:tcW w:w="1033" w:type="dxa"/>
            <w:shd w:val="clear" w:color="auto" w:fill="auto"/>
            <w:vAlign w:val="center"/>
          </w:tcPr>
          <w:p w14:paraId="1CDF347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7,970.00</w:t>
            </w:r>
          </w:p>
        </w:tc>
        <w:tc>
          <w:tcPr>
            <w:tcW w:w="1124" w:type="dxa"/>
            <w:shd w:val="clear" w:color="auto" w:fill="auto"/>
            <w:vAlign w:val="center"/>
          </w:tcPr>
          <w:p w14:paraId="3272711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22,500.00</w:t>
            </w:r>
          </w:p>
        </w:tc>
        <w:tc>
          <w:tcPr>
            <w:tcW w:w="1241" w:type="dxa"/>
            <w:shd w:val="clear" w:color="auto" w:fill="auto"/>
            <w:vAlign w:val="center"/>
          </w:tcPr>
          <w:p w14:paraId="1145E87E">
            <w:pPr>
              <w:jc w:val="center"/>
              <w:rPr>
                <w:rFonts w:ascii="宋体" w:hAnsi="宋体" w:cs="宋体"/>
                <w:b/>
                <w:bCs/>
                <w:color w:val="000000"/>
                <w:kern w:val="0"/>
                <w:sz w:val="18"/>
                <w:szCs w:val="18"/>
                <w:highlight w:val="none"/>
              </w:rPr>
            </w:pPr>
          </w:p>
        </w:tc>
      </w:tr>
    </w:tbl>
    <w:p w14:paraId="5BD3A87A">
      <w:pPr>
        <w:pStyle w:val="19"/>
        <w:spacing w:before="0" w:beforeAutospacing="0" w:after="156" w:afterLines="50" w:afterAutospacing="0" w:line="360" w:lineRule="exact"/>
        <w:ind w:firstLine="360" w:firstLineChars="200"/>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注</w:t>
      </w:r>
      <w:r>
        <w:rPr>
          <w:rFonts w:hint="eastAsia" w:cs="Times New Roman"/>
          <w:color w:val="000000" w:themeColor="text1"/>
          <w:sz w:val="18"/>
          <w:szCs w:val="18"/>
          <w:highlight w:val="none"/>
          <w:lang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5年期债券从债券发行年份的次年起按照每年支付一次债券利息</w:t>
      </w:r>
      <w:r>
        <w:rPr>
          <w:rFonts w:hint="eastAsia" w:cs="Times New Roman"/>
          <w:color w:val="000000" w:themeColor="text1"/>
          <w:sz w:val="18"/>
          <w:szCs w:val="18"/>
          <w:highlight w:val="none"/>
          <w14:textFill>
            <w14:solidFill>
              <w14:schemeClr w14:val="tx1"/>
            </w14:solidFill>
          </w14:textFill>
        </w:rPr>
        <w:t>。</w:t>
      </w:r>
    </w:p>
    <w:p w14:paraId="39C63553">
      <w:pPr>
        <w:pStyle w:val="19"/>
        <w:spacing w:before="0" w:beforeAutospacing="0" w:after="156" w:afterLines="50" w:afterAutospacing="0" w:line="360" w:lineRule="auto"/>
        <w:ind w:firstLine="480" w:firstLineChars="200"/>
        <w:jc w:val="both"/>
        <w:rPr>
          <w:rFonts w:hint="eastAsia"/>
          <w:color w:val="000000" w:themeColor="text1"/>
          <w:sz w:val="24"/>
          <w:szCs w:val="24"/>
          <w:highlight w:val="none"/>
          <w14:textFill>
            <w14:solidFill>
              <w14:schemeClr w14:val="tx1"/>
            </w14:solidFill>
          </w14:textFill>
        </w:rPr>
        <w:sectPr>
          <w:pgSz w:w="11906" w:h="16838"/>
          <w:pgMar w:top="1531" w:right="1701" w:bottom="1418" w:left="1701" w:header="851" w:footer="992" w:gutter="0"/>
          <w:pgNumType w:fmt="decimal"/>
          <w:cols w:space="425" w:num="1"/>
          <w:docGrid w:type="linesAndChars" w:linePitch="312" w:charSpace="0"/>
        </w:sectPr>
      </w:pPr>
      <w:r>
        <w:rPr>
          <w:rFonts w:hint="eastAsia"/>
          <w:color w:val="000000" w:themeColor="text1"/>
          <w:sz w:val="24"/>
          <w:szCs w:val="24"/>
          <w:highlight w:val="none"/>
          <w:lang w:eastAsia="zh-CN"/>
          <w14:textFill>
            <w14:solidFill>
              <w14:schemeClr w14:val="tx1"/>
            </w14:solidFill>
          </w14:textFill>
        </w:rPr>
        <w:t>2022年江西省高质量发展补短板专项债券（十二期）——2022年江西省政府专项债券（二十期）债券资金调整至东新乡东岳村三期安置房（城市棚户区改造）项目</w:t>
      </w:r>
      <w:r>
        <w:rPr>
          <w:rFonts w:hint="eastAsia"/>
          <w:color w:val="000000" w:themeColor="text1"/>
          <w:sz w:val="24"/>
          <w:szCs w:val="24"/>
          <w:highlight w:val="none"/>
          <w14:textFill>
            <w14:solidFill>
              <w14:schemeClr w14:val="tx1"/>
            </w14:solidFill>
          </w14:textFill>
        </w:rPr>
        <w:t>专项债券项目实施方案资金充足性分析情况具体如下表3</w:t>
      </w:r>
      <w:r>
        <w:rPr>
          <w:color w:val="000000" w:themeColor="text1"/>
          <w:sz w:val="24"/>
          <w:szCs w:val="24"/>
          <w:highlight w:val="none"/>
          <w14:textFill>
            <w14:solidFill>
              <w14:schemeClr w14:val="tx1"/>
            </w14:solidFill>
          </w14:textFill>
        </w:rPr>
        <w:t>-5</w:t>
      </w:r>
      <w:r>
        <w:rPr>
          <w:rFonts w:hint="eastAsia"/>
          <w:color w:val="000000" w:themeColor="text1"/>
          <w:sz w:val="24"/>
          <w:szCs w:val="24"/>
          <w:highlight w:val="none"/>
          <w14:textFill>
            <w14:solidFill>
              <w14:schemeClr w14:val="tx1"/>
            </w14:solidFill>
          </w14:textFill>
        </w:rPr>
        <w:t>及图3-</w:t>
      </w:r>
      <w:r>
        <w:rPr>
          <w:color w:val="000000" w:themeColor="text1"/>
          <w:sz w:val="24"/>
          <w:szCs w:val="24"/>
          <w:highlight w:val="none"/>
          <w14:textFill>
            <w14:solidFill>
              <w14:schemeClr w14:val="tx1"/>
            </w14:solidFill>
          </w14:textFill>
        </w:rPr>
        <w:t>1</w:t>
      </w:r>
      <w:r>
        <w:rPr>
          <w:rFonts w:hint="eastAsia"/>
          <w:color w:val="000000" w:themeColor="text1"/>
          <w:sz w:val="24"/>
          <w:szCs w:val="24"/>
          <w:highlight w:val="none"/>
          <w14:textFill>
            <w14:solidFill>
              <w14:schemeClr w14:val="tx1"/>
            </w14:solidFill>
          </w14:textFill>
        </w:rPr>
        <w:t>所示：</w:t>
      </w:r>
    </w:p>
    <w:p w14:paraId="35160A03">
      <w:pPr>
        <w:pStyle w:val="19"/>
        <w:spacing w:before="0" w:beforeAutospacing="0" w:after="156" w:afterLines="50" w:afterAutospacing="0" w:line="360" w:lineRule="auto"/>
        <w:ind w:firstLine="480" w:firstLineChars="200"/>
        <w:jc w:val="both"/>
        <w:rPr>
          <w:rFonts w:hint="eastAsia"/>
          <w:color w:val="000000" w:themeColor="text1"/>
          <w:sz w:val="24"/>
          <w:szCs w:val="24"/>
          <w:highlight w:val="none"/>
          <w14:textFill>
            <w14:solidFill>
              <w14:schemeClr w14:val="tx1"/>
            </w14:solidFill>
          </w14:textFill>
        </w:rPr>
      </w:pPr>
    </w:p>
    <w:p w14:paraId="030E4DC9">
      <w:pPr>
        <w:pStyle w:val="19"/>
        <w:spacing w:after="156" w:afterLines="50" w:afterAutospacing="0" w:line="360" w:lineRule="exact"/>
        <w:ind w:firstLine="440" w:firstLineChars="200"/>
        <w:jc w:val="cente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表3-</w:t>
      </w:r>
      <w:r>
        <w:rPr>
          <w:b/>
          <w:color w:val="000000" w:themeColor="text1"/>
          <w:highlight w:val="none"/>
          <w14:textFill>
            <w14:solidFill>
              <w14:schemeClr w14:val="tx1"/>
            </w14:solidFill>
          </w14:textFill>
        </w:rPr>
        <w:t>5</w:t>
      </w:r>
      <w:r>
        <w:rPr>
          <w:rFonts w:hint="eastAsia"/>
          <w:b/>
          <w:color w:val="000000" w:themeColor="text1"/>
          <w:highlight w:val="none"/>
          <w:lang w:val="en-US" w:eastAsia="zh-CN"/>
          <w14:textFill>
            <w14:solidFill>
              <w14:schemeClr w14:val="tx1"/>
            </w14:solidFill>
          </w14:textFill>
        </w:rPr>
        <w:t xml:space="preserve"> </w:t>
      </w:r>
      <w:r>
        <w:rPr>
          <w:rFonts w:hint="eastAsia"/>
          <w:b/>
          <w:color w:val="000000" w:themeColor="text1"/>
          <w:highlight w:val="none"/>
          <w:lang w:eastAsia="zh-CN"/>
          <w14:textFill>
            <w14:solidFill>
              <w14:schemeClr w14:val="tx1"/>
            </w14:solidFill>
          </w14:textFill>
        </w:rPr>
        <w:t>2022年江西省高质量发展补短板专项债券（十二期）——2022年江西省政府专项债券（二十期）债券资金调整之东新乡东岳村三期安置房（城市棚户区改造）项目</w:t>
      </w:r>
      <w:r>
        <w:rPr>
          <w:rFonts w:hint="eastAsia"/>
          <w:b/>
          <w:color w:val="000000" w:themeColor="text1"/>
          <w:highlight w:val="none"/>
          <w14:textFill>
            <w14:solidFill>
              <w14:schemeClr w14:val="tx1"/>
            </w14:solidFill>
          </w14:textFill>
        </w:rPr>
        <w:t>专项债券项目实施方案资金充足性分析情况表</w:t>
      </w:r>
    </w:p>
    <w:p w14:paraId="06A4CF79">
      <w:pPr>
        <w:pStyle w:val="19"/>
        <w:spacing w:after="156" w:afterLines="50" w:afterAutospacing="0" w:line="360" w:lineRule="exact"/>
        <w:ind w:firstLine="440" w:firstLineChars="200"/>
        <w:jc w:val="center"/>
        <w:rPr>
          <w:rFonts w:hint="eastAsia"/>
          <w:b/>
          <w:color w:val="000000" w:themeColor="text1"/>
          <w:highlight w:val="none"/>
          <w14:textFill>
            <w14:solidFill>
              <w14:schemeClr w14:val="tx1"/>
            </w14:solidFill>
          </w14:textFill>
        </w:rPr>
      </w:pP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89"/>
        <w:gridCol w:w="1477"/>
        <w:gridCol w:w="1172"/>
        <w:gridCol w:w="1273"/>
        <w:gridCol w:w="1273"/>
        <w:gridCol w:w="1273"/>
        <w:gridCol w:w="1273"/>
        <w:gridCol w:w="1273"/>
        <w:gridCol w:w="1273"/>
        <w:gridCol w:w="1275"/>
      </w:tblGrid>
      <w:tr w14:paraId="41D4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232" w:type="pct"/>
            <w:shd w:val="clear" w:color="auto" w:fill="auto"/>
            <w:vAlign w:val="center"/>
          </w:tcPr>
          <w:p w14:paraId="2ACFD80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669" w:type="pct"/>
            <w:shd w:val="clear" w:color="auto" w:fill="auto"/>
            <w:vAlign w:val="center"/>
          </w:tcPr>
          <w:p w14:paraId="6F95966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523" w:type="pct"/>
            <w:shd w:val="clear" w:color="auto" w:fill="auto"/>
            <w:vAlign w:val="center"/>
          </w:tcPr>
          <w:p w14:paraId="7A67E8A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415" w:type="pct"/>
            <w:shd w:val="clear" w:color="auto" w:fill="auto"/>
            <w:vAlign w:val="center"/>
          </w:tcPr>
          <w:p w14:paraId="4CCE8D8D">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2022年</w:t>
            </w:r>
          </w:p>
        </w:tc>
        <w:tc>
          <w:tcPr>
            <w:tcW w:w="451" w:type="pct"/>
            <w:shd w:val="clear" w:color="auto" w:fill="auto"/>
            <w:vAlign w:val="center"/>
          </w:tcPr>
          <w:p w14:paraId="4449400E">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2023年</w:t>
            </w:r>
          </w:p>
        </w:tc>
        <w:tc>
          <w:tcPr>
            <w:tcW w:w="451" w:type="pct"/>
            <w:shd w:val="clear" w:color="auto" w:fill="auto"/>
            <w:vAlign w:val="center"/>
          </w:tcPr>
          <w:p w14:paraId="547AB570">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2024年</w:t>
            </w:r>
          </w:p>
        </w:tc>
        <w:tc>
          <w:tcPr>
            <w:tcW w:w="451" w:type="pct"/>
            <w:shd w:val="clear" w:color="auto" w:fill="auto"/>
            <w:vAlign w:val="center"/>
          </w:tcPr>
          <w:p w14:paraId="33A7EC64">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2025年</w:t>
            </w:r>
          </w:p>
        </w:tc>
        <w:tc>
          <w:tcPr>
            <w:tcW w:w="451" w:type="pct"/>
            <w:shd w:val="clear" w:color="auto" w:fill="auto"/>
            <w:vAlign w:val="center"/>
          </w:tcPr>
          <w:p w14:paraId="018A9631">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2026年</w:t>
            </w:r>
          </w:p>
        </w:tc>
        <w:tc>
          <w:tcPr>
            <w:tcW w:w="451" w:type="pct"/>
            <w:shd w:val="clear" w:color="auto" w:fill="auto"/>
            <w:vAlign w:val="center"/>
          </w:tcPr>
          <w:p w14:paraId="66A3990D">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2027年</w:t>
            </w:r>
          </w:p>
        </w:tc>
        <w:tc>
          <w:tcPr>
            <w:tcW w:w="451" w:type="pct"/>
            <w:shd w:val="clear" w:color="auto" w:fill="auto"/>
            <w:vAlign w:val="center"/>
          </w:tcPr>
          <w:p w14:paraId="694F4E26">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2028年</w:t>
            </w:r>
          </w:p>
        </w:tc>
        <w:tc>
          <w:tcPr>
            <w:tcW w:w="451" w:type="pct"/>
            <w:shd w:val="clear" w:color="auto" w:fill="auto"/>
            <w:vAlign w:val="center"/>
          </w:tcPr>
          <w:p w14:paraId="58F6A281">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2029年</w:t>
            </w:r>
          </w:p>
        </w:tc>
      </w:tr>
      <w:tr w14:paraId="66CF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2DC839B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669" w:type="pct"/>
            <w:shd w:val="clear" w:color="auto" w:fill="auto"/>
            <w:vAlign w:val="center"/>
          </w:tcPr>
          <w:p w14:paraId="6098A67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1477" w:type="dxa"/>
            <w:shd w:val="clear" w:color="auto" w:fill="auto"/>
            <w:vAlign w:val="center"/>
          </w:tcPr>
          <w:p w14:paraId="1D8569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88,337.93</w:t>
            </w:r>
          </w:p>
        </w:tc>
        <w:tc>
          <w:tcPr>
            <w:tcW w:w="1172" w:type="dxa"/>
            <w:shd w:val="clear" w:color="auto" w:fill="auto"/>
            <w:vAlign w:val="center"/>
          </w:tcPr>
          <w:p w14:paraId="64A7A3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2,659.28</w:t>
            </w:r>
          </w:p>
        </w:tc>
        <w:tc>
          <w:tcPr>
            <w:tcW w:w="1273" w:type="dxa"/>
            <w:shd w:val="clear" w:color="auto" w:fill="auto"/>
            <w:vAlign w:val="center"/>
          </w:tcPr>
          <w:p w14:paraId="5078CB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15,318.50</w:t>
            </w:r>
          </w:p>
        </w:tc>
        <w:tc>
          <w:tcPr>
            <w:tcW w:w="1273" w:type="dxa"/>
            <w:shd w:val="clear" w:color="auto" w:fill="auto"/>
            <w:vAlign w:val="center"/>
          </w:tcPr>
          <w:p w14:paraId="1BD1AF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14,950.89</w:t>
            </w:r>
          </w:p>
        </w:tc>
        <w:tc>
          <w:tcPr>
            <w:tcW w:w="1273" w:type="dxa"/>
            <w:shd w:val="clear" w:color="auto" w:fill="auto"/>
            <w:vAlign w:val="center"/>
          </w:tcPr>
          <w:p w14:paraId="175B1B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17,996.14</w:t>
            </w:r>
          </w:p>
        </w:tc>
        <w:tc>
          <w:tcPr>
            <w:tcW w:w="1273" w:type="dxa"/>
            <w:shd w:val="clear" w:color="auto" w:fill="auto"/>
            <w:vAlign w:val="center"/>
          </w:tcPr>
          <w:p w14:paraId="7AE841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CC4DE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273" w:type="dxa"/>
            <w:shd w:val="clear" w:color="auto" w:fill="auto"/>
            <w:vAlign w:val="center"/>
          </w:tcPr>
          <w:p w14:paraId="4CDC42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2C2A1A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BF3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3E791CB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06C882A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1477" w:type="dxa"/>
            <w:shd w:val="clear" w:color="auto" w:fill="auto"/>
            <w:vAlign w:val="center"/>
          </w:tcPr>
          <w:p w14:paraId="1C2D1D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center"/>
          </w:tcPr>
          <w:p w14:paraId="4BC9D3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A778E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66AAC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F7428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7FFD0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1198F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273" w:type="dxa"/>
            <w:shd w:val="clear" w:color="auto" w:fill="auto"/>
            <w:vAlign w:val="center"/>
          </w:tcPr>
          <w:p w14:paraId="42EC38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3031FD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50B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8AB1DE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25B4A64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1477" w:type="dxa"/>
            <w:shd w:val="clear" w:color="auto" w:fill="auto"/>
            <w:vAlign w:val="center"/>
          </w:tcPr>
          <w:p w14:paraId="5437BE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696941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9703F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83376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6E261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09D8C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18C94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F330F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22DC82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6AF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3B9BB8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4AF0D19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1477" w:type="dxa"/>
            <w:shd w:val="clear" w:color="auto" w:fill="auto"/>
            <w:vAlign w:val="center"/>
          </w:tcPr>
          <w:p w14:paraId="596232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center"/>
          </w:tcPr>
          <w:p w14:paraId="726990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3A3A0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2FF10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BB7FB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19434B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1619FD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273" w:type="dxa"/>
            <w:shd w:val="clear" w:color="auto" w:fill="auto"/>
            <w:noWrap/>
            <w:vAlign w:val="bottom"/>
          </w:tcPr>
          <w:p w14:paraId="5FB276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6A769A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6013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4E5568C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3967690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1477" w:type="dxa"/>
            <w:shd w:val="clear" w:color="auto" w:fill="auto"/>
            <w:vAlign w:val="center"/>
          </w:tcPr>
          <w:p w14:paraId="7B6DF5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02AB8B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10,500.00</w:t>
            </w:r>
          </w:p>
        </w:tc>
        <w:tc>
          <w:tcPr>
            <w:tcW w:w="1273" w:type="dxa"/>
            <w:shd w:val="clear" w:color="auto" w:fill="auto"/>
            <w:vAlign w:val="center"/>
          </w:tcPr>
          <w:p w14:paraId="584819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7,000.00</w:t>
            </w:r>
          </w:p>
        </w:tc>
        <w:tc>
          <w:tcPr>
            <w:tcW w:w="1273" w:type="dxa"/>
            <w:shd w:val="clear" w:color="auto" w:fill="auto"/>
            <w:vAlign w:val="center"/>
          </w:tcPr>
          <w:p w14:paraId="457F8D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5,000.00</w:t>
            </w:r>
          </w:p>
        </w:tc>
        <w:tc>
          <w:tcPr>
            <w:tcW w:w="1273" w:type="dxa"/>
            <w:shd w:val="clear" w:color="auto" w:fill="auto"/>
            <w:vAlign w:val="center"/>
          </w:tcPr>
          <w:p w14:paraId="2E66AC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DE5B1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7F57C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7FD6F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4AEDD2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6876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B792B9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669" w:type="pct"/>
            <w:shd w:val="clear" w:color="auto" w:fill="auto"/>
            <w:vAlign w:val="center"/>
          </w:tcPr>
          <w:p w14:paraId="097B337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1477" w:type="dxa"/>
            <w:shd w:val="clear" w:color="auto" w:fill="auto"/>
            <w:vAlign w:val="center"/>
          </w:tcPr>
          <w:p w14:paraId="40720E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1AD2C6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10,500.00</w:t>
            </w:r>
          </w:p>
        </w:tc>
        <w:tc>
          <w:tcPr>
            <w:tcW w:w="1273" w:type="dxa"/>
            <w:shd w:val="clear" w:color="auto" w:fill="auto"/>
            <w:vAlign w:val="center"/>
          </w:tcPr>
          <w:p w14:paraId="39E7126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7,000.00</w:t>
            </w:r>
          </w:p>
        </w:tc>
        <w:tc>
          <w:tcPr>
            <w:tcW w:w="1273" w:type="dxa"/>
            <w:shd w:val="clear" w:color="auto" w:fill="auto"/>
            <w:vAlign w:val="center"/>
          </w:tcPr>
          <w:p w14:paraId="3E73FF0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5,000.00</w:t>
            </w:r>
          </w:p>
        </w:tc>
        <w:tc>
          <w:tcPr>
            <w:tcW w:w="1273" w:type="dxa"/>
            <w:shd w:val="clear" w:color="auto" w:fill="auto"/>
            <w:vAlign w:val="center"/>
          </w:tcPr>
          <w:p w14:paraId="55A5BA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E2C8D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C8179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696612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375229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AD3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C49B4C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669" w:type="pct"/>
            <w:shd w:val="clear" w:color="auto" w:fill="auto"/>
            <w:vAlign w:val="center"/>
          </w:tcPr>
          <w:p w14:paraId="367B52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1477" w:type="dxa"/>
            <w:shd w:val="clear" w:color="auto" w:fill="auto"/>
            <w:vAlign w:val="center"/>
          </w:tcPr>
          <w:p w14:paraId="418BCC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6D9A53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D621A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9FD53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DFB47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B3486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B7AF0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2B917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214FE5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03F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2DE2A6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1A704E5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1477" w:type="dxa"/>
            <w:shd w:val="clear" w:color="auto" w:fill="auto"/>
            <w:vAlign w:val="center"/>
          </w:tcPr>
          <w:p w14:paraId="493C4B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28,424.81</w:t>
            </w:r>
          </w:p>
        </w:tc>
        <w:tc>
          <w:tcPr>
            <w:tcW w:w="1172" w:type="dxa"/>
            <w:shd w:val="clear" w:color="auto" w:fill="auto"/>
            <w:vAlign w:val="center"/>
          </w:tcPr>
          <w:p w14:paraId="44F018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-7,840.72</w:t>
            </w:r>
          </w:p>
        </w:tc>
        <w:tc>
          <w:tcPr>
            <w:tcW w:w="1273" w:type="dxa"/>
            <w:shd w:val="clear" w:color="auto" w:fill="auto"/>
            <w:vAlign w:val="center"/>
          </w:tcPr>
          <w:p w14:paraId="1AF040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8,318.50</w:t>
            </w:r>
          </w:p>
        </w:tc>
        <w:tc>
          <w:tcPr>
            <w:tcW w:w="1273" w:type="dxa"/>
            <w:shd w:val="clear" w:color="auto" w:fill="auto"/>
            <w:vAlign w:val="center"/>
          </w:tcPr>
          <w:p w14:paraId="3568EB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9,950.89</w:t>
            </w:r>
          </w:p>
        </w:tc>
        <w:tc>
          <w:tcPr>
            <w:tcW w:w="1273" w:type="dxa"/>
            <w:shd w:val="clear" w:color="auto" w:fill="auto"/>
            <w:vAlign w:val="center"/>
          </w:tcPr>
          <w:p w14:paraId="570C40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17,996.14</w:t>
            </w:r>
          </w:p>
        </w:tc>
        <w:tc>
          <w:tcPr>
            <w:tcW w:w="1273" w:type="dxa"/>
            <w:shd w:val="clear" w:color="auto" w:fill="auto"/>
            <w:vAlign w:val="center"/>
          </w:tcPr>
          <w:p w14:paraId="3DFA14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0B47A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C8716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0FB39E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DBD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A7B7F0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669" w:type="pct"/>
            <w:shd w:val="clear" w:color="auto" w:fill="auto"/>
            <w:vAlign w:val="center"/>
          </w:tcPr>
          <w:p w14:paraId="2D50A52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1477" w:type="dxa"/>
            <w:shd w:val="clear" w:color="auto" w:fill="auto"/>
            <w:vAlign w:val="center"/>
          </w:tcPr>
          <w:p w14:paraId="789012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76,001.57</w:t>
            </w:r>
          </w:p>
        </w:tc>
        <w:tc>
          <w:tcPr>
            <w:tcW w:w="1172" w:type="dxa"/>
            <w:shd w:val="clear" w:color="auto" w:fill="auto"/>
            <w:vAlign w:val="center"/>
          </w:tcPr>
          <w:p w14:paraId="13F388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2,669.78</w:t>
            </w:r>
          </w:p>
        </w:tc>
        <w:tc>
          <w:tcPr>
            <w:tcW w:w="1273" w:type="dxa"/>
            <w:shd w:val="clear" w:color="auto" w:fill="auto"/>
            <w:vAlign w:val="center"/>
          </w:tcPr>
          <w:p w14:paraId="7954230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15,325.50</w:t>
            </w:r>
          </w:p>
        </w:tc>
        <w:tc>
          <w:tcPr>
            <w:tcW w:w="1273" w:type="dxa"/>
            <w:shd w:val="clear" w:color="auto" w:fill="auto"/>
            <w:vAlign w:val="center"/>
          </w:tcPr>
          <w:p w14:paraId="3D7EF7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14,950.89</w:t>
            </w:r>
          </w:p>
        </w:tc>
        <w:tc>
          <w:tcPr>
            <w:tcW w:w="1273" w:type="dxa"/>
            <w:shd w:val="clear" w:color="auto" w:fill="auto"/>
            <w:vAlign w:val="center"/>
          </w:tcPr>
          <w:p w14:paraId="0C0FFB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17,996.14</w:t>
            </w:r>
          </w:p>
        </w:tc>
        <w:tc>
          <w:tcPr>
            <w:tcW w:w="1273" w:type="dxa"/>
            <w:shd w:val="clear" w:color="auto" w:fill="auto"/>
            <w:vAlign w:val="center"/>
          </w:tcPr>
          <w:p w14:paraId="343E6F0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vAlign w:val="center"/>
          </w:tcPr>
          <w:p w14:paraId="2F9BBE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1,457.26</w:t>
            </w:r>
          </w:p>
        </w:tc>
        <w:tc>
          <w:tcPr>
            <w:tcW w:w="1273" w:type="dxa"/>
            <w:shd w:val="clear" w:color="auto" w:fill="auto"/>
            <w:vAlign w:val="center"/>
          </w:tcPr>
          <w:p w14:paraId="441638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11,209.00</w:t>
            </w:r>
          </w:p>
        </w:tc>
        <w:tc>
          <w:tcPr>
            <w:tcW w:w="1274" w:type="dxa"/>
            <w:shd w:val="clear" w:color="auto" w:fill="auto"/>
            <w:vAlign w:val="center"/>
          </w:tcPr>
          <w:p w14:paraId="352E93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7,436.00</w:t>
            </w:r>
          </w:p>
        </w:tc>
      </w:tr>
      <w:tr w14:paraId="04BF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60EDB12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47DD9B0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1477" w:type="dxa"/>
            <w:shd w:val="clear" w:color="auto" w:fill="auto"/>
            <w:vAlign w:val="center"/>
          </w:tcPr>
          <w:p w14:paraId="6BC7D5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203FE9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F70AA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2E3BB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8B367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EC53E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52296E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273" w:type="dxa"/>
            <w:shd w:val="clear" w:color="auto" w:fill="auto"/>
            <w:vAlign w:val="center"/>
          </w:tcPr>
          <w:p w14:paraId="4F40A4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302639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632A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C9C1F0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11223C6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1477" w:type="dxa"/>
            <w:shd w:val="clear" w:color="auto" w:fill="auto"/>
            <w:vAlign w:val="center"/>
          </w:tcPr>
          <w:p w14:paraId="2AB2BF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491DB7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BB400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6320B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523EF6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0075F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F599F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273" w:type="dxa"/>
            <w:shd w:val="clear" w:color="auto" w:fill="auto"/>
            <w:vAlign w:val="center"/>
          </w:tcPr>
          <w:p w14:paraId="4ECED67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65D08D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F7C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2CF3CE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64FCEE4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1477" w:type="dxa"/>
            <w:shd w:val="clear" w:color="auto" w:fill="auto"/>
            <w:vAlign w:val="center"/>
          </w:tcPr>
          <w:p w14:paraId="5EC4FE2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798ACB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B6ED3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1A578C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AB664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8BBF7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B7B03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45FE5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27A485E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81F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3278BA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191BF12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1477" w:type="dxa"/>
            <w:shd w:val="clear" w:color="auto" w:fill="auto"/>
            <w:vAlign w:val="center"/>
          </w:tcPr>
          <w:p w14:paraId="2555A2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49,942.81</w:t>
            </w:r>
          </w:p>
        </w:tc>
        <w:tc>
          <w:tcPr>
            <w:tcW w:w="1172" w:type="dxa"/>
            <w:shd w:val="clear" w:color="auto" w:fill="auto"/>
            <w:vAlign w:val="center"/>
          </w:tcPr>
          <w:p w14:paraId="790A9C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2,659.28</w:t>
            </w:r>
          </w:p>
        </w:tc>
        <w:tc>
          <w:tcPr>
            <w:tcW w:w="1273" w:type="dxa"/>
            <w:shd w:val="clear" w:color="auto" w:fill="auto"/>
            <w:vAlign w:val="center"/>
          </w:tcPr>
          <w:p w14:paraId="58C423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15,318.50</w:t>
            </w:r>
          </w:p>
        </w:tc>
        <w:tc>
          <w:tcPr>
            <w:tcW w:w="1273" w:type="dxa"/>
            <w:shd w:val="clear" w:color="auto" w:fill="auto"/>
            <w:vAlign w:val="center"/>
          </w:tcPr>
          <w:p w14:paraId="001BE6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14,677.89</w:t>
            </w:r>
          </w:p>
        </w:tc>
        <w:tc>
          <w:tcPr>
            <w:tcW w:w="1273" w:type="dxa"/>
            <w:shd w:val="clear" w:color="auto" w:fill="auto"/>
            <w:vAlign w:val="center"/>
          </w:tcPr>
          <w:p w14:paraId="1305356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17,287.14</w:t>
            </w:r>
          </w:p>
        </w:tc>
        <w:tc>
          <w:tcPr>
            <w:tcW w:w="1273" w:type="dxa"/>
            <w:shd w:val="clear" w:color="auto" w:fill="auto"/>
            <w:vAlign w:val="center"/>
          </w:tcPr>
          <w:p w14:paraId="01F89F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A70B6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81EAC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05E977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4D3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2" w:type="pct"/>
            <w:shd w:val="clear" w:color="auto" w:fill="auto"/>
            <w:vAlign w:val="center"/>
          </w:tcPr>
          <w:p w14:paraId="0354C6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67F94B8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1477" w:type="dxa"/>
            <w:shd w:val="clear" w:color="auto" w:fill="auto"/>
            <w:vAlign w:val="center"/>
          </w:tcPr>
          <w:p w14:paraId="0CEA3F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25,310.50</w:t>
            </w:r>
          </w:p>
        </w:tc>
        <w:tc>
          <w:tcPr>
            <w:tcW w:w="1172" w:type="dxa"/>
            <w:shd w:val="clear" w:color="auto" w:fill="auto"/>
            <w:vAlign w:val="center"/>
          </w:tcPr>
          <w:p w14:paraId="7E93DC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w:t>
            </w:r>
          </w:p>
        </w:tc>
        <w:tc>
          <w:tcPr>
            <w:tcW w:w="1273" w:type="dxa"/>
            <w:shd w:val="clear" w:color="auto" w:fill="auto"/>
            <w:vAlign w:val="center"/>
          </w:tcPr>
          <w:p w14:paraId="53FF21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w:t>
            </w:r>
          </w:p>
        </w:tc>
        <w:tc>
          <w:tcPr>
            <w:tcW w:w="1273" w:type="dxa"/>
            <w:shd w:val="clear" w:color="auto" w:fill="auto"/>
            <w:vAlign w:val="center"/>
          </w:tcPr>
          <w:p w14:paraId="591359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273.00</w:t>
            </w:r>
          </w:p>
        </w:tc>
        <w:tc>
          <w:tcPr>
            <w:tcW w:w="1273" w:type="dxa"/>
            <w:shd w:val="clear" w:color="auto" w:fill="auto"/>
            <w:vAlign w:val="center"/>
          </w:tcPr>
          <w:p w14:paraId="01A040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vAlign w:val="center"/>
          </w:tcPr>
          <w:p w14:paraId="42428F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vAlign w:val="center"/>
          </w:tcPr>
          <w:p w14:paraId="573A28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vAlign w:val="center"/>
          </w:tcPr>
          <w:p w14:paraId="2A2C8C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11,209.00</w:t>
            </w:r>
          </w:p>
        </w:tc>
        <w:tc>
          <w:tcPr>
            <w:tcW w:w="1274" w:type="dxa"/>
            <w:shd w:val="clear" w:color="auto" w:fill="auto"/>
            <w:vAlign w:val="center"/>
          </w:tcPr>
          <w:p w14:paraId="5D9162E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7,436.00</w:t>
            </w:r>
          </w:p>
        </w:tc>
      </w:tr>
      <w:tr w14:paraId="395B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3CFC42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669" w:type="pct"/>
            <w:shd w:val="clear" w:color="auto" w:fill="auto"/>
            <w:vAlign w:val="center"/>
          </w:tcPr>
          <w:p w14:paraId="1B11851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1477" w:type="dxa"/>
            <w:shd w:val="clear" w:color="auto" w:fill="auto"/>
            <w:vAlign w:val="center"/>
          </w:tcPr>
          <w:p w14:paraId="50ED85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172" w:type="dxa"/>
            <w:shd w:val="clear" w:color="auto" w:fill="auto"/>
            <w:vAlign w:val="center"/>
          </w:tcPr>
          <w:p w14:paraId="74C05C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w:t>
            </w:r>
          </w:p>
        </w:tc>
        <w:tc>
          <w:tcPr>
            <w:tcW w:w="1273" w:type="dxa"/>
            <w:shd w:val="clear" w:color="auto" w:fill="auto"/>
            <w:vAlign w:val="center"/>
          </w:tcPr>
          <w:p w14:paraId="3654E4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w:t>
            </w:r>
          </w:p>
        </w:tc>
        <w:tc>
          <w:tcPr>
            <w:tcW w:w="1273" w:type="dxa"/>
            <w:shd w:val="clear" w:color="auto" w:fill="auto"/>
            <w:vAlign w:val="center"/>
          </w:tcPr>
          <w:p w14:paraId="53B75E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70DA7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3D0A8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2C338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5C38D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3BF652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271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608768C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669" w:type="pct"/>
            <w:shd w:val="clear" w:color="auto" w:fill="auto"/>
            <w:vAlign w:val="center"/>
          </w:tcPr>
          <w:p w14:paraId="3434F09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1477" w:type="dxa"/>
            <w:shd w:val="clear" w:color="auto" w:fill="auto"/>
            <w:vAlign w:val="center"/>
          </w:tcPr>
          <w:p w14:paraId="2358EB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bottom"/>
          </w:tcPr>
          <w:p w14:paraId="33AFC0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06658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178BF3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1D7997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B4E2B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172D7E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DB9D9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10,500.00</w:t>
            </w:r>
          </w:p>
        </w:tc>
        <w:tc>
          <w:tcPr>
            <w:tcW w:w="1274" w:type="dxa"/>
            <w:shd w:val="clear" w:color="auto" w:fill="auto"/>
            <w:noWrap/>
            <w:vAlign w:val="bottom"/>
          </w:tcPr>
          <w:p w14:paraId="016370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7,000.00</w:t>
            </w:r>
          </w:p>
        </w:tc>
      </w:tr>
      <w:tr w14:paraId="613F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021C9B4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669" w:type="pct"/>
            <w:shd w:val="clear" w:color="auto" w:fill="auto"/>
            <w:vAlign w:val="center"/>
          </w:tcPr>
          <w:p w14:paraId="5C330CF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1477" w:type="dxa"/>
            <w:shd w:val="clear" w:color="auto" w:fill="auto"/>
            <w:vAlign w:val="center"/>
          </w:tcPr>
          <w:p w14:paraId="2041EC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7,970.00</w:t>
            </w:r>
          </w:p>
        </w:tc>
        <w:tc>
          <w:tcPr>
            <w:tcW w:w="1172" w:type="dxa"/>
            <w:shd w:val="clear" w:color="auto" w:fill="auto"/>
            <w:vAlign w:val="bottom"/>
          </w:tcPr>
          <w:p w14:paraId="281DA6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EC29B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3917F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273.00</w:t>
            </w:r>
          </w:p>
        </w:tc>
        <w:tc>
          <w:tcPr>
            <w:tcW w:w="1273" w:type="dxa"/>
            <w:shd w:val="clear" w:color="auto" w:fill="auto"/>
            <w:noWrap/>
            <w:vAlign w:val="bottom"/>
          </w:tcPr>
          <w:p w14:paraId="729969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noWrap/>
            <w:vAlign w:val="bottom"/>
          </w:tcPr>
          <w:p w14:paraId="07E05E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noWrap/>
            <w:vAlign w:val="bottom"/>
          </w:tcPr>
          <w:p w14:paraId="764518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noWrap/>
            <w:vAlign w:val="bottom"/>
          </w:tcPr>
          <w:p w14:paraId="064CDE2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4" w:type="dxa"/>
            <w:shd w:val="clear" w:color="auto" w:fill="auto"/>
            <w:noWrap/>
            <w:vAlign w:val="bottom"/>
          </w:tcPr>
          <w:p w14:paraId="31416F7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436.00</w:t>
            </w:r>
          </w:p>
        </w:tc>
      </w:tr>
      <w:tr w14:paraId="63C9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2" w:type="pct"/>
            <w:shd w:val="clear" w:color="auto" w:fill="auto"/>
            <w:vAlign w:val="center"/>
          </w:tcPr>
          <w:p w14:paraId="43160FA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669" w:type="pct"/>
            <w:shd w:val="clear" w:color="auto" w:fill="auto"/>
            <w:vAlign w:val="center"/>
          </w:tcPr>
          <w:p w14:paraId="6C98E41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1477" w:type="dxa"/>
            <w:shd w:val="clear" w:color="auto" w:fill="auto"/>
            <w:vAlign w:val="center"/>
          </w:tcPr>
          <w:p w14:paraId="7AC4C5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6C975B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98ECC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F9DF2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45E742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bottom"/>
          </w:tcPr>
          <w:p w14:paraId="5CCF75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7E690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4EEC5A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47BADE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542B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2" w:type="pct"/>
            <w:shd w:val="clear" w:color="auto" w:fill="auto"/>
            <w:vAlign w:val="center"/>
          </w:tcPr>
          <w:p w14:paraId="2E76AEA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669" w:type="pct"/>
            <w:shd w:val="clear" w:color="auto" w:fill="auto"/>
            <w:vAlign w:val="center"/>
          </w:tcPr>
          <w:p w14:paraId="4881016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1477" w:type="dxa"/>
            <w:shd w:val="clear" w:color="auto" w:fill="auto"/>
            <w:vAlign w:val="center"/>
          </w:tcPr>
          <w:p w14:paraId="696F4F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bottom"/>
          </w:tcPr>
          <w:p w14:paraId="172423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032775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709982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2BFD07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671599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3901F3F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471675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4" w:type="dxa"/>
            <w:shd w:val="clear" w:color="auto" w:fill="auto"/>
            <w:noWrap/>
            <w:vAlign w:val="bottom"/>
          </w:tcPr>
          <w:p w14:paraId="1A7890B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r>
      <w:tr w14:paraId="36C7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65CB41E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669" w:type="pct"/>
            <w:shd w:val="clear" w:color="auto" w:fill="auto"/>
            <w:vAlign w:val="center"/>
          </w:tcPr>
          <w:p w14:paraId="11690AF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1477" w:type="dxa"/>
            <w:shd w:val="clear" w:color="auto" w:fill="auto"/>
            <w:vAlign w:val="center"/>
          </w:tcPr>
          <w:p w14:paraId="7AA3BE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c>
          <w:tcPr>
            <w:tcW w:w="1172" w:type="dxa"/>
            <w:shd w:val="clear" w:color="auto" w:fill="auto"/>
            <w:vAlign w:val="center"/>
          </w:tcPr>
          <w:p w14:paraId="342265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w:t>
            </w:r>
          </w:p>
        </w:tc>
        <w:tc>
          <w:tcPr>
            <w:tcW w:w="1273" w:type="dxa"/>
            <w:shd w:val="clear" w:color="auto" w:fill="auto"/>
            <w:vAlign w:val="center"/>
          </w:tcPr>
          <w:p w14:paraId="402D9A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-7.00</w:t>
            </w:r>
          </w:p>
        </w:tc>
        <w:tc>
          <w:tcPr>
            <w:tcW w:w="1273" w:type="dxa"/>
            <w:shd w:val="clear" w:color="auto" w:fill="auto"/>
            <w:vAlign w:val="center"/>
          </w:tcPr>
          <w:p w14:paraId="2082E4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0FCF0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C00A1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-709.00</w:t>
            </w:r>
          </w:p>
        </w:tc>
        <w:tc>
          <w:tcPr>
            <w:tcW w:w="1273" w:type="dxa"/>
            <w:shd w:val="clear" w:color="auto" w:fill="auto"/>
            <w:vAlign w:val="center"/>
          </w:tcPr>
          <w:p w14:paraId="0FC78E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35,955.86</w:t>
            </w:r>
          </w:p>
        </w:tc>
        <w:tc>
          <w:tcPr>
            <w:tcW w:w="1273" w:type="dxa"/>
            <w:shd w:val="clear" w:color="auto" w:fill="auto"/>
            <w:vAlign w:val="center"/>
          </w:tcPr>
          <w:p w14:paraId="2A93F2F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-11,209.00</w:t>
            </w:r>
          </w:p>
        </w:tc>
        <w:tc>
          <w:tcPr>
            <w:tcW w:w="1274" w:type="dxa"/>
            <w:shd w:val="clear" w:color="auto" w:fill="auto"/>
            <w:vAlign w:val="center"/>
          </w:tcPr>
          <w:p w14:paraId="5F8A8C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-7,436.00</w:t>
            </w:r>
          </w:p>
        </w:tc>
      </w:tr>
      <w:tr w14:paraId="5345A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DAAE8F5">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669" w:type="pct"/>
            <w:shd w:val="clear" w:color="auto" w:fill="auto"/>
            <w:vAlign w:val="center"/>
          </w:tcPr>
          <w:p w14:paraId="563FC72B">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1477" w:type="dxa"/>
            <w:shd w:val="clear" w:color="auto" w:fill="auto"/>
            <w:vAlign w:val="center"/>
          </w:tcPr>
          <w:p w14:paraId="62BBB8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47DF96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D2CC1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w:t>
            </w:r>
          </w:p>
        </w:tc>
        <w:tc>
          <w:tcPr>
            <w:tcW w:w="1273" w:type="dxa"/>
            <w:shd w:val="clear" w:color="auto" w:fill="auto"/>
            <w:vAlign w:val="center"/>
          </w:tcPr>
          <w:p w14:paraId="3EDAB7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529C44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5172AA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6ABD79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-726.50</w:t>
            </w:r>
          </w:p>
        </w:tc>
        <w:tc>
          <w:tcPr>
            <w:tcW w:w="1273" w:type="dxa"/>
            <w:shd w:val="clear" w:color="auto" w:fill="auto"/>
            <w:vAlign w:val="center"/>
          </w:tcPr>
          <w:p w14:paraId="01C998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35,229.36</w:t>
            </w:r>
          </w:p>
        </w:tc>
        <w:tc>
          <w:tcPr>
            <w:tcW w:w="1274" w:type="dxa"/>
            <w:shd w:val="clear" w:color="auto" w:fill="auto"/>
            <w:vAlign w:val="center"/>
          </w:tcPr>
          <w:p w14:paraId="64CE53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24,020.36</w:t>
            </w:r>
          </w:p>
        </w:tc>
      </w:tr>
      <w:tr w14:paraId="30FEA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0A1B6CDC">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669" w:type="pct"/>
            <w:shd w:val="clear" w:color="auto" w:fill="auto"/>
            <w:vAlign w:val="center"/>
          </w:tcPr>
          <w:p w14:paraId="30B8E99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1477" w:type="dxa"/>
            <w:shd w:val="clear" w:color="auto" w:fill="auto"/>
            <w:vAlign w:val="center"/>
          </w:tcPr>
          <w:p w14:paraId="5F667F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3FC8C2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-10.50</w:t>
            </w:r>
          </w:p>
        </w:tc>
        <w:tc>
          <w:tcPr>
            <w:tcW w:w="1273" w:type="dxa"/>
            <w:shd w:val="clear" w:color="auto" w:fill="auto"/>
            <w:vAlign w:val="center"/>
          </w:tcPr>
          <w:p w14:paraId="2F5972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44F8B3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646E17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273" w:type="dxa"/>
            <w:shd w:val="clear" w:color="auto" w:fill="auto"/>
            <w:vAlign w:val="center"/>
          </w:tcPr>
          <w:p w14:paraId="6F7738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-726.50</w:t>
            </w:r>
          </w:p>
        </w:tc>
        <w:tc>
          <w:tcPr>
            <w:tcW w:w="1273" w:type="dxa"/>
            <w:shd w:val="clear" w:color="auto" w:fill="auto"/>
            <w:vAlign w:val="center"/>
          </w:tcPr>
          <w:p w14:paraId="56ECEB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35,229.36</w:t>
            </w:r>
          </w:p>
        </w:tc>
        <w:tc>
          <w:tcPr>
            <w:tcW w:w="1273" w:type="dxa"/>
            <w:shd w:val="clear" w:color="auto" w:fill="auto"/>
            <w:vAlign w:val="center"/>
          </w:tcPr>
          <w:p w14:paraId="0B042A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24,020.36</w:t>
            </w:r>
          </w:p>
        </w:tc>
        <w:tc>
          <w:tcPr>
            <w:tcW w:w="1274" w:type="dxa"/>
            <w:shd w:val="clear" w:color="auto" w:fill="auto"/>
            <w:vAlign w:val="center"/>
          </w:tcPr>
          <w:p w14:paraId="4BF1CD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16,584.36</w:t>
            </w:r>
          </w:p>
        </w:tc>
      </w:tr>
    </w:tbl>
    <w:p w14:paraId="4682D8AF">
      <w:pPr>
        <w:pStyle w:val="19"/>
        <w:spacing w:after="156" w:afterLines="50" w:afterAutospacing="0" w:line="360" w:lineRule="exact"/>
        <w:jc w:val="both"/>
        <w:rPr>
          <w:rFonts w:hint="eastAsia"/>
          <w:b/>
          <w:color w:val="000000" w:themeColor="text1"/>
          <w:highlight w:val="none"/>
          <w14:textFill>
            <w14:solidFill>
              <w14:schemeClr w14:val="tx1"/>
            </w14:solidFill>
          </w14:textFill>
        </w:rPr>
      </w:pP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886"/>
        <w:gridCol w:w="1474"/>
        <w:gridCol w:w="1173"/>
        <w:gridCol w:w="1274"/>
        <w:gridCol w:w="1274"/>
        <w:gridCol w:w="1274"/>
        <w:gridCol w:w="1274"/>
        <w:gridCol w:w="1274"/>
        <w:gridCol w:w="1274"/>
        <w:gridCol w:w="1275"/>
      </w:tblGrid>
      <w:tr w14:paraId="5E0C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232" w:type="pct"/>
            <w:shd w:val="clear" w:color="auto" w:fill="auto"/>
            <w:vAlign w:val="center"/>
          </w:tcPr>
          <w:p w14:paraId="2326181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669" w:type="pct"/>
            <w:shd w:val="clear" w:color="auto" w:fill="auto"/>
            <w:vAlign w:val="center"/>
          </w:tcPr>
          <w:p w14:paraId="7DE5BE5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523" w:type="pct"/>
            <w:shd w:val="clear" w:color="auto" w:fill="auto"/>
            <w:vAlign w:val="center"/>
          </w:tcPr>
          <w:p w14:paraId="2CE3059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1172" w:type="dxa"/>
            <w:shd w:val="clear" w:color="auto" w:fill="auto"/>
            <w:vAlign w:val="center"/>
          </w:tcPr>
          <w:p w14:paraId="2A59365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2030年</w:t>
            </w:r>
          </w:p>
        </w:tc>
        <w:tc>
          <w:tcPr>
            <w:tcW w:w="1273" w:type="dxa"/>
            <w:shd w:val="clear" w:color="auto" w:fill="auto"/>
            <w:vAlign w:val="center"/>
          </w:tcPr>
          <w:p w14:paraId="205B180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2031年</w:t>
            </w:r>
          </w:p>
        </w:tc>
        <w:tc>
          <w:tcPr>
            <w:tcW w:w="1273" w:type="dxa"/>
            <w:shd w:val="clear" w:color="auto" w:fill="auto"/>
            <w:vAlign w:val="center"/>
          </w:tcPr>
          <w:p w14:paraId="6769037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2032年</w:t>
            </w:r>
          </w:p>
        </w:tc>
        <w:tc>
          <w:tcPr>
            <w:tcW w:w="1273" w:type="dxa"/>
            <w:shd w:val="clear" w:color="auto" w:fill="auto"/>
            <w:vAlign w:val="center"/>
          </w:tcPr>
          <w:p w14:paraId="3DB63BD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2033年</w:t>
            </w:r>
          </w:p>
        </w:tc>
        <w:tc>
          <w:tcPr>
            <w:tcW w:w="1273" w:type="dxa"/>
            <w:shd w:val="clear" w:color="auto" w:fill="auto"/>
            <w:vAlign w:val="center"/>
          </w:tcPr>
          <w:p w14:paraId="53E91DC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2034年</w:t>
            </w:r>
          </w:p>
        </w:tc>
        <w:tc>
          <w:tcPr>
            <w:tcW w:w="1273" w:type="dxa"/>
            <w:shd w:val="clear" w:color="auto" w:fill="auto"/>
            <w:vAlign w:val="center"/>
          </w:tcPr>
          <w:p w14:paraId="6F74AA3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2035年</w:t>
            </w:r>
          </w:p>
        </w:tc>
        <w:tc>
          <w:tcPr>
            <w:tcW w:w="1273" w:type="dxa"/>
            <w:shd w:val="clear" w:color="auto" w:fill="auto"/>
            <w:vAlign w:val="center"/>
          </w:tcPr>
          <w:p w14:paraId="63B6729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2036年</w:t>
            </w:r>
          </w:p>
        </w:tc>
        <w:tc>
          <w:tcPr>
            <w:tcW w:w="1274" w:type="dxa"/>
            <w:shd w:val="clear" w:color="auto" w:fill="auto"/>
            <w:vAlign w:val="center"/>
          </w:tcPr>
          <w:p w14:paraId="421A8EF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2037年</w:t>
            </w:r>
          </w:p>
        </w:tc>
      </w:tr>
      <w:tr w14:paraId="6E5F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F60F855">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669" w:type="pct"/>
            <w:shd w:val="clear" w:color="auto" w:fill="auto"/>
            <w:vAlign w:val="center"/>
          </w:tcPr>
          <w:p w14:paraId="29A9F80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1477" w:type="dxa"/>
            <w:shd w:val="clear" w:color="auto" w:fill="auto"/>
            <w:vAlign w:val="center"/>
          </w:tcPr>
          <w:p w14:paraId="515324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88,337.93</w:t>
            </w:r>
          </w:p>
        </w:tc>
        <w:tc>
          <w:tcPr>
            <w:tcW w:w="1172" w:type="dxa"/>
            <w:shd w:val="clear" w:color="auto" w:fill="auto"/>
            <w:vAlign w:val="center"/>
          </w:tcPr>
          <w:p w14:paraId="28D9F2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709A32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15AC6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34956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C5476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4C531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3921E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5E5658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30D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1E5913F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5A91710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1477" w:type="dxa"/>
            <w:shd w:val="clear" w:color="auto" w:fill="auto"/>
            <w:vAlign w:val="center"/>
          </w:tcPr>
          <w:p w14:paraId="389848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center"/>
          </w:tcPr>
          <w:p w14:paraId="7B31211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D12F6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D08AC1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6136B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C1E82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43B78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95D08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0D5910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C7F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2D48084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4D5AA31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1477" w:type="dxa"/>
            <w:shd w:val="clear" w:color="auto" w:fill="auto"/>
            <w:vAlign w:val="center"/>
          </w:tcPr>
          <w:p w14:paraId="14DB58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7E937B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AE5DF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5D775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4DB70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33599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E3F1F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C45925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87C7A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11C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669D8C9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7B0AE8E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1477" w:type="dxa"/>
            <w:shd w:val="clear" w:color="auto" w:fill="auto"/>
            <w:vAlign w:val="center"/>
          </w:tcPr>
          <w:p w14:paraId="6F9FE4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bottom"/>
          </w:tcPr>
          <w:p w14:paraId="209FB2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0275A1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4ABC47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5DC21A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21B281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354D8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67AC11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78C1F1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347F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710177A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574A8F4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1477" w:type="dxa"/>
            <w:shd w:val="clear" w:color="auto" w:fill="auto"/>
            <w:vAlign w:val="center"/>
          </w:tcPr>
          <w:p w14:paraId="0915208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4B2813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909F6C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6E5B7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84C8B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3DD1A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4A8467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9C904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05F690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F57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A17F17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669" w:type="pct"/>
            <w:shd w:val="clear" w:color="auto" w:fill="auto"/>
            <w:vAlign w:val="center"/>
          </w:tcPr>
          <w:p w14:paraId="6996E24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1477" w:type="dxa"/>
            <w:shd w:val="clear" w:color="auto" w:fill="auto"/>
            <w:vAlign w:val="center"/>
          </w:tcPr>
          <w:p w14:paraId="403640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2313D4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17B6D2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AB450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8C5CE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6D9F1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4398A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303448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BD05F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803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2FFD0F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669" w:type="pct"/>
            <w:shd w:val="clear" w:color="auto" w:fill="auto"/>
            <w:vAlign w:val="center"/>
          </w:tcPr>
          <w:p w14:paraId="7206EC1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1477" w:type="dxa"/>
            <w:shd w:val="clear" w:color="auto" w:fill="auto"/>
            <w:vAlign w:val="center"/>
          </w:tcPr>
          <w:p w14:paraId="1D581F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2C7A52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FC02C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1EE98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BDB262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B5580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0473FD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DE485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7140A31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9E0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0AD54B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068AE5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1477" w:type="dxa"/>
            <w:shd w:val="clear" w:color="auto" w:fill="auto"/>
            <w:vAlign w:val="center"/>
          </w:tcPr>
          <w:p w14:paraId="628354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28,424.81</w:t>
            </w:r>
          </w:p>
        </w:tc>
        <w:tc>
          <w:tcPr>
            <w:tcW w:w="1172" w:type="dxa"/>
            <w:shd w:val="clear" w:color="auto" w:fill="auto"/>
            <w:vAlign w:val="center"/>
          </w:tcPr>
          <w:p w14:paraId="340CBF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60374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0F228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1F0CF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72D4D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50715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233C2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5B98F2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02D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5EA6DED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669" w:type="pct"/>
            <w:shd w:val="clear" w:color="auto" w:fill="auto"/>
            <w:vAlign w:val="center"/>
          </w:tcPr>
          <w:p w14:paraId="655FDAD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1477" w:type="dxa"/>
            <w:shd w:val="clear" w:color="auto" w:fill="auto"/>
            <w:vAlign w:val="center"/>
          </w:tcPr>
          <w:p w14:paraId="3A35B4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76,001.57</w:t>
            </w:r>
          </w:p>
        </w:tc>
        <w:tc>
          <w:tcPr>
            <w:tcW w:w="1172" w:type="dxa"/>
            <w:shd w:val="clear" w:color="auto" w:fill="auto"/>
            <w:vAlign w:val="center"/>
          </w:tcPr>
          <w:p w14:paraId="4E1601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67F385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1F34E4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056880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71FBB9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A4625C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255ED7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7FFF70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2382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2E80F6D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1D4C1AE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1477" w:type="dxa"/>
            <w:shd w:val="clear" w:color="auto" w:fill="auto"/>
            <w:vAlign w:val="center"/>
          </w:tcPr>
          <w:p w14:paraId="0BD4E2A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0C71C3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B7798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DCF5B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97CD5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7EAFE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25694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9CEA8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597494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FA7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55CC47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73D8EA2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1477" w:type="dxa"/>
            <w:shd w:val="clear" w:color="auto" w:fill="auto"/>
            <w:vAlign w:val="center"/>
          </w:tcPr>
          <w:p w14:paraId="5B2C22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71D8E9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CE2D6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7431E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DAB8C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6C318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1BD9D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5B9A38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1B9D18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5723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213495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4CC73FF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1477" w:type="dxa"/>
            <w:shd w:val="clear" w:color="auto" w:fill="auto"/>
            <w:vAlign w:val="center"/>
          </w:tcPr>
          <w:p w14:paraId="009CB0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24E1B86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3B83F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7EB18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90F64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2C565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F95DE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A0056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9D694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B2E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2A638AF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4F5B9CE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1477" w:type="dxa"/>
            <w:shd w:val="clear" w:color="auto" w:fill="auto"/>
            <w:vAlign w:val="center"/>
          </w:tcPr>
          <w:p w14:paraId="0BB6F5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49,942.81</w:t>
            </w:r>
          </w:p>
        </w:tc>
        <w:tc>
          <w:tcPr>
            <w:tcW w:w="1172" w:type="dxa"/>
            <w:shd w:val="clear" w:color="auto" w:fill="auto"/>
            <w:vAlign w:val="center"/>
          </w:tcPr>
          <w:p w14:paraId="09CBF0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96FE92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B4AF8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F60FF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3A0E4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1EC1D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46EE0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25D951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A3F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2" w:type="pct"/>
            <w:shd w:val="clear" w:color="auto" w:fill="auto"/>
            <w:vAlign w:val="center"/>
          </w:tcPr>
          <w:p w14:paraId="4E52AE4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72D221B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1477" w:type="dxa"/>
            <w:shd w:val="clear" w:color="auto" w:fill="auto"/>
            <w:vAlign w:val="center"/>
          </w:tcPr>
          <w:p w14:paraId="2B4539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25,310.50</w:t>
            </w:r>
          </w:p>
        </w:tc>
        <w:tc>
          <w:tcPr>
            <w:tcW w:w="1172" w:type="dxa"/>
            <w:shd w:val="clear" w:color="auto" w:fill="auto"/>
            <w:vAlign w:val="center"/>
          </w:tcPr>
          <w:p w14:paraId="7F69C3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6EA6AA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2F336A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739AEF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10CA30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3624D7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5704E2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48CFA8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459A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9EBBB1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669" w:type="pct"/>
            <w:shd w:val="clear" w:color="auto" w:fill="auto"/>
            <w:vAlign w:val="center"/>
          </w:tcPr>
          <w:p w14:paraId="36ADC5A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1477" w:type="dxa"/>
            <w:shd w:val="clear" w:color="auto" w:fill="auto"/>
            <w:vAlign w:val="center"/>
          </w:tcPr>
          <w:p w14:paraId="388FEE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172" w:type="dxa"/>
            <w:shd w:val="clear" w:color="auto" w:fill="auto"/>
            <w:vAlign w:val="center"/>
          </w:tcPr>
          <w:p w14:paraId="46DDBB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A8946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49392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3BD15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489AB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856D08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89BEB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B5697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630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25F2145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669" w:type="pct"/>
            <w:shd w:val="clear" w:color="auto" w:fill="auto"/>
            <w:vAlign w:val="center"/>
          </w:tcPr>
          <w:p w14:paraId="26C897C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1477" w:type="dxa"/>
            <w:shd w:val="clear" w:color="auto" w:fill="auto"/>
            <w:vAlign w:val="center"/>
          </w:tcPr>
          <w:p w14:paraId="41C69E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bottom"/>
          </w:tcPr>
          <w:p w14:paraId="36195B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89A36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A7D88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488127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15BF4D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7C9BB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8A28DB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109259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440A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578920D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669" w:type="pct"/>
            <w:shd w:val="clear" w:color="auto" w:fill="auto"/>
            <w:vAlign w:val="center"/>
          </w:tcPr>
          <w:p w14:paraId="6DF4B9B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1477" w:type="dxa"/>
            <w:shd w:val="clear" w:color="auto" w:fill="auto"/>
            <w:vAlign w:val="center"/>
          </w:tcPr>
          <w:p w14:paraId="59D1FC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7,970.00</w:t>
            </w:r>
          </w:p>
        </w:tc>
        <w:tc>
          <w:tcPr>
            <w:tcW w:w="1172" w:type="dxa"/>
            <w:shd w:val="clear" w:color="auto" w:fill="auto"/>
            <w:vAlign w:val="bottom"/>
          </w:tcPr>
          <w:p w14:paraId="265AF4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2F2063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27F4F7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06B569C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64C606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431614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11A16F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noWrap/>
            <w:vAlign w:val="bottom"/>
          </w:tcPr>
          <w:p w14:paraId="3BCD02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1A8E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2" w:type="pct"/>
            <w:shd w:val="clear" w:color="auto" w:fill="auto"/>
            <w:vAlign w:val="center"/>
          </w:tcPr>
          <w:p w14:paraId="2A880FC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669" w:type="pct"/>
            <w:shd w:val="clear" w:color="auto" w:fill="auto"/>
            <w:vAlign w:val="center"/>
          </w:tcPr>
          <w:p w14:paraId="680BA85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1477" w:type="dxa"/>
            <w:shd w:val="clear" w:color="auto" w:fill="auto"/>
            <w:vAlign w:val="center"/>
          </w:tcPr>
          <w:p w14:paraId="3B6DC7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bottom"/>
          </w:tcPr>
          <w:p w14:paraId="4E6DDD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4112D52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507267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4CFE97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004800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F71BB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259C05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4D7FA3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622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2" w:type="pct"/>
            <w:shd w:val="clear" w:color="auto" w:fill="auto"/>
            <w:vAlign w:val="center"/>
          </w:tcPr>
          <w:p w14:paraId="6C02D82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669" w:type="pct"/>
            <w:shd w:val="clear" w:color="auto" w:fill="auto"/>
            <w:vAlign w:val="center"/>
          </w:tcPr>
          <w:p w14:paraId="743B67B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1477" w:type="dxa"/>
            <w:shd w:val="clear" w:color="auto" w:fill="auto"/>
            <w:vAlign w:val="center"/>
          </w:tcPr>
          <w:p w14:paraId="726A0D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bottom"/>
          </w:tcPr>
          <w:p w14:paraId="614101D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26E39B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7B7246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3D7668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127A6A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429ACA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3" w:type="dxa"/>
            <w:shd w:val="clear" w:color="auto" w:fill="auto"/>
            <w:noWrap/>
            <w:vAlign w:val="bottom"/>
          </w:tcPr>
          <w:p w14:paraId="7A46711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274" w:type="dxa"/>
            <w:shd w:val="clear" w:color="auto" w:fill="auto"/>
            <w:noWrap/>
            <w:vAlign w:val="bottom"/>
          </w:tcPr>
          <w:p w14:paraId="7B9A6E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71ED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7B3831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669" w:type="pct"/>
            <w:shd w:val="clear" w:color="auto" w:fill="auto"/>
            <w:vAlign w:val="center"/>
          </w:tcPr>
          <w:p w14:paraId="435D8EF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1477" w:type="dxa"/>
            <w:shd w:val="clear" w:color="auto" w:fill="auto"/>
            <w:vAlign w:val="center"/>
          </w:tcPr>
          <w:p w14:paraId="2B3B31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c>
          <w:tcPr>
            <w:tcW w:w="1172" w:type="dxa"/>
            <w:shd w:val="clear" w:color="auto" w:fill="auto"/>
            <w:vAlign w:val="center"/>
          </w:tcPr>
          <w:p w14:paraId="760DF0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16E6A5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07D2A7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22BB492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084B2E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73E3F0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314461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2B1C67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66CA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57D781C">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669" w:type="pct"/>
            <w:shd w:val="clear" w:color="auto" w:fill="auto"/>
            <w:vAlign w:val="center"/>
          </w:tcPr>
          <w:p w14:paraId="2C22A33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1477" w:type="dxa"/>
            <w:shd w:val="clear" w:color="auto" w:fill="auto"/>
            <w:vAlign w:val="center"/>
          </w:tcPr>
          <w:p w14:paraId="1A08591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7DCC20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16,584.36</w:t>
            </w:r>
          </w:p>
        </w:tc>
        <w:tc>
          <w:tcPr>
            <w:tcW w:w="1273" w:type="dxa"/>
            <w:shd w:val="clear" w:color="auto" w:fill="auto"/>
            <w:vAlign w:val="center"/>
          </w:tcPr>
          <w:p w14:paraId="3F2213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16,407.36</w:t>
            </w:r>
          </w:p>
        </w:tc>
        <w:tc>
          <w:tcPr>
            <w:tcW w:w="1273" w:type="dxa"/>
            <w:shd w:val="clear" w:color="auto" w:fill="auto"/>
            <w:vAlign w:val="center"/>
          </w:tcPr>
          <w:p w14:paraId="097E73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16,230.36</w:t>
            </w:r>
          </w:p>
        </w:tc>
        <w:tc>
          <w:tcPr>
            <w:tcW w:w="1273" w:type="dxa"/>
            <w:shd w:val="clear" w:color="auto" w:fill="auto"/>
            <w:vAlign w:val="center"/>
          </w:tcPr>
          <w:p w14:paraId="33A7DF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16,053.36</w:t>
            </w:r>
          </w:p>
        </w:tc>
        <w:tc>
          <w:tcPr>
            <w:tcW w:w="1273" w:type="dxa"/>
            <w:shd w:val="clear" w:color="auto" w:fill="auto"/>
            <w:vAlign w:val="center"/>
          </w:tcPr>
          <w:p w14:paraId="487276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15,876.36</w:t>
            </w:r>
          </w:p>
        </w:tc>
        <w:tc>
          <w:tcPr>
            <w:tcW w:w="1273" w:type="dxa"/>
            <w:shd w:val="clear" w:color="auto" w:fill="auto"/>
            <w:vAlign w:val="center"/>
          </w:tcPr>
          <w:p w14:paraId="589FDB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15,699.36</w:t>
            </w:r>
          </w:p>
        </w:tc>
        <w:tc>
          <w:tcPr>
            <w:tcW w:w="1273" w:type="dxa"/>
            <w:shd w:val="clear" w:color="auto" w:fill="auto"/>
            <w:vAlign w:val="center"/>
          </w:tcPr>
          <w:p w14:paraId="42707D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15,522.36</w:t>
            </w:r>
          </w:p>
        </w:tc>
        <w:tc>
          <w:tcPr>
            <w:tcW w:w="1274" w:type="dxa"/>
            <w:shd w:val="clear" w:color="auto" w:fill="auto"/>
            <w:vAlign w:val="center"/>
          </w:tcPr>
          <w:p w14:paraId="558520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15,345.36</w:t>
            </w:r>
          </w:p>
        </w:tc>
      </w:tr>
      <w:tr w14:paraId="4D3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6444C68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669" w:type="pct"/>
            <w:shd w:val="clear" w:color="auto" w:fill="auto"/>
            <w:vAlign w:val="center"/>
          </w:tcPr>
          <w:p w14:paraId="691DA71A">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1477" w:type="dxa"/>
            <w:shd w:val="clear" w:color="auto" w:fill="auto"/>
            <w:vAlign w:val="center"/>
          </w:tcPr>
          <w:p w14:paraId="4ED9DD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0F8371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16,407.36</w:t>
            </w:r>
          </w:p>
        </w:tc>
        <w:tc>
          <w:tcPr>
            <w:tcW w:w="1273" w:type="dxa"/>
            <w:shd w:val="clear" w:color="auto" w:fill="auto"/>
            <w:vAlign w:val="center"/>
          </w:tcPr>
          <w:p w14:paraId="63684BC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16,230.36</w:t>
            </w:r>
          </w:p>
        </w:tc>
        <w:tc>
          <w:tcPr>
            <w:tcW w:w="1273" w:type="dxa"/>
            <w:shd w:val="clear" w:color="auto" w:fill="auto"/>
            <w:vAlign w:val="center"/>
          </w:tcPr>
          <w:p w14:paraId="2F8793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16,053.36</w:t>
            </w:r>
          </w:p>
        </w:tc>
        <w:tc>
          <w:tcPr>
            <w:tcW w:w="1273" w:type="dxa"/>
            <w:shd w:val="clear" w:color="auto" w:fill="auto"/>
            <w:vAlign w:val="center"/>
          </w:tcPr>
          <w:p w14:paraId="1161B0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15,876.36</w:t>
            </w:r>
          </w:p>
        </w:tc>
        <w:tc>
          <w:tcPr>
            <w:tcW w:w="1273" w:type="dxa"/>
            <w:shd w:val="clear" w:color="auto" w:fill="auto"/>
            <w:vAlign w:val="center"/>
          </w:tcPr>
          <w:p w14:paraId="723245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15,699.36</w:t>
            </w:r>
          </w:p>
        </w:tc>
        <w:tc>
          <w:tcPr>
            <w:tcW w:w="1273" w:type="dxa"/>
            <w:shd w:val="clear" w:color="auto" w:fill="auto"/>
            <w:vAlign w:val="center"/>
          </w:tcPr>
          <w:p w14:paraId="072F5D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15,522.36</w:t>
            </w:r>
          </w:p>
        </w:tc>
        <w:tc>
          <w:tcPr>
            <w:tcW w:w="1273" w:type="dxa"/>
            <w:shd w:val="clear" w:color="auto" w:fill="auto"/>
            <w:vAlign w:val="center"/>
          </w:tcPr>
          <w:p w14:paraId="1CC4F4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15,345.36</w:t>
            </w:r>
          </w:p>
        </w:tc>
        <w:tc>
          <w:tcPr>
            <w:tcW w:w="1274" w:type="dxa"/>
            <w:shd w:val="clear" w:color="auto" w:fill="auto"/>
            <w:vAlign w:val="center"/>
          </w:tcPr>
          <w:p w14:paraId="214F7C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15,168.36</w:t>
            </w:r>
          </w:p>
        </w:tc>
      </w:tr>
    </w:tbl>
    <w:p w14:paraId="0278F5CE">
      <w:pPr>
        <w:pStyle w:val="19"/>
        <w:spacing w:after="156" w:afterLines="50" w:afterAutospacing="0" w:line="360" w:lineRule="exact"/>
        <w:ind w:firstLine="440" w:firstLineChars="200"/>
        <w:jc w:val="center"/>
        <w:rPr>
          <w:b/>
          <w:color w:val="000000" w:themeColor="text1"/>
          <w:highlight w:val="none"/>
          <w14:textFill>
            <w14:solidFill>
              <w14:schemeClr w14:val="tx1"/>
            </w14:solidFill>
          </w14:textFill>
        </w:rPr>
      </w:pP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886"/>
        <w:gridCol w:w="1474"/>
        <w:gridCol w:w="1173"/>
        <w:gridCol w:w="1274"/>
        <w:gridCol w:w="1274"/>
        <w:gridCol w:w="1274"/>
        <w:gridCol w:w="1274"/>
        <w:gridCol w:w="1274"/>
        <w:gridCol w:w="1274"/>
        <w:gridCol w:w="1275"/>
      </w:tblGrid>
      <w:tr w14:paraId="5954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232" w:type="pct"/>
            <w:shd w:val="clear" w:color="auto" w:fill="auto"/>
            <w:vAlign w:val="center"/>
          </w:tcPr>
          <w:p w14:paraId="6E0E6FD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669" w:type="pct"/>
            <w:shd w:val="clear" w:color="auto" w:fill="auto"/>
            <w:vAlign w:val="center"/>
          </w:tcPr>
          <w:p w14:paraId="2F7BBFAA">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523" w:type="pct"/>
            <w:shd w:val="clear" w:color="auto" w:fill="auto"/>
            <w:vAlign w:val="center"/>
          </w:tcPr>
          <w:p w14:paraId="08B328C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1172" w:type="dxa"/>
            <w:shd w:val="clear" w:color="auto" w:fill="auto"/>
            <w:vAlign w:val="center"/>
          </w:tcPr>
          <w:p w14:paraId="57BFF044">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2038年</w:t>
            </w:r>
          </w:p>
        </w:tc>
        <w:tc>
          <w:tcPr>
            <w:tcW w:w="1273" w:type="dxa"/>
            <w:shd w:val="clear" w:color="auto" w:fill="auto"/>
            <w:vAlign w:val="center"/>
          </w:tcPr>
          <w:p w14:paraId="4180352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2039年</w:t>
            </w:r>
          </w:p>
        </w:tc>
        <w:tc>
          <w:tcPr>
            <w:tcW w:w="1273" w:type="dxa"/>
            <w:shd w:val="clear" w:color="auto" w:fill="auto"/>
            <w:vAlign w:val="center"/>
          </w:tcPr>
          <w:p w14:paraId="443CE87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2040年</w:t>
            </w:r>
          </w:p>
        </w:tc>
        <w:tc>
          <w:tcPr>
            <w:tcW w:w="1273" w:type="dxa"/>
            <w:shd w:val="clear" w:color="auto" w:fill="auto"/>
            <w:vAlign w:val="center"/>
          </w:tcPr>
          <w:p w14:paraId="2AD32ED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2041年</w:t>
            </w:r>
          </w:p>
        </w:tc>
        <w:tc>
          <w:tcPr>
            <w:tcW w:w="1273" w:type="dxa"/>
            <w:shd w:val="clear" w:color="auto" w:fill="auto"/>
            <w:vAlign w:val="center"/>
          </w:tcPr>
          <w:p w14:paraId="14F9D0F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2042年</w:t>
            </w:r>
          </w:p>
        </w:tc>
        <w:tc>
          <w:tcPr>
            <w:tcW w:w="1273" w:type="dxa"/>
            <w:shd w:val="clear" w:color="auto" w:fill="auto"/>
            <w:vAlign w:val="center"/>
          </w:tcPr>
          <w:p w14:paraId="45BCE47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2043年</w:t>
            </w:r>
          </w:p>
        </w:tc>
        <w:tc>
          <w:tcPr>
            <w:tcW w:w="1273" w:type="dxa"/>
            <w:shd w:val="clear" w:color="auto" w:fill="auto"/>
            <w:vAlign w:val="center"/>
          </w:tcPr>
          <w:p w14:paraId="040C12D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2044年</w:t>
            </w:r>
          </w:p>
        </w:tc>
        <w:tc>
          <w:tcPr>
            <w:tcW w:w="1274" w:type="dxa"/>
            <w:shd w:val="clear" w:color="auto" w:fill="auto"/>
            <w:vAlign w:val="center"/>
          </w:tcPr>
          <w:p w14:paraId="47C020E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2045年</w:t>
            </w:r>
          </w:p>
        </w:tc>
      </w:tr>
      <w:tr w14:paraId="30BA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0D453F5">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669" w:type="pct"/>
            <w:shd w:val="clear" w:color="auto" w:fill="auto"/>
            <w:vAlign w:val="center"/>
          </w:tcPr>
          <w:p w14:paraId="0EDF7CAA">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1477" w:type="dxa"/>
            <w:shd w:val="clear" w:color="auto" w:fill="auto"/>
            <w:vAlign w:val="center"/>
          </w:tcPr>
          <w:p w14:paraId="1CEEBBD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88,337.93</w:t>
            </w:r>
          </w:p>
        </w:tc>
        <w:tc>
          <w:tcPr>
            <w:tcW w:w="1172" w:type="dxa"/>
            <w:shd w:val="clear" w:color="auto" w:fill="auto"/>
            <w:vAlign w:val="center"/>
          </w:tcPr>
          <w:p w14:paraId="2704D6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8828B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2A84A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BFF8A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33CDD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EC9BA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C7CAD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47C5BF9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3A1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7B3C240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789B48C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1477" w:type="dxa"/>
            <w:shd w:val="clear" w:color="auto" w:fill="auto"/>
            <w:vAlign w:val="center"/>
          </w:tcPr>
          <w:p w14:paraId="604F17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center"/>
          </w:tcPr>
          <w:p w14:paraId="3D38D0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DBD197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49A85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AA31A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7F52D7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8B761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CD5301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69DDCEC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715E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5291C1C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3D20AF8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1477" w:type="dxa"/>
            <w:shd w:val="clear" w:color="auto" w:fill="auto"/>
            <w:vAlign w:val="center"/>
          </w:tcPr>
          <w:p w14:paraId="348080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566D62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BC35A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DFFB6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00840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F0BF4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6C21D6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3FC0D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4D4186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858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DA95CB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585C55E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1477" w:type="dxa"/>
            <w:shd w:val="clear" w:color="auto" w:fill="auto"/>
            <w:vAlign w:val="center"/>
          </w:tcPr>
          <w:p w14:paraId="0D853C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172" w:type="dxa"/>
            <w:shd w:val="clear" w:color="auto" w:fill="auto"/>
            <w:vAlign w:val="bottom"/>
          </w:tcPr>
          <w:p w14:paraId="463AE9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239EA8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176D84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21208E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bottom"/>
          </w:tcPr>
          <w:p w14:paraId="18AC4C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561A6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012F55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3E0B4E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A0E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5136CC0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1881F25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1477" w:type="dxa"/>
            <w:shd w:val="clear" w:color="auto" w:fill="auto"/>
            <w:vAlign w:val="center"/>
          </w:tcPr>
          <w:p w14:paraId="6DF368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2CEA85B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48200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59360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66FDE7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1FEF1D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A6AFC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9345C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3FC636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248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170992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669" w:type="pct"/>
            <w:shd w:val="clear" w:color="auto" w:fill="auto"/>
            <w:vAlign w:val="center"/>
          </w:tcPr>
          <w:p w14:paraId="4835E7B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1477" w:type="dxa"/>
            <w:shd w:val="clear" w:color="auto" w:fill="auto"/>
            <w:vAlign w:val="center"/>
          </w:tcPr>
          <w:p w14:paraId="1EB0D3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center"/>
          </w:tcPr>
          <w:p w14:paraId="048305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6870A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ADB2F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695A4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5D9DD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0B668C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7CB55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75B1AC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87F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02EA21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669" w:type="pct"/>
            <w:shd w:val="clear" w:color="auto" w:fill="auto"/>
            <w:vAlign w:val="center"/>
          </w:tcPr>
          <w:p w14:paraId="54FF296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1477" w:type="dxa"/>
            <w:shd w:val="clear" w:color="auto" w:fill="auto"/>
            <w:vAlign w:val="center"/>
          </w:tcPr>
          <w:p w14:paraId="0EC7AD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14A840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20EB8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14D95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31251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B42CF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E3063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E5379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FC1B1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922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6127286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65991EB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1477" w:type="dxa"/>
            <w:shd w:val="clear" w:color="auto" w:fill="auto"/>
            <w:vAlign w:val="center"/>
          </w:tcPr>
          <w:p w14:paraId="1DDD28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28,424.81</w:t>
            </w:r>
          </w:p>
        </w:tc>
        <w:tc>
          <w:tcPr>
            <w:tcW w:w="1172" w:type="dxa"/>
            <w:shd w:val="clear" w:color="auto" w:fill="auto"/>
            <w:vAlign w:val="center"/>
          </w:tcPr>
          <w:p w14:paraId="40587E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D3E96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1E916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FECC2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F9C7C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1720F6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31F75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62AA36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8C7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467668D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669" w:type="pct"/>
            <w:shd w:val="clear" w:color="auto" w:fill="auto"/>
            <w:vAlign w:val="center"/>
          </w:tcPr>
          <w:p w14:paraId="0E899A1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1477" w:type="dxa"/>
            <w:shd w:val="clear" w:color="auto" w:fill="auto"/>
            <w:vAlign w:val="center"/>
          </w:tcPr>
          <w:p w14:paraId="483AC6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76,001.57</w:t>
            </w:r>
          </w:p>
        </w:tc>
        <w:tc>
          <w:tcPr>
            <w:tcW w:w="1172" w:type="dxa"/>
            <w:shd w:val="clear" w:color="auto" w:fill="auto"/>
            <w:vAlign w:val="center"/>
          </w:tcPr>
          <w:p w14:paraId="4B1FD0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10EAC8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6B5A77A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FFD11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23219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E9141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27CBD1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7C0575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594D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32" w:type="pct"/>
            <w:shd w:val="clear" w:color="auto" w:fill="auto"/>
            <w:vAlign w:val="center"/>
          </w:tcPr>
          <w:p w14:paraId="18A30D9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69" w:type="pct"/>
            <w:shd w:val="clear" w:color="auto" w:fill="auto"/>
            <w:vAlign w:val="center"/>
          </w:tcPr>
          <w:p w14:paraId="4A027D4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1477" w:type="dxa"/>
            <w:shd w:val="clear" w:color="auto" w:fill="auto"/>
            <w:vAlign w:val="center"/>
          </w:tcPr>
          <w:p w14:paraId="094D31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09DF94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37CCBF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6BD61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6F44F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143AD3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7B11F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63311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50032D8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0B91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4AC213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669" w:type="pct"/>
            <w:shd w:val="clear" w:color="auto" w:fill="auto"/>
            <w:vAlign w:val="center"/>
          </w:tcPr>
          <w:p w14:paraId="1D5D076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1477" w:type="dxa"/>
            <w:shd w:val="clear" w:color="auto" w:fill="auto"/>
            <w:vAlign w:val="center"/>
          </w:tcPr>
          <w:p w14:paraId="0482F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172" w:type="dxa"/>
            <w:shd w:val="clear" w:color="auto" w:fill="auto"/>
            <w:vAlign w:val="center"/>
          </w:tcPr>
          <w:p w14:paraId="6B894F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50AF0F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486040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034917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256CC4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F0A54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vAlign w:val="center"/>
          </w:tcPr>
          <w:p w14:paraId="1C3F8C2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vAlign w:val="center"/>
          </w:tcPr>
          <w:p w14:paraId="0423A1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313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26FC73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669" w:type="pct"/>
            <w:shd w:val="clear" w:color="auto" w:fill="auto"/>
            <w:vAlign w:val="center"/>
          </w:tcPr>
          <w:p w14:paraId="3436634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1477" w:type="dxa"/>
            <w:shd w:val="clear" w:color="auto" w:fill="auto"/>
            <w:vAlign w:val="center"/>
          </w:tcPr>
          <w:p w14:paraId="7FFF95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79469A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16DCE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3469A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1EF2C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6D02C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D34D49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D6B1DC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7AFD71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5447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32" w:type="pct"/>
            <w:shd w:val="clear" w:color="auto" w:fill="auto"/>
            <w:vAlign w:val="center"/>
          </w:tcPr>
          <w:p w14:paraId="50F1CEB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669" w:type="pct"/>
            <w:shd w:val="clear" w:color="auto" w:fill="auto"/>
            <w:vAlign w:val="center"/>
          </w:tcPr>
          <w:p w14:paraId="77B4E1D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1477" w:type="dxa"/>
            <w:shd w:val="clear" w:color="auto" w:fill="auto"/>
            <w:vAlign w:val="center"/>
          </w:tcPr>
          <w:p w14:paraId="3A080B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49,942.81</w:t>
            </w:r>
          </w:p>
        </w:tc>
        <w:tc>
          <w:tcPr>
            <w:tcW w:w="1172" w:type="dxa"/>
            <w:shd w:val="clear" w:color="auto" w:fill="auto"/>
            <w:vAlign w:val="center"/>
          </w:tcPr>
          <w:p w14:paraId="29D2A9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34263B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3C760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24FCBED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D3BE7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6D920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746654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0005FC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8DE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2" w:type="pct"/>
            <w:shd w:val="clear" w:color="auto" w:fill="auto"/>
            <w:vAlign w:val="center"/>
          </w:tcPr>
          <w:p w14:paraId="30A4BC8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669" w:type="pct"/>
            <w:shd w:val="clear" w:color="auto" w:fill="auto"/>
            <w:vAlign w:val="center"/>
          </w:tcPr>
          <w:p w14:paraId="4642E06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1477" w:type="dxa"/>
            <w:shd w:val="clear" w:color="auto" w:fill="auto"/>
            <w:vAlign w:val="center"/>
          </w:tcPr>
          <w:p w14:paraId="4CDD4A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25,310.50</w:t>
            </w:r>
          </w:p>
        </w:tc>
        <w:tc>
          <w:tcPr>
            <w:tcW w:w="1172" w:type="dxa"/>
            <w:shd w:val="clear" w:color="auto" w:fill="auto"/>
            <w:vAlign w:val="center"/>
          </w:tcPr>
          <w:p w14:paraId="2B3B13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50760B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74B2FE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629A14E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3612B1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5574F11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91357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316059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38CE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33D85C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669" w:type="pct"/>
            <w:shd w:val="clear" w:color="auto" w:fill="auto"/>
            <w:vAlign w:val="center"/>
          </w:tcPr>
          <w:p w14:paraId="6C51B5E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1477" w:type="dxa"/>
            <w:shd w:val="clear" w:color="auto" w:fill="auto"/>
            <w:vAlign w:val="center"/>
          </w:tcPr>
          <w:p w14:paraId="7E7B20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172" w:type="dxa"/>
            <w:shd w:val="clear" w:color="auto" w:fill="auto"/>
            <w:vAlign w:val="center"/>
          </w:tcPr>
          <w:p w14:paraId="44EB58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D2D99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79A97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50D581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474BA2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0EBE22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center"/>
          </w:tcPr>
          <w:p w14:paraId="622497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vAlign w:val="center"/>
          </w:tcPr>
          <w:p w14:paraId="27952E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4AC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0A7BBB8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669" w:type="pct"/>
            <w:shd w:val="clear" w:color="auto" w:fill="auto"/>
            <w:vAlign w:val="center"/>
          </w:tcPr>
          <w:p w14:paraId="125C361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1477" w:type="dxa"/>
            <w:shd w:val="clear" w:color="auto" w:fill="auto"/>
            <w:vAlign w:val="center"/>
          </w:tcPr>
          <w:p w14:paraId="1E8DCC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172" w:type="dxa"/>
            <w:shd w:val="clear" w:color="auto" w:fill="auto"/>
            <w:vAlign w:val="bottom"/>
          </w:tcPr>
          <w:p w14:paraId="6C1F34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180527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6D45C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DFC81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992C8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7BECA1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3" w:type="dxa"/>
            <w:shd w:val="clear" w:color="auto" w:fill="auto"/>
            <w:noWrap/>
            <w:vAlign w:val="bottom"/>
          </w:tcPr>
          <w:p w14:paraId="591AEB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74" w:type="dxa"/>
            <w:shd w:val="clear" w:color="auto" w:fill="auto"/>
            <w:noWrap/>
            <w:vAlign w:val="bottom"/>
          </w:tcPr>
          <w:p w14:paraId="6B3232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9A3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974FDC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669" w:type="pct"/>
            <w:shd w:val="clear" w:color="auto" w:fill="auto"/>
            <w:vAlign w:val="center"/>
          </w:tcPr>
          <w:p w14:paraId="5E75F2A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1477" w:type="dxa"/>
            <w:shd w:val="clear" w:color="auto" w:fill="auto"/>
            <w:vAlign w:val="center"/>
          </w:tcPr>
          <w:p w14:paraId="1B266C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7,970.00</w:t>
            </w:r>
          </w:p>
        </w:tc>
        <w:tc>
          <w:tcPr>
            <w:tcW w:w="1172" w:type="dxa"/>
            <w:shd w:val="clear" w:color="auto" w:fill="auto"/>
            <w:vAlign w:val="bottom"/>
          </w:tcPr>
          <w:p w14:paraId="15E417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2D2EA2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7D452A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7819F5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3C9CEB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0D8763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noWrap/>
            <w:vAlign w:val="bottom"/>
          </w:tcPr>
          <w:p w14:paraId="2FB5CE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noWrap/>
            <w:vAlign w:val="bottom"/>
          </w:tcPr>
          <w:p w14:paraId="45D2F2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258D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2" w:type="pct"/>
            <w:shd w:val="clear" w:color="auto" w:fill="auto"/>
            <w:vAlign w:val="center"/>
          </w:tcPr>
          <w:p w14:paraId="0E2FDFA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669" w:type="pct"/>
            <w:shd w:val="clear" w:color="auto" w:fill="auto"/>
            <w:vAlign w:val="center"/>
          </w:tcPr>
          <w:p w14:paraId="62996D9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1477" w:type="dxa"/>
            <w:shd w:val="clear" w:color="auto" w:fill="auto"/>
            <w:vAlign w:val="center"/>
          </w:tcPr>
          <w:p w14:paraId="32E42C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bottom"/>
          </w:tcPr>
          <w:p w14:paraId="7AC613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bottom"/>
          </w:tcPr>
          <w:p w14:paraId="4938CA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bottom"/>
          </w:tcPr>
          <w:p w14:paraId="66FE3B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bottom"/>
          </w:tcPr>
          <w:p w14:paraId="495E8FA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vAlign w:val="bottom"/>
          </w:tcPr>
          <w:p w14:paraId="04F75C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263922A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298ECE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noWrap/>
            <w:vAlign w:val="bottom"/>
          </w:tcPr>
          <w:p w14:paraId="2A54A2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2D7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2" w:type="pct"/>
            <w:shd w:val="clear" w:color="auto" w:fill="auto"/>
            <w:vAlign w:val="center"/>
          </w:tcPr>
          <w:p w14:paraId="5A2F18C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669" w:type="pct"/>
            <w:shd w:val="clear" w:color="auto" w:fill="auto"/>
            <w:vAlign w:val="center"/>
          </w:tcPr>
          <w:p w14:paraId="01098AB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1477" w:type="dxa"/>
            <w:shd w:val="clear" w:color="auto" w:fill="auto"/>
            <w:vAlign w:val="center"/>
          </w:tcPr>
          <w:p w14:paraId="059C99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bottom"/>
          </w:tcPr>
          <w:p w14:paraId="1819A5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729822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76AAD88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581796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6C075D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6FDD6F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3" w:type="dxa"/>
            <w:shd w:val="clear" w:color="auto" w:fill="auto"/>
            <w:noWrap/>
            <w:vAlign w:val="bottom"/>
          </w:tcPr>
          <w:p w14:paraId="38A433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74" w:type="dxa"/>
            <w:shd w:val="clear" w:color="auto" w:fill="auto"/>
            <w:noWrap/>
            <w:vAlign w:val="bottom"/>
          </w:tcPr>
          <w:p w14:paraId="792DE17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27E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3265151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669" w:type="pct"/>
            <w:shd w:val="clear" w:color="auto" w:fill="auto"/>
            <w:vAlign w:val="center"/>
          </w:tcPr>
          <w:p w14:paraId="68AA0BA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1477" w:type="dxa"/>
            <w:shd w:val="clear" w:color="auto" w:fill="auto"/>
            <w:vAlign w:val="center"/>
          </w:tcPr>
          <w:p w14:paraId="6D7572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c>
          <w:tcPr>
            <w:tcW w:w="1172" w:type="dxa"/>
            <w:shd w:val="clear" w:color="auto" w:fill="auto"/>
            <w:vAlign w:val="center"/>
          </w:tcPr>
          <w:p w14:paraId="78EFFA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06083D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4595BF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329027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5B52A9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390991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3" w:type="dxa"/>
            <w:shd w:val="clear" w:color="auto" w:fill="auto"/>
            <w:vAlign w:val="center"/>
          </w:tcPr>
          <w:p w14:paraId="190604C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74" w:type="dxa"/>
            <w:shd w:val="clear" w:color="auto" w:fill="auto"/>
            <w:vAlign w:val="center"/>
          </w:tcPr>
          <w:p w14:paraId="72A112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1372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1ED7D5E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669" w:type="pct"/>
            <w:shd w:val="clear" w:color="auto" w:fill="auto"/>
            <w:vAlign w:val="center"/>
          </w:tcPr>
          <w:p w14:paraId="7D3375D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1477" w:type="dxa"/>
            <w:shd w:val="clear" w:color="auto" w:fill="auto"/>
            <w:vAlign w:val="center"/>
          </w:tcPr>
          <w:p w14:paraId="132595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6622F0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15,168.36</w:t>
            </w:r>
          </w:p>
        </w:tc>
        <w:tc>
          <w:tcPr>
            <w:tcW w:w="1273" w:type="dxa"/>
            <w:shd w:val="clear" w:color="auto" w:fill="auto"/>
            <w:vAlign w:val="center"/>
          </w:tcPr>
          <w:p w14:paraId="2F8622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14,991.36</w:t>
            </w:r>
          </w:p>
        </w:tc>
        <w:tc>
          <w:tcPr>
            <w:tcW w:w="1273" w:type="dxa"/>
            <w:shd w:val="clear" w:color="auto" w:fill="auto"/>
            <w:vAlign w:val="center"/>
          </w:tcPr>
          <w:p w14:paraId="2A4BA3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14,814.36</w:t>
            </w:r>
          </w:p>
        </w:tc>
        <w:tc>
          <w:tcPr>
            <w:tcW w:w="1273" w:type="dxa"/>
            <w:shd w:val="clear" w:color="auto" w:fill="auto"/>
            <w:vAlign w:val="center"/>
          </w:tcPr>
          <w:p w14:paraId="4D7E88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14,637.36</w:t>
            </w:r>
          </w:p>
        </w:tc>
        <w:tc>
          <w:tcPr>
            <w:tcW w:w="1273" w:type="dxa"/>
            <w:shd w:val="clear" w:color="auto" w:fill="auto"/>
            <w:vAlign w:val="center"/>
          </w:tcPr>
          <w:p w14:paraId="0BA932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14,460.36</w:t>
            </w:r>
          </w:p>
        </w:tc>
        <w:tc>
          <w:tcPr>
            <w:tcW w:w="1273" w:type="dxa"/>
            <w:shd w:val="clear" w:color="auto" w:fill="auto"/>
            <w:vAlign w:val="center"/>
          </w:tcPr>
          <w:p w14:paraId="392411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14,283.36</w:t>
            </w:r>
          </w:p>
        </w:tc>
        <w:tc>
          <w:tcPr>
            <w:tcW w:w="1273" w:type="dxa"/>
            <w:shd w:val="clear" w:color="auto" w:fill="auto"/>
            <w:vAlign w:val="center"/>
          </w:tcPr>
          <w:p w14:paraId="06C306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14,106.36</w:t>
            </w:r>
          </w:p>
        </w:tc>
        <w:tc>
          <w:tcPr>
            <w:tcW w:w="1274" w:type="dxa"/>
            <w:shd w:val="clear" w:color="auto" w:fill="auto"/>
            <w:vAlign w:val="center"/>
          </w:tcPr>
          <w:p w14:paraId="724568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13,929.36</w:t>
            </w:r>
          </w:p>
        </w:tc>
      </w:tr>
      <w:tr w14:paraId="261C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2" w:type="pct"/>
            <w:shd w:val="clear" w:color="auto" w:fill="auto"/>
            <w:vAlign w:val="center"/>
          </w:tcPr>
          <w:p w14:paraId="7157697B">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669" w:type="pct"/>
            <w:shd w:val="clear" w:color="auto" w:fill="auto"/>
            <w:vAlign w:val="center"/>
          </w:tcPr>
          <w:p w14:paraId="007E72A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1477" w:type="dxa"/>
            <w:shd w:val="clear" w:color="auto" w:fill="auto"/>
            <w:vAlign w:val="center"/>
          </w:tcPr>
          <w:p w14:paraId="618D60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2" w:type="dxa"/>
            <w:shd w:val="clear" w:color="auto" w:fill="auto"/>
            <w:vAlign w:val="center"/>
          </w:tcPr>
          <w:p w14:paraId="5DABE9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14,991.36</w:t>
            </w:r>
          </w:p>
        </w:tc>
        <w:tc>
          <w:tcPr>
            <w:tcW w:w="1273" w:type="dxa"/>
            <w:shd w:val="clear" w:color="auto" w:fill="auto"/>
            <w:vAlign w:val="center"/>
          </w:tcPr>
          <w:p w14:paraId="108FBD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14,814.36</w:t>
            </w:r>
          </w:p>
        </w:tc>
        <w:tc>
          <w:tcPr>
            <w:tcW w:w="1273" w:type="dxa"/>
            <w:shd w:val="clear" w:color="auto" w:fill="auto"/>
            <w:vAlign w:val="center"/>
          </w:tcPr>
          <w:p w14:paraId="631BAF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14,637.36</w:t>
            </w:r>
          </w:p>
        </w:tc>
        <w:tc>
          <w:tcPr>
            <w:tcW w:w="1273" w:type="dxa"/>
            <w:shd w:val="clear" w:color="auto" w:fill="auto"/>
            <w:vAlign w:val="center"/>
          </w:tcPr>
          <w:p w14:paraId="4A9273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14,460.36</w:t>
            </w:r>
          </w:p>
        </w:tc>
        <w:tc>
          <w:tcPr>
            <w:tcW w:w="1273" w:type="dxa"/>
            <w:shd w:val="clear" w:color="auto" w:fill="auto"/>
            <w:vAlign w:val="center"/>
          </w:tcPr>
          <w:p w14:paraId="0808C5A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14,283.36</w:t>
            </w:r>
          </w:p>
        </w:tc>
        <w:tc>
          <w:tcPr>
            <w:tcW w:w="1273" w:type="dxa"/>
            <w:shd w:val="clear" w:color="auto" w:fill="auto"/>
            <w:vAlign w:val="center"/>
          </w:tcPr>
          <w:p w14:paraId="5697A2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14,106.36</w:t>
            </w:r>
          </w:p>
        </w:tc>
        <w:tc>
          <w:tcPr>
            <w:tcW w:w="1273" w:type="dxa"/>
            <w:shd w:val="clear" w:color="auto" w:fill="auto"/>
            <w:vAlign w:val="center"/>
          </w:tcPr>
          <w:p w14:paraId="1A28FB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13,929.36</w:t>
            </w:r>
          </w:p>
        </w:tc>
        <w:tc>
          <w:tcPr>
            <w:tcW w:w="1274" w:type="dxa"/>
            <w:shd w:val="clear" w:color="auto" w:fill="auto"/>
            <w:vAlign w:val="center"/>
          </w:tcPr>
          <w:p w14:paraId="3A06AF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13,752.36</w:t>
            </w:r>
          </w:p>
        </w:tc>
      </w:tr>
    </w:tbl>
    <w:p w14:paraId="039EA9C9">
      <w:pPr>
        <w:pStyle w:val="19"/>
        <w:spacing w:before="0" w:beforeAutospacing="0" w:after="0" w:afterAutospacing="0" w:line="360" w:lineRule="exact"/>
        <w:ind w:right="-510" w:rightChars="-243"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1680"/>
        <w:gridCol w:w="1302"/>
        <w:gridCol w:w="1026"/>
        <w:gridCol w:w="586"/>
        <w:gridCol w:w="578"/>
        <w:gridCol w:w="1190"/>
        <w:gridCol w:w="1196"/>
        <w:gridCol w:w="1196"/>
        <w:gridCol w:w="1199"/>
        <w:gridCol w:w="1196"/>
        <w:gridCol w:w="1221"/>
        <w:gridCol w:w="1179"/>
      </w:tblGrid>
      <w:tr w14:paraId="021E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195" w:type="pct"/>
            <w:shd w:val="clear" w:color="auto" w:fill="auto"/>
            <w:vAlign w:val="center"/>
          </w:tcPr>
          <w:p w14:paraId="7D4C068B">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596" w:type="pct"/>
            <w:shd w:val="clear" w:color="auto" w:fill="auto"/>
            <w:vAlign w:val="center"/>
          </w:tcPr>
          <w:p w14:paraId="2E6F92D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462" w:type="pct"/>
            <w:shd w:val="clear" w:color="auto" w:fill="auto"/>
            <w:vAlign w:val="center"/>
          </w:tcPr>
          <w:p w14:paraId="3D01997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363" w:type="pct"/>
            <w:shd w:val="clear" w:color="auto" w:fill="auto"/>
            <w:vAlign w:val="center"/>
          </w:tcPr>
          <w:p w14:paraId="6AACE60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2046年</w:t>
            </w:r>
          </w:p>
        </w:tc>
        <w:tc>
          <w:tcPr>
            <w:tcW w:w="413" w:type="pct"/>
            <w:gridSpan w:val="2"/>
            <w:shd w:val="clear" w:color="auto" w:fill="auto"/>
            <w:vAlign w:val="center"/>
          </w:tcPr>
          <w:p w14:paraId="31B14BB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2047年</w:t>
            </w:r>
          </w:p>
        </w:tc>
        <w:tc>
          <w:tcPr>
            <w:tcW w:w="422" w:type="pct"/>
            <w:shd w:val="clear" w:color="auto" w:fill="auto"/>
            <w:vAlign w:val="center"/>
          </w:tcPr>
          <w:p w14:paraId="57F35F9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2048年</w:t>
            </w:r>
          </w:p>
        </w:tc>
        <w:tc>
          <w:tcPr>
            <w:tcW w:w="424" w:type="pct"/>
            <w:shd w:val="clear" w:color="auto" w:fill="auto"/>
            <w:vAlign w:val="center"/>
          </w:tcPr>
          <w:p w14:paraId="0761473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2049年</w:t>
            </w:r>
          </w:p>
        </w:tc>
        <w:tc>
          <w:tcPr>
            <w:tcW w:w="424" w:type="pct"/>
            <w:shd w:val="clear" w:color="auto" w:fill="auto"/>
            <w:vAlign w:val="center"/>
          </w:tcPr>
          <w:p w14:paraId="3F9CFEC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2050年</w:t>
            </w:r>
          </w:p>
        </w:tc>
        <w:tc>
          <w:tcPr>
            <w:tcW w:w="425" w:type="pct"/>
            <w:shd w:val="clear" w:color="auto" w:fill="auto"/>
            <w:vAlign w:val="center"/>
          </w:tcPr>
          <w:p w14:paraId="35ED84C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2051年</w:t>
            </w:r>
          </w:p>
        </w:tc>
        <w:tc>
          <w:tcPr>
            <w:tcW w:w="424" w:type="pct"/>
            <w:shd w:val="clear" w:color="auto" w:fill="auto"/>
            <w:vAlign w:val="center"/>
          </w:tcPr>
          <w:p w14:paraId="6B733A1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2052年</w:t>
            </w:r>
          </w:p>
        </w:tc>
        <w:tc>
          <w:tcPr>
            <w:tcW w:w="433" w:type="pct"/>
            <w:shd w:val="clear" w:color="auto" w:fill="auto"/>
            <w:vAlign w:val="center"/>
          </w:tcPr>
          <w:p w14:paraId="57B52F3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2053年</w:t>
            </w:r>
          </w:p>
        </w:tc>
        <w:tc>
          <w:tcPr>
            <w:tcW w:w="416" w:type="pct"/>
            <w:shd w:val="clear" w:color="auto" w:fill="auto"/>
            <w:vAlign w:val="center"/>
          </w:tcPr>
          <w:p w14:paraId="603F519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2054年</w:t>
            </w:r>
          </w:p>
        </w:tc>
      </w:tr>
      <w:tr w14:paraId="5FB5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379D26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596" w:type="pct"/>
            <w:shd w:val="clear" w:color="auto" w:fill="auto"/>
            <w:vAlign w:val="center"/>
          </w:tcPr>
          <w:p w14:paraId="3BBECC4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1302" w:type="dxa"/>
            <w:shd w:val="clear" w:color="auto" w:fill="auto"/>
            <w:vAlign w:val="center"/>
          </w:tcPr>
          <w:p w14:paraId="02EA67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88,337.93</w:t>
            </w:r>
          </w:p>
        </w:tc>
        <w:tc>
          <w:tcPr>
            <w:tcW w:w="1026" w:type="dxa"/>
            <w:shd w:val="clear" w:color="auto" w:fill="auto"/>
            <w:vAlign w:val="center"/>
          </w:tcPr>
          <w:p w14:paraId="7859AD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vAlign w:val="center"/>
          </w:tcPr>
          <w:p w14:paraId="712549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vAlign w:val="center"/>
          </w:tcPr>
          <w:p w14:paraId="7D9A7A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51955F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06A055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vAlign w:val="center"/>
          </w:tcPr>
          <w:p w14:paraId="7B3438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575356E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vAlign w:val="center"/>
          </w:tcPr>
          <w:p w14:paraId="3B7BAE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9" w:type="dxa"/>
            <w:shd w:val="clear" w:color="auto" w:fill="auto"/>
            <w:vAlign w:val="center"/>
          </w:tcPr>
          <w:p w14:paraId="0D33B6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5F4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5962564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652ADEE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1302" w:type="dxa"/>
            <w:shd w:val="clear" w:color="auto" w:fill="auto"/>
            <w:vAlign w:val="center"/>
          </w:tcPr>
          <w:p w14:paraId="6E38DB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026" w:type="dxa"/>
            <w:shd w:val="clear" w:color="auto" w:fill="auto"/>
            <w:vAlign w:val="center"/>
          </w:tcPr>
          <w:p w14:paraId="77A8D2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vAlign w:val="center"/>
          </w:tcPr>
          <w:p w14:paraId="47E363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vAlign w:val="center"/>
          </w:tcPr>
          <w:p w14:paraId="26B0A0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7915AD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6AA724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vAlign w:val="center"/>
          </w:tcPr>
          <w:p w14:paraId="15693A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2EC157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vAlign w:val="center"/>
          </w:tcPr>
          <w:p w14:paraId="4CCAEB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9" w:type="dxa"/>
            <w:shd w:val="clear" w:color="auto" w:fill="auto"/>
            <w:vAlign w:val="center"/>
          </w:tcPr>
          <w:p w14:paraId="772BB4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380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469A776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50E74A8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1302" w:type="dxa"/>
            <w:shd w:val="clear" w:color="auto" w:fill="auto"/>
            <w:vAlign w:val="center"/>
          </w:tcPr>
          <w:p w14:paraId="6455CA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3E5E5C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3D3B6B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598243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5F7470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7AE04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7A8719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43E651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515C25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402ABF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C0E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762BEC6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1E1C4B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1302" w:type="dxa"/>
            <w:shd w:val="clear" w:color="auto" w:fill="auto"/>
            <w:vAlign w:val="center"/>
          </w:tcPr>
          <w:p w14:paraId="0C5D0F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37,413.12</w:t>
            </w:r>
          </w:p>
        </w:tc>
        <w:tc>
          <w:tcPr>
            <w:tcW w:w="1026" w:type="dxa"/>
            <w:shd w:val="clear" w:color="auto" w:fill="auto"/>
            <w:vAlign w:val="bottom"/>
          </w:tcPr>
          <w:p w14:paraId="0B7D2C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vAlign w:val="bottom"/>
          </w:tcPr>
          <w:p w14:paraId="3695B6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vAlign w:val="bottom"/>
          </w:tcPr>
          <w:p w14:paraId="109E9B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bottom"/>
          </w:tcPr>
          <w:p w14:paraId="1925FD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bottom"/>
          </w:tcPr>
          <w:p w14:paraId="4EE9FC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noWrap/>
            <w:vAlign w:val="bottom"/>
          </w:tcPr>
          <w:p w14:paraId="00E0DD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noWrap/>
            <w:vAlign w:val="bottom"/>
          </w:tcPr>
          <w:p w14:paraId="716C05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noWrap/>
            <w:vAlign w:val="bottom"/>
          </w:tcPr>
          <w:p w14:paraId="7238D7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9" w:type="dxa"/>
            <w:shd w:val="clear" w:color="auto" w:fill="auto"/>
            <w:noWrap/>
            <w:vAlign w:val="bottom"/>
          </w:tcPr>
          <w:p w14:paraId="1DD9BD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6669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1EEF0AA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00E5E06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1302" w:type="dxa"/>
            <w:shd w:val="clear" w:color="auto" w:fill="auto"/>
            <w:vAlign w:val="center"/>
          </w:tcPr>
          <w:p w14:paraId="3A102E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026" w:type="dxa"/>
            <w:shd w:val="clear" w:color="auto" w:fill="auto"/>
            <w:vAlign w:val="center"/>
          </w:tcPr>
          <w:p w14:paraId="79723E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6E1651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4431F3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69DDB3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7D5407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5AFD51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25E1EB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2E27AB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6C2827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8C4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64AE65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596" w:type="pct"/>
            <w:shd w:val="clear" w:color="auto" w:fill="auto"/>
            <w:vAlign w:val="center"/>
          </w:tcPr>
          <w:p w14:paraId="2994E41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1302" w:type="dxa"/>
            <w:shd w:val="clear" w:color="auto" w:fill="auto"/>
            <w:vAlign w:val="center"/>
          </w:tcPr>
          <w:p w14:paraId="5E945E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026" w:type="dxa"/>
            <w:shd w:val="clear" w:color="auto" w:fill="auto"/>
            <w:vAlign w:val="center"/>
          </w:tcPr>
          <w:p w14:paraId="44D9A39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2146CD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79CE37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C421F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2F727A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5A7230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73728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2A80ED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18EAAC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470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4993806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596" w:type="pct"/>
            <w:shd w:val="clear" w:color="auto" w:fill="auto"/>
            <w:vAlign w:val="center"/>
          </w:tcPr>
          <w:p w14:paraId="06991A9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1302" w:type="dxa"/>
            <w:shd w:val="clear" w:color="auto" w:fill="auto"/>
            <w:vAlign w:val="center"/>
          </w:tcPr>
          <w:p w14:paraId="471229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2BEB50B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7E7DE6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6954E6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7619C3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7239F1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3F76E3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46B42A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1D3D88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7948CA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1A8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13749A5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0CE8061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1302" w:type="dxa"/>
            <w:shd w:val="clear" w:color="auto" w:fill="auto"/>
            <w:vAlign w:val="center"/>
          </w:tcPr>
          <w:p w14:paraId="24027F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28,424.81</w:t>
            </w:r>
          </w:p>
        </w:tc>
        <w:tc>
          <w:tcPr>
            <w:tcW w:w="1026" w:type="dxa"/>
            <w:shd w:val="clear" w:color="auto" w:fill="auto"/>
            <w:vAlign w:val="center"/>
          </w:tcPr>
          <w:p w14:paraId="23C608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2C57A5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586CDB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4061AA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648AC6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6F4B87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48FB25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746C18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1A76E1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20E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48A7BAB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596" w:type="pct"/>
            <w:shd w:val="clear" w:color="auto" w:fill="auto"/>
            <w:vAlign w:val="center"/>
          </w:tcPr>
          <w:p w14:paraId="19C1C18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1302" w:type="dxa"/>
            <w:shd w:val="clear" w:color="auto" w:fill="auto"/>
            <w:vAlign w:val="center"/>
          </w:tcPr>
          <w:p w14:paraId="16BFC9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76,001.57</w:t>
            </w:r>
          </w:p>
        </w:tc>
        <w:tc>
          <w:tcPr>
            <w:tcW w:w="1026" w:type="dxa"/>
            <w:shd w:val="clear" w:color="auto" w:fill="auto"/>
            <w:vAlign w:val="center"/>
          </w:tcPr>
          <w:p w14:paraId="1BD022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63" w:type="dxa"/>
            <w:gridSpan w:val="2"/>
            <w:shd w:val="clear" w:color="auto" w:fill="auto"/>
            <w:vAlign w:val="center"/>
          </w:tcPr>
          <w:p w14:paraId="6F26E1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0" w:type="dxa"/>
            <w:shd w:val="clear" w:color="auto" w:fill="auto"/>
            <w:vAlign w:val="center"/>
          </w:tcPr>
          <w:p w14:paraId="6317631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6F981C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4489B0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9" w:type="dxa"/>
            <w:shd w:val="clear" w:color="auto" w:fill="auto"/>
            <w:vAlign w:val="center"/>
          </w:tcPr>
          <w:p w14:paraId="3B4244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59DF6AA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21" w:type="dxa"/>
            <w:shd w:val="clear" w:color="auto" w:fill="auto"/>
            <w:vAlign w:val="center"/>
          </w:tcPr>
          <w:p w14:paraId="1B4BE5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79" w:type="dxa"/>
            <w:shd w:val="clear" w:color="auto" w:fill="auto"/>
            <w:vAlign w:val="center"/>
          </w:tcPr>
          <w:p w14:paraId="7A52C1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BD6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63B64B8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74ADB31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1302" w:type="dxa"/>
            <w:shd w:val="clear" w:color="auto" w:fill="auto"/>
            <w:vAlign w:val="center"/>
          </w:tcPr>
          <w:p w14:paraId="2F343C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026" w:type="dxa"/>
            <w:shd w:val="clear" w:color="auto" w:fill="auto"/>
            <w:vAlign w:val="center"/>
          </w:tcPr>
          <w:p w14:paraId="5A9C36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vAlign w:val="center"/>
          </w:tcPr>
          <w:p w14:paraId="6128C1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vAlign w:val="center"/>
          </w:tcPr>
          <w:p w14:paraId="254B23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0D7156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401F6C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vAlign w:val="center"/>
          </w:tcPr>
          <w:p w14:paraId="2B5E65E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078276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vAlign w:val="center"/>
          </w:tcPr>
          <w:p w14:paraId="23B466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9" w:type="dxa"/>
            <w:shd w:val="clear" w:color="auto" w:fill="auto"/>
            <w:vAlign w:val="center"/>
          </w:tcPr>
          <w:p w14:paraId="32BD45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814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91C5DA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38AC37B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1302" w:type="dxa"/>
            <w:shd w:val="clear" w:color="auto" w:fill="auto"/>
            <w:vAlign w:val="center"/>
          </w:tcPr>
          <w:p w14:paraId="59A112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748.26</w:t>
            </w:r>
          </w:p>
        </w:tc>
        <w:tc>
          <w:tcPr>
            <w:tcW w:w="1026" w:type="dxa"/>
            <w:shd w:val="clear" w:color="auto" w:fill="auto"/>
            <w:vAlign w:val="center"/>
          </w:tcPr>
          <w:p w14:paraId="7BB814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vAlign w:val="center"/>
          </w:tcPr>
          <w:p w14:paraId="2181A3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vAlign w:val="center"/>
          </w:tcPr>
          <w:p w14:paraId="1B1BC1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01E700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7C9D39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vAlign w:val="center"/>
          </w:tcPr>
          <w:p w14:paraId="67D778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vAlign w:val="center"/>
          </w:tcPr>
          <w:p w14:paraId="2D24AB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vAlign w:val="center"/>
          </w:tcPr>
          <w:p w14:paraId="573941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29A76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A31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A4771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5CC5895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1302" w:type="dxa"/>
            <w:shd w:val="clear" w:color="auto" w:fill="auto"/>
            <w:vAlign w:val="center"/>
          </w:tcPr>
          <w:p w14:paraId="7AC91D4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61B31B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658C96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142A1E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5E8C90B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643501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21196F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7C7BAA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6B9205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60B908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270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0ABAE6C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34B9EB4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1302" w:type="dxa"/>
            <w:shd w:val="clear" w:color="auto" w:fill="auto"/>
            <w:vAlign w:val="center"/>
          </w:tcPr>
          <w:p w14:paraId="4E3CEA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49,942.81</w:t>
            </w:r>
          </w:p>
        </w:tc>
        <w:tc>
          <w:tcPr>
            <w:tcW w:w="1026" w:type="dxa"/>
            <w:shd w:val="clear" w:color="auto" w:fill="auto"/>
            <w:vAlign w:val="center"/>
          </w:tcPr>
          <w:p w14:paraId="3B1A95E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2AE394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356A7C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69AF0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7B5D9A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54D5AF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6951B5B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7D7A899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4930E8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4DD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4098DAF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57F0353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1302" w:type="dxa"/>
            <w:shd w:val="clear" w:color="auto" w:fill="auto"/>
            <w:vAlign w:val="center"/>
          </w:tcPr>
          <w:p w14:paraId="565FC63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25,310.50</w:t>
            </w:r>
          </w:p>
        </w:tc>
        <w:tc>
          <w:tcPr>
            <w:tcW w:w="1026" w:type="dxa"/>
            <w:shd w:val="clear" w:color="auto" w:fill="auto"/>
            <w:vAlign w:val="center"/>
          </w:tcPr>
          <w:p w14:paraId="414ED1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63" w:type="dxa"/>
            <w:gridSpan w:val="2"/>
            <w:shd w:val="clear" w:color="auto" w:fill="auto"/>
            <w:vAlign w:val="center"/>
          </w:tcPr>
          <w:p w14:paraId="2587DA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0" w:type="dxa"/>
            <w:shd w:val="clear" w:color="auto" w:fill="auto"/>
            <w:vAlign w:val="center"/>
          </w:tcPr>
          <w:p w14:paraId="6E4EEC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47ADED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34A302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9" w:type="dxa"/>
            <w:shd w:val="clear" w:color="auto" w:fill="auto"/>
            <w:vAlign w:val="center"/>
          </w:tcPr>
          <w:p w14:paraId="17D773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30B416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21" w:type="dxa"/>
            <w:shd w:val="clear" w:color="auto" w:fill="auto"/>
            <w:vAlign w:val="center"/>
          </w:tcPr>
          <w:p w14:paraId="1B77CB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79" w:type="dxa"/>
            <w:shd w:val="clear" w:color="auto" w:fill="auto"/>
            <w:vAlign w:val="center"/>
          </w:tcPr>
          <w:p w14:paraId="4880E68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AE6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5527B02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596" w:type="pct"/>
            <w:shd w:val="clear" w:color="auto" w:fill="auto"/>
            <w:vAlign w:val="center"/>
          </w:tcPr>
          <w:p w14:paraId="479E4B9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1302" w:type="dxa"/>
            <w:shd w:val="clear" w:color="auto" w:fill="auto"/>
            <w:vAlign w:val="center"/>
          </w:tcPr>
          <w:p w14:paraId="555E580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17.50</w:t>
            </w:r>
          </w:p>
        </w:tc>
        <w:tc>
          <w:tcPr>
            <w:tcW w:w="1026" w:type="dxa"/>
            <w:shd w:val="clear" w:color="auto" w:fill="auto"/>
            <w:vAlign w:val="center"/>
          </w:tcPr>
          <w:p w14:paraId="62A197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center"/>
          </w:tcPr>
          <w:p w14:paraId="4A311C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center"/>
          </w:tcPr>
          <w:p w14:paraId="78F328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5206C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25D4DE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vAlign w:val="center"/>
          </w:tcPr>
          <w:p w14:paraId="1C324A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center"/>
          </w:tcPr>
          <w:p w14:paraId="06486B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vAlign w:val="center"/>
          </w:tcPr>
          <w:p w14:paraId="4B8201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vAlign w:val="center"/>
          </w:tcPr>
          <w:p w14:paraId="452D9B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166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5F91C3B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596" w:type="pct"/>
            <w:shd w:val="clear" w:color="auto" w:fill="auto"/>
            <w:vAlign w:val="center"/>
          </w:tcPr>
          <w:p w14:paraId="79017CA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1302" w:type="dxa"/>
            <w:shd w:val="clear" w:color="auto" w:fill="auto"/>
            <w:vAlign w:val="center"/>
          </w:tcPr>
          <w:p w14:paraId="0F359D3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22,500.00</w:t>
            </w:r>
          </w:p>
        </w:tc>
        <w:tc>
          <w:tcPr>
            <w:tcW w:w="1026" w:type="dxa"/>
            <w:shd w:val="clear" w:color="auto" w:fill="auto"/>
            <w:vAlign w:val="bottom"/>
          </w:tcPr>
          <w:p w14:paraId="5E900D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63" w:type="dxa"/>
            <w:gridSpan w:val="2"/>
            <w:shd w:val="clear" w:color="auto" w:fill="auto"/>
            <w:noWrap/>
            <w:vAlign w:val="bottom"/>
          </w:tcPr>
          <w:p w14:paraId="6D3689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0" w:type="dxa"/>
            <w:shd w:val="clear" w:color="auto" w:fill="auto"/>
            <w:noWrap/>
            <w:vAlign w:val="bottom"/>
          </w:tcPr>
          <w:p w14:paraId="2611DD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noWrap/>
            <w:vAlign w:val="bottom"/>
          </w:tcPr>
          <w:p w14:paraId="7F05F4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noWrap/>
            <w:vAlign w:val="bottom"/>
          </w:tcPr>
          <w:p w14:paraId="04C412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9" w:type="dxa"/>
            <w:shd w:val="clear" w:color="auto" w:fill="auto"/>
            <w:noWrap/>
            <w:vAlign w:val="bottom"/>
          </w:tcPr>
          <w:p w14:paraId="77EC4A4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96" w:type="dxa"/>
            <w:shd w:val="clear" w:color="auto" w:fill="auto"/>
            <w:noWrap/>
            <w:vAlign w:val="bottom"/>
          </w:tcPr>
          <w:p w14:paraId="584697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221" w:type="dxa"/>
            <w:shd w:val="clear" w:color="auto" w:fill="auto"/>
            <w:noWrap/>
            <w:vAlign w:val="bottom"/>
          </w:tcPr>
          <w:p w14:paraId="0A97BE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79" w:type="dxa"/>
            <w:shd w:val="clear" w:color="auto" w:fill="auto"/>
            <w:noWrap/>
            <w:vAlign w:val="bottom"/>
          </w:tcPr>
          <w:p w14:paraId="78F1F0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5,000.00</w:t>
            </w:r>
          </w:p>
        </w:tc>
      </w:tr>
      <w:tr w14:paraId="14A9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589AF3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596" w:type="pct"/>
            <w:shd w:val="clear" w:color="auto" w:fill="auto"/>
            <w:vAlign w:val="center"/>
          </w:tcPr>
          <w:p w14:paraId="5E8024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1302" w:type="dxa"/>
            <w:shd w:val="clear" w:color="auto" w:fill="auto"/>
            <w:vAlign w:val="center"/>
          </w:tcPr>
          <w:p w14:paraId="45350C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7,970.00</w:t>
            </w:r>
          </w:p>
        </w:tc>
        <w:tc>
          <w:tcPr>
            <w:tcW w:w="1026" w:type="dxa"/>
            <w:shd w:val="clear" w:color="auto" w:fill="auto"/>
            <w:vAlign w:val="bottom"/>
          </w:tcPr>
          <w:p w14:paraId="4B2737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63" w:type="dxa"/>
            <w:gridSpan w:val="2"/>
            <w:shd w:val="clear" w:color="auto" w:fill="auto"/>
            <w:noWrap/>
            <w:vAlign w:val="bottom"/>
          </w:tcPr>
          <w:p w14:paraId="0BE9A1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0" w:type="dxa"/>
            <w:shd w:val="clear" w:color="auto" w:fill="auto"/>
            <w:noWrap/>
            <w:vAlign w:val="bottom"/>
          </w:tcPr>
          <w:p w14:paraId="51A6DE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noWrap/>
            <w:vAlign w:val="bottom"/>
          </w:tcPr>
          <w:p w14:paraId="72A550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noWrap/>
            <w:vAlign w:val="bottom"/>
          </w:tcPr>
          <w:p w14:paraId="007D2B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9" w:type="dxa"/>
            <w:shd w:val="clear" w:color="auto" w:fill="auto"/>
            <w:noWrap/>
            <w:vAlign w:val="bottom"/>
          </w:tcPr>
          <w:p w14:paraId="4D3554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noWrap/>
            <w:vAlign w:val="bottom"/>
          </w:tcPr>
          <w:p w14:paraId="2A0C09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21" w:type="dxa"/>
            <w:shd w:val="clear" w:color="auto" w:fill="auto"/>
            <w:noWrap/>
            <w:vAlign w:val="bottom"/>
          </w:tcPr>
          <w:p w14:paraId="5B3544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79" w:type="dxa"/>
            <w:shd w:val="clear" w:color="auto" w:fill="auto"/>
            <w:noWrap/>
            <w:vAlign w:val="bottom"/>
          </w:tcPr>
          <w:p w14:paraId="0312EF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r>
      <w:tr w14:paraId="216E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95" w:type="pct"/>
            <w:shd w:val="clear" w:color="auto" w:fill="auto"/>
            <w:vAlign w:val="center"/>
          </w:tcPr>
          <w:p w14:paraId="2327979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596" w:type="pct"/>
            <w:shd w:val="clear" w:color="auto" w:fill="auto"/>
            <w:vAlign w:val="center"/>
          </w:tcPr>
          <w:p w14:paraId="06E10AB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1302" w:type="dxa"/>
            <w:shd w:val="clear" w:color="auto" w:fill="auto"/>
            <w:vAlign w:val="center"/>
          </w:tcPr>
          <w:p w14:paraId="19E9C4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6D2681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vAlign w:val="bottom"/>
          </w:tcPr>
          <w:p w14:paraId="066603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vAlign w:val="bottom"/>
          </w:tcPr>
          <w:p w14:paraId="21E084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bottom"/>
          </w:tcPr>
          <w:p w14:paraId="5FAC57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vAlign w:val="bottom"/>
          </w:tcPr>
          <w:p w14:paraId="390D6A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noWrap/>
            <w:vAlign w:val="bottom"/>
          </w:tcPr>
          <w:p w14:paraId="0FE08A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noWrap/>
            <w:vAlign w:val="bottom"/>
          </w:tcPr>
          <w:p w14:paraId="78AEAF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noWrap/>
            <w:vAlign w:val="bottom"/>
          </w:tcPr>
          <w:p w14:paraId="051877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noWrap/>
            <w:vAlign w:val="bottom"/>
          </w:tcPr>
          <w:p w14:paraId="52E19D5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E00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 w:type="pct"/>
            <w:shd w:val="clear" w:color="auto" w:fill="auto"/>
            <w:vAlign w:val="center"/>
          </w:tcPr>
          <w:p w14:paraId="1959911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596" w:type="pct"/>
            <w:shd w:val="clear" w:color="auto" w:fill="auto"/>
            <w:vAlign w:val="center"/>
          </w:tcPr>
          <w:p w14:paraId="4C7FC40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1302" w:type="dxa"/>
            <w:shd w:val="clear" w:color="auto" w:fill="auto"/>
            <w:vAlign w:val="center"/>
          </w:tcPr>
          <w:p w14:paraId="09F7D0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0615F1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63" w:type="dxa"/>
            <w:gridSpan w:val="2"/>
            <w:shd w:val="clear" w:color="auto" w:fill="auto"/>
            <w:noWrap/>
            <w:vAlign w:val="bottom"/>
          </w:tcPr>
          <w:p w14:paraId="51AC43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0" w:type="dxa"/>
            <w:shd w:val="clear" w:color="auto" w:fill="auto"/>
            <w:noWrap/>
            <w:vAlign w:val="bottom"/>
          </w:tcPr>
          <w:p w14:paraId="6AEE99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noWrap/>
            <w:vAlign w:val="bottom"/>
          </w:tcPr>
          <w:p w14:paraId="03AB22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noWrap/>
            <w:vAlign w:val="bottom"/>
          </w:tcPr>
          <w:p w14:paraId="3F8BD59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9" w:type="dxa"/>
            <w:shd w:val="clear" w:color="auto" w:fill="auto"/>
            <w:noWrap/>
            <w:vAlign w:val="bottom"/>
          </w:tcPr>
          <w:p w14:paraId="076DB4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96" w:type="dxa"/>
            <w:shd w:val="clear" w:color="auto" w:fill="auto"/>
            <w:noWrap/>
            <w:vAlign w:val="bottom"/>
          </w:tcPr>
          <w:p w14:paraId="5443D1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21" w:type="dxa"/>
            <w:shd w:val="clear" w:color="auto" w:fill="auto"/>
            <w:noWrap/>
            <w:vAlign w:val="bottom"/>
          </w:tcPr>
          <w:p w14:paraId="467ED5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79" w:type="dxa"/>
            <w:shd w:val="clear" w:color="auto" w:fill="auto"/>
            <w:noWrap/>
            <w:vAlign w:val="bottom"/>
          </w:tcPr>
          <w:p w14:paraId="101F7A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425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EC34941">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596" w:type="pct"/>
            <w:shd w:val="clear" w:color="auto" w:fill="auto"/>
            <w:vAlign w:val="center"/>
          </w:tcPr>
          <w:p w14:paraId="696B444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1302" w:type="dxa"/>
            <w:shd w:val="clear" w:color="auto" w:fill="auto"/>
            <w:vAlign w:val="center"/>
          </w:tcPr>
          <w:p w14:paraId="2B306F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c>
          <w:tcPr>
            <w:tcW w:w="1026" w:type="dxa"/>
            <w:shd w:val="clear" w:color="auto" w:fill="auto"/>
            <w:vAlign w:val="center"/>
          </w:tcPr>
          <w:p w14:paraId="6B6618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63" w:type="dxa"/>
            <w:gridSpan w:val="2"/>
            <w:shd w:val="clear" w:color="auto" w:fill="auto"/>
            <w:vAlign w:val="center"/>
          </w:tcPr>
          <w:p w14:paraId="4560B6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0" w:type="dxa"/>
            <w:shd w:val="clear" w:color="auto" w:fill="auto"/>
            <w:vAlign w:val="center"/>
          </w:tcPr>
          <w:p w14:paraId="761271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22666F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6D77BC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9" w:type="dxa"/>
            <w:shd w:val="clear" w:color="auto" w:fill="auto"/>
            <w:vAlign w:val="center"/>
          </w:tcPr>
          <w:p w14:paraId="50F709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96" w:type="dxa"/>
            <w:shd w:val="clear" w:color="auto" w:fill="auto"/>
            <w:vAlign w:val="center"/>
          </w:tcPr>
          <w:p w14:paraId="6CE5C5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221" w:type="dxa"/>
            <w:shd w:val="clear" w:color="auto" w:fill="auto"/>
            <w:vAlign w:val="center"/>
          </w:tcPr>
          <w:p w14:paraId="743DB3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-177.00</w:t>
            </w:r>
          </w:p>
        </w:tc>
        <w:tc>
          <w:tcPr>
            <w:tcW w:w="1179" w:type="dxa"/>
            <w:shd w:val="clear" w:color="auto" w:fill="auto"/>
            <w:vAlign w:val="center"/>
          </w:tcPr>
          <w:p w14:paraId="4EDBA1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5613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2AD2AA7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596" w:type="pct"/>
            <w:shd w:val="clear" w:color="auto" w:fill="auto"/>
            <w:vAlign w:val="center"/>
          </w:tcPr>
          <w:p w14:paraId="32AAFE6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1302" w:type="dxa"/>
            <w:shd w:val="clear" w:color="auto" w:fill="auto"/>
            <w:vAlign w:val="center"/>
          </w:tcPr>
          <w:p w14:paraId="2AF889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0F41AE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13,752.36</w:t>
            </w:r>
          </w:p>
        </w:tc>
        <w:tc>
          <w:tcPr>
            <w:tcW w:w="1163" w:type="dxa"/>
            <w:gridSpan w:val="2"/>
            <w:shd w:val="clear" w:color="auto" w:fill="auto"/>
            <w:vAlign w:val="center"/>
          </w:tcPr>
          <w:p w14:paraId="671BDB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13,575.36</w:t>
            </w:r>
          </w:p>
        </w:tc>
        <w:tc>
          <w:tcPr>
            <w:tcW w:w="1190" w:type="dxa"/>
            <w:shd w:val="clear" w:color="auto" w:fill="auto"/>
            <w:vAlign w:val="center"/>
          </w:tcPr>
          <w:p w14:paraId="7036A5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13,398.36</w:t>
            </w:r>
          </w:p>
        </w:tc>
        <w:tc>
          <w:tcPr>
            <w:tcW w:w="1196" w:type="dxa"/>
            <w:shd w:val="clear" w:color="auto" w:fill="auto"/>
            <w:vAlign w:val="center"/>
          </w:tcPr>
          <w:p w14:paraId="7A52D8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13,221.36</w:t>
            </w:r>
          </w:p>
        </w:tc>
        <w:tc>
          <w:tcPr>
            <w:tcW w:w="1196" w:type="dxa"/>
            <w:shd w:val="clear" w:color="auto" w:fill="auto"/>
            <w:vAlign w:val="center"/>
          </w:tcPr>
          <w:p w14:paraId="6740532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13,044.36</w:t>
            </w:r>
          </w:p>
        </w:tc>
        <w:tc>
          <w:tcPr>
            <w:tcW w:w="1199" w:type="dxa"/>
            <w:shd w:val="clear" w:color="auto" w:fill="auto"/>
            <w:vAlign w:val="center"/>
          </w:tcPr>
          <w:p w14:paraId="1986D0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12,867.36</w:t>
            </w:r>
          </w:p>
        </w:tc>
        <w:tc>
          <w:tcPr>
            <w:tcW w:w="1196" w:type="dxa"/>
            <w:shd w:val="clear" w:color="auto" w:fill="auto"/>
            <w:vAlign w:val="center"/>
          </w:tcPr>
          <w:p w14:paraId="3DF17C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12,690.36</w:t>
            </w:r>
          </w:p>
        </w:tc>
        <w:tc>
          <w:tcPr>
            <w:tcW w:w="1221" w:type="dxa"/>
            <w:shd w:val="clear" w:color="auto" w:fill="auto"/>
            <w:vAlign w:val="center"/>
          </w:tcPr>
          <w:p w14:paraId="286C48B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12,513.36</w:t>
            </w:r>
          </w:p>
        </w:tc>
        <w:tc>
          <w:tcPr>
            <w:tcW w:w="1179" w:type="dxa"/>
            <w:shd w:val="clear" w:color="auto" w:fill="auto"/>
            <w:vAlign w:val="center"/>
          </w:tcPr>
          <w:p w14:paraId="0984E8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r>
      <w:tr w14:paraId="027E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5" w:type="pct"/>
            <w:shd w:val="clear" w:color="auto" w:fill="auto"/>
            <w:vAlign w:val="center"/>
          </w:tcPr>
          <w:p w14:paraId="146FEC5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596" w:type="pct"/>
            <w:shd w:val="clear" w:color="auto" w:fill="auto"/>
            <w:vAlign w:val="center"/>
          </w:tcPr>
          <w:p w14:paraId="2897AA4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1302" w:type="dxa"/>
            <w:shd w:val="clear" w:color="auto" w:fill="auto"/>
            <w:vAlign w:val="center"/>
          </w:tcPr>
          <w:p w14:paraId="4FBE09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1599CF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13,575.36</w:t>
            </w:r>
          </w:p>
        </w:tc>
        <w:tc>
          <w:tcPr>
            <w:tcW w:w="1163" w:type="dxa"/>
            <w:gridSpan w:val="2"/>
            <w:shd w:val="clear" w:color="auto" w:fill="auto"/>
            <w:vAlign w:val="center"/>
          </w:tcPr>
          <w:p w14:paraId="38098C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13,398.36</w:t>
            </w:r>
          </w:p>
        </w:tc>
        <w:tc>
          <w:tcPr>
            <w:tcW w:w="1190" w:type="dxa"/>
            <w:shd w:val="clear" w:color="auto" w:fill="auto"/>
            <w:vAlign w:val="center"/>
          </w:tcPr>
          <w:p w14:paraId="4B8809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13,221.36</w:t>
            </w:r>
          </w:p>
        </w:tc>
        <w:tc>
          <w:tcPr>
            <w:tcW w:w="1196" w:type="dxa"/>
            <w:shd w:val="clear" w:color="auto" w:fill="auto"/>
            <w:vAlign w:val="center"/>
          </w:tcPr>
          <w:p w14:paraId="3D6B03D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13,044.36</w:t>
            </w:r>
          </w:p>
        </w:tc>
        <w:tc>
          <w:tcPr>
            <w:tcW w:w="1196" w:type="dxa"/>
            <w:shd w:val="clear" w:color="auto" w:fill="auto"/>
            <w:vAlign w:val="center"/>
          </w:tcPr>
          <w:p w14:paraId="76387E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12,867.36</w:t>
            </w:r>
          </w:p>
        </w:tc>
        <w:tc>
          <w:tcPr>
            <w:tcW w:w="1199" w:type="dxa"/>
            <w:shd w:val="clear" w:color="auto" w:fill="auto"/>
            <w:vAlign w:val="center"/>
          </w:tcPr>
          <w:p w14:paraId="21C3B5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12,690.36</w:t>
            </w:r>
          </w:p>
        </w:tc>
        <w:tc>
          <w:tcPr>
            <w:tcW w:w="1196" w:type="dxa"/>
            <w:shd w:val="clear" w:color="auto" w:fill="auto"/>
            <w:vAlign w:val="center"/>
          </w:tcPr>
          <w:p w14:paraId="6EE16C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12,513.36</w:t>
            </w:r>
          </w:p>
        </w:tc>
        <w:tc>
          <w:tcPr>
            <w:tcW w:w="1221" w:type="dxa"/>
            <w:shd w:val="clear" w:color="auto" w:fill="auto"/>
            <w:vAlign w:val="center"/>
          </w:tcPr>
          <w:p w14:paraId="6ED373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c>
          <w:tcPr>
            <w:tcW w:w="1179" w:type="dxa"/>
            <w:shd w:val="clear" w:color="auto" w:fill="auto"/>
            <w:vAlign w:val="center"/>
          </w:tcPr>
          <w:p w14:paraId="17567C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12,336.36</w:t>
            </w:r>
          </w:p>
        </w:tc>
      </w:tr>
      <w:tr w14:paraId="43D2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24" w:type="pct"/>
            <w:gridSpan w:val="5"/>
            <w:shd w:val="clear" w:color="auto" w:fill="auto"/>
            <w:vAlign w:val="center"/>
          </w:tcPr>
          <w:p w14:paraId="569BDAB5">
            <w:pPr>
              <w:widowControl/>
              <w:jc w:val="center"/>
              <w:rPr>
                <w:rFonts w:ascii="宋体" w:hAnsi="宋体" w:cs="宋体"/>
                <w:color w:val="000000"/>
                <w:kern w:val="0"/>
                <w:sz w:val="18"/>
                <w:szCs w:val="18"/>
                <w:highlight w:val="none"/>
              </w:rPr>
            </w:pPr>
            <w:r>
              <w:rPr>
                <w:rFonts w:hint="eastAsia"/>
                <w:color w:val="000000" w:themeColor="text1"/>
                <w:sz w:val="18"/>
                <w:szCs w:val="18"/>
                <w:highlight w:val="none"/>
                <w14:textFill>
                  <w14:solidFill>
                    <w14:schemeClr w14:val="tx1"/>
                  </w14:solidFill>
                </w14:textFill>
              </w:rPr>
              <w:t>续上表：</w:t>
            </w:r>
            <w:r>
              <w:rPr>
                <w:rFonts w:hint="eastAsia" w:ascii="宋体" w:hAnsi="宋体" w:cs="宋体"/>
                <w:color w:val="000000"/>
                <w:kern w:val="0"/>
                <w:sz w:val="18"/>
                <w:szCs w:val="18"/>
                <w:highlight w:val="none"/>
              </w:rPr>
              <w:t>债券资金覆盖倍数</w:t>
            </w:r>
          </w:p>
        </w:tc>
        <w:tc>
          <w:tcPr>
            <w:tcW w:w="3175" w:type="pct"/>
            <w:gridSpan w:val="8"/>
            <w:shd w:val="clear" w:color="auto" w:fill="auto"/>
            <w:vAlign w:val="center"/>
          </w:tcPr>
          <w:p w14:paraId="3BAE4152">
            <w:pPr>
              <w:widowControl/>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20</w:t>
            </w:r>
          </w:p>
        </w:tc>
      </w:tr>
    </w:tbl>
    <w:p w14:paraId="65D06323">
      <w:pPr>
        <w:pStyle w:val="19"/>
        <w:spacing w:after="156" w:afterLines="50" w:afterAutospacing="0" w:line="360" w:lineRule="exact"/>
        <w:ind w:firstLine="360" w:firstLineChars="200"/>
        <w:jc w:val="both"/>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注：</w:t>
      </w:r>
      <w:r>
        <w:rPr>
          <w:color w:val="000000" w:themeColor="text1"/>
          <w:sz w:val="18"/>
          <w:szCs w:val="18"/>
          <w:highlight w:val="none"/>
          <w14:textFill>
            <w14:solidFill>
              <w14:schemeClr w14:val="tx1"/>
            </w14:solidFill>
          </w14:textFill>
        </w:rPr>
        <w:t>1</w:t>
      </w:r>
      <w:r>
        <w:rPr>
          <w:rFonts w:hint="eastAsia"/>
          <w:color w:val="000000" w:themeColor="text1"/>
          <w:sz w:val="18"/>
          <w:szCs w:val="18"/>
          <w:highlight w:val="none"/>
          <w14:textFill>
            <w14:solidFill>
              <w14:schemeClr w14:val="tx1"/>
            </w14:solidFill>
          </w14:textFill>
        </w:rPr>
        <w:t>.按照</w:t>
      </w:r>
      <w:r>
        <w:rPr>
          <w:rFonts w:hint="eastAsia"/>
          <w:color w:val="000000" w:themeColor="text1"/>
          <w:sz w:val="18"/>
          <w:szCs w:val="18"/>
          <w:highlight w:val="none"/>
          <w:lang w:eastAsia="zh-CN"/>
          <w14:textFill>
            <w14:solidFill>
              <w14:schemeClr w14:val="tx1"/>
            </w14:solidFill>
          </w14:textFill>
        </w:rPr>
        <w:t>南昌县住房和城乡建设局</w:t>
      </w:r>
      <w:r>
        <w:rPr>
          <w:rFonts w:hint="eastAsia"/>
          <w:color w:val="000000" w:themeColor="text1"/>
          <w:sz w:val="18"/>
          <w:szCs w:val="18"/>
          <w:highlight w:val="none"/>
          <w14:textFill>
            <w14:solidFill>
              <w14:schemeClr w14:val="tx1"/>
            </w14:solidFill>
          </w14:textFill>
        </w:rPr>
        <w:t>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20</w:t>
      </w:r>
      <w:r>
        <w:rPr>
          <w:rFonts w:hint="eastAsia"/>
          <w:color w:val="000000" w:themeColor="text1"/>
          <w:sz w:val="18"/>
          <w:szCs w:val="18"/>
          <w:highlight w:val="none"/>
          <w14:textFill>
            <w14:solidFill>
              <w14:schemeClr w14:val="tx1"/>
            </w14:solidFill>
          </w14:textFill>
        </w:rPr>
        <w:t>倍，还本付息资金有充分保障。</w:t>
      </w:r>
    </w:p>
    <w:p w14:paraId="50154E10">
      <w:pPr>
        <w:pStyle w:val="19"/>
        <w:spacing w:before="0" w:beforeAutospacing="0" w:after="156" w:afterLines="50" w:afterAutospacing="0" w:line="360" w:lineRule="exact"/>
        <w:ind w:firstLine="360" w:firstLineChars="20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2</w:t>
      </w:r>
      <w:r>
        <w:rPr>
          <w:rFonts w:hint="eastAsia"/>
          <w:color w:val="000000" w:themeColor="text1"/>
          <w:sz w:val="18"/>
          <w:szCs w:val="18"/>
          <w:highlight w:val="none"/>
          <w14:textFill>
            <w14:solidFill>
              <w14:schemeClr w14:val="tx1"/>
            </w14:solidFill>
          </w14:textFill>
        </w:rPr>
        <w:t>.2</w:t>
      </w:r>
      <w:r>
        <w:rPr>
          <w:color w:val="000000" w:themeColor="text1"/>
          <w:sz w:val="18"/>
          <w:szCs w:val="18"/>
          <w:highlight w:val="none"/>
          <w14:textFill>
            <w14:solidFill>
              <w14:schemeClr w14:val="tx1"/>
            </w14:solidFill>
          </w14:textFill>
        </w:rPr>
        <w:t>022</w:t>
      </w:r>
      <w:r>
        <w:rPr>
          <w:rFonts w:hint="eastAsia"/>
          <w:color w:val="000000" w:themeColor="text1"/>
          <w:sz w:val="18"/>
          <w:szCs w:val="18"/>
          <w:highlight w:val="none"/>
          <w14:textFill>
            <w14:solidFill>
              <w14:schemeClr w14:val="tx1"/>
            </w14:solidFill>
          </w14:textFill>
        </w:rPr>
        <w:t>-</w:t>
      </w:r>
      <w:r>
        <w:rPr>
          <w:color w:val="000000" w:themeColor="text1"/>
          <w:sz w:val="18"/>
          <w:szCs w:val="18"/>
          <w:highlight w:val="none"/>
          <w14:textFill>
            <w14:solidFill>
              <w14:schemeClr w14:val="tx1"/>
            </w14:solidFill>
          </w14:textFill>
        </w:rPr>
        <w:t>202</w:t>
      </w:r>
      <w:r>
        <w:rPr>
          <w:rFonts w:hint="eastAsia"/>
          <w:color w:val="000000" w:themeColor="text1"/>
          <w:sz w:val="18"/>
          <w:szCs w:val="18"/>
          <w:highlight w:val="none"/>
          <w:lang w:val="en-US" w:eastAsia="zh-CN"/>
          <w14:textFill>
            <w14:solidFill>
              <w14:schemeClr w14:val="tx1"/>
            </w14:solidFill>
          </w14:textFill>
        </w:rPr>
        <w:t>6</w:t>
      </w:r>
      <w:r>
        <w:rPr>
          <w:rFonts w:hint="eastAsia"/>
          <w:color w:val="000000" w:themeColor="text1"/>
          <w:sz w:val="18"/>
          <w:szCs w:val="18"/>
          <w:highlight w:val="none"/>
          <w14:textFill>
            <w14:solidFill>
              <w14:schemeClr w14:val="tx1"/>
            </w14:solidFill>
          </w14:textFill>
        </w:rPr>
        <w:t>年期末现金为负数的原因系建设期的债券发行费及利息及借款利息，该部分资金由项目单位自筹解决。</w:t>
      </w:r>
    </w:p>
    <w:p w14:paraId="045DA311">
      <w:pPr>
        <w:pStyle w:val="19"/>
        <w:spacing w:before="0" w:beforeAutospacing="0" w:after="156" w:afterLines="50" w:afterAutospacing="0" w:line="360" w:lineRule="exact"/>
        <w:ind w:firstLine="420" w:firstLineChars="200"/>
        <w:jc w:val="both"/>
        <w:rPr>
          <w:rFonts w:hint="eastAsia" w:eastAsia="宋体"/>
          <w:color w:val="000000" w:themeColor="text1"/>
          <w:sz w:val="21"/>
          <w:szCs w:val="21"/>
          <w:highlight w:val="none"/>
          <w:lang w:eastAsia="zh-CN"/>
          <w14:textFill>
            <w14:solidFill>
              <w14:schemeClr w14:val="tx1"/>
            </w14:solidFill>
          </w14:textFill>
        </w:rPr>
        <w:sectPr>
          <w:pgSz w:w="16838" w:h="11906" w:orient="landscape"/>
          <w:pgMar w:top="1701" w:right="1531" w:bottom="1701" w:left="1417" w:header="851" w:footer="992" w:gutter="0"/>
          <w:pgNumType w:fmt="decimal"/>
          <w:cols w:space="0" w:num="1"/>
          <w:rtlGutter w:val="0"/>
          <w:docGrid w:type="linesAndChars" w:linePitch="314" w:charSpace="0"/>
        </w:sectPr>
      </w:pPr>
    </w:p>
    <w:p w14:paraId="38FEA460">
      <w:pPr>
        <w:widowControl/>
        <w:spacing w:line="360" w:lineRule="auto"/>
        <w:ind w:firstLine="420" w:firstLineChars="200"/>
        <w:rPr>
          <w:rFonts w:hint="eastAsia" w:ascii="宋体" w:hAnsi="宋体" w:eastAsia="宋体" w:cs="宋体"/>
          <w:color w:val="000000"/>
          <w:kern w:val="0"/>
          <w:sz w:val="22"/>
          <w:highlight w:val="none"/>
          <w:lang w:eastAsia="zh-CN"/>
        </w:rPr>
      </w:pPr>
      <w:r>
        <w:rPr>
          <w:rFonts w:hint="eastAsia"/>
          <w:color w:val="000000" w:themeColor="text1"/>
          <w:szCs w:val="21"/>
          <w:highlight w:val="none"/>
          <w14:textFill>
            <w14:solidFill>
              <w14:schemeClr w14:val="tx1"/>
            </w14:solidFill>
          </w14:textFill>
        </w:rPr>
        <w:t>本次发</w:t>
      </w:r>
      <w:r>
        <w:rPr>
          <w:rFonts w:hint="eastAsia" w:ascii="宋体" w:hAnsi="宋体"/>
          <w:color w:val="000000" w:themeColor="text1"/>
          <w:szCs w:val="21"/>
          <w:highlight w:val="none"/>
          <w14:textFill>
            <w14:solidFill>
              <w14:schemeClr w14:val="tx1"/>
            </w14:solidFill>
          </w14:textFill>
        </w:rPr>
        <w:t>行专项债券各项目预期业务活动现金流入合计</w:t>
      </w:r>
      <w:r>
        <w:rPr>
          <w:rFonts w:hint="eastAsia" w:ascii="宋体" w:hAnsi="宋体" w:cs="宋体"/>
          <w:color w:val="000000"/>
          <w:kern w:val="0"/>
          <w:sz w:val="22"/>
          <w:highlight w:val="none"/>
        </w:rPr>
        <w:t>37,413.12</w:t>
      </w:r>
      <w:r>
        <w:rPr>
          <w:rFonts w:hint="eastAsia" w:ascii="宋体" w:hAnsi="宋体"/>
          <w:color w:val="000000" w:themeColor="text1"/>
          <w:szCs w:val="21"/>
          <w:highlight w:val="none"/>
          <w14:textFill>
            <w14:solidFill>
              <w14:schemeClr w14:val="tx1"/>
            </w14:solidFill>
          </w14:textFill>
        </w:rPr>
        <w:t>万元，业务活动现金流出合计</w:t>
      </w:r>
      <w:r>
        <w:rPr>
          <w:rFonts w:hint="eastAsia" w:ascii="宋体" w:hAnsi="宋体" w:cs="宋体"/>
          <w:color w:val="000000"/>
          <w:kern w:val="0"/>
          <w:sz w:val="22"/>
          <w:highlight w:val="none"/>
        </w:rPr>
        <w:t>748.26</w:t>
      </w:r>
      <w:r>
        <w:rPr>
          <w:rFonts w:hint="eastAsia" w:ascii="宋体" w:hAnsi="宋体"/>
          <w:color w:val="000000" w:themeColor="text1"/>
          <w:szCs w:val="21"/>
          <w:highlight w:val="none"/>
          <w14:textFill>
            <w14:solidFill>
              <w14:schemeClr w14:val="tx1"/>
            </w14:solidFill>
          </w14:textFill>
        </w:rPr>
        <w:t>万元，债券存续期内债券本金与利息合计</w:t>
      </w:r>
      <w:r>
        <w:rPr>
          <w:rFonts w:hint="eastAsia" w:ascii="宋体" w:hAnsi="宋体"/>
          <w:color w:val="000000" w:themeColor="text1"/>
          <w:szCs w:val="21"/>
          <w:highlight w:val="none"/>
          <w:lang w:val="en-US" w:eastAsia="zh-CN"/>
          <w14:textFill>
            <w14:solidFill>
              <w14:schemeClr w14:val="tx1"/>
            </w14:solidFill>
          </w14:textFill>
        </w:rPr>
        <w:t>30</w:t>
      </w:r>
      <w:r>
        <w:rPr>
          <w:rFonts w:ascii="宋体" w:hAnsi="宋体" w:cs="宋体"/>
          <w:color w:val="000000"/>
          <w:kern w:val="0"/>
          <w:sz w:val="22"/>
          <w:highlight w:val="none"/>
        </w:rPr>
        <w:t>,</w:t>
      </w:r>
      <w:r>
        <w:rPr>
          <w:rFonts w:hint="eastAsia" w:ascii="宋体" w:hAnsi="宋体" w:cs="宋体"/>
          <w:color w:val="000000"/>
          <w:kern w:val="0"/>
          <w:sz w:val="22"/>
          <w:highlight w:val="none"/>
          <w:lang w:val="en-US" w:eastAsia="zh-CN"/>
        </w:rPr>
        <w:t>470</w:t>
      </w:r>
      <w:r>
        <w:rPr>
          <w:rFonts w:ascii="宋体" w:hAnsi="宋体" w:cs="宋体"/>
          <w:color w:val="000000"/>
          <w:kern w:val="0"/>
          <w:sz w:val="22"/>
          <w:highlight w:val="none"/>
        </w:rPr>
        <w:t>.</w:t>
      </w:r>
      <w:r>
        <w:rPr>
          <w:rFonts w:hint="eastAsia" w:ascii="宋体" w:hAnsi="宋体" w:cs="宋体"/>
          <w:color w:val="000000"/>
          <w:kern w:val="0"/>
          <w:sz w:val="22"/>
          <w:highlight w:val="none"/>
          <w:lang w:val="en-US" w:eastAsia="zh-CN"/>
        </w:rPr>
        <w:t>00</w:t>
      </w:r>
      <w:r>
        <w:rPr>
          <w:rFonts w:hint="eastAsia" w:ascii="宋体" w:hAnsi="宋体" w:cs="宋体"/>
          <w:color w:val="000000"/>
          <w:kern w:val="0"/>
          <w:sz w:val="22"/>
          <w:highlight w:val="none"/>
        </w:rPr>
        <w:t>万</w:t>
      </w:r>
      <w:r>
        <w:rPr>
          <w:rFonts w:hint="eastAsia" w:ascii="宋体" w:hAnsi="宋体"/>
          <w:color w:val="000000" w:themeColor="text1"/>
          <w:szCs w:val="21"/>
          <w:highlight w:val="none"/>
          <w14:textFill>
            <w14:solidFill>
              <w14:schemeClr w14:val="tx1"/>
            </w14:solidFill>
          </w14:textFill>
        </w:rPr>
        <w:t>元。项目存续期内偿债资金覆盖倍数为</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val="en-US" w:eastAsia="zh-CN"/>
          <w14:textFill>
            <w14:solidFill>
              <w14:schemeClr w14:val="tx1"/>
            </w14:solidFill>
          </w14:textFill>
        </w:rPr>
        <w:t>.20</w:t>
      </w:r>
      <w:r>
        <w:rPr>
          <w:rFonts w:hint="eastAsia" w:ascii="宋体" w:hAnsi="宋体"/>
          <w:color w:val="000000" w:themeColor="text1"/>
          <w:szCs w:val="21"/>
          <w:highlight w:val="none"/>
          <w14:textFill>
            <w14:solidFill>
              <w14:schemeClr w14:val="tx1"/>
            </w14:solidFill>
          </w14:textFill>
        </w:rPr>
        <w:t>倍</w:t>
      </w:r>
      <w:r>
        <w:rPr>
          <w:rFonts w:hint="eastAsia"/>
          <w:color w:val="000000" w:themeColor="text1"/>
          <w:szCs w:val="21"/>
          <w:highlight w:val="none"/>
          <w14:textFill>
            <w14:solidFill>
              <w14:schemeClr w14:val="tx1"/>
            </w14:solidFill>
          </w14:textFill>
        </w:rPr>
        <w:t>，还本付息资金有充分保障，项目实施方案资金计划能够满足发行专项债券资金充足性要求。债券存续期间整体资金流入、流出情况及期末现金如下图所示：</w:t>
      </w:r>
    </w:p>
    <w:p w14:paraId="072EDC02">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40" w:firstLineChars="200"/>
        <w:jc w:val="right"/>
        <w:textAlignment w:val="auto"/>
        <w:rPr>
          <w:color w:val="000000" w:themeColor="text1"/>
          <w:sz w:val="18"/>
          <w:szCs w:val="18"/>
          <w:highlight w:val="none"/>
          <w14:textFill>
            <w14:solidFill>
              <w14:schemeClr w14:val="tx1"/>
            </w14:solidFill>
          </w14:textFill>
        </w:rPr>
      </w:pPr>
      <w:r>
        <w:drawing>
          <wp:inline distT="0" distB="0" distL="114300" distR="114300">
            <wp:extent cx="4107180" cy="3002280"/>
            <wp:effectExtent l="4445" t="4445" r="22225"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rFonts w:hint="eastAsia"/>
          <w:color w:val="000000" w:themeColor="text1"/>
          <w:sz w:val="18"/>
          <w:szCs w:val="18"/>
          <w:highlight w:val="none"/>
          <w14:textFill>
            <w14:solidFill>
              <w14:schemeClr w14:val="tx1"/>
            </w14:solidFill>
          </w14:textFill>
        </w:rPr>
        <w:t>单位：万元</w:t>
      </w:r>
    </w:p>
    <w:p w14:paraId="2F053000">
      <w:pPr>
        <w:pStyle w:val="19"/>
        <w:spacing w:before="0" w:beforeAutospacing="0" w:after="156" w:afterLines="50" w:afterAutospacing="0" w:line="360" w:lineRule="exact"/>
        <w:ind w:firstLine="420" w:firstLineChars="20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图3-</w:t>
      </w:r>
      <w:r>
        <w:rPr>
          <w:color w:val="000000" w:themeColor="text1"/>
          <w:sz w:val="21"/>
          <w:szCs w:val="21"/>
          <w:highlight w:val="none"/>
          <w14:textFill>
            <w14:solidFill>
              <w14:schemeClr w14:val="tx1"/>
            </w14:solidFill>
          </w14:textFill>
        </w:rPr>
        <w:t>1</w:t>
      </w:r>
      <w:r>
        <w:rPr>
          <w:rFonts w:hint="eastAsia"/>
          <w:color w:val="000000" w:themeColor="text1"/>
          <w:sz w:val="21"/>
          <w:szCs w:val="21"/>
          <w:highlight w:val="none"/>
          <w14:textFill>
            <w14:solidFill>
              <w14:schemeClr w14:val="tx1"/>
            </w14:solidFill>
          </w14:textFill>
        </w:rPr>
        <w:t>债券存续期间现金流情况图</w:t>
      </w:r>
    </w:p>
    <w:p w14:paraId="4F294DD9">
      <w:pPr>
        <w:widowControl/>
        <w:spacing w:line="560" w:lineRule="exact"/>
        <w:ind w:firstLine="560" w:firstLineChars="200"/>
        <w:jc w:val="left"/>
        <w:outlineLvl w:val="0"/>
        <w:rPr>
          <w:rFonts w:ascii="黑体" w:hAnsi="黑体" w:eastAsia="黑体" w:cs="黑体"/>
          <w:color w:val="auto"/>
          <w:sz w:val="28"/>
          <w:szCs w:val="28"/>
        </w:rPr>
      </w:pPr>
      <w:bookmarkStart w:id="32" w:name="_Toc15889"/>
      <w:r>
        <w:rPr>
          <w:rFonts w:hint="eastAsia" w:ascii="黑体" w:hAnsi="黑体" w:eastAsia="黑体" w:cs="黑体"/>
          <w:color w:val="auto"/>
          <w:sz w:val="28"/>
          <w:szCs w:val="28"/>
        </w:rPr>
        <w:t>四、事前绩效评价</w:t>
      </w:r>
      <w:bookmarkEnd w:id="32"/>
    </w:p>
    <w:p w14:paraId="69FB2C6F">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1、项目实施的必要性、公益性、收益性</w:t>
      </w:r>
    </w:p>
    <w:p w14:paraId="28D63DF8">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（1）必要性</w:t>
      </w:r>
    </w:p>
    <w:p w14:paraId="7C17D4BC">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1）项目建设是大力提高人民群众的居住水平，是全面建设小康社会和实现现代化的重要方面与重要内容之一。</w:t>
      </w:r>
    </w:p>
    <w:p w14:paraId="19278540">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7561FA9D">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1FF02395">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（2）公益性</w:t>
      </w:r>
    </w:p>
    <w:p w14:paraId="6CC25F4C">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7EFCDC9C">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（3）收益性</w:t>
      </w:r>
    </w:p>
    <w:p w14:paraId="74A8C6C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本项目实施后，可产生运营收益，根据测算收入约为</w:t>
      </w:r>
      <w:r>
        <w:rPr>
          <w:rFonts w:hint="eastAsia" w:ascii="宋体" w:hAnsi="宋体" w:eastAsia="宋体" w:cs="宋体"/>
          <w:bCs/>
          <w:color w:val="auto"/>
          <w:sz w:val="24"/>
          <w:szCs w:val="24"/>
          <w:lang w:val="en-US" w:eastAsia="zh-CN"/>
        </w:rPr>
        <w:t>37,413.12</w:t>
      </w:r>
      <w:r>
        <w:rPr>
          <w:rFonts w:hint="eastAsia" w:ascii="宋体" w:hAnsi="宋体" w:eastAsia="宋体" w:cs="宋体"/>
          <w:bCs/>
          <w:color w:val="auto"/>
          <w:sz w:val="24"/>
          <w:szCs w:val="24"/>
        </w:rPr>
        <w:t>万元，可用于偿债的项目收益为36,</w:t>
      </w:r>
      <w:r>
        <w:rPr>
          <w:rFonts w:hint="eastAsia" w:ascii="宋体" w:hAnsi="宋体" w:eastAsia="宋体" w:cs="宋体"/>
          <w:bCs/>
          <w:color w:val="auto"/>
          <w:sz w:val="24"/>
          <w:szCs w:val="24"/>
          <w:lang w:val="en-US" w:eastAsia="zh-CN"/>
        </w:rPr>
        <w:t>56</w:t>
      </w:r>
      <w:r>
        <w:rPr>
          <w:rFonts w:hint="eastAsia" w:ascii="宋体" w:hAnsi="宋体" w:eastAsia="宋体" w:cs="宋体"/>
          <w:bCs/>
          <w:color w:val="auto"/>
          <w:sz w:val="24"/>
          <w:szCs w:val="24"/>
        </w:rPr>
        <w:t>4</w:t>
      </w:r>
      <w:r>
        <w:rPr>
          <w:rFonts w:hint="eastAsia" w:ascii="宋体" w:hAnsi="宋体" w:eastAsia="宋体" w:cs="宋体"/>
          <w:bCs/>
          <w:color w:val="auto"/>
          <w:sz w:val="24"/>
          <w:szCs w:val="24"/>
          <w:lang w:val="en-US" w:eastAsia="zh-CN"/>
        </w:rPr>
        <w:t>.00</w:t>
      </w:r>
      <w:r>
        <w:rPr>
          <w:rFonts w:hint="eastAsia" w:ascii="宋体" w:hAnsi="宋体" w:eastAsia="宋体" w:cs="宋体"/>
          <w:bCs/>
          <w:color w:val="auto"/>
          <w:sz w:val="24"/>
          <w:szCs w:val="24"/>
        </w:rPr>
        <w:t>万元，满足资金平衡需求。</w:t>
      </w:r>
    </w:p>
    <w:p w14:paraId="6BD59D6A">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2、项目建设投资合规性与项目成熟度</w:t>
      </w:r>
    </w:p>
    <w:p w14:paraId="6A980FA3">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项目于2019年6月28日已获得南昌县行政审批局《关于东新乡东岳村三期安置房建设项目可行性研究报告的批复》（南行审投资投字【2019】235号）。</w:t>
      </w:r>
    </w:p>
    <w:p w14:paraId="769BBF5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项目建设有期充分的必要性，前期手续完善，项目资金为部分项目单位</w:t>
      </w:r>
      <w:r>
        <w:rPr>
          <w:rFonts w:hint="eastAsia" w:ascii="宋体" w:hAnsi="宋体" w:eastAsia="宋体" w:cs="宋体"/>
          <w:bCs/>
          <w:color w:val="auto"/>
          <w:sz w:val="24"/>
          <w:szCs w:val="24"/>
          <w:lang w:val="en-US" w:eastAsia="zh-CN"/>
        </w:rPr>
        <w:t>资本金</w:t>
      </w:r>
      <w:r>
        <w:rPr>
          <w:rFonts w:hint="eastAsia" w:ascii="宋体" w:hAnsi="宋体" w:eastAsia="宋体" w:cs="宋体"/>
          <w:bCs/>
          <w:color w:val="auto"/>
          <w:sz w:val="24"/>
          <w:szCs w:val="24"/>
        </w:rPr>
        <w:t>，部分申请政府专项债券资金。项目成熟度、可靠度较高。</w:t>
      </w:r>
    </w:p>
    <w:p w14:paraId="71FCBA5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3、项目资金来源和可到位性</w:t>
      </w:r>
    </w:p>
    <w:p w14:paraId="4D15F72C">
      <w:pPr>
        <w:pStyle w:val="19"/>
        <w:keepNext/>
        <w:spacing w:before="0" w:beforeAutospacing="0" w:after="0" w:afterAutospacing="0" w:line="360" w:lineRule="exact"/>
        <w:ind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889" w:type="pct"/>
        <w:tblInd w:w="0" w:type="dxa"/>
        <w:tblLayout w:type="fixed"/>
        <w:tblCellMar>
          <w:top w:w="0" w:type="dxa"/>
          <w:left w:w="108" w:type="dxa"/>
          <w:bottom w:w="0" w:type="dxa"/>
          <w:right w:w="108" w:type="dxa"/>
        </w:tblCellMar>
      </w:tblPr>
      <w:tblGrid>
        <w:gridCol w:w="1404"/>
        <w:gridCol w:w="1210"/>
        <w:gridCol w:w="912"/>
        <w:gridCol w:w="917"/>
        <w:gridCol w:w="1338"/>
        <w:gridCol w:w="3205"/>
      </w:tblGrid>
      <w:tr w14:paraId="23E63819">
        <w:tblPrEx>
          <w:tblCellMar>
            <w:top w:w="0" w:type="dxa"/>
            <w:left w:w="108" w:type="dxa"/>
            <w:bottom w:w="0" w:type="dxa"/>
            <w:right w:w="108" w:type="dxa"/>
          </w:tblCellMar>
        </w:tblPrEx>
        <w:trPr>
          <w:trHeight w:val="270" w:hRule="atLeast"/>
        </w:trPr>
        <w:tc>
          <w:tcPr>
            <w:tcW w:w="78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D56B542">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3F61A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545" w:type="pct"/>
            <w:gridSpan w:val="4"/>
            <w:tcBorders>
              <w:top w:val="single" w:color="auto" w:sz="4" w:space="0"/>
              <w:left w:val="nil"/>
              <w:bottom w:val="single" w:color="auto" w:sz="4" w:space="0"/>
              <w:right w:val="nil"/>
            </w:tcBorders>
          </w:tcPr>
          <w:p w14:paraId="2264AFB9">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0105CF3E">
        <w:tblPrEx>
          <w:tblCellMar>
            <w:top w:w="0" w:type="dxa"/>
            <w:left w:w="108" w:type="dxa"/>
            <w:bottom w:w="0" w:type="dxa"/>
            <w:right w:w="108" w:type="dxa"/>
          </w:tblCellMar>
        </w:tblPrEx>
        <w:trPr>
          <w:trHeight w:val="270" w:hRule="atLeast"/>
        </w:trPr>
        <w:tc>
          <w:tcPr>
            <w:tcW w:w="781" w:type="pct"/>
            <w:vMerge w:val="continue"/>
            <w:tcBorders>
              <w:top w:val="single" w:color="auto" w:sz="4" w:space="0"/>
              <w:left w:val="single" w:color="auto" w:sz="4" w:space="0"/>
              <w:bottom w:val="single" w:color="auto" w:sz="4" w:space="0"/>
              <w:right w:val="single" w:color="auto" w:sz="4" w:space="0"/>
            </w:tcBorders>
            <w:vAlign w:val="center"/>
          </w:tcPr>
          <w:p w14:paraId="0F73B97A">
            <w:pPr>
              <w:widowControl/>
              <w:jc w:val="center"/>
              <w:rPr>
                <w:rFonts w:ascii="宋体" w:hAnsi="宋体" w:cs="宋体"/>
                <w:b/>
                <w:bCs/>
                <w:color w:val="000000"/>
                <w:kern w:val="0"/>
                <w:sz w:val="18"/>
                <w:szCs w:val="18"/>
                <w:highlight w:val="none"/>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14:paraId="202C546C">
            <w:pPr>
              <w:widowControl/>
              <w:jc w:val="center"/>
              <w:rPr>
                <w:rFonts w:ascii="宋体" w:hAnsi="宋体" w:cs="宋体"/>
                <w:b/>
                <w:bCs/>
                <w:color w:val="000000"/>
                <w:kern w:val="0"/>
                <w:sz w:val="18"/>
                <w:szCs w:val="18"/>
                <w:highlight w:val="none"/>
              </w:rPr>
            </w:pPr>
          </w:p>
        </w:tc>
        <w:tc>
          <w:tcPr>
            <w:tcW w:w="507" w:type="pct"/>
            <w:tcBorders>
              <w:top w:val="nil"/>
              <w:left w:val="nil"/>
              <w:bottom w:val="single" w:color="auto" w:sz="4" w:space="0"/>
              <w:right w:val="single" w:color="auto" w:sz="4" w:space="0"/>
            </w:tcBorders>
            <w:shd w:val="clear" w:color="auto" w:fill="auto"/>
            <w:vAlign w:val="center"/>
          </w:tcPr>
          <w:p w14:paraId="4C6AADF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510" w:type="pct"/>
            <w:tcBorders>
              <w:top w:val="single" w:color="auto" w:sz="4" w:space="0"/>
              <w:left w:val="nil"/>
              <w:bottom w:val="single" w:color="auto" w:sz="4" w:space="0"/>
              <w:right w:val="single" w:color="auto" w:sz="4" w:space="0"/>
            </w:tcBorders>
          </w:tcPr>
          <w:p w14:paraId="3371CF1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调整金额</w:t>
            </w:r>
          </w:p>
        </w:tc>
        <w:tc>
          <w:tcPr>
            <w:tcW w:w="744" w:type="pct"/>
            <w:tcBorders>
              <w:top w:val="nil"/>
              <w:left w:val="nil"/>
              <w:bottom w:val="single" w:color="auto" w:sz="4" w:space="0"/>
              <w:right w:val="single" w:color="auto" w:sz="4" w:space="0"/>
            </w:tcBorders>
            <w:shd w:val="clear" w:color="auto" w:fill="auto"/>
            <w:noWrap/>
            <w:vAlign w:val="center"/>
          </w:tcPr>
          <w:p w14:paraId="7555156E">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1783" w:type="pct"/>
            <w:tcBorders>
              <w:top w:val="nil"/>
              <w:left w:val="nil"/>
              <w:bottom w:val="single" w:color="auto" w:sz="4" w:space="0"/>
              <w:right w:val="single" w:color="auto" w:sz="4" w:space="0"/>
            </w:tcBorders>
            <w:shd w:val="clear" w:color="auto" w:fill="auto"/>
            <w:noWrap/>
            <w:vAlign w:val="center"/>
          </w:tcPr>
          <w:p w14:paraId="4F95FB8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r>
              <w:rPr>
                <w:rFonts w:hint="eastAsia" w:ascii="宋体" w:hAnsi="宋体" w:cs="宋体"/>
                <w:b/>
                <w:bCs/>
                <w:color w:val="000000"/>
                <w:kern w:val="0"/>
                <w:sz w:val="18"/>
                <w:szCs w:val="18"/>
                <w:highlight w:val="none"/>
                <w:lang w:val="en-US" w:eastAsia="zh-CN"/>
              </w:rPr>
              <w:t>计划</w:t>
            </w:r>
            <w:r>
              <w:rPr>
                <w:rFonts w:hint="eastAsia" w:ascii="宋体" w:hAnsi="宋体" w:cs="宋体"/>
                <w:b/>
                <w:bCs/>
                <w:color w:val="000000"/>
                <w:kern w:val="0"/>
                <w:sz w:val="18"/>
                <w:szCs w:val="18"/>
                <w:highlight w:val="none"/>
              </w:rPr>
              <w:t>发行</w:t>
            </w:r>
          </w:p>
        </w:tc>
      </w:tr>
      <w:tr w14:paraId="0E0F5B71">
        <w:tblPrEx>
          <w:tblCellMar>
            <w:top w:w="0" w:type="dxa"/>
            <w:left w:w="108" w:type="dxa"/>
            <w:bottom w:w="0" w:type="dxa"/>
            <w:right w:w="108" w:type="dxa"/>
          </w:tblCellMar>
        </w:tblPrEx>
        <w:trPr>
          <w:trHeight w:val="270" w:hRule="atLeast"/>
        </w:trPr>
        <w:tc>
          <w:tcPr>
            <w:tcW w:w="781" w:type="pct"/>
            <w:tcBorders>
              <w:top w:val="nil"/>
              <w:left w:val="single" w:color="auto" w:sz="4" w:space="0"/>
              <w:bottom w:val="single" w:color="auto" w:sz="4" w:space="0"/>
              <w:right w:val="single" w:color="auto" w:sz="4" w:space="0"/>
            </w:tcBorders>
            <w:shd w:val="clear" w:color="auto" w:fill="auto"/>
            <w:noWrap/>
            <w:vAlign w:val="center"/>
          </w:tcPr>
          <w:p w14:paraId="4856201F">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49,942.81</w:t>
            </w:r>
          </w:p>
        </w:tc>
        <w:tc>
          <w:tcPr>
            <w:tcW w:w="673" w:type="pct"/>
            <w:tcBorders>
              <w:top w:val="nil"/>
              <w:left w:val="nil"/>
              <w:bottom w:val="single" w:color="auto" w:sz="4" w:space="0"/>
              <w:right w:val="single" w:color="auto" w:sz="4" w:space="0"/>
            </w:tcBorders>
            <w:shd w:val="clear" w:color="auto" w:fill="auto"/>
            <w:noWrap/>
            <w:vAlign w:val="center"/>
          </w:tcPr>
          <w:p w14:paraId="3C01A2BF">
            <w:pPr>
              <w:widowControl/>
              <w:jc w:val="center"/>
              <w:rPr>
                <w:rFonts w:hint="default"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27,442.81</w:t>
            </w:r>
          </w:p>
        </w:tc>
        <w:tc>
          <w:tcPr>
            <w:tcW w:w="507" w:type="pct"/>
            <w:tcBorders>
              <w:top w:val="nil"/>
              <w:left w:val="nil"/>
              <w:bottom w:val="single" w:color="auto" w:sz="4" w:space="0"/>
              <w:right w:val="single" w:color="auto" w:sz="4" w:space="0"/>
            </w:tcBorders>
            <w:shd w:val="clear" w:color="auto" w:fill="auto"/>
            <w:vAlign w:val="center"/>
          </w:tcPr>
          <w:p w14:paraId="27239FD5">
            <w:pPr>
              <w:widowControl/>
              <w:jc w:val="center"/>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22,500.00</w:t>
            </w:r>
          </w:p>
        </w:tc>
        <w:tc>
          <w:tcPr>
            <w:tcW w:w="510" w:type="pct"/>
            <w:tcBorders>
              <w:top w:val="single" w:color="auto" w:sz="4" w:space="0"/>
              <w:left w:val="nil"/>
              <w:bottom w:val="single" w:color="auto" w:sz="4" w:space="0"/>
              <w:right w:val="single" w:color="auto" w:sz="4" w:space="0"/>
            </w:tcBorders>
          </w:tcPr>
          <w:p w14:paraId="1ABD171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w:t>
            </w:r>
            <w:r>
              <w:rPr>
                <w:rFonts w:ascii="宋体" w:hAnsi="宋体" w:cs="宋体"/>
                <w:color w:val="000000"/>
                <w:kern w:val="0"/>
                <w:sz w:val="18"/>
                <w:szCs w:val="18"/>
                <w:highlight w:val="none"/>
              </w:rPr>
              <w:t>,000.00</w:t>
            </w:r>
          </w:p>
        </w:tc>
        <w:tc>
          <w:tcPr>
            <w:tcW w:w="744" w:type="pct"/>
            <w:tcBorders>
              <w:top w:val="nil"/>
              <w:left w:val="nil"/>
              <w:bottom w:val="single" w:color="auto" w:sz="4" w:space="0"/>
              <w:right w:val="single" w:color="auto" w:sz="4" w:space="0"/>
            </w:tcBorders>
            <w:shd w:val="clear" w:color="auto" w:fill="auto"/>
            <w:vAlign w:val="center"/>
          </w:tcPr>
          <w:p w14:paraId="29C7D1D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00.00</w:t>
            </w:r>
          </w:p>
        </w:tc>
        <w:tc>
          <w:tcPr>
            <w:tcW w:w="1783" w:type="pct"/>
            <w:tcBorders>
              <w:top w:val="nil"/>
              <w:left w:val="nil"/>
              <w:bottom w:val="single" w:color="auto" w:sz="4" w:space="0"/>
              <w:right w:val="single" w:color="auto" w:sz="4" w:space="0"/>
            </w:tcBorders>
            <w:shd w:val="clear" w:color="auto" w:fill="auto"/>
            <w:vAlign w:val="center"/>
          </w:tcPr>
          <w:p w14:paraId="1477F4E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00</w:t>
            </w:r>
            <w:r>
              <w:rPr>
                <w:rFonts w:hint="eastAsia" w:ascii="宋体" w:hAnsi="宋体" w:cs="宋体"/>
                <w:color w:val="000000"/>
                <w:kern w:val="0"/>
                <w:sz w:val="18"/>
                <w:szCs w:val="18"/>
                <w:highlight w:val="none"/>
              </w:rPr>
              <w:t>0.00</w:t>
            </w:r>
          </w:p>
        </w:tc>
      </w:tr>
    </w:tbl>
    <w:p w14:paraId="66E8E369">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4、项目收入、成本、收益预测合理性</w:t>
      </w:r>
    </w:p>
    <w:p w14:paraId="7ACD2864">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根据项目可行性研究报告并结合实际情况进行测算，本项目债券存续期内收入包含土地出让收入37,413.12万元。</w:t>
      </w:r>
    </w:p>
    <w:p w14:paraId="40A2B05B">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债券存续期收益已由业主单位盖章确认，预测合理性较高。</w:t>
      </w:r>
    </w:p>
    <w:p w14:paraId="361DB2B0">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5、债券资金需求合理性</w:t>
      </w:r>
    </w:p>
    <w:p w14:paraId="384A0CF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本项目资本金比例54.00%，满足国家发改委对固定资产投资项目资本金比例的要求。项目拟申请债券资金本息额共计</w:t>
      </w:r>
      <w:r>
        <w:rPr>
          <w:rFonts w:hint="eastAsia" w:ascii="宋体" w:hAnsi="宋体" w:eastAsia="宋体" w:cs="宋体"/>
          <w:bCs/>
          <w:color w:val="auto"/>
          <w:sz w:val="24"/>
          <w:szCs w:val="24"/>
          <w:lang w:val="en-US" w:eastAsia="zh-CN"/>
        </w:rPr>
        <w:t>30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470</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00</w:t>
      </w:r>
      <w:r>
        <w:rPr>
          <w:rFonts w:hint="eastAsia" w:ascii="宋体" w:hAnsi="宋体" w:eastAsia="宋体" w:cs="宋体"/>
          <w:bCs/>
          <w:color w:val="auto"/>
          <w:sz w:val="24"/>
          <w:szCs w:val="24"/>
        </w:rPr>
        <w:t>万元，项目收益预计为36,</w:t>
      </w: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64.</w:t>
      </w:r>
      <w:r>
        <w:rPr>
          <w:rFonts w:hint="eastAsia" w:ascii="宋体" w:hAnsi="宋体" w:eastAsia="宋体" w:cs="宋体"/>
          <w:bCs/>
          <w:color w:val="auto"/>
          <w:sz w:val="24"/>
          <w:szCs w:val="24"/>
          <w:lang w:val="en-US" w:eastAsia="zh-CN"/>
        </w:rPr>
        <w:t>00</w:t>
      </w:r>
      <w:r>
        <w:rPr>
          <w:rFonts w:hint="eastAsia" w:ascii="宋体" w:hAnsi="宋体" w:eastAsia="宋体" w:cs="宋体"/>
          <w:bCs/>
          <w:color w:val="auto"/>
          <w:sz w:val="24"/>
          <w:szCs w:val="24"/>
        </w:rPr>
        <w:t>万元，项目收益对债券本息的覆盖倍数计算为1.</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，偿债保障性较高，债券需求额度合理。</w:t>
      </w:r>
    </w:p>
    <w:p w14:paraId="06D0645C">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6、项目偿债计划可行性和偿债风险</w:t>
      </w:r>
    </w:p>
    <w:p w14:paraId="0C0B51A8">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本项目202</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年拟申请发行</w:t>
      </w: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年期专项债券</w:t>
      </w:r>
      <w:r>
        <w:rPr>
          <w:rFonts w:hint="eastAsia" w:ascii="宋体" w:hAnsi="宋体" w:eastAsia="宋体" w:cs="宋体"/>
          <w:bCs/>
          <w:color w:val="auto"/>
          <w:sz w:val="24"/>
          <w:szCs w:val="24"/>
          <w:lang w:val="en-US" w:eastAsia="zh-CN"/>
        </w:rPr>
        <w:t>1750</w:t>
      </w:r>
      <w:r>
        <w:rPr>
          <w:rFonts w:hint="eastAsia" w:ascii="宋体" w:hAnsi="宋体" w:eastAsia="宋体" w:cs="宋体"/>
          <w:bCs/>
          <w:color w:val="auto"/>
          <w:sz w:val="24"/>
          <w:szCs w:val="24"/>
        </w:rPr>
        <w:t>.00万元；每半年付息一次，到期一次偿还本金。其均以资本金偿还，可保障建设期利息可靠偿还。</w:t>
      </w:r>
    </w:p>
    <w:p w14:paraId="13F9D4C4">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项目自2027年可实现收益，可满足后续债券各年利息偿还，结余资金转账管理，用于到期一次还本，偿债计划可行。</w:t>
      </w:r>
    </w:p>
    <w:p w14:paraId="7ED03DB7">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7、绩效目标合理性</w:t>
      </w:r>
    </w:p>
    <w:p w14:paraId="1B1389D4">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0D83838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8、其他需要纳入其他绩效评估的事项</w:t>
      </w:r>
    </w:p>
    <w:p w14:paraId="65168205">
      <w:pPr>
        <w:widowControl/>
        <w:spacing w:line="560" w:lineRule="exact"/>
        <w:ind w:firstLine="560" w:firstLineChars="200"/>
        <w:jc w:val="left"/>
        <w:outlineLvl w:val="0"/>
        <w:rPr>
          <w:rFonts w:ascii="黑体" w:hAnsi="黑体" w:eastAsia="黑体" w:cs="黑体"/>
          <w:color w:val="auto"/>
          <w:sz w:val="28"/>
          <w:szCs w:val="28"/>
        </w:rPr>
      </w:pPr>
      <w:bookmarkStart w:id="33" w:name="_Toc820"/>
      <w:r>
        <w:rPr>
          <w:rFonts w:hint="eastAsia" w:ascii="黑体" w:hAnsi="黑体" w:eastAsia="黑体" w:cs="黑体"/>
          <w:color w:val="auto"/>
          <w:sz w:val="28"/>
          <w:szCs w:val="28"/>
        </w:rPr>
        <w:t>五、项目风险分析</w:t>
      </w:r>
      <w:bookmarkEnd w:id="31"/>
      <w:bookmarkEnd w:id="33"/>
    </w:p>
    <w:p w14:paraId="403DCD5F">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1、投资估算风险</w:t>
      </w:r>
    </w:p>
    <w:p w14:paraId="263F70E7">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2B4A4D07">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2、工程风险</w:t>
      </w:r>
    </w:p>
    <w:p w14:paraId="27DD30B5">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5E712E95">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3、融资风险</w:t>
      </w:r>
    </w:p>
    <w:p w14:paraId="7167A242">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1C2C117B">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4、财务风险</w:t>
      </w:r>
    </w:p>
    <w:p w14:paraId="038972BE">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45AF73F5">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5、自然风险</w:t>
      </w:r>
    </w:p>
    <w:p w14:paraId="1D180166">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本项目在经营期间遇到人力不可抗拒的自然灾害是完全可能的，为了降低此间风险，要根据项目的特点制定的相应的措施，以便使不可抗拒自然灾害的风险降到最低。</w:t>
      </w:r>
    </w:p>
    <w:p w14:paraId="5FE95DE7">
      <w:pPr>
        <w:widowControl/>
        <w:spacing w:line="560" w:lineRule="exact"/>
        <w:ind w:firstLine="560" w:firstLineChars="200"/>
        <w:jc w:val="left"/>
        <w:outlineLvl w:val="0"/>
        <w:rPr>
          <w:rFonts w:ascii="黑体" w:hAnsi="黑体" w:eastAsia="黑体" w:cs="黑体"/>
          <w:color w:val="auto"/>
          <w:sz w:val="28"/>
          <w:szCs w:val="28"/>
        </w:rPr>
      </w:pPr>
      <w:bookmarkStart w:id="34" w:name="_Toc23925"/>
      <w:bookmarkStart w:id="35" w:name="_Toc36580116"/>
      <w:r>
        <w:rPr>
          <w:rFonts w:hint="eastAsia" w:ascii="黑体" w:hAnsi="黑体" w:eastAsia="黑体" w:cs="黑体"/>
          <w:color w:val="auto"/>
          <w:sz w:val="28"/>
          <w:szCs w:val="28"/>
        </w:rPr>
        <w:t>六、专项债发行方案</w:t>
      </w:r>
      <w:bookmarkEnd w:id="34"/>
      <w:bookmarkEnd w:id="35"/>
      <w:bookmarkStart w:id="36" w:name="_Toc511132341"/>
      <w:bookmarkStart w:id="37" w:name="_Toc521934768"/>
      <w:bookmarkStart w:id="38" w:name="_Toc498551254"/>
    </w:p>
    <w:p w14:paraId="3D49CB54">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1、发行主体资格</w:t>
      </w:r>
      <w:bookmarkEnd w:id="36"/>
      <w:bookmarkEnd w:id="37"/>
      <w:bookmarkEnd w:id="38"/>
      <w:bookmarkStart w:id="39" w:name="_Toc498551255"/>
      <w:bookmarkStart w:id="40" w:name="_Toc521934769"/>
      <w:bookmarkStart w:id="41" w:name="_Toc511132342"/>
      <w:r>
        <w:rPr>
          <w:rFonts w:hint="eastAsia" w:ascii="宋体" w:hAnsi="宋体" w:eastAsia="宋体" w:cs="宋体"/>
          <w:bCs/>
          <w:color w:val="auto"/>
          <w:sz w:val="24"/>
          <w:szCs w:val="24"/>
        </w:rPr>
        <w:t>:根据《关于试点发展项目收益与融资自求平衡的地方政府专项债券品种的通知》（财预[2017]89号）之规定，地方政府专项债券需由江西省人民政府作为发行主体。本项目的实施机构为南昌县住房和城乡建设局，是依法批准设立的机关单位，具备机关单位法人资格，具有相应的民事权利能力和民事行为能力；项目业主为南昌县城市建设投资发展有限公司,是依法批准设立的企业法人，具备作为项目业主的资格。</w:t>
      </w:r>
    </w:p>
    <w:bookmarkEnd w:id="39"/>
    <w:bookmarkEnd w:id="40"/>
    <w:bookmarkEnd w:id="41"/>
    <w:p w14:paraId="0E8180A1">
      <w:pPr>
        <w:spacing w:line="360" w:lineRule="auto"/>
        <w:ind w:left="-141" w:leftChars="-67" w:right="-99" w:rightChars="-47" w:firstLine="376" w:firstLineChars="157"/>
        <w:rPr>
          <w:rFonts w:hint="eastAsia" w:ascii="宋体" w:hAnsi="宋体" w:eastAsia="宋体" w:cs="宋体"/>
          <w:bCs/>
          <w:color w:val="auto"/>
          <w:sz w:val="24"/>
          <w:szCs w:val="24"/>
        </w:rPr>
      </w:pPr>
      <w:bookmarkStart w:id="42" w:name="_Toc498551258"/>
      <w:bookmarkStart w:id="43" w:name="_Toc511132345"/>
      <w:bookmarkStart w:id="44" w:name="_Toc521934772"/>
      <w:r>
        <w:rPr>
          <w:rFonts w:hint="eastAsia" w:ascii="宋体" w:hAnsi="宋体" w:eastAsia="宋体" w:cs="宋体"/>
          <w:bCs/>
          <w:color w:val="auto"/>
          <w:sz w:val="24"/>
          <w:szCs w:val="24"/>
        </w:rPr>
        <w:t>2、发行计划</w:t>
      </w:r>
      <w:bookmarkEnd w:id="42"/>
      <w:bookmarkEnd w:id="43"/>
      <w:bookmarkEnd w:id="44"/>
      <w:r>
        <w:rPr>
          <w:rFonts w:hint="eastAsia" w:ascii="宋体" w:hAnsi="宋体" w:eastAsia="宋体" w:cs="宋体"/>
          <w:bCs/>
          <w:color w:val="auto"/>
          <w:sz w:val="24"/>
          <w:szCs w:val="24"/>
        </w:rPr>
        <w:t>:东新乡东岳村三期安置房（城市棚户区改造）项目申请发行地方政府专项债券2</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50</w:t>
      </w:r>
      <w:r>
        <w:rPr>
          <w:rFonts w:hint="eastAsia" w:ascii="宋体" w:hAnsi="宋体" w:eastAsia="宋体" w:cs="宋体"/>
          <w:bCs/>
          <w:color w:val="auto"/>
          <w:sz w:val="24"/>
          <w:szCs w:val="24"/>
          <w:lang w:val="en-US" w:eastAsia="zh-CN"/>
        </w:rPr>
        <w:t>0</w:t>
      </w:r>
      <w:r>
        <w:rPr>
          <w:rFonts w:hint="eastAsia" w:ascii="宋体" w:hAnsi="宋体" w:eastAsia="宋体" w:cs="宋体"/>
          <w:bCs/>
          <w:color w:val="auto"/>
          <w:sz w:val="24"/>
          <w:szCs w:val="24"/>
        </w:rPr>
        <w:t>.00万元，202</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年</w:t>
      </w:r>
      <w:r>
        <w:rPr>
          <w:rFonts w:hint="eastAsia" w:ascii="宋体" w:hAnsi="宋体" w:eastAsia="宋体" w:cs="宋体"/>
          <w:bCs/>
          <w:color w:val="auto"/>
          <w:sz w:val="24"/>
          <w:szCs w:val="24"/>
          <w:lang w:val="en-US" w:eastAsia="zh-CN"/>
        </w:rPr>
        <w:t>本期</w:t>
      </w:r>
      <w:r>
        <w:rPr>
          <w:rFonts w:hint="eastAsia" w:ascii="宋体" w:hAnsi="宋体" w:eastAsia="宋体" w:cs="宋体"/>
          <w:bCs/>
          <w:color w:val="auto"/>
          <w:sz w:val="24"/>
          <w:szCs w:val="24"/>
        </w:rPr>
        <w:t>申请发行1</w:t>
      </w:r>
      <w:r>
        <w:rPr>
          <w:rFonts w:hint="eastAsia" w:ascii="宋体" w:hAnsi="宋体" w:eastAsia="宋体" w:cs="宋体"/>
          <w:bCs/>
          <w:color w:val="auto"/>
          <w:sz w:val="24"/>
          <w:szCs w:val="24"/>
          <w:lang w:val="en-US" w:eastAsia="zh-CN"/>
        </w:rPr>
        <w:t>7</w:t>
      </w:r>
      <w:r>
        <w:rPr>
          <w:rFonts w:hint="eastAsia" w:ascii="宋体" w:hAnsi="宋体" w:eastAsia="宋体" w:cs="宋体"/>
          <w:bCs/>
          <w:color w:val="auto"/>
          <w:sz w:val="24"/>
          <w:szCs w:val="24"/>
        </w:rPr>
        <w:t>50.00万元，期限</w:t>
      </w: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年，专项债券融资成本按3.</w:t>
      </w:r>
      <w:r>
        <w:rPr>
          <w:rFonts w:hint="eastAsia" w:ascii="宋体" w:hAnsi="宋体" w:eastAsia="宋体" w:cs="宋体"/>
          <w:bCs/>
          <w:color w:val="auto"/>
          <w:sz w:val="24"/>
          <w:szCs w:val="24"/>
          <w:lang w:val="en-US" w:eastAsia="zh-CN"/>
        </w:rPr>
        <w:t>7</w:t>
      </w:r>
      <w:r>
        <w:rPr>
          <w:rFonts w:hint="eastAsia" w:ascii="宋体" w:hAnsi="宋体" w:eastAsia="宋体" w:cs="宋体"/>
          <w:bCs/>
          <w:color w:val="auto"/>
          <w:sz w:val="24"/>
          <w:szCs w:val="24"/>
        </w:rPr>
        <w:t>%估算。</w:t>
      </w:r>
      <w:bookmarkStart w:id="45" w:name="_Toc521934773"/>
      <w:bookmarkStart w:id="46" w:name="_Toc498385080"/>
      <w:bookmarkStart w:id="47" w:name="_Toc498385748"/>
      <w:bookmarkStart w:id="48" w:name="_Toc498551259"/>
      <w:bookmarkStart w:id="49" w:name="_Toc511132346"/>
    </w:p>
    <w:p w14:paraId="15959112">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3、发行场所</w:t>
      </w:r>
      <w:bookmarkEnd w:id="45"/>
      <w:bookmarkEnd w:id="46"/>
      <w:bookmarkEnd w:id="47"/>
      <w:bookmarkEnd w:id="48"/>
      <w:bookmarkEnd w:id="49"/>
      <w:r>
        <w:rPr>
          <w:rFonts w:hint="eastAsia" w:ascii="宋体" w:hAnsi="宋体" w:eastAsia="宋体" w:cs="宋体"/>
          <w:bCs/>
          <w:color w:val="auto"/>
          <w:sz w:val="24"/>
          <w:szCs w:val="24"/>
        </w:rPr>
        <w:t>:通过全国银行间债券市场、证券交易所债券市场发行。将来条件具备时也可在银行柜台债券市场发行。</w:t>
      </w:r>
      <w:bookmarkStart w:id="50" w:name="_Toc521934775"/>
      <w:bookmarkStart w:id="51" w:name="_Toc498385082"/>
      <w:bookmarkStart w:id="52" w:name="_Toc511132348"/>
      <w:bookmarkStart w:id="53" w:name="_Toc498551261"/>
      <w:bookmarkStart w:id="54" w:name="_Toc498385750"/>
    </w:p>
    <w:p w14:paraId="765582EA">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4、时间安排</w:t>
      </w:r>
      <w:bookmarkEnd w:id="50"/>
      <w:bookmarkEnd w:id="51"/>
      <w:bookmarkEnd w:id="52"/>
      <w:bookmarkEnd w:id="53"/>
      <w:bookmarkEnd w:id="54"/>
      <w:r>
        <w:rPr>
          <w:rFonts w:hint="eastAsia" w:ascii="宋体" w:hAnsi="宋体" w:eastAsia="宋体" w:cs="宋体"/>
          <w:bCs/>
          <w:color w:val="auto"/>
          <w:sz w:val="24"/>
          <w:szCs w:val="24"/>
        </w:rPr>
        <w:t>:计划发行时间为202</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年0</w:t>
      </w:r>
      <w:r>
        <w:rPr>
          <w:rFonts w:hint="eastAsia" w:ascii="宋体" w:hAnsi="宋体" w:eastAsia="宋体" w:cs="宋体"/>
          <w:bCs/>
          <w:color w:val="auto"/>
          <w:sz w:val="24"/>
          <w:szCs w:val="24"/>
          <w:lang w:val="en-US" w:eastAsia="zh-CN"/>
        </w:rPr>
        <w:t>9</w:t>
      </w:r>
      <w:r>
        <w:rPr>
          <w:rFonts w:hint="eastAsia" w:ascii="宋体" w:hAnsi="宋体" w:eastAsia="宋体" w:cs="宋体"/>
          <w:bCs/>
          <w:color w:val="auto"/>
          <w:sz w:val="24"/>
          <w:szCs w:val="24"/>
        </w:rPr>
        <w:t>月，以后年度结合当年发债计划安排。</w:t>
      </w:r>
    </w:p>
    <w:p w14:paraId="16500CD1">
      <w:pPr>
        <w:spacing w:line="360" w:lineRule="auto"/>
        <w:ind w:left="-141" w:leftChars="-67" w:right="-99" w:rightChars="-47" w:firstLine="376" w:firstLineChars="157"/>
        <w:rPr>
          <w:rFonts w:hint="eastAsia" w:ascii="宋体" w:hAnsi="宋体" w:eastAsia="宋体" w:cs="宋体"/>
          <w:bCs/>
          <w:color w:val="auto"/>
          <w:sz w:val="24"/>
          <w:szCs w:val="24"/>
        </w:rPr>
      </w:pPr>
      <w:r>
        <w:rPr>
          <w:rFonts w:hint="eastAsia" w:ascii="宋体" w:hAnsi="宋体" w:eastAsia="宋体" w:cs="宋体"/>
          <w:bCs/>
          <w:color w:val="auto"/>
          <w:sz w:val="24"/>
          <w:szCs w:val="24"/>
        </w:rPr>
        <w:t>5、信息披露：在专项债发行日前5个工作日通过</w:t>
      </w:r>
      <w:bookmarkStart w:id="55" w:name="dttl"/>
      <w:r>
        <w:rPr>
          <w:rFonts w:hint="eastAsia" w:ascii="宋体" w:hAnsi="宋体" w:eastAsia="宋体" w:cs="宋体"/>
          <w:bCs/>
          <w:color w:val="auto"/>
          <w:sz w:val="24"/>
          <w:szCs w:val="24"/>
        </w:rPr>
        <w:fldChar w:fldCharType="begin"/>
      </w:r>
      <w:r>
        <w:rPr>
          <w:rFonts w:hint="eastAsia" w:ascii="宋体" w:hAnsi="宋体" w:eastAsia="宋体" w:cs="宋体"/>
          <w:bCs/>
          <w:color w:val="auto"/>
          <w:sz w:val="24"/>
          <w:szCs w:val="24"/>
        </w:rPr>
        <w:instrText xml:space="preserve"> HYPERLINK "https://www.sogou.com/link?url=DSOYnZeCC_pzE53eXNhcqFoov_MuMQYQreaVHN88tHY." \t "https://www.sogou.com/_blank" </w:instrText>
      </w:r>
      <w:r>
        <w:rPr>
          <w:rFonts w:hint="eastAsia" w:ascii="宋体" w:hAnsi="宋体" w:eastAsia="宋体" w:cs="宋体"/>
          <w:bCs/>
          <w:color w:val="auto"/>
          <w:sz w:val="24"/>
          <w:szCs w:val="24"/>
        </w:rPr>
        <w:fldChar w:fldCharType="separate"/>
      </w:r>
      <w:r>
        <w:rPr>
          <w:rFonts w:hint="eastAsia" w:ascii="宋体" w:hAnsi="宋体" w:eastAsia="宋体" w:cs="宋体"/>
          <w:bCs/>
          <w:color w:val="auto"/>
          <w:sz w:val="24"/>
          <w:szCs w:val="24"/>
        </w:rPr>
        <w:t>中国地方政府债券信息公开平台</w:t>
      </w:r>
      <w:bookmarkEnd w:id="55"/>
      <w:r>
        <w:rPr>
          <w:rFonts w:hint="eastAsia" w:ascii="宋体" w:hAnsi="宋体" w:eastAsia="宋体" w:cs="宋体"/>
          <w:bCs/>
          <w:color w:val="auto"/>
          <w:sz w:val="24"/>
          <w:szCs w:val="24"/>
        </w:rPr>
        <w:fldChar w:fldCharType="end"/>
      </w:r>
      <w:r>
        <w:rPr>
          <w:rFonts w:hint="eastAsia" w:ascii="宋体" w:hAnsi="宋体" w:eastAsia="宋体" w:cs="宋体"/>
          <w:bCs/>
          <w:color w:val="auto"/>
          <w:sz w:val="24"/>
          <w:szCs w:val="24"/>
        </w:rPr>
        <w:t>、江西省财政厅官方网站和中国债券信息网-中央结算公司官方网站披露（http：//www.chinabond.com.cn/）详细披露债券发行全套信息披露文件。</w:t>
      </w:r>
    </w:p>
    <w:p w14:paraId="397AD648">
      <w:pPr>
        <w:spacing w:line="360" w:lineRule="auto"/>
        <w:ind w:left="-141" w:leftChars="-67" w:right="-99" w:rightChars="-47" w:firstLine="376" w:firstLineChars="157"/>
        <w:rPr>
          <w:rFonts w:ascii="楷体" w:hAnsi="楷体" w:eastAsia="楷体" w:cs="楷体"/>
          <w:bCs/>
          <w:color w:val="auto"/>
          <w:sz w:val="28"/>
          <w:szCs w:val="28"/>
        </w:rPr>
      </w:pPr>
      <w:r>
        <w:rPr>
          <w:rFonts w:hint="eastAsia" w:ascii="宋体" w:hAnsi="宋体" w:eastAsia="宋体" w:cs="宋体"/>
          <w:bCs/>
          <w:color w:val="auto"/>
          <w:sz w:val="24"/>
          <w:szCs w:val="24"/>
        </w:rPr>
        <w:t>总体而言，东新乡东岳村三期安置房（城市棚户区改造）项目通过发行专项债可以降低项目融资成本，是现阶段解决建设资金问题的推荐方案。且基于财政部对地方政府发行项目收益与融资自求平衡专项债券的要求，并根据项目重大建设意义，东新乡东岳村三期安置房（城市棚户区改造）项目可以通过申请专项债券的方式进行融资以完成资金筹措。</w:t>
      </w:r>
    </w:p>
    <w:p w14:paraId="2CD49906">
      <w:pPr>
        <w:jc w:val="center"/>
        <w:rPr>
          <w:rFonts w:ascii="楷体" w:hAnsi="楷体" w:eastAsia="楷体"/>
          <w:b/>
          <w:color w:val="auto"/>
          <w:sz w:val="44"/>
          <w:szCs w:val="44"/>
        </w:rPr>
      </w:pPr>
    </w:p>
    <w:p w14:paraId="1CF247E8">
      <w:pPr>
        <w:spacing w:line="360" w:lineRule="auto"/>
        <w:jc w:val="center"/>
        <w:outlineLvl w:val="0"/>
        <w:rPr>
          <w:rFonts w:hint="eastAsia" w:ascii="仿宋" w:hAnsi="仿宋" w:eastAsia="楷体"/>
          <w:b/>
          <w:sz w:val="44"/>
          <w:szCs w:val="44"/>
          <w:lang w:eastAsia="zh-CN"/>
        </w:rPr>
      </w:pPr>
      <w:r>
        <w:rPr>
          <w:rFonts w:hint="eastAsia" w:ascii="仿宋" w:hAnsi="仿宋" w:eastAsia="楷体"/>
          <w:b/>
          <w:sz w:val="44"/>
          <w:szCs w:val="44"/>
          <w:lang w:eastAsia="zh-CN"/>
        </w:rPr>
        <w:t>南昌县向塘镇320国道改造安置房（保障房）一期二批工程实施方案</w:t>
      </w:r>
    </w:p>
    <w:p w14:paraId="6DC33B1A">
      <w:pPr>
        <w:spacing w:line="360" w:lineRule="auto"/>
        <w:jc w:val="center"/>
        <w:outlineLvl w:val="0"/>
        <w:rPr>
          <w:rFonts w:hint="eastAsia" w:ascii="仿宋" w:hAnsi="仿宋" w:eastAsia="楷体"/>
          <w:b/>
          <w:sz w:val="44"/>
          <w:szCs w:val="44"/>
          <w:lang w:eastAsia="zh-CN"/>
        </w:rPr>
      </w:pPr>
    </w:p>
    <w:p w14:paraId="79F8AEA3">
      <w:pPr>
        <w:ind w:left="-141" w:leftChars="-67" w:right="-99" w:rightChars="-47" w:firstLine="439" w:firstLineChars="157"/>
        <w:jc w:val="center"/>
        <w:rPr>
          <w:rFonts w:ascii="宋体" w:hAnsi="宋体" w:eastAsia="宋体"/>
          <w:color w:val="auto"/>
          <w:sz w:val="28"/>
          <w:szCs w:val="28"/>
        </w:rPr>
      </w:pPr>
    </w:p>
    <w:p w14:paraId="7D366EEC">
      <w:pPr>
        <w:ind w:left="-141" w:leftChars="-67" w:right="-99" w:rightChars="-47" w:firstLine="439" w:firstLineChars="157"/>
        <w:rPr>
          <w:rFonts w:ascii="宋体" w:hAnsi="宋体" w:eastAsia="宋体"/>
          <w:color w:val="auto"/>
          <w:sz w:val="28"/>
          <w:szCs w:val="28"/>
        </w:rPr>
      </w:pPr>
    </w:p>
    <w:p w14:paraId="78295C40">
      <w:pPr>
        <w:ind w:left="-141" w:leftChars="-67" w:right="-99" w:rightChars="-47" w:firstLine="439" w:firstLineChars="157"/>
        <w:rPr>
          <w:rFonts w:ascii="宋体" w:hAnsi="宋体" w:eastAsia="宋体"/>
          <w:color w:val="auto"/>
          <w:sz w:val="28"/>
          <w:szCs w:val="28"/>
        </w:rPr>
      </w:pPr>
    </w:p>
    <w:p w14:paraId="7C754F82">
      <w:pPr>
        <w:ind w:right="-99" w:rightChars="-47"/>
        <w:rPr>
          <w:rFonts w:ascii="宋体" w:hAnsi="宋体" w:eastAsia="宋体"/>
          <w:color w:val="auto"/>
          <w:sz w:val="28"/>
          <w:szCs w:val="28"/>
          <w:u w:val="single"/>
        </w:rPr>
      </w:pPr>
    </w:p>
    <w:p w14:paraId="1BF38BD6">
      <w:pPr>
        <w:ind w:left="-141" w:leftChars="-67" w:right="-99" w:rightChars="-47" w:firstLine="502" w:firstLineChars="157"/>
        <w:rPr>
          <w:color w:val="auto"/>
          <w:sz w:val="32"/>
          <w:szCs w:val="32"/>
          <w:u w:val="single"/>
        </w:rPr>
      </w:pPr>
    </w:p>
    <w:p w14:paraId="465A3510">
      <w:pPr>
        <w:ind w:left="-141" w:leftChars="-67" w:right="-99" w:rightChars="-47" w:firstLine="502" w:firstLineChars="157"/>
        <w:rPr>
          <w:color w:val="auto"/>
          <w:sz w:val="32"/>
          <w:szCs w:val="32"/>
          <w:u w:val="single"/>
        </w:rPr>
      </w:pPr>
    </w:p>
    <w:p w14:paraId="00B3099F">
      <w:pPr>
        <w:ind w:left="-141" w:leftChars="-67" w:right="-99" w:rightChars="-47" w:firstLine="502" w:firstLineChars="157"/>
        <w:rPr>
          <w:color w:val="auto"/>
          <w:sz w:val="32"/>
          <w:szCs w:val="32"/>
          <w:u w:val="single"/>
        </w:rPr>
      </w:pPr>
    </w:p>
    <w:p w14:paraId="7439AA72">
      <w:pPr>
        <w:ind w:left="-141" w:leftChars="-67" w:right="-99" w:rightChars="-47" w:firstLine="502" w:firstLineChars="157"/>
        <w:rPr>
          <w:color w:val="auto"/>
          <w:sz w:val="32"/>
          <w:szCs w:val="32"/>
          <w:u w:val="single"/>
        </w:rPr>
      </w:pPr>
    </w:p>
    <w:p w14:paraId="0DC685A4">
      <w:pPr>
        <w:spacing w:line="360" w:lineRule="auto"/>
        <w:jc w:val="center"/>
        <w:rPr>
          <w:rFonts w:ascii="仿宋" w:hAnsi="仿宋" w:eastAsia="楷体"/>
          <w:b/>
          <w:color w:val="auto"/>
          <w:sz w:val="44"/>
          <w:szCs w:val="44"/>
        </w:rPr>
      </w:pPr>
    </w:p>
    <w:p w14:paraId="374B90E2">
      <w:pPr>
        <w:spacing w:line="360" w:lineRule="auto"/>
        <w:jc w:val="center"/>
        <w:rPr>
          <w:rFonts w:ascii="仿宋" w:hAnsi="仿宋" w:eastAsia="楷体"/>
          <w:b/>
          <w:color w:val="auto"/>
          <w:sz w:val="44"/>
          <w:szCs w:val="44"/>
        </w:rPr>
      </w:pPr>
    </w:p>
    <w:p w14:paraId="3CF1C20D">
      <w:pPr>
        <w:pStyle w:val="29"/>
        <w:rPr>
          <w:rFonts w:hint="eastAsia"/>
          <w:color w:val="auto"/>
        </w:rPr>
      </w:pPr>
    </w:p>
    <w:p w14:paraId="633315C2">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15766449">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27711DC4">
      <w:pPr>
        <w:rPr>
          <w:rFonts w:ascii="楷体" w:hAnsi="楷体" w:eastAsia="楷体"/>
          <w:b/>
          <w:color w:val="auto"/>
          <w:sz w:val="44"/>
          <w:szCs w:val="44"/>
        </w:rPr>
      </w:pPr>
      <w:r>
        <w:rPr>
          <w:rFonts w:ascii="楷体" w:hAnsi="楷体" w:eastAsia="楷体"/>
          <w:b/>
          <w:color w:val="auto"/>
          <w:sz w:val="44"/>
          <w:szCs w:val="44"/>
        </w:rPr>
        <w:br w:type="page"/>
      </w:r>
    </w:p>
    <w:p w14:paraId="0ECCED39">
      <w:pPr>
        <w:ind w:right="-99" w:rightChars="-47"/>
        <w:jc w:val="center"/>
        <w:rPr>
          <w:rFonts w:hint="eastAsia" w:ascii="楷体" w:hAnsi="楷体" w:eastAsia="楷体"/>
          <w:b/>
          <w:sz w:val="44"/>
          <w:szCs w:val="44"/>
        </w:rPr>
        <w:sectPr>
          <w:pgSz w:w="11906" w:h="16838"/>
          <w:pgMar w:top="1440" w:right="1133" w:bottom="1440" w:left="1800" w:header="851" w:footer="992" w:gutter="0"/>
          <w:cols w:space="425" w:num="1"/>
          <w:docGrid w:type="lines" w:linePitch="312" w:charSpace="0"/>
        </w:sectPr>
      </w:pPr>
    </w:p>
    <w:p w14:paraId="4CDEC6A9">
      <w:pPr>
        <w:ind w:right="-99" w:rightChars="-47"/>
        <w:jc w:val="center"/>
        <w:rPr>
          <w:rFonts w:ascii="楷体" w:hAnsi="楷体" w:eastAsia="楷体"/>
          <w:b/>
          <w:sz w:val="44"/>
          <w:szCs w:val="44"/>
        </w:rPr>
      </w:pPr>
      <w:r>
        <w:rPr>
          <w:rFonts w:hint="eastAsia" w:ascii="楷体" w:hAnsi="楷体" w:eastAsia="楷体"/>
          <w:b/>
          <w:sz w:val="44"/>
          <w:szCs w:val="44"/>
        </w:rPr>
        <w:t>前言</w:t>
      </w:r>
    </w:p>
    <w:p w14:paraId="5A43084F">
      <w:pPr>
        <w:ind w:left="-141" w:leftChars="-67" w:right="-99" w:rightChars="-47" w:firstLine="439" w:firstLineChars="157"/>
        <w:rPr>
          <w:rFonts w:hint="eastAsia" w:ascii="楷体" w:hAnsi="楷体" w:eastAsia="楷体" w:cs="楷体"/>
          <w:bCs/>
          <w:sz w:val="28"/>
          <w:szCs w:val="28"/>
        </w:rPr>
      </w:pPr>
      <w:r>
        <w:rPr>
          <w:rFonts w:hint="eastAsia" w:ascii="楷体" w:hAnsi="楷体" w:eastAsia="楷体" w:cs="楷体"/>
          <w:bCs/>
          <w:sz w:val="28"/>
          <w:szCs w:val="28"/>
        </w:rPr>
        <w:t>党的十九大报告强调，必须多谋民生之利、多解民生之忧，在发展中补齐民生短板、促进社会公平正义。为了深入贯彻党的十九大全会和中央城镇化工作会议精神，全面落实国务院决策部署，坚持走以人为核心的新型城镇化道路，以改善群众住房条件为出发点和落脚点，突出稳增长、惠民生，明确工作责任，创新体制机制，强化政策落实，加快配套基础设施建设，扩大有效投资，推动经济社会和谐发展。</w:t>
      </w:r>
    </w:p>
    <w:p w14:paraId="78118A3E">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全面构建和谐社会，按照民主法治、科学发展、安定有序、维稳优先的方针，加快推进和谐社会建设。社会保障是保持社会稳定和实现社会和谐的长效机制，如果广大人民群众可以享有可靠的社会保障，就可以安居乐业。因而，建立完善的住房保障物质基础和保障制度，改善低收入家庭的居住条件，是构建社会主义和谐社会、保证社会稳定的重要举措。</w:t>
      </w:r>
    </w:p>
    <w:p w14:paraId="7389837F">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w:t>
      </w:r>
      <w:r>
        <w:rPr>
          <w:rFonts w:hint="eastAsia" w:ascii="楷体" w:hAnsi="楷体" w:eastAsia="楷体" w:cs="楷体"/>
          <w:bCs/>
          <w:sz w:val="28"/>
          <w:szCs w:val="28"/>
          <w:lang w:eastAsia="zh-CN"/>
        </w:rPr>
        <w:t>南昌县向塘镇320国道改造安置房（保障房）一期二批工程</w:t>
      </w:r>
      <w:r>
        <w:rPr>
          <w:rFonts w:hint="eastAsia" w:ascii="楷体" w:hAnsi="楷体" w:eastAsia="楷体" w:cs="楷体"/>
          <w:bCs/>
          <w:sz w:val="28"/>
          <w:szCs w:val="28"/>
        </w:rPr>
        <w:t>拟于本期发行地方政府专项债</w:t>
      </w:r>
      <w:r>
        <w:rPr>
          <w:rFonts w:ascii="楷体" w:hAnsi="楷体" w:eastAsia="楷体" w:cs="楷体"/>
          <w:bCs/>
          <w:sz w:val="28"/>
          <w:szCs w:val="28"/>
        </w:rPr>
        <w:t>融资</w:t>
      </w:r>
      <w:r>
        <w:rPr>
          <w:rFonts w:hint="eastAsia" w:ascii="楷体" w:hAnsi="楷体" w:eastAsia="楷体" w:cs="楷体"/>
          <w:bCs/>
          <w:sz w:val="28"/>
          <w:szCs w:val="28"/>
          <w:lang w:val="en-US" w:eastAsia="zh-CN"/>
        </w:rPr>
        <w:t>1600.00</w:t>
      </w:r>
      <w:r>
        <w:rPr>
          <w:rFonts w:hint="eastAsia" w:ascii="楷体" w:hAnsi="楷体" w:eastAsia="楷体" w:cs="楷体"/>
          <w:bCs/>
          <w:sz w:val="28"/>
          <w:szCs w:val="28"/>
        </w:rPr>
        <w:t>万</w:t>
      </w:r>
      <w:r>
        <w:rPr>
          <w:rFonts w:ascii="楷体" w:hAnsi="楷体" w:eastAsia="楷体" w:cs="楷体"/>
          <w:bCs/>
          <w:sz w:val="28"/>
          <w:szCs w:val="28"/>
        </w:rPr>
        <w:t>元</w:t>
      </w:r>
      <w:r>
        <w:rPr>
          <w:rFonts w:hint="eastAsia" w:ascii="楷体" w:hAnsi="楷体" w:eastAsia="楷体" w:cs="楷体"/>
          <w:bCs/>
          <w:sz w:val="28"/>
          <w:szCs w:val="28"/>
        </w:rPr>
        <w:t>。</w:t>
      </w:r>
    </w:p>
    <w:p w14:paraId="51D0E9B3">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2B0933CD">
      <w:pPr>
        <w:widowControl/>
        <w:spacing w:line="360" w:lineRule="auto"/>
        <w:ind w:left="-141" w:leftChars="-67" w:right="-99" w:rightChars="-47" w:firstLine="439" w:firstLineChars="157"/>
        <w:jc w:val="left"/>
        <w:rPr>
          <w:rFonts w:ascii="宋体" w:hAnsi="宋体" w:eastAsia="宋体"/>
          <w:sz w:val="28"/>
          <w:szCs w:val="28"/>
        </w:rPr>
        <w:sectPr>
          <w:footerReference r:id="rId4" w:type="default"/>
          <w:pgSz w:w="11906" w:h="16838"/>
          <w:pgMar w:top="1440" w:right="1133" w:bottom="1440" w:left="1800" w:header="851" w:footer="992" w:gutter="0"/>
          <w:pgNumType w:fmt="decimal" w:start="1"/>
          <w:cols w:space="425" w:num="1"/>
          <w:docGrid w:type="lines" w:linePitch="312" w:charSpace="0"/>
        </w:sectPr>
      </w:pPr>
    </w:p>
    <w:p w14:paraId="28C5D082">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56" w:name="_Toc18953"/>
      <w:r>
        <w:rPr>
          <w:rFonts w:hint="eastAsia" w:ascii="微软雅黑" w:hAnsi="微软雅黑" w:eastAsia="微软雅黑" w:cs="微软雅黑"/>
          <w:b w:val="0"/>
          <w:bCs w:val="0"/>
          <w:color w:val="000000"/>
          <w:sz w:val="32"/>
          <w:szCs w:val="24"/>
          <w:highlight w:val="none"/>
          <w:lang w:val="en-US"/>
        </w:rPr>
        <w:t>一、项目概况</w:t>
      </w:r>
      <w:bookmarkEnd w:id="56"/>
    </w:p>
    <w:p w14:paraId="25F891F3">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57" w:name="_Toc5200"/>
      <w:r>
        <w:rPr>
          <w:rFonts w:hint="eastAsia" w:ascii="微软雅黑" w:hAnsi="微软雅黑" w:eastAsia="微软雅黑" w:cs="微软雅黑"/>
          <w:b w:val="0"/>
          <w:bCs w:val="0"/>
          <w:color w:val="000000"/>
          <w:kern w:val="2"/>
          <w:sz w:val="30"/>
          <w:szCs w:val="30"/>
          <w:highlight w:val="none"/>
          <w:lang w:val="en-US"/>
        </w:rPr>
        <w:t>（一）项目所在地基本情况</w:t>
      </w:r>
      <w:bookmarkEnd w:id="57"/>
    </w:p>
    <w:p w14:paraId="709FF87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1、所在地情况</w:t>
      </w:r>
    </w:p>
    <w:p w14:paraId="659FA95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34D90D0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南昌县面积1810.7平方公里；辖7个乡9个镇、1个国家级开发区和银三角管委会；2017年，户籍总人口1039778人，全县地区生产总值（GDP）782亿，按可比价格计算，比2016年增长9.2%。</w:t>
      </w:r>
    </w:p>
    <w:p w14:paraId="6297A3B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73D01A0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7C2B1A03">
      <w:pPr>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2、财政收支情况</w:t>
      </w:r>
    </w:p>
    <w:p w14:paraId="08664C48">
      <w:pPr>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南昌县财政支出情况</w:t>
      </w:r>
    </w:p>
    <w:p w14:paraId="7633DB35">
      <w:pPr>
        <w:pageBreakBefore w:val="0"/>
        <w:widowControl w:val="0"/>
        <w:kinsoku/>
        <w:wordWrap/>
        <w:overflowPunct/>
        <w:topLinePunct w:val="0"/>
        <w:autoSpaceDE/>
        <w:autoSpaceDN/>
        <w:bidi w:val="0"/>
        <w:adjustRightInd/>
        <w:snapToGrid/>
        <w:spacing w:line="520" w:lineRule="exact"/>
        <w:ind w:firstLine="560" w:firstLineChars="200"/>
        <w:jc w:val="right"/>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单位：亿元</w:t>
      </w:r>
    </w:p>
    <w:tbl>
      <w:tblPr>
        <w:tblStyle w:val="23"/>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155FE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050CEBB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42D9764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6E85F50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5168FEF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07715D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8D9EC4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C7D5BF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2CA2EC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22DD9A69">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22E18E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140197F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55B18C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67D93FC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1D69E3D6">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420EBD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030EAD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254E45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C4FD2F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10E7F50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28728B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CC9760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1B60C9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3CF591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63F0A7DD">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097F5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35A7647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6D67405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E97736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0EDF0AAB">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67D15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05" w:hRule="atLeast"/>
          <w:tblCellSpacing w:w="0" w:type="dxa"/>
        </w:trPr>
        <w:tc>
          <w:tcPr>
            <w:tcW w:w="4225" w:type="dxa"/>
            <w:tcBorders>
              <w:top w:val="outset" w:color="auto" w:sz="6" w:space="0"/>
              <w:right w:val="outset" w:color="auto" w:sz="6" w:space="0"/>
            </w:tcBorders>
            <w:noWrap w:val="0"/>
            <w:vAlign w:val="center"/>
          </w:tcPr>
          <w:p w14:paraId="5315ACF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365D9B7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49E6DFC7">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6357762B">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74976AA5">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58" w:name="_Toc11606"/>
      <w:r>
        <w:rPr>
          <w:rFonts w:hint="eastAsia" w:ascii="微软雅黑" w:hAnsi="微软雅黑" w:eastAsia="微软雅黑" w:cs="微软雅黑"/>
          <w:b w:val="0"/>
          <w:bCs w:val="0"/>
          <w:color w:val="000000"/>
          <w:kern w:val="2"/>
          <w:sz w:val="30"/>
          <w:szCs w:val="30"/>
          <w:highlight w:val="none"/>
          <w:lang w:val="en-US"/>
        </w:rPr>
        <w:t>（二）项目实施背景</w:t>
      </w:r>
      <w:bookmarkEnd w:id="58"/>
    </w:p>
    <w:p w14:paraId="515C3AF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为了进一步贯彻落实党的十九大文件精神，按照南昌县城市总体规划的总体部署。安置房主要是为了让更多困难群众住进新居，进一步优化新型城镇化的建设，消除因城乡差距、贫富悬殊、分配不公等带来的群众不满和社会矛盾，推进以人为核心的新型城镇化建设，提升城镇综合承载能力，促进社会的和谐发展。同时，通过本项目的建设，大量土地资源能够得到有效的利用，有利于政府更好地规划、建设城市，为城市的可持续发展打下了良好的基础。</w:t>
      </w:r>
    </w:p>
    <w:p w14:paraId="7054A11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随着城市化进程的不断加快，为进一步提高改善人民群众的生活居住条件，本项目是解决南昌县当地居民住户的安居问题，也是南昌县政府报告中指出的民生实事重点工程，项目建设是解决当地居民拆迁安置的问题，从而加快当地城市化进程。</w:t>
      </w:r>
    </w:p>
    <w:p w14:paraId="3C7B7819">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59" w:name="_Toc23269"/>
      <w:r>
        <w:rPr>
          <w:rFonts w:hint="eastAsia" w:asciiTheme="minorEastAsia" w:hAnsiTheme="minorEastAsia" w:eastAsiaTheme="minorEastAsia" w:cstheme="minorEastAsia"/>
          <w:b w:val="0"/>
          <w:bCs w:val="0"/>
          <w:color w:val="000000"/>
          <w:kern w:val="2"/>
          <w:sz w:val="28"/>
          <w:szCs w:val="28"/>
          <w:highlight w:val="none"/>
          <w:lang w:val="en-US"/>
        </w:rPr>
        <w:t>（</w:t>
      </w:r>
      <w:r>
        <w:rPr>
          <w:rFonts w:hint="eastAsia" w:ascii="微软雅黑" w:hAnsi="微软雅黑" w:eastAsia="微软雅黑" w:cs="微软雅黑"/>
          <w:b w:val="0"/>
          <w:bCs w:val="0"/>
          <w:color w:val="000000"/>
          <w:kern w:val="2"/>
          <w:sz w:val="30"/>
          <w:szCs w:val="30"/>
          <w:highlight w:val="none"/>
          <w:lang w:val="en-US"/>
        </w:rPr>
        <w:t>三）项目基本情况</w:t>
      </w:r>
      <w:bookmarkEnd w:id="59"/>
    </w:p>
    <w:p w14:paraId="1FFFD61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b/>
          <w:bCs/>
          <w:color w:val="000000"/>
          <w:sz w:val="28"/>
          <w:szCs w:val="28"/>
          <w:highlight w:val="none"/>
          <w:lang w:eastAsia="zh-CN"/>
        </w:rPr>
        <w:t>项目名称：</w:t>
      </w:r>
      <w:r>
        <w:rPr>
          <w:rFonts w:hint="eastAsia" w:asciiTheme="minorEastAsia" w:hAnsiTheme="minorEastAsia" w:eastAsiaTheme="minorEastAsia" w:cstheme="minorEastAsia"/>
          <w:color w:val="000000"/>
          <w:sz w:val="28"/>
          <w:szCs w:val="28"/>
          <w:highlight w:val="none"/>
          <w:lang w:eastAsia="zh-CN"/>
        </w:rPr>
        <w:t>南昌县向塘镇320国道改造安置房（保障房）一期二批工程</w:t>
      </w:r>
    </w:p>
    <w:p w14:paraId="203CF5D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b/>
          <w:bCs/>
          <w:color w:val="000000"/>
          <w:sz w:val="28"/>
          <w:szCs w:val="28"/>
          <w:highlight w:val="none"/>
          <w:lang w:eastAsia="zh-CN"/>
        </w:rPr>
        <w:t>建设单位：</w:t>
      </w:r>
      <w:r>
        <w:rPr>
          <w:rFonts w:hint="eastAsia" w:asciiTheme="minorEastAsia" w:hAnsiTheme="minorEastAsia" w:eastAsiaTheme="minorEastAsia" w:cstheme="minorEastAsia"/>
          <w:color w:val="000000"/>
          <w:sz w:val="28"/>
          <w:szCs w:val="28"/>
          <w:highlight w:val="none"/>
          <w:lang w:eastAsia="zh-CN"/>
        </w:rPr>
        <w:t>南昌县城市建设投资发展有限公司</w:t>
      </w:r>
    </w:p>
    <w:p w14:paraId="3A84598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b/>
          <w:bCs/>
          <w:color w:val="000000"/>
          <w:sz w:val="28"/>
          <w:szCs w:val="28"/>
          <w:highlight w:val="none"/>
          <w:lang w:eastAsia="zh-CN"/>
        </w:rPr>
        <w:t>建设内容：</w:t>
      </w:r>
      <w:r>
        <w:rPr>
          <w:rFonts w:hint="eastAsia" w:asciiTheme="minorEastAsia" w:hAnsiTheme="minorEastAsia" w:eastAsiaTheme="minorEastAsia" w:cstheme="minorEastAsia"/>
          <w:color w:val="000000"/>
          <w:sz w:val="28"/>
          <w:szCs w:val="28"/>
          <w:highlight w:val="none"/>
          <w:lang w:eastAsia="zh-CN"/>
        </w:rPr>
        <w:t>本项目一期二批总用地面积55340.99平方米，总建筑面积94805.13平方米，其中：住宅（不包含架空层）建筑面积77489.58平方米，24#（幼儿园）建筑面积2833.95平方米，商业建筑面积8752.85平方米，公厕建筑面积54.14平方米，地上不计容面积5674.61平方米。总户数693户，容积率1.61。</w:t>
      </w:r>
    </w:p>
    <w:p w14:paraId="6985DFB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b/>
          <w:bCs/>
          <w:color w:val="000000"/>
          <w:sz w:val="28"/>
          <w:szCs w:val="28"/>
          <w:highlight w:val="none"/>
          <w:lang w:eastAsia="zh-CN"/>
        </w:rPr>
      </w:pPr>
      <w:r>
        <w:rPr>
          <w:rFonts w:hint="eastAsia" w:asciiTheme="minorEastAsia" w:hAnsiTheme="minorEastAsia" w:eastAsiaTheme="minorEastAsia" w:cstheme="minorEastAsia"/>
          <w:b/>
          <w:bCs/>
          <w:color w:val="000000"/>
          <w:sz w:val="28"/>
          <w:szCs w:val="28"/>
          <w:highlight w:val="none"/>
          <w:lang w:eastAsia="zh-CN"/>
        </w:rPr>
        <w:t>项目总投资额</w:t>
      </w:r>
    </w:p>
    <w:p w14:paraId="774F0EA4">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项目专项债券的申报单位是</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南昌县住房和城乡建设局</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统一社会信用代码为：11360121MB1550493K，地址为江西省南昌县莲塘镇莲塘南大道1148号。</w:t>
      </w:r>
    </w:p>
    <w:p w14:paraId="130A5C5C">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，根据江西省发展和改革委员会《江西省发展改革委关于</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可行性研究的批复》（赣发改投资〔20</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19</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235</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号）核定总投资为</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30</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062</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28</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万元。主要包括工程费用、工程建设其他费用及预备费等。</w:t>
      </w:r>
    </w:p>
    <w:p w14:paraId="6B2C9A60">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为了保障以上建设项目合理的融资需求，更好地发挥专项债券对</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支持作用，本次项目计划通过自筹资金及发行项目收益与融资自求平衡专项债券的方式完成项目建设。</w:t>
      </w: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南昌县住房和城乡建设局</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申请地方政府专项债券的明细情况见下表：</w:t>
      </w:r>
    </w:p>
    <w:p w14:paraId="122F6A65">
      <w:pPr>
        <w:pStyle w:val="19"/>
        <w:keepNext/>
        <w:spacing w:before="0" w:beforeAutospacing="0" w:after="0" w:afterAutospacing="0" w:line="360" w:lineRule="exact"/>
        <w:ind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889" w:type="pct"/>
        <w:tblInd w:w="0" w:type="dxa"/>
        <w:tblLayout w:type="fixed"/>
        <w:tblCellMar>
          <w:top w:w="0" w:type="dxa"/>
          <w:left w:w="108" w:type="dxa"/>
          <w:bottom w:w="0" w:type="dxa"/>
          <w:right w:w="108" w:type="dxa"/>
        </w:tblCellMar>
      </w:tblPr>
      <w:tblGrid>
        <w:gridCol w:w="1332"/>
        <w:gridCol w:w="1148"/>
        <w:gridCol w:w="1274"/>
        <w:gridCol w:w="1392"/>
        <w:gridCol w:w="1332"/>
        <w:gridCol w:w="2049"/>
      </w:tblGrid>
      <w:tr w14:paraId="36DA4DAE">
        <w:tblPrEx>
          <w:tblCellMar>
            <w:top w:w="0" w:type="dxa"/>
            <w:left w:w="108" w:type="dxa"/>
            <w:bottom w:w="0" w:type="dxa"/>
            <w:right w:w="108" w:type="dxa"/>
          </w:tblCellMar>
        </w:tblPrEx>
        <w:trPr>
          <w:trHeight w:val="270" w:hRule="atLeast"/>
        </w:trPr>
        <w:tc>
          <w:tcPr>
            <w:tcW w:w="78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FE48BA1">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402B3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545" w:type="pct"/>
            <w:gridSpan w:val="4"/>
            <w:tcBorders>
              <w:top w:val="single" w:color="auto" w:sz="4" w:space="0"/>
              <w:left w:val="nil"/>
              <w:bottom w:val="single" w:color="auto" w:sz="4" w:space="0"/>
              <w:right w:val="nil"/>
            </w:tcBorders>
          </w:tcPr>
          <w:p w14:paraId="28393AF3">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284447FB">
        <w:tblPrEx>
          <w:tblCellMar>
            <w:top w:w="0" w:type="dxa"/>
            <w:left w:w="108" w:type="dxa"/>
            <w:bottom w:w="0" w:type="dxa"/>
            <w:right w:w="108" w:type="dxa"/>
          </w:tblCellMar>
        </w:tblPrEx>
        <w:trPr>
          <w:trHeight w:val="270" w:hRule="atLeast"/>
        </w:trPr>
        <w:tc>
          <w:tcPr>
            <w:tcW w:w="781" w:type="pct"/>
            <w:vMerge w:val="continue"/>
            <w:tcBorders>
              <w:top w:val="single" w:color="auto" w:sz="4" w:space="0"/>
              <w:left w:val="single" w:color="auto" w:sz="4" w:space="0"/>
              <w:bottom w:val="single" w:color="auto" w:sz="4" w:space="0"/>
              <w:right w:val="single" w:color="auto" w:sz="4" w:space="0"/>
            </w:tcBorders>
            <w:vAlign w:val="center"/>
          </w:tcPr>
          <w:p w14:paraId="1289D75C">
            <w:pPr>
              <w:widowControl/>
              <w:jc w:val="center"/>
              <w:rPr>
                <w:rFonts w:ascii="宋体" w:hAnsi="宋体" w:cs="宋体"/>
                <w:b/>
                <w:bCs/>
                <w:color w:val="000000"/>
                <w:kern w:val="0"/>
                <w:sz w:val="18"/>
                <w:szCs w:val="18"/>
                <w:highlight w:val="none"/>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14:paraId="41CF4022">
            <w:pPr>
              <w:widowControl/>
              <w:jc w:val="center"/>
              <w:rPr>
                <w:rFonts w:ascii="宋体" w:hAnsi="宋体" w:cs="宋体"/>
                <w:b/>
                <w:bCs/>
                <w:color w:val="000000"/>
                <w:kern w:val="0"/>
                <w:sz w:val="18"/>
                <w:szCs w:val="18"/>
                <w:highlight w:val="none"/>
              </w:rPr>
            </w:pPr>
          </w:p>
        </w:tc>
        <w:tc>
          <w:tcPr>
            <w:tcW w:w="747" w:type="pct"/>
            <w:tcBorders>
              <w:top w:val="nil"/>
              <w:left w:val="nil"/>
              <w:bottom w:val="single" w:color="auto" w:sz="4" w:space="0"/>
              <w:right w:val="single" w:color="auto" w:sz="4" w:space="0"/>
            </w:tcBorders>
            <w:shd w:val="clear" w:color="auto" w:fill="auto"/>
            <w:vAlign w:val="center"/>
          </w:tcPr>
          <w:p w14:paraId="6743D485">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816" w:type="pct"/>
            <w:tcBorders>
              <w:top w:val="single" w:color="auto" w:sz="4" w:space="0"/>
              <w:left w:val="nil"/>
              <w:bottom w:val="single" w:color="auto" w:sz="4" w:space="0"/>
              <w:right w:val="single" w:color="auto" w:sz="4" w:space="0"/>
            </w:tcBorders>
          </w:tcPr>
          <w:p w14:paraId="4FFF2D2D">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本次调整金额</w:t>
            </w:r>
          </w:p>
        </w:tc>
        <w:tc>
          <w:tcPr>
            <w:tcW w:w="781" w:type="pct"/>
            <w:tcBorders>
              <w:top w:val="nil"/>
              <w:left w:val="nil"/>
              <w:bottom w:val="single" w:color="auto" w:sz="4" w:space="0"/>
              <w:right w:val="single" w:color="auto" w:sz="4" w:space="0"/>
            </w:tcBorders>
            <w:shd w:val="clear" w:color="auto" w:fill="auto"/>
            <w:noWrap/>
            <w:vAlign w:val="center"/>
          </w:tcPr>
          <w:p w14:paraId="2C6181B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1201" w:type="pct"/>
            <w:tcBorders>
              <w:top w:val="nil"/>
              <w:left w:val="nil"/>
              <w:bottom w:val="single" w:color="auto" w:sz="4" w:space="0"/>
              <w:right w:val="single" w:color="auto" w:sz="4" w:space="0"/>
            </w:tcBorders>
            <w:shd w:val="clear" w:color="auto" w:fill="auto"/>
            <w:noWrap/>
            <w:vAlign w:val="center"/>
          </w:tcPr>
          <w:p w14:paraId="6A5682E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r>
              <w:rPr>
                <w:rFonts w:hint="eastAsia" w:ascii="宋体" w:hAnsi="宋体" w:cs="宋体"/>
                <w:b/>
                <w:bCs/>
                <w:color w:val="000000"/>
                <w:kern w:val="0"/>
                <w:sz w:val="18"/>
                <w:szCs w:val="18"/>
                <w:highlight w:val="none"/>
                <w:lang w:val="en-US" w:eastAsia="zh-CN"/>
              </w:rPr>
              <w:t>计划</w:t>
            </w:r>
            <w:r>
              <w:rPr>
                <w:rFonts w:hint="eastAsia" w:ascii="宋体" w:hAnsi="宋体" w:cs="宋体"/>
                <w:b/>
                <w:bCs/>
                <w:color w:val="000000"/>
                <w:kern w:val="0"/>
                <w:sz w:val="18"/>
                <w:szCs w:val="18"/>
                <w:highlight w:val="none"/>
              </w:rPr>
              <w:t>发行</w:t>
            </w:r>
          </w:p>
        </w:tc>
      </w:tr>
      <w:tr w14:paraId="24A54AF6">
        <w:tblPrEx>
          <w:tblCellMar>
            <w:top w:w="0" w:type="dxa"/>
            <w:left w:w="108" w:type="dxa"/>
            <w:bottom w:w="0" w:type="dxa"/>
            <w:right w:w="108" w:type="dxa"/>
          </w:tblCellMar>
        </w:tblPrEx>
        <w:trPr>
          <w:trHeight w:val="270" w:hRule="atLeast"/>
        </w:trPr>
        <w:tc>
          <w:tcPr>
            <w:tcW w:w="781" w:type="pct"/>
            <w:tcBorders>
              <w:top w:val="nil"/>
              <w:left w:val="single" w:color="auto" w:sz="4" w:space="0"/>
              <w:bottom w:val="single" w:color="auto" w:sz="4" w:space="0"/>
              <w:right w:val="single" w:color="auto" w:sz="4" w:space="0"/>
            </w:tcBorders>
            <w:shd w:val="clear" w:color="auto" w:fill="auto"/>
            <w:noWrap/>
            <w:vAlign w:val="center"/>
          </w:tcPr>
          <w:p w14:paraId="3183E0F0">
            <w:pPr>
              <w:widowControl/>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30,062.2</w:t>
            </w:r>
          </w:p>
        </w:tc>
        <w:tc>
          <w:tcPr>
            <w:tcW w:w="673" w:type="pct"/>
            <w:tcBorders>
              <w:top w:val="nil"/>
              <w:left w:val="nil"/>
              <w:bottom w:val="single" w:color="auto" w:sz="4" w:space="0"/>
              <w:right w:val="single" w:color="auto" w:sz="4" w:space="0"/>
            </w:tcBorders>
            <w:shd w:val="clear" w:color="auto" w:fill="auto"/>
            <w:noWrap/>
            <w:vAlign w:val="center"/>
          </w:tcPr>
          <w:p w14:paraId="45496BB7">
            <w:pPr>
              <w:widowControl/>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6,1</w:t>
            </w:r>
            <w:r>
              <w:rPr>
                <w:rFonts w:hint="eastAsia" w:ascii="宋体" w:hAnsi="宋体" w:cs="宋体"/>
                <w:color w:val="000000"/>
                <w:kern w:val="0"/>
                <w:sz w:val="18"/>
                <w:szCs w:val="18"/>
                <w:highlight w:val="none"/>
                <w:lang w:val="en-US" w:eastAsia="zh-CN"/>
              </w:rPr>
              <w:t>62</w:t>
            </w:r>
            <w:r>
              <w:rPr>
                <w:rFonts w:hint="eastAsia" w:ascii="宋体" w:hAnsi="宋体" w:eastAsia="宋体" w:cs="宋体"/>
                <w:color w:val="000000"/>
                <w:kern w:val="0"/>
                <w:sz w:val="18"/>
                <w:szCs w:val="18"/>
                <w:highlight w:val="none"/>
                <w:lang w:val="en-US" w:eastAsia="zh-CN"/>
              </w:rPr>
              <w:t>.</w:t>
            </w:r>
            <w:r>
              <w:rPr>
                <w:rFonts w:hint="eastAsia" w:ascii="宋体" w:hAnsi="宋体" w:cs="宋体"/>
                <w:color w:val="000000"/>
                <w:kern w:val="0"/>
                <w:sz w:val="18"/>
                <w:szCs w:val="18"/>
                <w:highlight w:val="none"/>
                <w:lang w:val="en-US" w:eastAsia="zh-CN"/>
              </w:rPr>
              <w:t>28</w:t>
            </w:r>
          </w:p>
        </w:tc>
        <w:tc>
          <w:tcPr>
            <w:tcW w:w="747" w:type="pct"/>
            <w:tcBorders>
              <w:top w:val="nil"/>
              <w:left w:val="nil"/>
              <w:bottom w:val="single" w:color="auto" w:sz="4" w:space="0"/>
              <w:right w:val="single" w:color="auto" w:sz="4" w:space="0"/>
            </w:tcBorders>
            <w:shd w:val="clear" w:color="auto" w:fill="auto"/>
            <w:vAlign w:val="center"/>
          </w:tcPr>
          <w:p w14:paraId="20E7B2D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23</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90</w:t>
            </w:r>
            <w:r>
              <w:rPr>
                <w:rFonts w:hint="eastAsia" w:ascii="宋体" w:hAnsi="宋体" w:cs="宋体"/>
                <w:color w:val="000000"/>
                <w:kern w:val="0"/>
                <w:sz w:val="18"/>
                <w:szCs w:val="18"/>
                <w:highlight w:val="none"/>
              </w:rPr>
              <w:t>0.00</w:t>
            </w:r>
          </w:p>
        </w:tc>
        <w:tc>
          <w:tcPr>
            <w:tcW w:w="816" w:type="pct"/>
            <w:tcBorders>
              <w:top w:val="single" w:color="auto" w:sz="4" w:space="0"/>
              <w:left w:val="nil"/>
              <w:bottom w:val="single" w:color="auto" w:sz="4" w:space="0"/>
              <w:right w:val="single" w:color="auto" w:sz="4" w:space="0"/>
            </w:tcBorders>
          </w:tcPr>
          <w:p w14:paraId="25EFF06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8</w:t>
            </w:r>
            <w:r>
              <w:rPr>
                <w:rFonts w:ascii="宋体" w:hAnsi="宋体" w:cs="宋体"/>
                <w:color w:val="000000"/>
                <w:kern w:val="0"/>
                <w:sz w:val="18"/>
                <w:szCs w:val="18"/>
                <w:highlight w:val="none"/>
              </w:rPr>
              <w:t>,000.00</w:t>
            </w:r>
          </w:p>
        </w:tc>
        <w:tc>
          <w:tcPr>
            <w:tcW w:w="781" w:type="pct"/>
            <w:tcBorders>
              <w:top w:val="nil"/>
              <w:left w:val="nil"/>
              <w:bottom w:val="single" w:color="auto" w:sz="4" w:space="0"/>
              <w:right w:val="single" w:color="auto" w:sz="4" w:space="0"/>
            </w:tcBorders>
            <w:shd w:val="clear" w:color="auto" w:fill="auto"/>
            <w:vAlign w:val="center"/>
          </w:tcPr>
          <w:p w14:paraId="084C0FE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00.00</w:t>
            </w:r>
          </w:p>
        </w:tc>
        <w:tc>
          <w:tcPr>
            <w:tcW w:w="1201" w:type="pct"/>
            <w:tcBorders>
              <w:top w:val="nil"/>
              <w:left w:val="nil"/>
              <w:bottom w:val="single" w:color="auto" w:sz="4" w:space="0"/>
              <w:right w:val="single" w:color="auto" w:sz="4" w:space="0"/>
            </w:tcBorders>
            <w:shd w:val="clear" w:color="auto" w:fill="auto"/>
            <w:vAlign w:val="center"/>
          </w:tcPr>
          <w:p w14:paraId="16E63DB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40</w:t>
            </w:r>
            <w:r>
              <w:rPr>
                <w:rFonts w:hint="eastAsia" w:ascii="宋体" w:hAnsi="宋体" w:cs="宋体"/>
                <w:color w:val="000000"/>
                <w:kern w:val="0"/>
                <w:sz w:val="18"/>
                <w:szCs w:val="18"/>
                <w:highlight w:val="none"/>
              </w:rPr>
              <w:t>0.00</w:t>
            </w:r>
          </w:p>
        </w:tc>
      </w:tr>
    </w:tbl>
    <w:p w14:paraId="414A3EAC">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default" w:eastAsia="宋体"/>
          <w:color w:val="000000" w:themeColor="text1"/>
          <w:sz w:val="28"/>
          <w:szCs w:val="28"/>
          <w:highlight w:val="none"/>
          <w:lang w:val="en-US" w:eastAsia="zh-CN"/>
          <w14:textFill>
            <w14:solidFill>
              <w14:schemeClr w14:val="tx1"/>
            </w14:solidFill>
          </w14:textFill>
        </w:rPr>
      </w:pPr>
      <w:r>
        <w:rPr>
          <w:rFonts w:hint="eastAsia"/>
          <w:color w:val="000000" w:themeColor="text1"/>
          <w:sz w:val="28"/>
          <w:szCs w:val="28"/>
          <w:highlight w:val="none"/>
          <w14:textFill>
            <w14:solidFill>
              <w14:schemeClr w14:val="tx1"/>
            </w14:solidFill>
          </w14:textFill>
        </w:rPr>
        <w:t>按照发行方案及筹资计划，本次拟发行项目的总投资为</w:t>
      </w:r>
      <w:r>
        <w:rPr>
          <w:rFonts w:hint="eastAsia"/>
          <w:color w:val="000000" w:themeColor="text1"/>
          <w:sz w:val="28"/>
          <w:szCs w:val="28"/>
          <w:highlight w:val="none"/>
          <w:lang w:val="en-US" w:eastAsia="zh-CN"/>
          <w14:textFill>
            <w14:solidFill>
              <w14:schemeClr w14:val="tx1"/>
            </w14:solidFill>
          </w14:textFill>
        </w:rPr>
        <w:t>30</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062</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28</w:t>
      </w:r>
      <w:r>
        <w:rPr>
          <w:rFonts w:hint="eastAsia"/>
          <w:color w:val="000000" w:themeColor="text1"/>
          <w:sz w:val="28"/>
          <w:szCs w:val="28"/>
          <w:highlight w:val="none"/>
          <w14:textFill>
            <w14:solidFill>
              <w14:schemeClr w14:val="tx1"/>
            </w14:solidFill>
          </w14:textFill>
        </w:rPr>
        <w:t>万元，通过自筹资金、申请专项债券、其他合规性融资等途径解决，其一，自筹资金6,162.28万元。其二，拟发行专项债券</w:t>
      </w:r>
      <w:r>
        <w:rPr>
          <w:rFonts w:hint="eastAsia"/>
          <w:color w:val="000000" w:themeColor="text1"/>
          <w:sz w:val="28"/>
          <w:szCs w:val="28"/>
          <w:highlight w:val="none"/>
          <w:lang w:val="en-US" w:eastAsia="zh-CN"/>
          <w14:textFill>
            <w14:solidFill>
              <w14:schemeClr w14:val="tx1"/>
            </w14:solidFill>
          </w14:textFill>
        </w:rPr>
        <w:t>23</w:t>
      </w:r>
      <w:r>
        <w:rPr>
          <w:rFonts w:hint="eastAsia"/>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90</w:t>
      </w:r>
      <w:r>
        <w:rPr>
          <w:rFonts w:hint="eastAsia"/>
          <w:color w:val="000000" w:themeColor="text1"/>
          <w:sz w:val="28"/>
          <w:szCs w:val="28"/>
          <w:highlight w:val="none"/>
          <w14:textFill>
            <w14:solidFill>
              <w14:schemeClr w14:val="tx1"/>
            </w14:solidFill>
          </w14:textFill>
        </w:rPr>
        <w:t>0.00万元，其中，</w:t>
      </w:r>
      <w:r>
        <w:rPr>
          <w:rFonts w:hint="eastAsia"/>
          <w:color w:val="000000" w:themeColor="text1"/>
          <w:sz w:val="28"/>
          <w:szCs w:val="28"/>
          <w:highlight w:val="none"/>
          <w:lang w:val="en-US" w:eastAsia="zh-CN"/>
          <w14:textFill>
            <w14:solidFill>
              <w14:schemeClr w14:val="tx1"/>
            </w14:solidFill>
          </w14:textFill>
        </w:rPr>
        <w:t>8</w:t>
      </w:r>
      <w:r>
        <w:rPr>
          <w:sz w:val="28"/>
          <w:szCs w:val="28"/>
          <w:highlight w:val="none"/>
        </w:rPr>
        <w:t>,000.00</w:t>
      </w:r>
      <w:r>
        <w:rPr>
          <w:rFonts w:hint="eastAsia"/>
          <w:sz w:val="28"/>
          <w:szCs w:val="28"/>
          <w:highlight w:val="none"/>
        </w:rPr>
        <w:t>万元由</w:t>
      </w:r>
      <w:r>
        <w:rPr>
          <w:rFonts w:hint="eastAsia"/>
          <w:color w:val="000000" w:themeColor="text1"/>
          <w:sz w:val="28"/>
          <w:szCs w:val="28"/>
          <w:highlight w:val="none"/>
          <w:lang w:eastAsia="zh-CN"/>
          <w14:textFill>
            <w14:solidFill>
              <w14:schemeClr w14:val="tx1"/>
            </w14:solidFill>
          </w14:textFill>
        </w:rPr>
        <w:t>2021年江西省高质量发展专项债券（十六期）——2021年江西省政府专项债券（三十一期）</w:t>
      </w:r>
      <w:r>
        <w:rPr>
          <w:rFonts w:hint="eastAsia"/>
          <w:sz w:val="28"/>
          <w:szCs w:val="28"/>
          <w:highlight w:val="none"/>
        </w:rPr>
        <w:t>调整至本项目，发行期限</w:t>
      </w:r>
      <w:r>
        <w:rPr>
          <w:rFonts w:hint="eastAsia"/>
          <w:sz w:val="28"/>
          <w:szCs w:val="28"/>
          <w:highlight w:val="none"/>
          <w:lang w:val="en-US" w:eastAsia="zh-CN"/>
        </w:rPr>
        <w:t>30</w:t>
      </w:r>
      <w:r>
        <w:rPr>
          <w:rFonts w:hint="eastAsia"/>
          <w:sz w:val="28"/>
          <w:szCs w:val="28"/>
          <w:highlight w:val="none"/>
        </w:rPr>
        <w:t>年。</w:t>
      </w:r>
      <w:r>
        <w:rPr>
          <w:rFonts w:hint="eastAsia"/>
          <w:sz w:val="28"/>
          <w:szCs w:val="28"/>
          <w:highlight w:val="none"/>
          <w:lang w:val="en-US" w:eastAsia="zh-CN"/>
        </w:rPr>
        <w:t>2024年计划发行9,400.00万，本期计划发行1,600万，发行期限5年。</w:t>
      </w:r>
    </w:p>
    <w:p w14:paraId="10112142">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根据《</w:t>
      </w:r>
      <w:r>
        <w:rPr>
          <w:rFonts w:hint="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color w:val="000000" w:themeColor="text1"/>
          <w:sz w:val="28"/>
          <w:szCs w:val="28"/>
          <w:highlight w:val="none"/>
          <w14:textFill>
            <w14:solidFill>
              <w14:schemeClr w14:val="tx1"/>
            </w14:solidFill>
          </w14:textFill>
        </w:rPr>
        <w:t>项目可行性研究报告》（以下简称“可研报告”），项目建设内容为：该项目一期二批总用地面积55340.99平方米，总建筑面积94805.13平方米，其中：住宅（不包含架空层）建筑面积77489.58平方米，24#（幼儿园）建筑面积2833.95平方米，商业建筑面积8752.85平方米，公厕建筑面积54.14平方米，地上不计容面积5674.61平方米。总户数693户，容积率1.61。</w:t>
      </w:r>
    </w:p>
    <w:p w14:paraId="382FA37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根据可研报告及其批复，本项目投资估算详见表1-1；项目建设期内的年度资金计划表详见表1-2。</w:t>
      </w:r>
    </w:p>
    <w:p w14:paraId="6661DD2D">
      <w:pPr>
        <w:pStyle w:val="19"/>
        <w:spacing w:before="0" w:beforeAutospacing="0" w:after="156" w:afterLines="50" w:afterAutospacing="0" w:line="360" w:lineRule="exact"/>
        <w:ind w:firstLine="420" w:firstLineChars="200"/>
        <w:jc w:val="both"/>
        <w:rPr>
          <w:rFonts w:hint="eastAsia"/>
          <w:color w:val="000000" w:themeColor="text1"/>
          <w:sz w:val="21"/>
          <w:szCs w:val="21"/>
          <w:highlight w:val="none"/>
          <w14:textFill>
            <w14:solidFill>
              <w14:schemeClr w14:val="tx1"/>
            </w14:solidFill>
          </w14:textFill>
        </w:rPr>
      </w:pPr>
    </w:p>
    <w:p w14:paraId="51E6D6B0">
      <w:pPr>
        <w:pStyle w:val="19"/>
        <w:spacing w:after="156" w:afterLines="50" w:line="360" w:lineRule="exact"/>
        <w:ind w:firstLine="420" w:firstLineChars="200"/>
        <w:jc w:val="center"/>
        <w:rPr>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表1-</w:t>
      </w:r>
      <w:r>
        <w:rPr>
          <w:b/>
          <w:color w:val="000000" w:themeColor="text1"/>
          <w:sz w:val="21"/>
          <w:szCs w:val="21"/>
          <w:highlight w:val="none"/>
          <w14:textFill>
            <w14:solidFill>
              <w14:schemeClr w14:val="tx1"/>
            </w14:solidFill>
          </w14:textFill>
        </w:rPr>
        <w:t>1</w:t>
      </w:r>
      <w:r>
        <w:rPr>
          <w:rFonts w:hint="eastAsia"/>
          <w:b/>
          <w:color w:val="000000" w:themeColor="text1"/>
          <w:sz w:val="21"/>
          <w:szCs w:val="21"/>
          <w:highlight w:val="none"/>
          <w14:textFill>
            <w14:solidFill>
              <w14:schemeClr w14:val="tx1"/>
            </w14:solidFill>
          </w14:textFill>
        </w:rPr>
        <w:t>项目总投资估算表</w:t>
      </w:r>
    </w:p>
    <w:p w14:paraId="670E97CB">
      <w:pPr>
        <w:pStyle w:val="19"/>
        <w:spacing w:before="0" w:beforeAutospacing="0" w:after="156" w:afterLines="50" w:afterAutospacing="0" w:line="360" w:lineRule="exact"/>
        <w:ind w:firstLine="360" w:firstLineChars="200"/>
        <w:jc w:val="right"/>
        <w:rPr>
          <w:color w:val="000000" w:themeColor="text1"/>
          <w:sz w:val="21"/>
          <w:szCs w:val="21"/>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5000" w:type="pct"/>
        <w:tblInd w:w="0" w:type="dxa"/>
        <w:tblLayout w:type="autofit"/>
        <w:tblCellMar>
          <w:top w:w="0" w:type="dxa"/>
          <w:left w:w="108" w:type="dxa"/>
          <w:bottom w:w="0" w:type="dxa"/>
          <w:right w:w="108" w:type="dxa"/>
        </w:tblCellMar>
      </w:tblPr>
      <w:tblGrid>
        <w:gridCol w:w="2090"/>
        <w:gridCol w:w="3733"/>
        <w:gridCol w:w="2897"/>
      </w:tblGrid>
      <w:tr w14:paraId="15A2EC4B">
        <w:tblPrEx>
          <w:tblCellMar>
            <w:top w:w="0" w:type="dxa"/>
            <w:left w:w="108" w:type="dxa"/>
            <w:bottom w:w="0" w:type="dxa"/>
            <w:right w:w="108" w:type="dxa"/>
          </w:tblCellMar>
        </w:tblPrEx>
        <w:trPr>
          <w:trHeight w:val="285" w:hRule="atLeast"/>
        </w:trPr>
        <w:tc>
          <w:tcPr>
            <w:tcW w:w="1198" w:type="pct"/>
            <w:tcBorders>
              <w:top w:val="single" w:color="auto" w:sz="8" w:space="0"/>
              <w:left w:val="single" w:color="auto" w:sz="8" w:space="0"/>
              <w:bottom w:val="single" w:color="auto" w:sz="8" w:space="0"/>
              <w:right w:val="single" w:color="auto" w:sz="8" w:space="0"/>
            </w:tcBorders>
            <w:shd w:val="clear" w:color="auto" w:fill="auto"/>
            <w:noWrap/>
            <w:vAlign w:val="bottom"/>
          </w:tcPr>
          <w:p w14:paraId="6B15AB55">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序号</w:t>
            </w:r>
          </w:p>
        </w:tc>
        <w:tc>
          <w:tcPr>
            <w:tcW w:w="2139" w:type="pct"/>
            <w:tcBorders>
              <w:top w:val="single" w:color="auto" w:sz="8" w:space="0"/>
              <w:left w:val="nil"/>
              <w:bottom w:val="single" w:color="auto" w:sz="8" w:space="0"/>
              <w:right w:val="single" w:color="auto" w:sz="8" w:space="0"/>
            </w:tcBorders>
            <w:shd w:val="clear" w:color="auto" w:fill="auto"/>
            <w:noWrap/>
            <w:vAlign w:val="bottom"/>
          </w:tcPr>
          <w:p w14:paraId="4C88AC49">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项目名称</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56851BED">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合计</w:t>
            </w:r>
          </w:p>
        </w:tc>
      </w:tr>
      <w:tr w14:paraId="61B26AF0">
        <w:tblPrEx>
          <w:tblCellMar>
            <w:top w:w="0" w:type="dxa"/>
            <w:left w:w="108" w:type="dxa"/>
            <w:bottom w:w="0" w:type="dxa"/>
            <w:right w:w="108" w:type="dxa"/>
          </w:tblCellMar>
        </w:tblPrEx>
        <w:trPr>
          <w:trHeight w:val="300" w:hRule="atLeast"/>
        </w:trPr>
        <w:tc>
          <w:tcPr>
            <w:tcW w:w="1198" w:type="pct"/>
            <w:tcBorders>
              <w:top w:val="nil"/>
              <w:left w:val="single" w:color="auto" w:sz="8" w:space="0"/>
              <w:bottom w:val="single" w:color="auto" w:sz="8" w:space="0"/>
              <w:right w:val="single" w:color="auto" w:sz="8" w:space="0"/>
            </w:tcBorders>
            <w:shd w:val="clear" w:color="auto" w:fill="auto"/>
            <w:noWrap/>
            <w:vAlign w:val="bottom"/>
          </w:tcPr>
          <w:p w14:paraId="4902F0B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2139" w:type="pct"/>
            <w:tcBorders>
              <w:top w:val="nil"/>
              <w:left w:val="nil"/>
              <w:bottom w:val="single" w:color="auto" w:sz="8" w:space="0"/>
              <w:right w:val="single" w:color="auto" w:sz="8" w:space="0"/>
            </w:tcBorders>
            <w:shd w:val="clear" w:color="auto" w:fill="auto"/>
            <w:vAlign w:val="center"/>
          </w:tcPr>
          <w:p w14:paraId="494DC258">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建设工程费用</w:t>
            </w:r>
          </w:p>
        </w:tc>
        <w:tc>
          <w:tcPr>
            <w:tcW w:w="1661" w:type="pct"/>
            <w:tcBorders>
              <w:top w:val="nil"/>
              <w:left w:val="nil"/>
              <w:bottom w:val="single" w:color="auto" w:sz="8" w:space="0"/>
              <w:right w:val="single" w:color="auto" w:sz="8" w:space="0"/>
            </w:tcBorders>
            <w:shd w:val="clear" w:color="auto" w:fill="auto"/>
            <w:vAlign w:val="center"/>
          </w:tcPr>
          <w:p w14:paraId="0D51B5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27,099.19</w:t>
            </w:r>
          </w:p>
        </w:tc>
      </w:tr>
      <w:tr w14:paraId="3B21C51D">
        <w:tblPrEx>
          <w:tblCellMar>
            <w:top w:w="0" w:type="dxa"/>
            <w:left w:w="108" w:type="dxa"/>
            <w:bottom w:w="0" w:type="dxa"/>
            <w:right w:w="108" w:type="dxa"/>
          </w:tblCellMar>
        </w:tblPrEx>
        <w:trPr>
          <w:trHeight w:val="285" w:hRule="atLeast"/>
        </w:trPr>
        <w:tc>
          <w:tcPr>
            <w:tcW w:w="1198" w:type="pct"/>
            <w:tcBorders>
              <w:top w:val="nil"/>
              <w:left w:val="single" w:color="auto" w:sz="8" w:space="0"/>
              <w:bottom w:val="single" w:color="auto" w:sz="8" w:space="0"/>
              <w:right w:val="single" w:color="auto" w:sz="8" w:space="0"/>
            </w:tcBorders>
            <w:shd w:val="clear" w:color="auto" w:fill="auto"/>
            <w:noWrap/>
            <w:vAlign w:val="bottom"/>
          </w:tcPr>
          <w:p w14:paraId="0BE09B7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2139" w:type="pct"/>
            <w:tcBorders>
              <w:top w:val="nil"/>
              <w:left w:val="nil"/>
              <w:bottom w:val="single" w:color="auto" w:sz="8" w:space="0"/>
              <w:right w:val="single" w:color="auto" w:sz="8" w:space="0"/>
            </w:tcBorders>
            <w:shd w:val="clear" w:color="auto" w:fill="auto"/>
            <w:vAlign w:val="center"/>
          </w:tcPr>
          <w:p w14:paraId="1319D66A">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工程建设其他费用</w:t>
            </w:r>
          </w:p>
        </w:tc>
        <w:tc>
          <w:tcPr>
            <w:tcW w:w="1661" w:type="pct"/>
            <w:tcBorders>
              <w:top w:val="nil"/>
              <w:left w:val="nil"/>
              <w:bottom w:val="single" w:color="auto" w:sz="8" w:space="0"/>
              <w:right w:val="single" w:color="auto" w:sz="8" w:space="0"/>
            </w:tcBorders>
            <w:shd w:val="clear" w:color="auto" w:fill="auto"/>
            <w:vAlign w:val="center"/>
          </w:tcPr>
          <w:p w14:paraId="609CBF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1,608.13</w:t>
            </w:r>
          </w:p>
        </w:tc>
      </w:tr>
      <w:tr w14:paraId="1CF0DE1C">
        <w:tblPrEx>
          <w:tblCellMar>
            <w:top w:w="0" w:type="dxa"/>
            <w:left w:w="108" w:type="dxa"/>
            <w:bottom w:w="0" w:type="dxa"/>
            <w:right w:w="108" w:type="dxa"/>
          </w:tblCellMar>
        </w:tblPrEx>
        <w:trPr>
          <w:trHeight w:val="312" w:hRule="atLeast"/>
        </w:trPr>
        <w:tc>
          <w:tcPr>
            <w:tcW w:w="1198" w:type="pct"/>
            <w:tcBorders>
              <w:top w:val="nil"/>
              <w:left w:val="single" w:color="auto" w:sz="8" w:space="0"/>
              <w:bottom w:val="single" w:color="auto" w:sz="8" w:space="0"/>
              <w:right w:val="single" w:color="auto" w:sz="8" w:space="0"/>
            </w:tcBorders>
            <w:shd w:val="clear" w:color="auto" w:fill="auto"/>
            <w:noWrap/>
            <w:vAlign w:val="bottom"/>
          </w:tcPr>
          <w:p w14:paraId="06313C1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2139" w:type="pct"/>
            <w:tcBorders>
              <w:top w:val="nil"/>
              <w:left w:val="nil"/>
              <w:bottom w:val="single" w:color="auto" w:sz="8" w:space="0"/>
              <w:right w:val="single" w:color="auto" w:sz="8" w:space="0"/>
            </w:tcBorders>
            <w:shd w:val="clear" w:color="auto" w:fill="auto"/>
            <w:vAlign w:val="center"/>
          </w:tcPr>
          <w:p w14:paraId="5D3DD650">
            <w:pPr>
              <w:widowControl/>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基本预备费</w:t>
            </w:r>
          </w:p>
        </w:tc>
        <w:tc>
          <w:tcPr>
            <w:tcW w:w="1661" w:type="pct"/>
            <w:tcBorders>
              <w:top w:val="nil"/>
              <w:left w:val="nil"/>
              <w:bottom w:val="single" w:color="auto" w:sz="8" w:space="0"/>
              <w:right w:val="single" w:color="auto" w:sz="8" w:space="0"/>
            </w:tcBorders>
            <w:shd w:val="clear" w:color="auto" w:fill="auto"/>
            <w:vAlign w:val="center"/>
          </w:tcPr>
          <w:p w14:paraId="308B3B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1,354.96</w:t>
            </w:r>
          </w:p>
        </w:tc>
      </w:tr>
      <w:tr w14:paraId="26C40722">
        <w:tblPrEx>
          <w:tblCellMar>
            <w:top w:w="0" w:type="dxa"/>
            <w:left w:w="108" w:type="dxa"/>
            <w:bottom w:w="0" w:type="dxa"/>
            <w:right w:w="108" w:type="dxa"/>
          </w:tblCellMar>
        </w:tblPrEx>
        <w:trPr>
          <w:trHeight w:val="285" w:hRule="atLeast"/>
        </w:trPr>
        <w:tc>
          <w:tcPr>
            <w:tcW w:w="3338"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7B10D2A4">
            <w:pPr>
              <w:widowControl/>
              <w:jc w:val="center"/>
              <w:rPr>
                <w:rFonts w:hint="eastAsia" w:ascii="宋体" w:hAnsi="宋体" w:eastAsia="宋体" w:cs="宋体"/>
                <w:b/>
                <w:bCs/>
                <w:color w:val="000000"/>
                <w:kern w:val="0"/>
                <w:sz w:val="18"/>
                <w:szCs w:val="18"/>
                <w:highlight w:val="none"/>
                <w:lang w:eastAsia="zh-CN"/>
              </w:rPr>
            </w:pPr>
            <w:r>
              <w:rPr>
                <w:rFonts w:hint="eastAsia" w:ascii="宋体" w:hAnsi="宋体" w:cs="宋体"/>
                <w:b/>
                <w:bCs/>
                <w:color w:val="000000"/>
                <w:kern w:val="0"/>
                <w:sz w:val="18"/>
                <w:szCs w:val="18"/>
                <w:highlight w:val="none"/>
              </w:rPr>
              <w:t>项目总投资</w:t>
            </w:r>
          </w:p>
        </w:tc>
        <w:tc>
          <w:tcPr>
            <w:tcW w:w="1661" w:type="pct"/>
            <w:tcBorders>
              <w:top w:val="nil"/>
              <w:left w:val="nil"/>
              <w:bottom w:val="single" w:color="auto" w:sz="8" w:space="0"/>
              <w:right w:val="single" w:color="auto" w:sz="8" w:space="0"/>
            </w:tcBorders>
            <w:shd w:val="clear" w:color="auto" w:fill="auto"/>
            <w:vAlign w:val="center"/>
          </w:tcPr>
          <w:p w14:paraId="47474189">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30,062.28</w:t>
            </w:r>
          </w:p>
        </w:tc>
      </w:tr>
    </w:tbl>
    <w:p w14:paraId="3A055575">
      <w:pPr>
        <w:spacing w:before="156" w:beforeLines="50" w:line="360" w:lineRule="auto"/>
        <w:ind w:firstLine="420" w:firstLineChars="200"/>
        <w:jc w:val="center"/>
        <w:rPr>
          <w:rFonts w:ascii="宋体" w:hAnsi="宋体" w:cs="仿宋"/>
          <w:b/>
          <w:bCs/>
          <w:color w:val="000000" w:themeColor="text1"/>
          <w:szCs w:val="28"/>
          <w:highlight w:val="none"/>
          <w14:textFill>
            <w14:solidFill>
              <w14:schemeClr w14:val="tx1"/>
            </w14:solidFill>
          </w14:textFill>
        </w:rPr>
      </w:pPr>
    </w:p>
    <w:p w14:paraId="2EBB30B4">
      <w:pPr>
        <w:spacing w:before="156" w:beforeLines="50" w:line="360" w:lineRule="auto"/>
        <w:ind w:firstLine="420" w:firstLineChars="200"/>
        <w:jc w:val="center"/>
        <w:rPr>
          <w:rFonts w:ascii="宋体" w:hAnsi="宋体" w:cs="仿宋"/>
          <w:b/>
          <w:bCs/>
          <w:color w:val="000000" w:themeColor="text1"/>
          <w:szCs w:val="28"/>
          <w:highlight w:val="none"/>
          <w14:textFill>
            <w14:solidFill>
              <w14:schemeClr w14:val="tx1"/>
            </w14:solidFill>
          </w14:textFill>
        </w:rPr>
      </w:pPr>
      <w:r>
        <w:rPr>
          <w:rFonts w:hint="eastAsia" w:ascii="宋体" w:hAnsi="宋体" w:cs="仿宋"/>
          <w:b/>
          <w:bCs/>
          <w:color w:val="000000" w:themeColor="text1"/>
          <w:szCs w:val="28"/>
          <w:highlight w:val="none"/>
          <w14:textFill>
            <w14:solidFill>
              <w14:schemeClr w14:val="tx1"/>
            </w14:solidFill>
          </w14:textFill>
        </w:rPr>
        <w:t>表1-2项目分年度支出计划表</w:t>
      </w:r>
    </w:p>
    <w:p w14:paraId="51BA6B68">
      <w:pPr>
        <w:ind w:firstLine="360" w:firstLineChars="200"/>
        <w:jc w:val="right"/>
        <w:rPr>
          <w:rFonts w:ascii="宋体" w:hAnsi="宋体" w:cs="仿宋"/>
          <w:b/>
          <w:bCs/>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4965" w:type="pct"/>
        <w:tblInd w:w="0" w:type="dxa"/>
        <w:tblLayout w:type="autofit"/>
        <w:tblCellMar>
          <w:top w:w="0" w:type="dxa"/>
          <w:left w:w="108" w:type="dxa"/>
          <w:bottom w:w="0" w:type="dxa"/>
          <w:right w:w="108" w:type="dxa"/>
        </w:tblCellMar>
      </w:tblPr>
      <w:tblGrid>
        <w:gridCol w:w="511"/>
        <w:gridCol w:w="1180"/>
        <w:gridCol w:w="2322"/>
        <w:gridCol w:w="2322"/>
        <w:gridCol w:w="2324"/>
      </w:tblGrid>
      <w:tr w14:paraId="1E356FE7">
        <w:tblPrEx>
          <w:tblCellMar>
            <w:top w:w="0" w:type="dxa"/>
            <w:left w:w="108" w:type="dxa"/>
            <w:bottom w:w="0" w:type="dxa"/>
            <w:right w:w="108" w:type="dxa"/>
          </w:tblCellMar>
        </w:tblPrEx>
        <w:trPr>
          <w:trHeight w:val="285" w:hRule="atLeast"/>
        </w:trPr>
        <w:tc>
          <w:tcPr>
            <w:tcW w:w="295" w:type="pct"/>
            <w:tcBorders>
              <w:top w:val="single" w:color="auto" w:sz="8" w:space="0"/>
              <w:left w:val="single" w:color="auto" w:sz="8" w:space="0"/>
              <w:bottom w:val="single" w:color="auto" w:sz="8" w:space="0"/>
              <w:right w:val="single" w:color="auto" w:sz="8" w:space="0"/>
            </w:tcBorders>
            <w:shd w:val="clear" w:color="auto" w:fill="auto"/>
            <w:vAlign w:val="center"/>
          </w:tcPr>
          <w:p w14:paraId="2B9AB7A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序号</w:t>
            </w:r>
          </w:p>
        </w:tc>
        <w:tc>
          <w:tcPr>
            <w:tcW w:w="681" w:type="pct"/>
            <w:tcBorders>
              <w:top w:val="single" w:color="auto" w:sz="8" w:space="0"/>
              <w:left w:val="nil"/>
              <w:bottom w:val="single" w:color="auto" w:sz="8" w:space="0"/>
              <w:right w:val="single" w:color="auto" w:sz="8" w:space="0"/>
            </w:tcBorders>
            <w:shd w:val="clear" w:color="auto" w:fill="auto"/>
            <w:vAlign w:val="center"/>
          </w:tcPr>
          <w:p w14:paraId="1DA0346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费用类型</w:t>
            </w:r>
          </w:p>
        </w:tc>
        <w:tc>
          <w:tcPr>
            <w:tcW w:w="1340" w:type="pct"/>
            <w:tcBorders>
              <w:top w:val="single" w:color="auto" w:sz="8" w:space="0"/>
              <w:left w:val="nil"/>
              <w:bottom w:val="single" w:color="auto" w:sz="8" w:space="0"/>
              <w:right w:val="single" w:color="auto" w:sz="8" w:space="0"/>
            </w:tcBorders>
            <w:shd w:val="clear" w:color="auto" w:fill="auto"/>
            <w:vAlign w:val="center"/>
          </w:tcPr>
          <w:p w14:paraId="60405EE2">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1340" w:type="pct"/>
            <w:tcBorders>
              <w:top w:val="single" w:color="auto" w:sz="8" w:space="0"/>
              <w:left w:val="nil"/>
              <w:bottom w:val="single" w:color="auto" w:sz="8" w:space="0"/>
              <w:right w:val="single" w:color="auto" w:sz="8" w:space="0"/>
            </w:tcBorders>
            <w:shd w:val="clear" w:color="auto" w:fill="auto"/>
            <w:vAlign w:val="center"/>
          </w:tcPr>
          <w:p w14:paraId="4E4F4C8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w:t>
            </w:r>
          </w:p>
        </w:tc>
        <w:tc>
          <w:tcPr>
            <w:tcW w:w="1341" w:type="pct"/>
            <w:tcBorders>
              <w:top w:val="single" w:color="auto" w:sz="8" w:space="0"/>
              <w:left w:val="nil"/>
              <w:bottom w:val="single" w:color="auto" w:sz="8" w:space="0"/>
              <w:right w:val="single" w:color="auto" w:sz="8" w:space="0"/>
            </w:tcBorders>
            <w:shd w:val="clear" w:color="auto" w:fill="auto"/>
            <w:vAlign w:val="center"/>
          </w:tcPr>
          <w:p w14:paraId="6F00BD51">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p>
        </w:tc>
      </w:tr>
      <w:tr w14:paraId="3417DF9B">
        <w:tblPrEx>
          <w:tblCellMar>
            <w:top w:w="0" w:type="dxa"/>
            <w:left w:w="108" w:type="dxa"/>
            <w:bottom w:w="0" w:type="dxa"/>
            <w:right w:w="108" w:type="dxa"/>
          </w:tblCellMar>
        </w:tblPrEx>
        <w:trPr>
          <w:trHeight w:val="285" w:hRule="atLeast"/>
        </w:trPr>
        <w:tc>
          <w:tcPr>
            <w:tcW w:w="295" w:type="pct"/>
            <w:tcBorders>
              <w:top w:val="nil"/>
              <w:left w:val="single" w:color="auto" w:sz="8" w:space="0"/>
              <w:bottom w:val="single" w:color="auto" w:sz="8" w:space="0"/>
              <w:right w:val="single" w:color="auto" w:sz="8" w:space="0"/>
            </w:tcBorders>
            <w:shd w:val="clear" w:color="auto" w:fill="auto"/>
            <w:vAlign w:val="center"/>
          </w:tcPr>
          <w:p w14:paraId="5E4EF30D">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w:t>
            </w:r>
          </w:p>
        </w:tc>
        <w:tc>
          <w:tcPr>
            <w:tcW w:w="681" w:type="pct"/>
            <w:tcBorders>
              <w:top w:val="nil"/>
              <w:left w:val="nil"/>
              <w:bottom w:val="single" w:color="auto" w:sz="8" w:space="0"/>
              <w:right w:val="single" w:color="auto" w:sz="8" w:space="0"/>
            </w:tcBorders>
            <w:shd w:val="clear" w:color="auto" w:fill="auto"/>
            <w:vAlign w:val="center"/>
          </w:tcPr>
          <w:p w14:paraId="78254AA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建设工程费用</w:t>
            </w:r>
          </w:p>
        </w:tc>
        <w:tc>
          <w:tcPr>
            <w:tcW w:w="13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5905E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27,099.19</w:t>
            </w:r>
          </w:p>
        </w:tc>
        <w:tc>
          <w:tcPr>
            <w:tcW w:w="1340" w:type="pct"/>
            <w:tcBorders>
              <w:top w:val="nil"/>
              <w:left w:val="nil"/>
              <w:bottom w:val="single" w:color="auto" w:sz="8" w:space="0"/>
              <w:right w:val="single" w:color="auto" w:sz="8" w:space="0"/>
            </w:tcBorders>
            <w:shd w:val="clear" w:color="auto" w:fill="auto"/>
            <w:vAlign w:val="center"/>
          </w:tcPr>
          <w:p w14:paraId="310056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10,839.68</w:t>
            </w:r>
          </w:p>
        </w:tc>
        <w:tc>
          <w:tcPr>
            <w:tcW w:w="1341" w:type="pct"/>
            <w:tcBorders>
              <w:top w:val="nil"/>
              <w:left w:val="nil"/>
              <w:bottom w:val="single" w:color="auto" w:sz="8" w:space="0"/>
              <w:right w:val="single" w:color="auto" w:sz="8" w:space="0"/>
            </w:tcBorders>
            <w:shd w:val="clear" w:color="auto" w:fill="auto"/>
            <w:vAlign w:val="center"/>
          </w:tcPr>
          <w:p w14:paraId="38ED52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16,259.51</w:t>
            </w:r>
          </w:p>
        </w:tc>
      </w:tr>
      <w:tr w14:paraId="73093C6B">
        <w:tblPrEx>
          <w:tblCellMar>
            <w:top w:w="0" w:type="dxa"/>
            <w:left w:w="108" w:type="dxa"/>
            <w:bottom w:w="0" w:type="dxa"/>
            <w:right w:w="108" w:type="dxa"/>
          </w:tblCellMar>
        </w:tblPrEx>
        <w:trPr>
          <w:trHeight w:val="285" w:hRule="atLeast"/>
        </w:trPr>
        <w:tc>
          <w:tcPr>
            <w:tcW w:w="295" w:type="pct"/>
            <w:tcBorders>
              <w:top w:val="nil"/>
              <w:left w:val="single" w:color="auto" w:sz="8" w:space="0"/>
              <w:bottom w:val="single" w:color="auto" w:sz="8" w:space="0"/>
              <w:right w:val="single" w:color="auto" w:sz="8" w:space="0"/>
            </w:tcBorders>
            <w:shd w:val="clear" w:color="auto" w:fill="auto"/>
            <w:vAlign w:val="center"/>
          </w:tcPr>
          <w:p w14:paraId="1C6E59D3">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w:t>
            </w:r>
          </w:p>
        </w:tc>
        <w:tc>
          <w:tcPr>
            <w:tcW w:w="681" w:type="pct"/>
            <w:tcBorders>
              <w:top w:val="nil"/>
              <w:left w:val="nil"/>
              <w:bottom w:val="single" w:color="auto" w:sz="8" w:space="0"/>
              <w:right w:val="single" w:color="auto" w:sz="8" w:space="0"/>
            </w:tcBorders>
            <w:shd w:val="clear" w:color="auto" w:fill="auto"/>
            <w:vAlign w:val="center"/>
          </w:tcPr>
          <w:p w14:paraId="012B16A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工程建设其他费用</w:t>
            </w:r>
          </w:p>
        </w:tc>
        <w:tc>
          <w:tcPr>
            <w:tcW w:w="1340" w:type="pct"/>
            <w:tcBorders>
              <w:top w:val="nil"/>
              <w:left w:val="single" w:color="auto" w:sz="4" w:space="0"/>
              <w:bottom w:val="single" w:color="auto" w:sz="4" w:space="0"/>
              <w:right w:val="single" w:color="auto" w:sz="4" w:space="0"/>
            </w:tcBorders>
            <w:shd w:val="clear" w:color="auto" w:fill="auto"/>
            <w:noWrap/>
            <w:vAlign w:val="center"/>
          </w:tcPr>
          <w:p w14:paraId="52ED2A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1,608.13</w:t>
            </w:r>
          </w:p>
        </w:tc>
        <w:tc>
          <w:tcPr>
            <w:tcW w:w="1340" w:type="pct"/>
            <w:tcBorders>
              <w:top w:val="nil"/>
              <w:left w:val="nil"/>
              <w:bottom w:val="single" w:color="auto" w:sz="8" w:space="0"/>
              <w:right w:val="single" w:color="auto" w:sz="8" w:space="0"/>
            </w:tcBorders>
            <w:shd w:val="clear" w:color="auto" w:fill="auto"/>
            <w:vAlign w:val="center"/>
          </w:tcPr>
          <w:p w14:paraId="02A91F8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643.25</w:t>
            </w:r>
          </w:p>
        </w:tc>
        <w:tc>
          <w:tcPr>
            <w:tcW w:w="1341" w:type="pct"/>
            <w:tcBorders>
              <w:top w:val="nil"/>
              <w:left w:val="nil"/>
              <w:bottom w:val="single" w:color="auto" w:sz="8" w:space="0"/>
              <w:right w:val="single" w:color="auto" w:sz="8" w:space="0"/>
            </w:tcBorders>
            <w:shd w:val="clear" w:color="auto" w:fill="auto"/>
            <w:vAlign w:val="center"/>
          </w:tcPr>
          <w:p w14:paraId="31D9B4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964.88</w:t>
            </w:r>
          </w:p>
        </w:tc>
      </w:tr>
      <w:tr w14:paraId="0729EBFA">
        <w:tblPrEx>
          <w:tblCellMar>
            <w:top w:w="0" w:type="dxa"/>
            <w:left w:w="108" w:type="dxa"/>
            <w:bottom w:w="0" w:type="dxa"/>
            <w:right w:w="108" w:type="dxa"/>
          </w:tblCellMar>
        </w:tblPrEx>
        <w:trPr>
          <w:trHeight w:val="285" w:hRule="atLeast"/>
        </w:trPr>
        <w:tc>
          <w:tcPr>
            <w:tcW w:w="295" w:type="pct"/>
            <w:tcBorders>
              <w:top w:val="nil"/>
              <w:left w:val="single" w:color="auto" w:sz="8" w:space="0"/>
              <w:bottom w:val="single" w:color="auto" w:sz="8" w:space="0"/>
              <w:right w:val="single" w:color="auto" w:sz="8" w:space="0"/>
            </w:tcBorders>
            <w:shd w:val="clear" w:color="auto" w:fill="auto"/>
            <w:vAlign w:val="center"/>
          </w:tcPr>
          <w:p w14:paraId="18FD6965">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w:t>
            </w:r>
          </w:p>
        </w:tc>
        <w:tc>
          <w:tcPr>
            <w:tcW w:w="681" w:type="pct"/>
            <w:tcBorders>
              <w:top w:val="nil"/>
              <w:left w:val="nil"/>
              <w:bottom w:val="single" w:color="auto" w:sz="8" w:space="0"/>
              <w:right w:val="single" w:color="auto" w:sz="8" w:space="0"/>
            </w:tcBorders>
            <w:shd w:val="clear" w:color="auto" w:fill="auto"/>
            <w:vAlign w:val="center"/>
          </w:tcPr>
          <w:p w14:paraId="569352B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基本预备费</w:t>
            </w:r>
          </w:p>
        </w:tc>
        <w:tc>
          <w:tcPr>
            <w:tcW w:w="1340" w:type="pct"/>
            <w:tcBorders>
              <w:top w:val="nil"/>
              <w:left w:val="single" w:color="auto" w:sz="4" w:space="0"/>
              <w:bottom w:val="single" w:color="auto" w:sz="4" w:space="0"/>
              <w:right w:val="single" w:color="auto" w:sz="4" w:space="0"/>
            </w:tcBorders>
            <w:shd w:val="clear" w:color="auto" w:fill="auto"/>
            <w:noWrap/>
            <w:vAlign w:val="center"/>
          </w:tcPr>
          <w:p w14:paraId="06DC29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1,354.96</w:t>
            </w:r>
          </w:p>
        </w:tc>
        <w:tc>
          <w:tcPr>
            <w:tcW w:w="1340" w:type="pct"/>
            <w:tcBorders>
              <w:top w:val="nil"/>
              <w:left w:val="nil"/>
              <w:bottom w:val="single" w:color="auto" w:sz="8" w:space="0"/>
              <w:right w:val="single" w:color="auto" w:sz="8" w:space="0"/>
            </w:tcBorders>
            <w:shd w:val="clear" w:color="auto" w:fill="auto"/>
            <w:vAlign w:val="center"/>
          </w:tcPr>
          <w:p w14:paraId="6212D36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541.98</w:t>
            </w:r>
          </w:p>
        </w:tc>
        <w:tc>
          <w:tcPr>
            <w:tcW w:w="1341" w:type="pct"/>
            <w:tcBorders>
              <w:top w:val="nil"/>
              <w:left w:val="nil"/>
              <w:bottom w:val="single" w:color="auto" w:sz="8" w:space="0"/>
              <w:right w:val="single" w:color="auto" w:sz="8" w:space="0"/>
            </w:tcBorders>
            <w:shd w:val="clear" w:color="auto" w:fill="auto"/>
            <w:vAlign w:val="center"/>
          </w:tcPr>
          <w:p w14:paraId="61B1F72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812.98</w:t>
            </w:r>
          </w:p>
        </w:tc>
      </w:tr>
      <w:tr w14:paraId="1683F19E">
        <w:tblPrEx>
          <w:tblCellMar>
            <w:top w:w="0" w:type="dxa"/>
            <w:left w:w="108" w:type="dxa"/>
            <w:bottom w:w="0" w:type="dxa"/>
            <w:right w:w="108" w:type="dxa"/>
          </w:tblCellMar>
        </w:tblPrEx>
        <w:trPr>
          <w:trHeight w:val="285" w:hRule="atLeast"/>
        </w:trPr>
        <w:tc>
          <w:tcPr>
            <w:tcW w:w="976"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280100AE">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本次建设项目支出总计</w:t>
            </w:r>
          </w:p>
        </w:tc>
        <w:tc>
          <w:tcPr>
            <w:tcW w:w="1340" w:type="pct"/>
            <w:tcBorders>
              <w:top w:val="single" w:color="auto" w:sz="8" w:space="0"/>
              <w:left w:val="nil"/>
              <w:bottom w:val="single" w:color="auto" w:sz="8" w:space="0"/>
              <w:right w:val="single" w:color="auto" w:sz="8" w:space="0"/>
            </w:tcBorders>
            <w:shd w:val="clear" w:color="auto" w:fill="auto"/>
            <w:vAlign w:val="center"/>
          </w:tcPr>
          <w:p w14:paraId="08B65DC3">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30,062.28</w:t>
            </w:r>
          </w:p>
        </w:tc>
        <w:tc>
          <w:tcPr>
            <w:tcW w:w="1340" w:type="pct"/>
            <w:tcBorders>
              <w:top w:val="nil"/>
              <w:left w:val="nil"/>
              <w:bottom w:val="single" w:color="auto" w:sz="8" w:space="0"/>
              <w:right w:val="single" w:color="auto" w:sz="8" w:space="0"/>
            </w:tcBorders>
            <w:shd w:val="clear" w:color="auto" w:fill="auto"/>
            <w:vAlign w:val="center"/>
          </w:tcPr>
          <w:p w14:paraId="64CC3217">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12,024.91</w:t>
            </w:r>
          </w:p>
        </w:tc>
        <w:tc>
          <w:tcPr>
            <w:tcW w:w="1341" w:type="pct"/>
            <w:tcBorders>
              <w:top w:val="nil"/>
              <w:left w:val="nil"/>
              <w:bottom w:val="single" w:color="auto" w:sz="8" w:space="0"/>
              <w:right w:val="single" w:color="auto" w:sz="8" w:space="0"/>
            </w:tcBorders>
            <w:shd w:val="clear" w:color="auto" w:fill="auto"/>
            <w:vAlign w:val="center"/>
          </w:tcPr>
          <w:p w14:paraId="35FD8520">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18,037.37</w:t>
            </w:r>
          </w:p>
        </w:tc>
      </w:tr>
    </w:tbl>
    <w:p w14:paraId="415089AD">
      <w:pPr>
        <w:pStyle w:val="19"/>
        <w:spacing w:before="0" w:beforeAutospacing="0" w:after="156" w:afterLines="50" w:afterAutospacing="0" w:line="360" w:lineRule="exact"/>
        <w:ind w:firstLine="360" w:firstLineChars="200"/>
        <w:jc w:val="both"/>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注：项目建设周期为</w:t>
      </w:r>
      <w:r>
        <w:rPr>
          <w:rFonts w:hint="eastAsia"/>
          <w:color w:val="000000" w:themeColor="text1"/>
          <w:sz w:val="18"/>
          <w:szCs w:val="18"/>
          <w:highlight w:val="none"/>
          <w:lang w:val="en-US" w:eastAsia="zh-CN"/>
          <w14:textFill>
            <w14:solidFill>
              <w14:schemeClr w14:val="tx1"/>
            </w14:solidFill>
          </w14:textFill>
        </w:rPr>
        <w:t>4</w:t>
      </w:r>
      <w:r>
        <w:rPr>
          <w:rFonts w:hint="eastAsia"/>
          <w:color w:val="000000" w:themeColor="text1"/>
          <w:sz w:val="18"/>
          <w:szCs w:val="18"/>
          <w:highlight w:val="none"/>
          <w14:textFill>
            <w14:solidFill>
              <w14:schemeClr w14:val="tx1"/>
            </w14:solidFill>
          </w14:textFill>
        </w:rPr>
        <w:t>年，自2021年</w:t>
      </w:r>
      <w:r>
        <w:rPr>
          <w:rFonts w:hint="eastAsia"/>
          <w:color w:val="000000" w:themeColor="text1"/>
          <w:sz w:val="18"/>
          <w:szCs w:val="18"/>
          <w:highlight w:val="none"/>
          <w:lang w:val="en-US" w:eastAsia="zh-CN"/>
          <w14:textFill>
            <w14:solidFill>
              <w14:schemeClr w14:val="tx1"/>
            </w14:solidFill>
          </w14:textFill>
        </w:rPr>
        <w:t>12</w:t>
      </w:r>
      <w:r>
        <w:rPr>
          <w:rFonts w:hint="eastAsia"/>
          <w:color w:val="000000" w:themeColor="text1"/>
          <w:sz w:val="18"/>
          <w:szCs w:val="18"/>
          <w:highlight w:val="none"/>
          <w14:textFill>
            <w14:solidFill>
              <w14:schemeClr w14:val="tx1"/>
            </w14:solidFill>
          </w14:textFill>
        </w:rPr>
        <w:t>月至2025年</w:t>
      </w:r>
      <w:r>
        <w:rPr>
          <w:rFonts w:hint="eastAsia"/>
          <w:color w:val="000000" w:themeColor="text1"/>
          <w:sz w:val="18"/>
          <w:szCs w:val="18"/>
          <w:highlight w:val="none"/>
          <w:lang w:val="en-US" w:eastAsia="zh-CN"/>
          <w14:textFill>
            <w14:solidFill>
              <w14:schemeClr w14:val="tx1"/>
            </w14:solidFill>
          </w14:textFill>
        </w:rPr>
        <w:t>12</w:t>
      </w:r>
      <w:r>
        <w:rPr>
          <w:rFonts w:hint="eastAsia"/>
          <w:color w:val="000000" w:themeColor="text1"/>
          <w:sz w:val="18"/>
          <w:szCs w:val="18"/>
          <w:highlight w:val="none"/>
          <w14:textFill>
            <w14:solidFill>
              <w14:schemeClr w14:val="tx1"/>
            </w14:solidFill>
          </w14:textFill>
        </w:rPr>
        <w:t>月。</w:t>
      </w:r>
    </w:p>
    <w:p w14:paraId="69830EAF">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60" w:name="_Toc1989"/>
      <w:r>
        <w:rPr>
          <w:rFonts w:hint="eastAsia" w:ascii="微软雅黑" w:hAnsi="微软雅黑" w:eastAsia="微软雅黑" w:cs="微软雅黑"/>
          <w:b w:val="0"/>
          <w:bCs w:val="0"/>
          <w:color w:val="000000"/>
          <w:sz w:val="32"/>
          <w:szCs w:val="24"/>
          <w:highlight w:val="none"/>
          <w:lang w:val="en-US"/>
        </w:rPr>
        <w:t>二、项目投资估算及资金筹措方案</w:t>
      </w:r>
      <w:bookmarkEnd w:id="60"/>
    </w:p>
    <w:p w14:paraId="442FADC8">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61" w:name="_Toc16942"/>
      <w:r>
        <w:rPr>
          <w:rFonts w:hint="eastAsia" w:ascii="微软雅黑" w:hAnsi="微软雅黑" w:eastAsia="微软雅黑" w:cs="微软雅黑"/>
          <w:b w:val="0"/>
          <w:bCs w:val="0"/>
          <w:color w:val="000000"/>
          <w:kern w:val="2"/>
          <w:sz w:val="30"/>
          <w:szCs w:val="30"/>
          <w:highlight w:val="none"/>
          <w:lang w:val="en-US"/>
        </w:rPr>
        <w:t>（一）投资估算</w:t>
      </w:r>
      <w:bookmarkEnd w:id="61"/>
    </w:p>
    <w:p w14:paraId="3D50D4B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1、估算编制依据</w:t>
      </w:r>
    </w:p>
    <w:p w14:paraId="4B66CD9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1)关于南昌县行政审批局《关于南昌县向塘镇320国道改造安置房（保障房）一期二批工程可行性研究报告的批复》（南行审投资投字[2022]54 号)</w:t>
      </w:r>
    </w:p>
    <w:p w14:paraId="6148574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2)财政部《关于试点发展项目收益与融资自求平衡的地方政府专项债券品种的通知》（财预〔2017〕89号文）；</w:t>
      </w:r>
    </w:p>
    <w:p w14:paraId="746C3E2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3)财政部《关于做好2018年地方政府债券发行工作的意见》（财库〔2018〕61号）；</w:t>
      </w:r>
    </w:p>
    <w:p w14:paraId="36896FF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4)《国家鼓励发展的资源节约综合利用和环境保护技术》（国家发展改革委令[2005]第65号）；</w:t>
      </w:r>
    </w:p>
    <w:p w14:paraId="6816955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5)《中华人民共和国电力法（2015年修正）》（国家主席令[2015]第24号）；</w:t>
      </w:r>
    </w:p>
    <w:p w14:paraId="3B49B2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6)《水利建设项目经济评价规范》（SL72-2013）；</w:t>
      </w:r>
    </w:p>
    <w:p w14:paraId="2ED95F2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7)《水电建设项目经济评价规范》（DL/T5441-2010）；</w:t>
      </w:r>
    </w:p>
    <w:p w14:paraId="4A150B5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8) 《南昌县向塘镇320国道改造安置房（保障房）一期二批工程可行性研究报告》；</w:t>
      </w:r>
    </w:p>
    <w:p w14:paraId="3931262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9)建设工程规划设计要求（蓝协（2018）第001号）；</w:t>
      </w:r>
    </w:p>
    <w:p w14:paraId="1DFBD1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2、费率及参数</w:t>
      </w:r>
    </w:p>
    <w:p w14:paraId="1AAF5F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仿宋_GB2312" w:cs="Times New Roman"/>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本项目从客观、谨慎角度出发、发行利率取3.</w:t>
      </w:r>
      <w:r>
        <w:rPr>
          <w:rFonts w:hint="eastAsia" w:asciiTheme="minorEastAsia" w:hAnsiTheme="minorEastAsia" w:eastAsiaTheme="minorEastAsia" w:cstheme="minorEastAsia"/>
          <w:color w:val="000000"/>
          <w:sz w:val="28"/>
          <w:szCs w:val="28"/>
          <w:highlight w:val="none"/>
          <w:lang w:val="en-US" w:eastAsia="zh-CN"/>
        </w:rPr>
        <w:t>7</w:t>
      </w:r>
      <w:r>
        <w:rPr>
          <w:rFonts w:hint="eastAsia" w:asciiTheme="minorEastAsia" w:hAnsiTheme="minorEastAsia" w:eastAsiaTheme="minorEastAsia" w:cstheme="minorEastAsia"/>
          <w:color w:val="000000"/>
          <w:sz w:val="28"/>
          <w:szCs w:val="28"/>
          <w:highlight w:val="none"/>
          <w:lang w:eastAsia="zh-CN"/>
        </w:rPr>
        <w:t>%进行测算，本次债券发行按照每年付息，到期一次性还本的方式。另外，按0.1%费率计算债券发行费用，符合专项债发行现状。</w:t>
      </w:r>
    </w:p>
    <w:p w14:paraId="1E9A5CE6">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62" w:name="_Toc27334"/>
      <w:r>
        <w:rPr>
          <w:rFonts w:hint="eastAsia" w:ascii="微软雅黑" w:hAnsi="微软雅黑" w:eastAsia="微软雅黑" w:cs="微软雅黑"/>
          <w:b w:val="0"/>
          <w:bCs w:val="0"/>
          <w:color w:val="000000"/>
          <w:kern w:val="2"/>
          <w:sz w:val="30"/>
          <w:szCs w:val="30"/>
          <w:highlight w:val="none"/>
          <w:lang w:val="en-US"/>
        </w:rPr>
        <w:t>（二）资金筹措方案</w:t>
      </w:r>
      <w:bookmarkEnd w:id="62"/>
    </w:p>
    <w:p w14:paraId="681983C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1、资金筹措原则</w:t>
      </w:r>
    </w:p>
    <w:p w14:paraId="3C7991F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本次资金筹措遵循以下原则：</w:t>
      </w:r>
    </w:p>
    <w:p w14:paraId="18D407A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（1）项目投入一定资本金，保证项目顺利开工及后续融资的可能；</w:t>
      </w:r>
    </w:p>
    <w:p w14:paraId="0D0C818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（2）发行地方政府专项债券、其他融资。</w:t>
      </w:r>
    </w:p>
    <w:p w14:paraId="702C43E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2、资金筹措方案</w:t>
      </w:r>
    </w:p>
    <w:p w14:paraId="14BBCA1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考虑资金成本，结合本次发行项目实际情况，为降低资金成本，减轻财务负担，提高资金流动性，保障项目现金流最大化，本项目投资人根据国家相关规定，初步确定项目资金来源如下：</w:t>
      </w:r>
    </w:p>
    <w:tbl>
      <w:tblPr>
        <w:tblStyle w:val="23"/>
        <w:tblW w:w="4889" w:type="pct"/>
        <w:tblInd w:w="0" w:type="dxa"/>
        <w:tblLayout w:type="fixed"/>
        <w:tblCellMar>
          <w:top w:w="0" w:type="dxa"/>
          <w:left w:w="108" w:type="dxa"/>
          <w:bottom w:w="0" w:type="dxa"/>
          <w:right w:w="108" w:type="dxa"/>
        </w:tblCellMar>
      </w:tblPr>
      <w:tblGrid>
        <w:gridCol w:w="1332"/>
        <w:gridCol w:w="1148"/>
        <w:gridCol w:w="866"/>
        <w:gridCol w:w="870"/>
        <w:gridCol w:w="1270"/>
        <w:gridCol w:w="3041"/>
      </w:tblGrid>
      <w:tr w14:paraId="1F25D55B">
        <w:tblPrEx>
          <w:tblCellMar>
            <w:top w:w="0" w:type="dxa"/>
            <w:left w:w="108" w:type="dxa"/>
            <w:bottom w:w="0" w:type="dxa"/>
            <w:right w:w="108" w:type="dxa"/>
          </w:tblCellMar>
        </w:tblPrEx>
        <w:trPr>
          <w:trHeight w:val="270" w:hRule="atLeast"/>
        </w:trPr>
        <w:tc>
          <w:tcPr>
            <w:tcW w:w="78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F4E193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3C539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545" w:type="pct"/>
            <w:gridSpan w:val="4"/>
            <w:tcBorders>
              <w:top w:val="single" w:color="auto" w:sz="4" w:space="0"/>
              <w:left w:val="nil"/>
              <w:bottom w:val="single" w:color="auto" w:sz="4" w:space="0"/>
              <w:right w:val="nil"/>
            </w:tcBorders>
          </w:tcPr>
          <w:p w14:paraId="5FFF6760">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7FE1A5BE">
        <w:tblPrEx>
          <w:tblCellMar>
            <w:top w:w="0" w:type="dxa"/>
            <w:left w:w="108" w:type="dxa"/>
            <w:bottom w:w="0" w:type="dxa"/>
            <w:right w:w="108" w:type="dxa"/>
          </w:tblCellMar>
        </w:tblPrEx>
        <w:trPr>
          <w:trHeight w:val="270" w:hRule="atLeast"/>
        </w:trPr>
        <w:tc>
          <w:tcPr>
            <w:tcW w:w="781" w:type="pct"/>
            <w:vMerge w:val="continue"/>
            <w:tcBorders>
              <w:top w:val="single" w:color="auto" w:sz="4" w:space="0"/>
              <w:left w:val="single" w:color="auto" w:sz="4" w:space="0"/>
              <w:bottom w:val="single" w:color="auto" w:sz="4" w:space="0"/>
              <w:right w:val="single" w:color="auto" w:sz="4" w:space="0"/>
            </w:tcBorders>
            <w:vAlign w:val="center"/>
          </w:tcPr>
          <w:p w14:paraId="422B546F">
            <w:pPr>
              <w:widowControl/>
              <w:jc w:val="center"/>
              <w:rPr>
                <w:rFonts w:ascii="宋体" w:hAnsi="宋体" w:cs="宋体"/>
                <w:b/>
                <w:bCs/>
                <w:color w:val="000000"/>
                <w:kern w:val="0"/>
                <w:sz w:val="18"/>
                <w:szCs w:val="18"/>
                <w:highlight w:val="none"/>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14:paraId="068B5398">
            <w:pPr>
              <w:widowControl/>
              <w:jc w:val="center"/>
              <w:rPr>
                <w:rFonts w:ascii="宋体" w:hAnsi="宋体" w:cs="宋体"/>
                <w:b/>
                <w:bCs/>
                <w:color w:val="000000"/>
                <w:kern w:val="0"/>
                <w:sz w:val="18"/>
                <w:szCs w:val="18"/>
                <w:highlight w:val="none"/>
              </w:rPr>
            </w:pPr>
          </w:p>
        </w:tc>
        <w:tc>
          <w:tcPr>
            <w:tcW w:w="507" w:type="pct"/>
            <w:tcBorders>
              <w:top w:val="nil"/>
              <w:left w:val="nil"/>
              <w:bottom w:val="single" w:color="auto" w:sz="4" w:space="0"/>
              <w:right w:val="single" w:color="auto" w:sz="4" w:space="0"/>
            </w:tcBorders>
            <w:shd w:val="clear" w:color="auto" w:fill="auto"/>
            <w:vAlign w:val="center"/>
          </w:tcPr>
          <w:p w14:paraId="05150694">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510" w:type="pct"/>
            <w:tcBorders>
              <w:top w:val="single" w:color="auto" w:sz="4" w:space="0"/>
              <w:left w:val="nil"/>
              <w:bottom w:val="single" w:color="auto" w:sz="4" w:space="0"/>
              <w:right w:val="single" w:color="auto" w:sz="4" w:space="0"/>
            </w:tcBorders>
          </w:tcPr>
          <w:p w14:paraId="3A69E1A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本次调整金额</w:t>
            </w:r>
          </w:p>
        </w:tc>
        <w:tc>
          <w:tcPr>
            <w:tcW w:w="744" w:type="pct"/>
            <w:tcBorders>
              <w:top w:val="nil"/>
              <w:left w:val="nil"/>
              <w:bottom w:val="single" w:color="auto" w:sz="4" w:space="0"/>
              <w:right w:val="single" w:color="auto" w:sz="4" w:space="0"/>
            </w:tcBorders>
            <w:shd w:val="clear" w:color="auto" w:fill="auto"/>
            <w:noWrap/>
            <w:vAlign w:val="center"/>
          </w:tcPr>
          <w:p w14:paraId="51CA2FD1">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1783" w:type="pct"/>
            <w:tcBorders>
              <w:top w:val="nil"/>
              <w:left w:val="nil"/>
              <w:bottom w:val="single" w:color="auto" w:sz="4" w:space="0"/>
              <w:right w:val="single" w:color="auto" w:sz="4" w:space="0"/>
            </w:tcBorders>
            <w:shd w:val="clear" w:color="auto" w:fill="auto"/>
            <w:noWrap/>
            <w:vAlign w:val="center"/>
          </w:tcPr>
          <w:p w14:paraId="5DE43E54">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w:t>
            </w:r>
            <w:r>
              <w:rPr>
                <w:rFonts w:hint="eastAsia" w:ascii="宋体" w:hAnsi="宋体" w:cs="宋体"/>
                <w:b/>
                <w:bCs/>
                <w:color w:val="000000"/>
                <w:kern w:val="0"/>
                <w:sz w:val="18"/>
                <w:szCs w:val="18"/>
                <w:highlight w:val="none"/>
                <w:lang w:val="en-US" w:eastAsia="zh-CN"/>
              </w:rPr>
              <w:t>计划</w:t>
            </w:r>
            <w:r>
              <w:rPr>
                <w:rFonts w:hint="eastAsia" w:ascii="宋体" w:hAnsi="宋体" w:cs="宋体"/>
                <w:b/>
                <w:bCs/>
                <w:color w:val="000000"/>
                <w:kern w:val="0"/>
                <w:sz w:val="18"/>
                <w:szCs w:val="18"/>
                <w:highlight w:val="none"/>
              </w:rPr>
              <w:t>发行</w:t>
            </w:r>
          </w:p>
        </w:tc>
      </w:tr>
      <w:tr w14:paraId="46D1AF38">
        <w:tblPrEx>
          <w:tblCellMar>
            <w:top w:w="0" w:type="dxa"/>
            <w:left w:w="108" w:type="dxa"/>
            <w:bottom w:w="0" w:type="dxa"/>
            <w:right w:w="108" w:type="dxa"/>
          </w:tblCellMar>
        </w:tblPrEx>
        <w:trPr>
          <w:trHeight w:val="270" w:hRule="atLeast"/>
        </w:trPr>
        <w:tc>
          <w:tcPr>
            <w:tcW w:w="781" w:type="pct"/>
            <w:tcBorders>
              <w:top w:val="nil"/>
              <w:left w:val="single" w:color="auto" w:sz="4" w:space="0"/>
              <w:bottom w:val="single" w:color="auto" w:sz="4" w:space="0"/>
              <w:right w:val="single" w:color="auto" w:sz="4" w:space="0"/>
            </w:tcBorders>
            <w:shd w:val="clear" w:color="auto" w:fill="auto"/>
            <w:noWrap/>
            <w:vAlign w:val="center"/>
          </w:tcPr>
          <w:p w14:paraId="4D6E0080">
            <w:pPr>
              <w:widowControl/>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30,062.2</w:t>
            </w:r>
          </w:p>
        </w:tc>
        <w:tc>
          <w:tcPr>
            <w:tcW w:w="673" w:type="pct"/>
            <w:tcBorders>
              <w:top w:val="nil"/>
              <w:left w:val="nil"/>
              <w:bottom w:val="single" w:color="auto" w:sz="4" w:space="0"/>
              <w:right w:val="single" w:color="auto" w:sz="4" w:space="0"/>
            </w:tcBorders>
            <w:shd w:val="clear" w:color="auto" w:fill="auto"/>
            <w:noWrap/>
            <w:vAlign w:val="center"/>
          </w:tcPr>
          <w:p w14:paraId="38A454F4">
            <w:pPr>
              <w:widowControl/>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6,1</w:t>
            </w:r>
            <w:r>
              <w:rPr>
                <w:rFonts w:hint="eastAsia" w:ascii="宋体" w:hAnsi="宋体" w:cs="宋体"/>
                <w:color w:val="000000"/>
                <w:kern w:val="0"/>
                <w:sz w:val="18"/>
                <w:szCs w:val="18"/>
                <w:highlight w:val="none"/>
                <w:lang w:val="en-US" w:eastAsia="zh-CN"/>
              </w:rPr>
              <w:t>62</w:t>
            </w:r>
            <w:r>
              <w:rPr>
                <w:rFonts w:hint="eastAsia" w:ascii="宋体" w:hAnsi="宋体" w:eastAsia="宋体" w:cs="宋体"/>
                <w:color w:val="000000"/>
                <w:kern w:val="0"/>
                <w:sz w:val="18"/>
                <w:szCs w:val="18"/>
                <w:highlight w:val="none"/>
                <w:lang w:val="en-US" w:eastAsia="zh-CN"/>
              </w:rPr>
              <w:t>.</w:t>
            </w:r>
            <w:r>
              <w:rPr>
                <w:rFonts w:hint="eastAsia" w:ascii="宋体" w:hAnsi="宋体" w:cs="宋体"/>
                <w:color w:val="000000"/>
                <w:kern w:val="0"/>
                <w:sz w:val="18"/>
                <w:szCs w:val="18"/>
                <w:highlight w:val="none"/>
                <w:lang w:val="en-US" w:eastAsia="zh-CN"/>
              </w:rPr>
              <w:t>28</w:t>
            </w:r>
          </w:p>
        </w:tc>
        <w:tc>
          <w:tcPr>
            <w:tcW w:w="507" w:type="pct"/>
            <w:tcBorders>
              <w:top w:val="nil"/>
              <w:left w:val="nil"/>
              <w:bottom w:val="single" w:color="auto" w:sz="4" w:space="0"/>
              <w:right w:val="single" w:color="auto" w:sz="4" w:space="0"/>
            </w:tcBorders>
            <w:shd w:val="clear" w:color="auto" w:fill="auto"/>
            <w:vAlign w:val="center"/>
          </w:tcPr>
          <w:p w14:paraId="49EB7B3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23</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90</w:t>
            </w:r>
            <w:r>
              <w:rPr>
                <w:rFonts w:hint="eastAsia" w:ascii="宋体" w:hAnsi="宋体" w:cs="宋体"/>
                <w:color w:val="000000"/>
                <w:kern w:val="0"/>
                <w:sz w:val="18"/>
                <w:szCs w:val="18"/>
                <w:highlight w:val="none"/>
              </w:rPr>
              <w:t>0.00</w:t>
            </w:r>
          </w:p>
        </w:tc>
        <w:tc>
          <w:tcPr>
            <w:tcW w:w="510" w:type="pct"/>
            <w:tcBorders>
              <w:top w:val="single" w:color="auto" w:sz="4" w:space="0"/>
              <w:left w:val="nil"/>
              <w:bottom w:val="single" w:color="auto" w:sz="4" w:space="0"/>
              <w:right w:val="single" w:color="auto" w:sz="4" w:space="0"/>
            </w:tcBorders>
          </w:tcPr>
          <w:p w14:paraId="20F1451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8</w:t>
            </w:r>
            <w:r>
              <w:rPr>
                <w:rFonts w:ascii="宋体" w:hAnsi="宋体" w:cs="宋体"/>
                <w:color w:val="000000"/>
                <w:kern w:val="0"/>
                <w:sz w:val="18"/>
                <w:szCs w:val="18"/>
                <w:highlight w:val="none"/>
              </w:rPr>
              <w:t>,000.00</w:t>
            </w:r>
          </w:p>
        </w:tc>
        <w:tc>
          <w:tcPr>
            <w:tcW w:w="744" w:type="pct"/>
            <w:tcBorders>
              <w:top w:val="nil"/>
              <w:left w:val="nil"/>
              <w:bottom w:val="single" w:color="auto" w:sz="4" w:space="0"/>
              <w:right w:val="single" w:color="auto" w:sz="4" w:space="0"/>
            </w:tcBorders>
            <w:shd w:val="clear" w:color="auto" w:fill="auto"/>
            <w:vAlign w:val="center"/>
          </w:tcPr>
          <w:p w14:paraId="5ECEF5A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00.00</w:t>
            </w:r>
          </w:p>
        </w:tc>
        <w:tc>
          <w:tcPr>
            <w:tcW w:w="1783" w:type="pct"/>
            <w:tcBorders>
              <w:top w:val="nil"/>
              <w:left w:val="nil"/>
              <w:bottom w:val="single" w:color="auto" w:sz="4" w:space="0"/>
              <w:right w:val="single" w:color="auto" w:sz="4" w:space="0"/>
            </w:tcBorders>
            <w:shd w:val="clear" w:color="auto" w:fill="auto"/>
            <w:vAlign w:val="center"/>
          </w:tcPr>
          <w:p w14:paraId="5804447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40</w:t>
            </w:r>
            <w:r>
              <w:rPr>
                <w:rFonts w:hint="eastAsia" w:ascii="宋体" w:hAnsi="宋体" w:cs="宋体"/>
                <w:color w:val="000000"/>
                <w:kern w:val="0"/>
                <w:sz w:val="18"/>
                <w:szCs w:val="18"/>
                <w:highlight w:val="none"/>
              </w:rPr>
              <w:t>0.00</w:t>
            </w:r>
          </w:p>
        </w:tc>
      </w:tr>
    </w:tbl>
    <w:p w14:paraId="3CEFF98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按照发行方案及筹资计划，本次拟发行项目的总投资为30,062.28万元，通过自筹资金、申请专项债券、其他合规性融资等途径解决，其一，自筹资金6,162.28万元。其二，拟发行专项债券23,900.00万元，其中，8,000.00万元由2021年江西省高质量发展专项债券（十六期）——2021年江西省政府专项债券（三十一期）调整至本项目，发行期限30年。2024年计划发行9,400.00万，本期计划发入合计37,413.12万元。项目自运营期（2026行1,600万，发行期限5年。</w:t>
      </w:r>
    </w:p>
    <w:p w14:paraId="2154D1FD">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63" w:name="_Toc22713"/>
      <w:r>
        <w:rPr>
          <w:rFonts w:hint="eastAsia" w:ascii="微软雅黑" w:hAnsi="微软雅黑" w:eastAsia="微软雅黑" w:cs="微软雅黑"/>
          <w:b w:val="0"/>
          <w:bCs w:val="0"/>
          <w:color w:val="000000"/>
          <w:sz w:val="32"/>
          <w:szCs w:val="24"/>
          <w:highlight w:val="none"/>
          <w:lang w:val="en-US"/>
        </w:rPr>
        <w:t>三、项目预期收益、成本及融资平衡情况</w:t>
      </w:r>
      <w:bookmarkEnd w:id="63"/>
    </w:p>
    <w:p w14:paraId="11BA9077">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64" w:name="_Toc18978"/>
      <w:r>
        <w:rPr>
          <w:rFonts w:hint="eastAsia" w:ascii="微软雅黑" w:hAnsi="微软雅黑" w:eastAsia="微软雅黑" w:cs="微软雅黑"/>
          <w:b w:val="0"/>
          <w:bCs w:val="0"/>
          <w:color w:val="000000"/>
          <w:kern w:val="2"/>
          <w:sz w:val="30"/>
          <w:szCs w:val="30"/>
          <w:highlight w:val="none"/>
          <w:lang w:val="en-US"/>
        </w:rPr>
        <w:t>（一）收入测算</w:t>
      </w:r>
      <w:bookmarkEnd w:id="64"/>
    </w:p>
    <w:p w14:paraId="7F65F65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sz w:val="28"/>
          <w:szCs w:val="28"/>
          <w:highlight w:val="none"/>
          <w:lang w:val="en-US" w:eastAsia="zh-CN"/>
        </w:rPr>
        <w:t>本次申请发行的2021年江西省高质量发展专项债券（十六期）——2021年江西省政府专项债券（三十一期）债券资金调整之南昌县向塘镇320国道改造安置房（保障房）一期二批工程专项债券项目，在债券存续期内合理预计业务活动现金流年1月）开始至债券到期的项目收益年度分布情况如下：</w:t>
      </w:r>
    </w:p>
    <w:p w14:paraId="010312FD">
      <w:pPr>
        <w:pStyle w:val="19"/>
        <w:keepNext/>
        <w:spacing w:before="0" w:beforeAutospacing="0" w:after="0" w:afterAutospacing="0" w:line="360" w:lineRule="exact"/>
        <w:jc w:val="center"/>
        <w:rPr>
          <w:b/>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表3-</w:t>
      </w:r>
      <w:r>
        <w:rPr>
          <w:b/>
          <w:color w:val="000000" w:themeColor="text1"/>
          <w:sz w:val="21"/>
          <w:szCs w:val="21"/>
          <w:highlight w:val="none"/>
          <w14:textFill>
            <w14:solidFill>
              <w14:schemeClr w14:val="tx1"/>
            </w14:solidFill>
          </w14:textFill>
        </w:rPr>
        <w:t>1</w:t>
      </w:r>
      <w:r>
        <w:rPr>
          <w:rFonts w:hint="eastAsia"/>
          <w:b/>
          <w:color w:val="000000" w:themeColor="text1"/>
          <w:sz w:val="21"/>
          <w:szCs w:val="21"/>
          <w:highlight w:val="none"/>
          <w14:textFill>
            <w14:solidFill>
              <w14:schemeClr w14:val="tx1"/>
            </w14:solidFill>
          </w14:textFill>
        </w:rPr>
        <w:t>项目收益年度分布情况分析</w:t>
      </w:r>
    </w:p>
    <w:p w14:paraId="668C3ECA">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8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3227"/>
        <w:gridCol w:w="3786"/>
      </w:tblGrid>
      <w:tr w14:paraId="7795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60" w:type="dxa"/>
            <w:shd w:val="clear" w:color="auto" w:fill="auto"/>
            <w:noWrap/>
            <w:vAlign w:val="center"/>
          </w:tcPr>
          <w:p w14:paraId="1891CFFB">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年份</w:t>
            </w:r>
          </w:p>
        </w:tc>
        <w:tc>
          <w:tcPr>
            <w:tcW w:w="3227" w:type="dxa"/>
            <w:shd w:val="clear" w:color="auto" w:fill="auto"/>
            <w:noWrap/>
            <w:vAlign w:val="center"/>
          </w:tcPr>
          <w:p w14:paraId="008D0994">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lang w:val="en-US" w:eastAsia="zh-CN"/>
              </w:rPr>
              <w:t>土地出让</w:t>
            </w:r>
            <w:r>
              <w:rPr>
                <w:rFonts w:hint="eastAsia" w:ascii="宋体" w:hAnsi="宋体" w:cs="宋体"/>
                <w:b/>
                <w:bCs/>
                <w:kern w:val="0"/>
                <w:sz w:val="18"/>
                <w:szCs w:val="18"/>
                <w:highlight w:val="none"/>
              </w:rPr>
              <w:t>收入</w:t>
            </w:r>
          </w:p>
        </w:tc>
        <w:tc>
          <w:tcPr>
            <w:tcW w:w="3786" w:type="dxa"/>
            <w:shd w:val="clear" w:color="auto" w:fill="auto"/>
            <w:noWrap/>
            <w:vAlign w:val="center"/>
          </w:tcPr>
          <w:p w14:paraId="793B7702">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合计</w:t>
            </w:r>
          </w:p>
        </w:tc>
      </w:tr>
      <w:tr w14:paraId="0681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460" w:type="dxa"/>
            <w:shd w:val="clear" w:color="auto" w:fill="auto"/>
            <w:noWrap/>
            <w:vAlign w:val="center"/>
          </w:tcPr>
          <w:p w14:paraId="77CF53AD">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2027</w:t>
            </w:r>
          </w:p>
        </w:tc>
        <w:tc>
          <w:tcPr>
            <w:tcW w:w="3227" w:type="dxa"/>
            <w:shd w:val="clear" w:color="auto" w:fill="auto"/>
            <w:noWrap/>
            <w:vAlign w:val="center"/>
          </w:tcPr>
          <w:p w14:paraId="449BBEB8">
            <w:pPr>
              <w:widowControl/>
              <w:jc w:val="center"/>
              <w:rPr>
                <w:rFonts w:hint="eastAsia" w:ascii="宋体" w:hAnsi="宋体" w:eastAsia="宋体" w:cs="Times New Roman"/>
                <w:sz w:val="18"/>
                <w:szCs w:val="18"/>
                <w:highlight w:val="none"/>
              </w:rPr>
            </w:pPr>
            <w:r>
              <w:rPr>
                <w:rFonts w:hint="eastAsia" w:ascii="宋体" w:hAnsi="宋体" w:eastAsia="宋体" w:cs="Times New Roman"/>
                <w:sz w:val="18"/>
                <w:szCs w:val="18"/>
                <w:highlight w:val="none"/>
                <w:lang w:val="en-US" w:eastAsia="zh-CN"/>
              </w:rPr>
              <w:t>50201.46</w:t>
            </w:r>
          </w:p>
        </w:tc>
        <w:tc>
          <w:tcPr>
            <w:tcW w:w="3786" w:type="dxa"/>
            <w:shd w:val="clear" w:color="auto" w:fill="auto"/>
            <w:noWrap/>
            <w:vAlign w:val="center"/>
          </w:tcPr>
          <w:p w14:paraId="7F6BC2C4">
            <w:pPr>
              <w:widowControl/>
              <w:jc w:val="center"/>
              <w:rPr>
                <w:rFonts w:ascii="宋体" w:hAnsi="宋体" w:cs="宋体"/>
                <w:kern w:val="0"/>
                <w:sz w:val="18"/>
                <w:szCs w:val="18"/>
                <w:highlight w:val="none"/>
              </w:rPr>
            </w:pPr>
            <w:r>
              <w:rPr>
                <w:rFonts w:hint="eastAsia" w:ascii="宋体" w:hAnsi="宋体" w:eastAsia="宋体" w:cs="Times New Roman"/>
                <w:sz w:val="18"/>
                <w:szCs w:val="18"/>
                <w:highlight w:val="none"/>
                <w:lang w:val="en-US" w:eastAsia="zh-CN"/>
              </w:rPr>
              <w:t>50201.46</w:t>
            </w:r>
          </w:p>
        </w:tc>
      </w:tr>
      <w:tr w14:paraId="51F5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460" w:type="dxa"/>
            <w:shd w:val="clear" w:color="auto" w:fill="auto"/>
            <w:noWrap/>
            <w:vAlign w:val="center"/>
          </w:tcPr>
          <w:p w14:paraId="11D3487C">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3227" w:type="dxa"/>
            <w:shd w:val="clear" w:color="auto" w:fill="auto"/>
            <w:noWrap/>
            <w:vAlign w:val="center"/>
          </w:tcPr>
          <w:p w14:paraId="3B70D6B4">
            <w:pPr>
              <w:widowControl/>
              <w:jc w:val="center"/>
              <w:rPr>
                <w:rFonts w:ascii="宋体" w:hAnsi="宋体" w:cs="宋体"/>
                <w:b/>
                <w:bCs/>
                <w:kern w:val="0"/>
                <w:sz w:val="18"/>
                <w:szCs w:val="18"/>
                <w:highlight w:val="none"/>
              </w:rPr>
            </w:pPr>
            <w:r>
              <w:rPr>
                <w:rFonts w:hint="eastAsia" w:ascii="宋体" w:hAnsi="宋体" w:eastAsia="宋体" w:cs="Times New Roman"/>
                <w:b/>
                <w:bCs/>
                <w:sz w:val="18"/>
                <w:szCs w:val="18"/>
                <w:highlight w:val="none"/>
                <w:lang w:val="en-US" w:eastAsia="zh-CN"/>
              </w:rPr>
              <w:t>50201.46</w:t>
            </w:r>
          </w:p>
        </w:tc>
        <w:tc>
          <w:tcPr>
            <w:tcW w:w="3786" w:type="dxa"/>
            <w:shd w:val="clear" w:color="auto" w:fill="auto"/>
            <w:noWrap/>
            <w:vAlign w:val="center"/>
          </w:tcPr>
          <w:p w14:paraId="5135C802">
            <w:pPr>
              <w:widowControl/>
              <w:jc w:val="center"/>
              <w:rPr>
                <w:rFonts w:ascii="宋体" w:hAnsi="宋体" w:cs="宋体"/>
                <w:b/>
                <w:bCs/>
                <w:kern w:val="0"/>
                <w:sz w:val="18"/>
                <w:szCs w:val="18"/>
                <w:highlight w:val="none"/>
              </w:rPr>
            </w:pPr>
            <w:r>
              <w:rPr>
                <w:rFonts w:hint="eastAsia" w:ascii="宋体" w:hAnsi="宋体" w:eastAsia="宋体" w:cs="Times New Roman"/>
                <w:b/>
                <w:bCs/>
                <w:sz w:val="18"/>
                <w:szCs w:val="18"/>
                <w:highlight w:val="none"/>
                <w:lang w:val="en-US" w:eastAsia="zh-CN"/>
              </w:rPr>
              <w:t>50201.46</w:t>
            </w:r>
          </w:p>
        </w:tc>
      </w:tr>
    </w:tbl>
    <w:p w14:paraId="0723B0A5">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本项目经营收入的估算依据如下：</w:t>
      </w:r>
    </w:p>
    <w:p w14:paraId="5021FD8D">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1.土地市场情况和土地出让价格预测</w:t>
      </w:r>
    </w:p>
    <w:p w14:paraId="3F78F6A0">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项目采用项目周边商住用地土地单价作为参考，结合时间因素，配套因素和地块的区位因素，并考虑地理位置及土地性质、使用年限等考虑地块在2027年出让时间低价上涨4.10%。计算出让区域内住宅、商用土地2022年综合地价为247.03万元/亩。根据项目建设及出让计划，拟2027年进行土地出让。出让价格参照南昌县范围内迎富大道以东，规划二路以北地块。得出本项目2027年土地出让价格为302万元/亩。</w:t>
      </w:r>
    </w:p>
    <w:p w14:paraId="2A5B737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2、土地出让面积</w:t>
      </w:r>
    </w:p>
    <w:p w14:paraId="2326E6D5">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南昌县向塘镇320国道改造安置房(保障房)一期二批工程根据建设及出让计划，可出让土地约166.23亩。</w:t>
      </w:r>
    </w:p>
    <w:p w14:paraId="66162406">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南昌县城市建设投资发展有限公司综合考虑适度增长因素，保守预测了运营期间的收入、支出，在本项目的实施过程中，可以产生持续稳定的收益，各年现金流入及现金流出均保持了稳定的增长，且保持了现金结余的总体增长。则项目运营期间土地出让收入为50,201.46万元。</w:t>
      </w:r>
    </w:p>
    <w:p w14:paraId="1213750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南昌县城市建设投资发展有限公司综合考虑适度增长因素，保守预测了</w:t>
      </w:r>
      <w:r>
        <w:rPr>
          <w:rFonts w:hint="eastAsia"/>
          <w:color w:val="000000" w:themeColor="text1"/>
          <w:sz w:val="28"/>
          <w:szCs w:val="28"/>
          <w:highlight w:val="none"/>
          <w:lang w:val="en-US" w:eastAsia="zh-CN"/>
          <w14:textFill>
            <w14:solidFill>
              <w14:schemeClr w14:val="tx1"/>
            </w14:solidFill>
          </w14:textFill>
        </w:rPr>
        <w:t>2027</w:t>
      </w:r>
      <w:r>
        <w:rPr>
          <w:rFonts w:hint="eastAsia"/>
          <w:color w:val="000000" w:themeColor="text1"/>
          <w:sz w:val="28"/>
          <w:szCs w:val="28"/>
          <w:highlight w:val="none"/>
          <w14:textFill>
            <w14:solidFill>
              <w14:schemeClr w14:val="tx1"/>
            </w14:solidFill>
          </w14:textFill>
        </w:rPr>
        <w:t>年的收入、支出，在本项目的实施过程中，可以产生持续稳定的收益，各年现金流入及现金流出均保持了稳定的增长，且保持了各年现金结余的总体增长。</w:t>
      </w:r>
    </w:p>
    <w:p w14:paraId="5863C69E">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65" w:name="_Toc11472"/>
      <w:r>
        <w:rPr>
          <w:rFonts w:hint="eastAsia" w:ascii="微软雅黑" w:hAnsi="微软雅黑" w:eastAsia="微软雅黑" w:cs="微软雅黑"/>
          <w:b w:val="0"/>
          <w:bCs w:val="0"/>
          <w:color w:val="000000"/>
          <w:kern w:val="2"/>
          <w:sz w:val="30"/>
          <w:szCs w:val="30"/>
          <w:highlight w:val="none"/>
          <w:lang w:val="en-US"/>
        </w:rPr>
        <w:t>（二）项目运营成本测算</w:t>
      </w:r>
      <w:bookmarkEnd w:id="65"/>
    </w:p>
    <w:p w14:paraId="4D36188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仿宋_GB2312" w:cs="Times New Roman"/>
          <w:color w:val="000000"/>
          <w:sz w:val="28"/>
          <w:szCs w:val="28"/>
          <w:highlight w:val="none"/>
          <w:lang w:val="en-US" w:eastAsia="zh-CN"/>
        </w:rPr>
      </w:pPr>
      <w:r>
        <w:rPr>
          <w:rFonts w:hint="eastAsia" w:ascii="Times New Roman" w:hAnsi="Times New Roman" w:eastAsia="仿宋_GB2312" w:cs="Times New Roman"/>
          <w:color w:val="000000"/>
          <w:sz w:val="28"/>
          <w:szCs w:val="28"/>
          <w:highlight w:val="none"/>
          <w:lang w:val="en-US" w:eastAsia="zh-CN"/>
        </w:rPr>
        <w:t>1、运营成本</w:t>
      </w:r>
    </w:p>
    <w:p w14:paraId="61D47AEA">
      <w:pPr>
        <w:pStyle w:val="19"/>
        <w:spacing w:before="0" w:beforeAutospacing="0" w:after="156" w:afterLines="50" w:afterAutospacing="0" w:line="360" w:lineRule="exact"/>
        <w:ind w:firstLine="420" w:firstLineChars="200"/>
        <w:jc w:val="both"/>
        <w:rPr>
          <w:rFonts w:hint="default"/>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本</w:t>
      </w:r>
      <w:r>
        <w:rPr>
          <w:rFonts w:hint="eastAsia"/>
          <w:color w:val="000000" w:themeColor="text1"/>
          <w:sz w:val="21"/>
          <w:szCs w:val="21"/>
          <w:highlight w:val="none"/>
          <w14:textFill>
            <w14:solidFill>
              <w14:schemeClr w14:val="tx1"/>
            </w14:solidFill>
          </w14:textFill>
        </w:rPr>
        <w:t>项目经营成本</w:t>
      </w:r>
      <w:r>
        <w:rPr>
          <w:rFonts w:hint="eastAsia"/>
          <w:color w:val="000000" w:themeColor="text1"/>
          <w:sz w:val="21"/>
          <w:szCs w:val="21"/>
          <w:highlight w:val="none"/>
          <w:lang w:val="en-US" w:eastAsia="zh-CN"/>
          <w14:textFill>
            <w14:solidFill>
              <w14:schemeClr w14:val="tx1"/>
            </w14:solidFill>
          </w14:textFill>
        </w:rPr>
        <w:t>为土地出让扣减项目:省级统筹资金按照土地出让收入的2%收取。</w:t>
      </w:r>
    </w:p>
    <w:p w14:paraId="7ADE9502">
      <w:pPr>
        <w:pStyle w:val="19"/>
        <w:spacing w:before="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业务活动支出及投资建设支出预测情况如下表3</w:t>
      </w:r>
      <w:r>
        <w:rPr>
          <w:color w:val="000000" w:themeColor="text1"/>
          <w:sz w:val="21"/>
          <w:szCs w:val="21"/>
          <w:highlight w:val="none"/>
          <w14:textFill>
            <w14:solidFill>
              <w14:schemeClr w14:val="tx1"/>
            </w14:solidFill>
          </w14:textFill>
        </w:rPr>
        <w:t>-4</w:t>
      </w:r>
      <w:r>
        <w:rPr>
          <w:rFonts w:hint="eastAsia"/>
          <w:color w:val="000000" w:themeColor="text1"/>
          <w:sz w:val="21"/>
          <w:szCs w:val="21"/>
          <w:highlight w:val="none"/>
          <w14:textFill>
            <w14:solidFill>
              <w14:schemeClr w14:val="tx1"/>
            </w14:solidFill>
          </w14:textFill>
        </w:rPr>
        <w:t>所示：</w:t>
      </w:r>
    </w:p>
    <w:p w14:paraId="5B77255D">
      <w:pPr>
        <w:pStyle w:val="19"/>
        <w:spacing w:before="0" w:beforeAutospacing="0" w:after="156" w:afterLines="50" w:afterAutospacing="0" w:line="360" w:lineRule="exact"/>
        <w:ind w:firstLine="420" w:firstLineChars="200"/>
        <w:jc w:val="center"/>
        <w:rPr>
          <w:b/>
          <w:color w:val="000000" w:themeColor="text1"/>
          <w:sz w:val="21"/>
          <w:szCs w:val="21"/>
          <w:highlight w:val="none"/>
          <w14:textFill>
            <w14:solidFill>
              <w14:schemeClr w14:val="tx1"/>
            </w14:solidFill>
          </w14:textFill>
        </w:rPr>
      </w:pPr>
      <w:r>
        <w:rPr>
          <w:rFonts w:hint="eastAsia"/>
          <w:b/>
          <w:color w:val="000000" w:themeColor="text1"/>
          <w:sz w:val="21"/>
          <w:szCs w:val="21"/>
          <w:highlight w:val="none"/>
          <w14:textFill>
            <w14:solidFill>
              <w14:schemeClr w14:val="tx1"/>
            </w14:solidFill>
          </w14:textFill>
        </w:rPr>
        <w:t>表3-</w:t>
      </w:r>
      <w:r>
        <w:rPr>
          <w:b/>
          <w:color w:val="000000" w:themeColor="text1"/>
          <w:sz w:val="21"/>
          <w:szCs w:val="21"/>
          <w:highlight w:val="none"/>
          <w14:textFill>
            <w14:solidFill>
              <w14:schemeClr w14:val="tx1"/>
            </w14:solidFill>
          </w14:textFill>
        </w:rPr>
        <w:t>42026</w:t>
      </w:r>
      <w:r>
        <w:rPr>
          <w:rFonts w:hint="eastAsia"/>
          <w:b/>
          <w:color w:val="000000" w:themeColor="text1"/>
          <w:sz w:val="21"/>
          <w:szCs w:val="21"/>
          <w:highlight w:val="none"/>
          <w14:textFill>
            <w14:solidFill>
              <w14:schemeClr w14:val="tx1"/>
            </w14:solidFill>
          </w14:textFill>
        </w:rPr>
        <w:t>-</w:t>
      </w:r>
      <w:r>
        <w:rPr>
          <w:b/>
          <w:color w:val="000000" w:themeColor="text1"/>
          <w:sz w:val="21"/>
          <w:szCs w:val="21"/>
          <w:highlight w:val="none"/>
          <w14:textFill>
            <w14:solidFill>
              <w14:schemeClr w14:val="tx1"/>
            </w14:solidFill>
          </w14:textFill>
        </w:rPr>
        <w:t>2036</w:t>
      </w:r>
      <w:r>
        <w:rPr>
          <w:rFonts w:hint="eastAsia"/>
          <w:b/>
          <w:color w:val="000000" w:themeColor="text1"/>
          <w:sz w:val="21"/>
          <w:szCs w:val="21"/>
          <w:highlight w:val="none"/>
          <w14:textFill>
            <w14:solidFill>
              <w14:schemeClr w14:val="tx1"/>
            </w14:solidFill>
          </w14:textFill>
        </w:rPr>
        <w:t>年支出情况预测表</w:t>
      </w:r>
    </w:p>
    <w:p w14:paraId="642445F0">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854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3927"/>
        <w:gridCol w:w="3973"/>
      </w:tblGrid>
      <w:tr w14:paraId="75AE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640" w:type="dxa"/>
            <w:shd w:val="clear" w:color="auto" w:fill="auto"/>
            <w:noWrap/>
            <w:vAlign w:val="center"/>
          </w:tcPr>
          <w:p w14:paraId="187C57D8">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rPr>
              <w:t>年份</w:t>
            </w:r>
          </w:p>
        </w:tc>
        <w:tc>
          <w:tcPr>
            <w:tcW w:w="3927" w:type="dxa"/>
            <w:shd w:val="clear" w:color="auto" w:fill="auto"/>
            <w:noWrap/>
            <w:vAlign w:val="center"/>
          </w:tcPr>
          <w:p w14:paraId="6AD2A5F7">
            <w:pPr>
              <w:widowControl/>
              <w:jc w:val="center"/>
              <w:rPr>
                <w:rFonts w:ascii="宋体" w:hAnsi="宋体" w:cs="宋体"/>
                <w:b/>
                <w:kern w:val="0"/>
                <w:sz w:val="18"/>
                <w:szCs w:val="18"/>
                <w:highlight w:val="none"/>
              </w:rPr>
            </w:pPr>
            <w:r>
              <w:rPr>
                <w:rFonts w:hint="eastAsia" w:ascii="宋体" w:hAnsi="宋体" w:eastAsia="宋体" w:cs="宋体"/>
                <w:b/>
                <w:kern w:val="0"/>
                <w:sz w:val="18"/>
                <w:szCs w:val="18"/>
                <w:highlight w:val="none"/>
                <w:lang w:val="en-US" w:eastAsia="zh-CN"/>
              </w:rPr>
              <w:t>省级统筹资金</w:t>
            </w:r>
          </w:p>
        </w:tc>
        <w:tc>
          <w:tcPr>
            <w:tcW w:w="3973" w:type="dxa"/>
            <w:shd w:val="clear" w:color="auto" w:fill="auto"/>
            <w:noWrap/>
            <w:vAlign w:val="center"/>
          </w:tcPr>
          <w:p w14:paraId="7195E836">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年成本</w:t>
            </w:r>
          </w:p>
        </w:tc>
      </w:tr>
      <w:tr w14:paraId="4D04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40" w:type="dxa"/>
            <w:shd w:val="clear" w:color="auto" w:fill="auto"/>
            <w:noWrap/>
            <w:vAlign w:val="center"/>
          </w:tcPr>
          <w:p w14:paraId="5ED5356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2027</w:t>
            </w:r>
          </w:p>
        </w:tc>
        <w:tc>
          <w:tcPr>
            <w:tcW w:w="3927" w:type="dxa"/>
            <w:shd w:val="clear" w:color="auto" w:fill="auto"/>
            <w:noWrap/>
            <w:vAlign w:val="center"/>
          </w:tcPr>
          <w:p w14:paraId="3CC9E945">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1,004.03</w:t>
            </w:r>
          </w:p>
        </w:tc>
        <w:tc>
          <w:tcPr>
            <w:tcW w:w="3973" w:type="dxa"/>
            <w:shd w:val="clear" w:color="auto" w:fill="auto"/>
            <w:noWrap/>
            <w:vAlign w:val="center"/>
          </w:tcPr>
          <w:p w14:paraId="7E22D8E5">
            <w:pPr>
              <w:widowControl/>
              <w:jc w:val="center"/>
              <w:rPr>
                <w:rFonts w:hint="eastAsia" w:ascii="宋体" w:hAnsi="宋体" w:eastAsia="宋体" w:cs="宋体"/>
                <w:kern w:val="0"/>
                <w:sz w:val="18"/>
                <w:szCs w:val="18"/>
                <w:highlight w:val="none"/>
              </w:rPr>
            </w:pPr>
            <w:r>
              <w:rPr>
                <w:rFonts w:hint="eastAsia" w:ascii="宋体" w:hAnsi="宋体" w:cs="宋体"/>
                <w:kern w:val="0"/>
                <w:sz w:val="18"/>
                <w:szCs w:val="18"/>
                <w:highlight w:val="none"/>
                <w:lang w:val="en-US" w:eastAsia="zh-CN"/>
              </w:rPr>
              <w:t>1,004.03</w:t>
            </w:r>
          </w:p>
        </w:tc>
      </w:tr>
      <w:tr w14:paraId="3C82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40" w:type="dxa"/>
            <w:shd w:val="clear" w:color="auto" w:fill="auto"/>
            <w:noWrap/>
            <w:vAlign w:val="center"/>
          </w:tcPr>
          <w:p w14:paraId="75212053">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合计</w:t>
            </w:r>
          </w:p>
        </w:tc>
        <w:tc>
          <w:tcPr>
            <w:tcW w:w="3927" w:type="dxa"/>
            <w:shd w:val="clear" w:color="auto" w:fill="auto"/>
            <w:noWrap/>
            <w:vAlign w:val="center"/>
          </w:tcPr>
          <w:p w14:paraId="5A2C1FCC">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lang w:val="en-US" w:eastAsia="zh-CN"/>
              </w:rPr>
              <w:t>1,004.03</w:t>
            </w:r>
          </w:p>
        </w:tc>
        <w:tc>
          <w:tcPr>
            <w:tcW w:w="3973" w:type="dxa"/>
            <w:shd w:val="clear" w:color="auto" w:fill="auto"/>
            <w:noWrap/>
            <w:vAlign w:val="center"/>
          </w:tcPr>
          <w:p w14:paraId="364455AE">
            <w:pPr>
              <w:widowControl/>
              <w:jc w:val="center"/>
              <w:rPr>
                <w:rFonts w:ascii="宋体" w:hAnsi="宋体" w:cs="宋体"/>
                <w:b/>
                <w:bCs/>
                <w:kern w:val="0"/>
                <w:sz w:val="18"/>
                <w:szCs w:val="18"/>
                <w:highlight w:val="none"/>
              </w:rPr>
            </w:pPr>
            <w:r>
              <w:rPr>
                <w:rFonts w:hint="eastAsia" w:ascii="宋体" w:hAnsi="宋体" w:cs="宋体"/>
                <w:b/>
                <w:bCs/>
                <w:kern w:val="0"/>
                <w:sz w:val="18"/>
                <w:szCs w:val="18"/>
                <w:highlight w:val="none"/>
                <w:lang w:val="en-US" w:eastAsia="zh-CN"/>
              </w:rPr>
              <w:t>1,004.03</w:t>
            </w:r>
          </w:p>
        </w:tc>
      </w:tr>
    </w:tbl>
    <w:p w14:paraId="2F28C2D9">
      <w:pPr>
        <w:pStyle w:val="19"/>
        <w:keepNext/>
        <w:spacing w:before="0" w:beforeAutospacing="0" w:after="0" w:afterAutospacing="0" w:line="360" w:lineRule="exact"/>
        <w:ind w:right="54" w:rightChars="26" w:firstLine="360" w:firstLineChars="200"/>
        <w:jc w:val="right"/>
        <w:rPr>
          <w:color w:val="000000" w:themeColor="text1"/>
          <w:sz w:val="18"/>
          <w:szCs w:val="18"/>
          <w:highlight w:val="none"/>
          <w14:textFill>
            <w14:solidFill>
              <w14:schemeClr w14:val="tx1"/>
            </w14:solidFill>
          </w14:textFill>
        </w:rPr>
      </w:pPr>
    </w:p>
    <w:p w14:paraId="7ABD1426">
      <w:pPr>
        <w:pStyle w:val="19"/>
        <w:spacing w:before="0" w:beforeAutospacing="0" w:after="156" w:afterLines="50" w:afterAutospacing="0" w:line="360" w:lineRule="exact"/>
        <w:ind w:firstLine="360" w:firstLineChars="200"/>
        <w:jc w:val="both"/>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注：1.支出情况预测表主要体现的是需要支付现金的成本费用部分，故对于不需付现的费用（如折旧摊销等）进行了剔除，暂不在上表中反映。</w:t>
      </w:r>
    </w:p>
    <w:p w14:paraId="6D710759">
      <w:pPr>
        <w:pStyle w:val="19"/>
        <w:spacing w:before="0" w:beforeAutospacing="0" w:after="156" w:afterLines="50" w:afterAutospacing="0" w:line="360" w:lineRule="exact"/>
        <w:ind w:firstLine="420" w:firstLineChars="200"/>
        <w:jc w:val="both"/>
        <w:rPr>
          <w:color w:val="000000" w:themeColor="text1"/>
          <w:sz w:val="21"/>
          <w:szCs w:val="21"/>
          <w:highlight w:val="none"/>
          <w14:textFill>
            <w14:solidFill>
              <w14:schemeClr w14:val="tx1"/>
            </w14:solidFill>
          </w14:textFill>
        </w:rPr>
        <w:sectPr>
          <w:pgSz w:w="11906" w:h="16838"/>
          <w:pgMar w:top="1531" w:right="1701" w:bottom="1418" w:left="1701" w:header="851" w:footer="992" w:gutter="0"/>
          <w:pgNumType w:fmt="decimal"/>
          <w:cols w:space="425" w:num="1"/>
          <w:docGrid w:type="linesAndChars" w:linePitch="312" w:charSpace="0"/>
        </w:sectPr>
      </w:pPr>
    </w:p>
    <w:p w14:paraId="32C2BD24">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66" w:name="_Toc26107"/>
      <w:r>
        <w:rPr>
          <w:rFonts w:hint="eastAsia" w:ascii="微软雅黑" w:hAnsi="微软雅黑" w:eastAsia="微软雅黑" w:cs="微软雅黑"/>
          <w:b w:val="0"/>
          <w:bCs w:val="0"/>
          <w:color w:val="000000"/>
          <w:kern w:val="2"/>
          <w:sz w:val="30"/>
          <w:szCs w:val="30"/>
          <w:highlight w:val="none"/>
          <w:lang w:val="en-US"/>
        </w:rPr>
        <w:t>（三）项目资金测算平衡表</w:t>
      </w:r>
      <w:bookmarkEnd w:id="66"/>
    </w:p>
    <w:p w14:paraId="2E15FA56">
      <w:pPr>
        <w:keepNext w:val="0"/>
        <w:keepLines w:val="0"/>
        <w:pageBreakBefore w:val="0"/>
        <w:widowControl w:val="0"/>
        <w:kinsoku/>
        <w:wordWrap/>
        <w:overflowPunct/>
        <w:topLinePunct w:val="0"/>
        <w:autoSpaceDE/>
        <w:autoSpaceDN/>
        <w:bidi w:val="0"/>
        <w:adjustRightInd/>
        <w:snapToGrid/>
        <w:spacing w:line="600" w:lineRule="exact"/>
        <w:ind w:firstLine="564" w:firstLineChars="200"/>
        <w:textAlignment w:val="auto"/>
        <w:rPr>
          <w:rFonts w:hint="eastAsia" w:ascii="Times New Roman" w:hAnsi="Times New Roman" w:eastAsia="仿宋_GB2312" w:cs="Times New Roman"/>
          <w:color w:val="000000"/>
          <w:sz w:val="28"/>
          <w:szCs w:val="28"/>
          <w:highlight w:val="none"/>
          <w:lang w:val="en-US" w:eastAsia="zh-CN"/>
        </w:rPr>
      </w:pPr>
      <w:r>
        <w:rPr>
          <w:rFonts w:hint="eastAsia" w:ascii="Times New Roman" w:hAnsi="Times New Roman" w:eastAsia="仿宋_GB2312" w:cs="Times New Roman"/>
          <w:color w:val="000000"/>
          <w:sz w:val="28"/>
          <w:szCs w:val="28"/>
          <w:highlight w:val="none"/>
          <w:lang w:val="en-US" w:eastAsia="zh-CN"/>
        </w:rPr>
        <w:t>1．本期债券调整项目应付本息情况</w:t>
      </w:r>
    </w:p>
    <w:p w14:paraId="301953B1">
      <w:pPr>
        <w:pStyle w:val="19"/>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4"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本次</w:t>
      </w:r>
      <w:r>
        <w:rPr>
          <w:rFonts w:hint="eastAsia"/>
          <w:color w:val="000000" w:themeColor="text1"/>
          <w:sz w:val="28"/>
          <w:szCs w:val="28"/>
          <w:highlight w:val="none"/>
          <w:lang w:eastAsia="zh-CN"/>
          <w14:textFill>
            <w14:solidFill>
              <w14:schemeClr w14:val="tx1"/>
            </w14:solidFill>
          </w14:textFill>
        </w:rPr>
        <w:t>南昌县住房和城乡建设局</w:t>
      </w:r>
      <w:r>
        <w:rPr>
          <w:rFonts w:hint="eastAsia"/>
          <w:color w:val="000000" w:themeColor="text1"/>
          <w:sz w:val="28"/>
          <w:szCs w:val="28"/>
          <w:highlight w:val="none"/>
          <w14:textFill>
            <w14:solidFill>
              <w14:schemeClr w14:val="tx1"/>
            </w14:solidFill>
          </w14:textFill>
        </w:rPr>
        <w:t>组织申报发行</w:t>
      </w:r>
      <w:r>
        <w:rPr>
          <w:rFonts w:hint="eastAsia"/>
          <w:color w:val="000000" w:themeColor="text1"/>
          <w:sz w:val="28"/>
          <w:szCs w:val="28"/>
          <w:highlight w:val="none"/>
          <w:lang w:eastAsia="zh-CN"/>
          <w14:textFill>
            <w14:solidFill>
              <w14:schemeClr w14:val="tx1"/>
            </w14:solidFill>
          </w14:textFill>
        </w:rPr>
        <w:t>南昌县向塘镇320国道改造安置房（保障房）一期二批工程</w:t>
      </w:r>
      <w:r>
        <w:rPr>
          <w:rFonts w:hint="eastAsia"/>
          <w:color w:val="000000" w:themeColor="text1"/>
          <w:sz w:val="28"/>
          <w:szCs w:val="28"/>
          <w:highlight w:val="none"/>
          <w14:textFill>
            <w14:solidFill>
              <w14:schemeClr w14:val="tx1"/>
            </w14:solidFill>
          </w14:textFill>
        </w:rPr>
        <w:t>项目专项债券项目的总投资额</w:t>
      </w:r>
      <w:r>
        <w:rPr>
          <w:rFonts w:hint="eastAsia"/>
          <w:color w:val="000000" w:themeColor="text1"/>
          <w:sz w:val="28"/>
          <w:szCs w:val="28"/>
          <w:highlight w:val="none"/>
          <w:lang w:val="en-US" w:eastAsia="zh-CN"/>
          <w14:textFill>
            <w14:solidFill>
              <w14:schemeClr w14:val="tx1"/>
            </w14:solidFill>
          </w14:textFill>
        </w:rPr>
        <w:t>30</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062</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28</w:t>
      </w:r>
      <w:r>
        <w:rPr>
          <w:rFonts w:hint="eastAsia"/>
          <w:color w:val="000000" w:themeColor="text1"/>
          <w:sz w:val="28"/>
          <w:szCs w:val="28"/>
          <w:highlight w:val="none"/>
          <w14:textFill>
            <w14:solidFill>
              <w14:schemeClr w14:val="tx1"/>
            </w14:solidFill>
          </w14:textFill>
        </w:rPr>
        <w:t>万元。计划发行专项债券金额</w:t>
      </w:r>
      <w:r>
        <w:rPr>
          <w:rFonts w:hint="eastAsia"/>
          <w:color w:val="000000" w:themeColor="text1"/>
          <w:sz w:val="28"/>
          <w:szCs w:val="28"/>
          <w:highlight w:val="none"/>
          <w:lang w:val="en-US" w:eastAsia="zh-CN"/>
          <w14:textFill>
            <w14:solidFill>
              <w14:schemeClr w14:val="tx1"/>
            </w14:solidFill>
          </w14:textFill>
        </w:rPr>
        <w:t>23</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90</w:t>
      </w:r>
      <w:r>
        <w:rPr>
          <w:color w:val="000000" w:themeColor="text1"/>
          <w:sz w:val="28"/>
          <w:szCs w:val="28"/>
          <w:highlight w:val="none"/>
          <w14:textFill>
            <w14:solidFill>
              <w14:schemeClr w14:val="tx1"/>
            </w14:solidFill>
          </w14:textFill>
        </w:rPr>
        <w:t>0.00</w:t>
      </w:r>
      <w:r>
        <w:rPr>
          <w:rFonts w:hint="eastAsia"/>
          <w:color w:val="000000" w:themeColor="text1"/>
          <w:sz w:val="28"/>
          <w:szCs w:val="28"/>
          <w:highlight w:val="none"/>
          <w14:textFill>
            <w14:solidFill>
              <w14:schemeClr w14:val="tx1"/>
            </w14:solidFill>
          </w14:textFill>
        </w:rPr>
        <w:t>万元，其中：</w:t>
      </w:r>
      <w:r>
        <w:rPr>
          <w:rFonts w:hint="eastAsia"/>
          <w:color w:val="000000" w:themeColor="text1"/>
          <w:sz w:val="28"/>
          <w:szCs w:val="28"/>
          <w:highlight w:val="none"/>
          <w:lang w:val="en-US" w:eastAsia="zh-CN"/>
          <w14:textFill>
            <w14:solidFill>
              <w14:schemeClr w14:val="tx1"/>
            </w14:solidFill>
          </w14:textFill>
        </w:rPr>
        <w:t>8</w:t>
      </w:r>
      <w:r>
        <w:rPr>
          <w:sz w:val="28"/>
          <w:szCs w:val="28"/>
          <w:highlight w:val="none"/>
        </w:rPr>
        <w:t>,000.00</w:t>
      </w:r>
      <w:r>
        <w:rPr>
          <w:rFonts w:hint="eastAsia"/>
          <w:sz w:val="28"/>
          <w:szCs w:val="28"/>
          <w:highlight w:val="none"/>
        </w:rPr>
        <w:t>万元由</w:t>
      </w:r>
      <w:r>
        <w:rPr>
          <w:rFonts w:hint="eastAsia"/>
          <w:color w:val="000000" w:themeColor="text1"/>
          <w:sz w:val="28"/>
          <w:szCs w:val="28"/>
          <w:highlight w:val="none"/>
          <w:lang w:eastAsia="zh-CN"/>
          <w14:textFill>
            <w14:solidFill>
              <w14:schemeClr w14:val="tx1"/>
            </w14:solidFill>
          </w14:textFill>
        </w:rPr>
        <w:t>2021年江西省高质量发展专项债券（十六期）——2021年江西省政府专项债券（三十一期）</w:t>
      </w:r>
      <w:r>
        <w:rPr>
          <w:rFonts w:hint="eastAsia"/>
          <w:sz w:val="28"/>
          <w:szCs w:val="28"/>
          <w:highlight w:val="none"/>
        </w:rPr>
        <w:t>调整至本项目，发行期限</w:t>
      </w:r>
      <w:r>
        <w:rPr>
          <w:rFonts w:hint="eastAsia"/>
          <w:sz w:val="28"/>
          <w:szCs w:val="28"/>
          <w:highlight w:val="none"/>
          <w:lang w:val="en-US" w:eastAsia="zh-CN"/>
        </w:rPr>
        <w:t>30</w:t>
      </w:r>
      <w:r>
        <w:rPr>
          <w:rFonts w:hint="eastAsia"/>
          <w:sz w:val="28"/>
          <w:szCs w:val="28"/>
          <w:highlight w:val="none"/>
        </w:rPr>
        <w:t>年，发行利率3</w:t>
      </w:r>
      <w:r>
        <w:rPr>
          <w:sz w:val="28"/>
          <w:szCs w:val="28"/>
          <w:highlight w:val="none"/>
        </w:rPr>
        <w:t>.</w:t>
      </w:r>
      <w:r>
        <w:rPr>
          <w:rFonts w:hint="eastAsia"/>
          <w:sz w:val="28"/>
          <w:szCs w:val="28"/>
          <w:highlight w:val="none"/>
          <w:lang w:val="en-US" w:eastAsia="zh-CN"/>
        </w:rPr>
        <w:t>54</w:t>
      </w:r>
      <w:r>
        <w:rPr>
          <w:sz w:val="28"/>
          <w:szCs w:val="28"/>
          <w:highlight w:val="none"/>
        </w:rPr>
        <w:t>%</w:t>
      </w:r>
      <w:r>
        <w:rPr>
          <w:rFonts w:hint="eastAsia"/>
          <w:sz w:val="28"/>
          <w:szCs w:val="28"/>
          <w:highlight w:val="none"/>
          <w:lang w:eastAsia="zh-CN"/>
        </w:rPr>
        <w:t>，</w:t>
      </w:r>
      <w:r>
        <w:rPr>
          <w:rFonts w:hint="eastAsia"/>
          <w:color w:val="000000" w:themeColor="text1"/>
          <w:sz w:val="28"/>
          <w:szCs w:val="28"/>
          <w:highlight w:val="none"/>
          <w14:textFill>
            <w14:solidFill>
              <w14:schemeClr w14:val="tx1"/>
            </w14:solidFill>
          </w14:textFill>
        </w:rPr>
        <w:t>发行费率暂按照0.10%测算，据此预计专项债券利息合计为</w:t>
      </w:r>
      <w:r>
        <w:rPr>
          <w:rFonts w:hint="eastAsia"/>
          <w:color w:val="000000" w:themeColor="text1"/>
          <w:sz w:val="28"/>
          <w:szCs w:val="28"/>
          <w:highlight w:val="none"/>
          <w:lang w:val="en-US" w:eastAsia="zh-CN"/>
          <w14:textFill>
            <w14:solidFill>
              <w14:schemeClr w14:val="tx1"/>
            </w14:solidFill>
          </w14:textFill>
        </w:rPr>
        <w:t>27</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912</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00</w:t>
      </w:r>
      <w:r>
        <w:rPr>
          <w:rFonts w:hint="eastAsia"/>
          <w:color w:val="000000" w:themeColor="text1"/>
          <w:sz w:val="28"/>
          <w:szCs w:val="28"/>
          <w:highlight w:val="none"/>
          <w14:textFill>
            <w14:solidFill>
              <w14:schemeClr w14:val="tx1"/>
            </w14:solidFill>
          </w14:textFill>
        </w:rPr>
        <w:t>万元，预计发行费用为</w:t>
      </w:r>
      <w:r>
        <w:rPr>
          <w:rFonts w:hint="eastAsia"/>
          <w:color w:val="000000" w:themeColor="text1"/>
          <w:sz w:val="28"/>
          <w:szCs w:val="28"/>
          <w:highlight w:val="none"/>
          <w:lang w:val="en-US" w:eastAsia="zh-CN"/>
          <w14:textFill>
            <w14:solidFill>
              <w14:schemeClr w14:val="tx1"/>
            </w14:solidFill>
          </w14:textFill>
        </w:rPr>
        <w:t>15</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9</w:t>
      </w:r>
      <w:r>
        <w:rPr>
          <w:rFonts w:hint="eastAsia"/>
          <w:color w:val="000000" w:themeColor="text1"/>
          <w:sz w:val="28"/>
          <w:szCs w:val="28"/>
          <w:highlight w:val="none"/>
          <w14:textFill>
            <w14:solidFill>
              <w14:schemeClr w14:val="tx1"/>
            </w14:solidFill>
          </w14:textFill>
        </w:rPr>
        <w:t>万元。</w:t>
      </w:r>
      <w:r>
        <w:rPr>
          <w:rFonts w:hint="eastAsia"/>
          <w:sz w:val="28"/>
          <w:szCs w:val="28"/>
          <w:highlight w:val="none"/>
          <w:lang w:val="en-US" w:eastAsia="zh-CN"/>
        </w:rPr>
        <w:t>2024年计划发行9,400.00万，本期计划发行1,600万，发行期限5年。</w:t>
      </w:r>
    </w:p>
    <w:p w14:paraId="3E671CFF">
      <w:pPr>
        <w:pStyle w:val="19"/>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4"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按照该</w:t>
      </w:r>
      <w:r>
        <w:rPr>
          <w:color w:val="000000" w:themeColor="text1"/>
          <w:sz w:val="28"/>
          <w:szCs w:val="28"/>
          <w:highlight w:val="none"/>
          <w14:textFill>
            <w14:solidFill>
              <w14:schemeClr w14:val="tx1"/>
            </w14:solidFill>
          </w14:textFill>
        </w:rPr>
        <w:t>项目</w:t>
      </w:r>
      <w:r>
        <w:rPr>
          <w:rFonts w:hint="eastAsia"/>
          <w:color w:val="000000" w:themeColor="text1"/>
          <w:sz w:val="28"/>
          <w:szCs w:val="28"/>
          <w:highlight w:val="none"/>
          <w14:textFill>
            <w14:solidFill>
              <w14:schemeClr w14:val="tx1"/>
            </w14:solidFill>
          </w14:textFill>
        </w:rPr>
        <w:t>专项债券发行计划</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14:textFill>
            <w14:solidFill>
              <w14:schemeClr w14:val="tx1"/>
            </w14:solidFill>
          </w14:textFill>
        </w:rPr>
        <w:t>2</w:t>
      </w:r>
      <w:r>
        <w:rPr>
          <w:color w:val="000000" w:themeColor="text1"/>
          <w:sz w:val="28"/>
          <w:szCs w:val="28"/>
          <w:highlight w:val="none"/>
          <w14:textFill>
            <w14:solidFill>
              <w14:schemeClr w14:val="tx1"/>
            </w14:solidFill>
          </w14:textFill>
        </w:rPr>
        <w:t>02</w:t>
      </w:r>
      <w:r>
        <w:rPr>
          <w:rFonts w:hint="eastAsia"/>
          <w:color w:val="000000" w:themeColor="text1"/>
          <w:sz w:val="28"/>
          <w:szCs w:val="28"/>
          <w:highlight w:val="none"/>
          <w:lang w:val="en-US" w:eastAsia="zh-CN"/>
          <w14:textFill>
            <w14:solidFill>
              <w14:schemeClr w14:val="tx1"/>
            </w14:solidFill>
          </w14:textFill>
        </w:rPr>
        <w:t>3</w:t>
      </w:r>
      <w:r>
        <w:rPr>
          <w:rFonts w:hint="eastAsia"/>
          <w:color w:val="000000" w:themeColor="text1"/>
          <w:sz w:val="28"/>
          <w:szCs w:val="28"/>
          <w:highlight w:val="none"/>
          <w14:textFill>
            <w14:solidFill>
              <w14:schemeClr w14:val="tx1"/>
            </w14:solidFill>
          </w14:textFill>
        </w:rPr>
        <w:t>年发行</w:t>
      </w:r>
      <w:r>
        <w:rPr>
          <w:rFonts w:hint="eastAsia"/>
          <w:color w:val="000000" w:themeColor="text1"/>
          <w:sz w:val="28"/>
          <w:szCs w:val="28"/>
          <w:highlight w:val="none"/>
          <w:lang w:val="en-US" w:eastAsia="zh-CN"/>
          <w14:textFill>
            <w14:solidFill>
              <w14:schemeClr w14:val="tx1"/>
            </w14:solidFill>
          </w14:textFill>
        </w:rPr>
        <w:t>5</w:t>
      </w:r>
      <w:r>
        <w:rPr>
          <w:rFonts w:hint="eastAsia"/>
          <w:color w:val="000000" w:themeColor="text1"/>
          <w:sz w:val="28"/>
          <w:szCs w:val="28"/>
          <w:highlight w:val="none"/>
          <w14:textFill>
            <w14:solidFill>
              <w14:schemeClr w14:val="tx1"/>
            </w14:solidFill>
          </w14:textFill>
        </w:rPr>
        <w:t>年期债券以年利率</w:t>
      </w:r>
      <w:r>
        <w:rPr>
          <w:rFonts w:hint="eastAsia"/>
          <w:color w:val="000000" w:themeColor="text1"/>
          <w:sz w:val="28"/>
          <w:szCs w:val="28"/>
          <w:highlight w:val="none"/>
          <w:lang w:val="en-US" w:eastAsia="zh-CN"/>
          <w14:textFill>
            <w14:solidFill>
              <w14:schemeClr w14:val="tx1"/>
            </w14:solidFill>
          </w14:textFill>
        </w:rPr>
        <w:t>2</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lang w:val="en-US" w:eastAsia="zh-CN"/>
          <w14:textFill>
            <w14:solidFill>
              <w14:schemeClr w14:val="tx1"/>
            </w14:solidFill>
          </w14:textFill>
        </w:rPr>
        <w:t>60</w:t>
      </w:r>
      <w:r>
        <w:rPr>
          <w:color w:val="000000" w:themeColor="text1"/>
          <w:sz w:val="28"/>
          <w:szCs w:val="28"/>
          <w:highlight w:val="none"/>
          <w14:textFill>
            <w14:solidFill>
              <w14:schemeClr w14:val="tx1"/>
            </w14:solidFill>
          </w14:textFill>
        </w:rPr>
        <w:t>%</w:t>
      </w:r>
      <w:r>
        <w:rPr>
          <w:rFonts w:hint="eastAsia"/>
          <w:color w:val="000000" w:themeColor="text1"/>
          <w:sz w:val="28"/>
          <w:szCs w:val="28"/>
          <w:highlight w:val="none"/>
          <w14:textFill>
            <w14:solidFill>
              <w14:schemeClr w14:val="tx1"/>
            </w14:solidFill>
          </w14:textFill>
        </w:rPr>
        <w:t>预计每年利息支出；2</w:t>
      </w:r>
      <w:r>
        <w:rPr>
          <w:color w:val="000000" w:themeColor="text1"/>
          <w:sz w:val="28"/>
          <w:szCs w:val="28"/>
          <w:highlight w:val="none"/>
          <w14:textFill>
            <w14:solidFill>
              <w14:schemeClr w14:val="tx1"/>
            </w14:solidFill>
          </w14:textFill>
        </w:rPr>
        <w:t>02</w:t>
      </w:r>
      <w:r>
        <w:rPr>
          <w:rFonts w:hint="eastAsia"/>
          <w:color w:val="000000" w:themeColor="text1"/>
          <w:sz w:val="28"/>
          <w:szCs w:val="28"/>
          <w:highlight w:val="none"/>
          <w:lang w:val="en-US" w:eastAsia="zh-CN"/>
          <w14:textFill>
            <w14:solidFill>
              <w14:schemeClr w14:val="tx1"/>
            </w14:solidFill>
          </w14:textFill>
        </w:rPr>
        <w:t>4</w:t>
      </w:r>
      <w:r>
        <w:rPr>
          <w:rFonts w:hint="eastAsia"/>
          <w:color w:val="000000" w:themeColor="text1"/>
          <w:sz w:val="28"/>
          <w:szCs w:val="28"/>
          <w:highlight w:val="none"/>
          <w14:textFill>
            <w14:solidFill>
              <w14:schemeClr w14:val="tx1"/>
            </w14:solidFill>
          </w14:textFill>
        </w:rPr>
        <w:t>年计划发行债券</w:t>
      </w:r>
      <w:r>
        <w:rPr>
          <w:color w:val="000000" w:themeColor="text1"/>
          <w:sz w:val="28"/>
          <w:szCs w:val="28"/>
          <w:highlight w:val="none"/>
          <w14:textFill>
            <w14:solidFill>
              <w14:schemeClr w14:val="tx1"/>
            </w14:solidFill>
          </w14:textFill>
        </w:rPr>
        <w:t>5</w:t>
      </w:r>
      <w:r>
        <w:rPr>
          <w:rFonts w:hint="eastAsia"/>
          <w:color w:val="000000" w:themeColor="text1"/>
          <w:sz w:val="28"/>
          <w:szCs w:val="28"/>
          <w:highlight w:val="none"/>
          <w14:textFill>
            <w14:solidFill>
              <w14:schemeClr w14:val="tx1"/>
            </w14:solidFill>
          </w14:textFill>
        </w:rPr>
        <w:t>年期以年利率</w:t>
      </w:r>
      <w:r>
        <w:rPr>
          <w:color w:val="000000" w:themeColor="text1"/>
          <w:sz w:val="28"/>
          <w:szCs w:val="28"/>
          <w:highlight w:val="none"/>
          <w14:textFill>
            <w14:solidFill>
              <w14:schemeClr w14:val="tx1"/>
            </w14:solidFill>
          </w14:textFill>
        </w:rPr>
        <w:t>3</w:t>
      </w:r>
      <w:r>
        <w:rPr>
          <w:rFonts w:hint="eastAsia"/>
          <w:color w:val="000000" w:themeColor="text1"/>
          <w:sz w:val="28"/>
          <w:szCs w:val="28"/>
          <w:highlight w:val="none"/>
          <w14:textFill>
            <w14:solidFill>
              <w14:schemeClr w14:val="tx1"/>
            </w14:solidFill>
          </w14:textFill>
        </w:rPr>
        <w:t>.</w:t>
      </w:r>
      <w:r>
        <w:rPr>
          <w:color w:val="000000" w:themeColor="text1"/>
          <w:sz w:val="28"/>
          <w:szCs w:val="28"/>
          <w:highlight w:val="none"/>
          <w14:textFill>
            <w14:solidFill>
              <w14:schemeClr w14:val="tx1"/>
            </w14:solidFill>
          </w14:textFill>
        </w:rPr>
        <w:t>70%</w:t>
      </w:r>
      <w:r>
        <w:rPr>
          <w:rFonts w:hint="eastAsia"/>
          <w:color w:val="000000" w:themeColor="text1"/>
          <w:sz w:val="28"/>
          <w:szCs w:val="28"/>
          <w:highlight w:val="none"/>
          <w14:textFill>
            <w14:solidFill>
              <w14:schemeClr w14:val="tx1"/>
            </w14:solidFill>
          </w14:textFill>
        </w:rPr>
        <w:t>预计</w:t>
      </w:r>
      <w:r>
        <w:rPr>
          <w:color w:val="000000" w:themeColor="text1"/>
          <w:sz w:val="28"/>
          <w:szCs w:val="28"/>
          <w:highlight w:val="none"/>
          <w14:textFill>
            <w14:solidFill>
              <w14:schemeClr w14:val="tx1"/>
            </w14:solidFill>
          </w14:textFill>
        </w:rPr>
        <w:t>每年</w:t>
      </w:r>
      <w:r>
        <w:rPr>
          <w:rFonts w:hint="eastAsia"/>
          <w:color w:val="000000" w:themeColor="text1"/>
          <w:sz w:val="28"/>
          <w:szCs w:val="28"/>
          <w:highlight w:val="none"/>
          <w14:textFill>
            <w14:solidFill>
              <w14:schemeClr w14:val="tx1"/>
            </w14:solidFill>
          </w14:textFill>
        </w:rPr>
        <w:t>利息支出，每年支付一次利息，到期一次还本，本项目专项债券还本付息情况如下表所示：</w:t>
      </w:r>
    </w:p>
    <w:p w14:paraId="6B3CC584">
      <w:pPr>
        <w:jc w:val="center"/>
        <w:rPr>
          <w:rFonts w:ascii="宋体" w:hAnsi="宋体" w:cs="仿宋"/>
          <w:b/>
          <w:color w:val="000000" w:themeColor="text1"/>
          <w:szCs w:val="24"/>
          <w:highlight w:val="none"/>
          <w14:textFill>
            <w14:solidFill>
              <w14:schemeClr w14:val="tx1"/>
            </w14:solidFill>
          </w14:textFill>
        </w:rPr>
      </w:pPr>
      <w:r>
        <w:rPr>
          <w:rFonts w:hint="eastAsia" w:ascii="宋体" w:hAnsi="宋体" w:cs="仿宋"/>
          <w:b/>
          <w:color w:val="000000" w:themeColor="text1"/>
          <w:szCs w:val="24"/>
          <w:highlight w:val="none"/>
          <w14:textFill>
            <w14:solidFill>
              <w14:schemeClr w14:val="tx1"/>
            </w14:solidFill>
          </w14:textFill>
        </w:rPr>
        <w:t>表3</w:t>
      </w:r>
      <w:r>
        <w:rPr>
          <w:rFonts w:hint="eastAsia" w:ascii="宋体" w:hAnsi="宋体"/>
          <w:b/>
          <w:color w:val="000000" w:themeColor="text1"/>
          <w:szCs w:val="24"/>
          <w:highlight w:val="none"/>
          <w14:textFill>
            <w14:solidFill>
              <w14:schemeClr w14:val="tx1"/>
            </w14:solidFill>
          </w14:textFill>
        </w:rPr>
        <w:t>-</w:t>
      </w:r>
      <w:r>
        <w:rPr>
          <w:rFonts w:ascii="宋体" w:hAnsi="宋体"/>
          <w:b/>
          <w:color w:val="000000" w:themeColor="text1"/>
          <w:szCs w:val="24"/>
          <w:highlight w:val="none"/>
          <w14:textFill>
            <w14:solidFill>
              <w14:schemeClr w14:val="tx1"/>
            </w14:solidFill>
          </w14:textFill>
        </w:rPr>
        <w:t>2202</w:t>
      </w:r>
      <w:r>
        <w:rPr>
          <w:rFonts w:hint="eastAsia" w:ascii="宋体" w:hAnsi="宋体"/>
          <w:b/>
          <w:color w:val="000000" w:themeColor="text1"/>
          <w:szCs w:val="24"/>
          <w:highlight w:val="none"/>
          <w:lang w:val="en-US" w:eastAsia="zh-CN"/>
          <w14:textFill>
            <w14:solidFill>
              <w14:schemeClr w14:val="tx1"/>
            </w14:solidFill>
          </w14:textFill>
        </w:rPr>
        <w:t>3</w:t>
      </w:r>
      <w:r>
        <w:rPr>
          <w:rFonts w:hint="eastAsia" w:ascii="宋体" w:hAnsi="宋体" w:cs="仿宋"/>
          <w:b/>
          <w:color w:val="000000" w:themeColor="text1"/>
          <w:szCs w:val="24"/>
          <w:highlight w:val="none"/>
          <w14:textFill>
            <w14:solidFill>
              <w14:schemeClr w14:val="tx1"/>
            </w14:solidFill>
          </w14:textFill>
        </w:rPr>
        <w:t>-</w:t>
      </w:r>
      <w:r>
        <w:rPr>
          <w:rFonts w:ascii="宋体" w:hAnsi="宋体" w:cs="仿宋"/>
          <w:b/>
          <w:color w:val="000000" w:themeColor="text1"/>
          <w:szCs w:val="24"/>
          <w:highlight w:val="none"/>
          <w14:textFill>
            <w14:solidFill>
              <w14:schemeClr w14:val="tx1"/>
            </w14:solidFill>
          </w14:textFill>
        </w:rPr>
        <w:t>2036</w:t>
      </w:r>
      <w:r>
        <w:rPr>
          <w:rFonts w:hint="eastAsia" w:ascii="宋体" w:hAnsi="宋体" w:cs="仿宋"/>
          <w:b/>
          <w:color w:val="000000" w:themeColor="text1"/>
          <w:szCs w:val="24"/>
          <w:highlight w:val="none"/>
          <w14:textFill>
            <w14:solidFill>
              <w14:schemeClr w14:val="tx1"/>
            </w14:solidFill>
          </w14:textFill>
        </w:rPr>
        <w:t>年专项债券还本付息情况预测表</w:t>
      </w:r>
    </w:p>
    <w:p w14:paraId="45B7880F">
      <w:pPr>
        <w:jc w:val="right"/>
        <w:rPr>
          <w:rFonts w:ascii="宋体" w:hAnsi="宋体" w:cs="仿宋"/>
          <w:color w:val="000000" w:themeColor="text1"/>
          <w:sz w:val="18"/>
          <w:szCs w:val="18"/>
          <w:highlight w:val="none"/>
          <w14:textFill>
            <w14:solidFill>
              <w14:schemeClr w14:val="tx1"/>
            </w14:solidFill>
          </w14:textFill>
        </w:rPr>
      </w:pPr>
      <w:r>
        <w:rPr>
          <w:rFonts w:hint="eastAsia" w:ascii="宋体" w:hAnsi="宋体" w:cs="仿宋"/>
          <w:color w:val="000000" w:themeColor="text1"/>
          <w:sz w:val="18"/>
          <w:szCs w:val="18"/>
          <w:highlight w:val="none"/>
          <w14:textFill>
            <w14:solidFill>
              <w14:schemeClr w14:val="tx1"/>
            </w14:solidFill>
          </w14:textFill>
        </w:rPr>
        <w:t>单位：万元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241"/>
        <w:gridCol w:w="1124"/>
        <w:gridCol w:w="881"/>
        <w:gridCol w:w="1033"/>
        <w:gridCol w:w="1124"/>
        <w:gridCol w:w="1241"/>
        <w:gridCol w:w="1214"/>
      </w:tblGrid>
      <w:tr w14:paraId="1F9D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0" w:type="auto"/>
            <w:shd w:val="clear" w:color="auto" w:fill="auto"/>
            <w:vAlign w:val="center"/>
          </w:tcPr>
          <w:p w14:paraId="5D894055">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年份</w:t>
            </w:r>
          </w:p>
        </w:tc>
        <w:tc>
          <w:tcPr>
            <w:tcW w:w="0" w:type="auto"/>
            <w:shd w:val="clear" w:color="auto" w:fill="auto"/>
            <w:vAlign w:val="center"/>
          </w:tcPr>
          <w:p w14:paraId="15BAEF0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期初债券余额</w:t>
            </w:r>
          </w:p>
        </w:tc>
        <w:tc>
          <w:tcPr>
            <w:tcW w:w="0" w:type="auto"/>
            <w:shd w:val="clear" w:color="auto" w:fill="auto"/>
            <w:vAlign w:val="center"/>
          </w:tcPr>
          <w:p w14:paraId="66AA73A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本期发行</w:t>
            </w:r>
          </w:p>
        </w:tc>
        <w:tc>
          <w:tcPr>
            <w:tcW w:w="0" w:type="auto"/>
            <w:shd w:val="clear" w:color="auto" w:fill="auto"/>
            <w:vAlign w:val="center"/>
          </w:tcPr>
          <w:p w14:paraId="64AA1B99">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发行费用</w:t>
            </w:r>
          </w:p>
        </w:tc>
        <w:tc>
          <w:tcPr>
            <w:tcW w:w="0" w:type="auto"/>
            <w:shd w:val="clear" w:color="auto" w:fill="auto"/>
            <w:vAlign w:val="center"/>
          </w:tcPr>
          <w:p w14:paraId="3E6F57F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本期付息</w:t>
            </w:r>
          </w:p>
        </w:tc>
        <w:tc>
          <w:tcPr>
            <w:tcW w:w="0" w:type="auto"/>
            <w:shd w:val="clear" w:color="auto" w:fill="auto"/>
            <w:vAlign w:val="center"/>
          </w:tcPr>
          <w:p w14:paraId="4462F828">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本期还本</w:t>
            </w:r>
          </w:p>
        </w:tc>
        <w:tc>
          <w:tcPr>
            <w:tcW w:w="0" w:type="auto"/>
            <w:shd w:val="clear" w:color="auto" w:fill="auto"/>
            <w:vAlign w:val="center"/>
          </w:tcPr>
          <w:p w14:paraId="7E74B96B">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期末债券余额</w:t>
            </w:r>
          </w:p>
        </w:tc>
        <w:tc>
          <w:tcPr>
            <w:tcW w:w="0" w:type="auto"/>
            <w:shd w:val="clear" w:color="auto" w:fill="auto"/>
            <w:vAlign w:val="center"/>
          </w:tcPr>
          <w:p w14:paraId="30FF6BAC">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融资费用小计</w:t>
            </w:r>
          </w:p>
        </w:tc>
      </w:tr>
      <w:tr w14:paraId="70A9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5E6B32F">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2023年</w:t>
            </w:r>
          </w:p>
        </w:tc>
        <w:tc>
          <w:tcPr>
            <w:tcW w:w="1241" w:type="dxa"/>
            <w:shd w:val="clear" w:color="auto" w:fill="auto"/>
            <w:vAlign w:val="center"/>
          </w:tcPr>
          <w:p w14:paraId="131C47D1">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124" w:type="dxa"/>
            <w:shd w:val="clear" w:color="auto" w:fill="auto"/>
            <w:vAlign w:val="center"/>
          </w:tcPr>
          <w:p w14:paraId="1D8512D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6,500.00</w:t>
            </w:r>
          </w:p>
        </w:tc>
        <w:tc>
          <w:tcPr>
            <w:tcW w:w="881" w:type="dxa"/>
            <w:shd w:val="clear" w:color="auto" w:fill="auto"/>
            <w:vAlign w:val="center"/>
          </w:tcPr>
          <w:p w14:paraId="676F9C2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6.50</w:t>
            </w:r>
          </w:p>
        </w:tc>
        <w:tc>
          <w:tcPr>
            <w:tcW w:w="1033" w:type="dxa"/>
            <w:shd w:val="clear" w:color="auto" w:fill="auto"/>
            <w:vAlign w:val="center"/>
          </w:tcPr>
          <w:p w14:paraId="5F8F8A29">
            <w:pPr>
              <w:jc w:val="center"/>
              <w:rPr>
                <w:rFonts w:ascii="宋体" w:hAnsi="宋体" w:cs="宋体"/>
                <w:color w:val="000000"/>
                <w:kern w:val="0"/>
                <w:sz w:val="18"/>
                <w:szCs w:val="18"/>
                <w:highlight w:val="none"/>
              </w:rPr>
            </w:pPr>
          </w:p>
        </w:tc>
        <w:tc>
          <w:tcPr>
            <w:tcW w:w="1124" w:type="dxa"/>
            <w:shd w:val="clear" w:color="auto" w:fill="auto"/>
            <w:vAlign w:val="center"/>
          </w:tcPr>
          <w:p w14:paraId="2C326B8C">
            <w:pPr>
              <w:jc w:val="center"/>
              <w:rPr>
                <w:rFonts w:ascii="宋体" w:hAnsi="宋体" w:cs="宋体"/>
                <w:color w:val="000000"/>
                <w:kern w:val="0"/>
                <w:sz w:val="18"/>
                <w:szCs w:val="18"/>
                <w:highlight w:val="none"/>
              </w:rPr>
            </w:pPr>
          </w:p>
        </w:tc>
        <w:tc>
          <w:tcPr>
            <w:tcW w:w="1241" w:type="dxa"/>
            <w:shd w:val="clear" w:color="auto" w:fill="auto"/>
            <w:vAlign w:val="center"/>
          </w:tcPr>
          <w:p w14:paraId="476D8E65">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6,500.00</w:t>
            </w:r>
          </w:p>
        </w:tc>
        <w:tc>
          <w:tcPr>
            <w:tcW w:w="1214" w:type="dxa"/>
            <w:shd w:val="clear" w:color="auto" w:fill="auto"/>
            <w:vAlign w:val="center"/>
          </w:tcPr>
          <w:p w14:paraId="13C0517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6.50</w:t>
            </w:r>
          </w:p>
        </w:tc>
      </w:tr>
      <w:tr w14:paraId="168C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A80A90F">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2024年本期发行</w:t>
            </w:r>
          </w:p>
        </w:tc>
        <w:tc>
          <w:tcPr>
            <w:tcW w:w="1241" w:type="dxa"/>
            <w:shd w:val="clear" w:color="auto" w:fill="auto"/>
            <w:vAlign w:val="center"/>
          </w:tcPr>
          <w:p w14:paraId="5838F0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24" w:type="dxa"/>
            <w:shd w:val="clear" w:color="auto" w:fill="auto"/>
            <w:vAlign w:val="center"/>
          </w:tcPr>
          <w:p w14:paraId="2F7DF5D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1,600.00</w:t>
            </w:r>
          </w:p>
        </w:tc>
        <w:tc>
          <w:tcPr>
            <w:tcW w:w="881" w:type="dxa"/>
            <w:shd w:val="clear" w:color="auto" w:fill="auto"/>
            <w:vAlign w:val="center"/>
          </w:tcPr>
          <w:p w14:paraId="29B912F2">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1.60</w:t>
            </w:r>
          </w:p>
        </w:tc>
        <w:tc>
          <w:tcPr>
            <w:tcW w:w="1033" w:type="dxa"/>
            <w:shd w:val="clear" w:color="auto" w:fill="auto"/>
            <w:vAlign w:val="center"/>
          </w:tcPr>
          <w:p w14:paraId="1BEEF277">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30.87</w:t>
            </w:r>
          </w:p>
        </w:tc>
        <w:tc>
          <w:tcPr>
            <w:tcW w:w="1124" w:type="dxa"/>
            <w:shd w:val="clear" w:color="auto" w:fill="auto"/>
            <w:vAlign w:val="center"/>
          </w:tcPr>
          <w:p w14:paraId="52F34B38">
            <w:pPr>
              <w:jc w:val="center"/>
              <w:rPr>
                <w:rFonts w:ascii="宋体" w:hAnsi="宋体" w:cs="宋体"/>
                <w:color w:val="000000"/>
                <w:kern w:val="0"/>
                <w:sz w:val="18"/>
                <w:szCs w:val="18"/>
                <w:highlight w:val="none"/>
              </w:rPr>
            </w:pPr>
          </w:p>
        </w:tc>
        <w:tc>
          <w:tcPr>
            <w:tcW w:w="1241" w:type="dxa"/>
            <w:shd w:val="clear" w:color="auto" w:fill="auto"/>
            <w:vAlign w:val="center"/>
          </w:tcPr>
          <w:p w14:paraId="5C56801B">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8,100.00</w:t>
            </w:r>
          </w:p>
        </w:tc>
        <w:tc>
          <w:tcPr>
            <w:tcW w:w="1214" w:type="dxa"/>
            <w:shd w:val="clear" w:color="auto" w:fill="auto"/>
            <w:vAlign w:val="center"/>
          </w:tcPr>
          <w:p w14:paraId="0DF14D4F">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32.47</w:t>
            </w:r>
          </w:p>
        </w:tc>
      </w:tr>
      <w:tr w14:paraId="2CB5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74164F4">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2024年</w:t>
            </w:r>
            <w:r>
              <w:rPr>
                <w:rFonts w:hint="eastAsia" w:ascii="宋体" w:hAnsi="宋体" w:cs="宋体"/>
                <w:i w:val="0"/>
                <w:iCs w:val="0"/>
                <w:color w:val="000000"/>
                <w:kern w:val="0"/>
                <w:sz w:val="18"/>
                <w:szCs w:val="18"/>
                <w:highlight w:val="none"/>
                <w:u w:val="none"/>
                <w:lang w:val="en-US" w:eastAsia="zh-CN" w:bidi="ar"/>
              </w:rPr>
              <w:t>剩余</w:t>
            </w:r>
            <w:r>
              <w:rPr>
                <w:rFonts w:hint="eastAsia" w:ascii="宋体" w:hAnsi="宋体" w:eastAsia="宋体" w:cs="宋体"/>
                <w:i w:val="0"/>
                <w:iCs w:val="0"/>
                <w:color w:val="000000"/>
                <w:kern w:val="0"/>
                <w:sz w:val="18"/>
                <w:szCs w:val="18"/>
                <w:highlight w:val="none"/>
                <w:u w:val="none"/>
                <w:lang w:val="en-US" w:eastAsia="zh-CN" w:bidi="ar"/>
              </w:rPr>
              <w:t>发行</w:t>
            </w:r>
          </w:p>
        </w:tc>
        <w:tc>
          <w:tcPr>
            <w:tcW w:w="1241" w:type="dxa"/>
            <w:shd w:val="clear" w:color="auto" w:fill="auto"/>
            <w:vAlign w:val="center"/>
          </w:tcPr>
          <w:p w14:paraId="6CEC3CC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00.00</w:t>
            </w:r>
          </w:p>
        </w:tc>
        <w:tc>
          <w:tcPr>
            <w:tcW w:w="1124" w:type="dxa"/>
            <w:shd w:val="clear" w:color="auto" w:fill="auto"/>
            <w:vAlign w:val="center"/>
          </w:tcPr>
          <w:p w14:paraId="3742947B">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00.00</w:t>
            </w:r>
          </w:p>
        </w:tc>
        <w:tc>
          <w:tcPr>
            <w:tcW w:w="881" w:type="dxa"/>
            <w:shd w:val="clear" w:color="auto" w:fill="auto"/>
            <w:vAlign w:val="center"/>
          </w:tcPr>
          <w:p w14:paraId="40A37DF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0</w:t>
            </w:r>
          </w:p>
        </w:tc>
        <w:tc>
          <w:tcPr>
            <w:tcW w:w="1033" w:type="dxa"/>
            <w:shd w:val="clear" w:color="auto" w:fill="auto"/>
            <w:vAlign w:val="center"/>
          </w:tcPr>
          <w:p w14:paraId="4839342E">
            <w:pPr>
              <w:keepNext w:val="0"/>
              <w:keepLines w:val="0"/>
              <w:widowControl/>
              <w:suppressLineNumbers w:val="0"/>
              <w:jc w:val="center"/>
              <w:textAlignment w:val="center"/>
              <w:rPr>
                <w:rFonts w:hint="default" w:ascii="宋体" w:hAnsi="宋体" w:cs="宋体"/>
                <w:color w:val="000000"/>
                <w:kern w:val="0"/>
                <w:sz w:val="18"/>
                <w:szCs w:val="18"/>
                <w:highlight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50</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48</w:t>
            </w:r>
          </w:p>
        </w:tc>
        <w:tc>
          <w:tcPr>
            <w:tcW w:w="1124" w:type="dxa"/>
            <w:shd w:val="clear" w:color="auto" w:fill="auto"/>
            <w:vAlign w:val="center"/>
          </w:tcPr>
          <w:p w14:paraId="7F32FEDE">
            <w:pPr>
              <w:jc w:val="center"/>
              <w:rPr>
                <w:rFonts w:ascii="宋体" w:hAnsi="宋体" w:cs="宋体"/>
                <w:color w:val="000000"/>
                <w:kern w:val="0"/>
                <w:sz w:val="18"/>
                <w:szCs w:val="18"/>
                <w:highlight w:val="none"/>
              </w:rPr>
            </w:pPr>
          </w:p>
        </w:tc>
        <w:tc>
          <w:tcPr>
            <w:tcW w:w="1241" w:type="dxa"/>
            <w:shd w:val="clear" w:color="auto" w:fill="auto"/>
            <w:vAlign w:val="center"/>
          </w:tcPr>
          <w:p w14:paraId="449E695B">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15,900.00</w:t>
            </w:r>
          </w:p>
        </w:tc>
        <w:tc>
          <w:tcPr>
            <w:tcW w:w="1214" w:type="dxa"/>
            <w:shd w:val="clear" w:color="auto" w:fill="auto"/>
            <w:vAlign w:val="center"/>
          </w:tcPr>
          <w:p w14:paraId="374FA34B">
            <w:pPr>
              <w:keepNext w:val="0"/>
              <w:keepLines w:val="0"/>
              <w:widowControl/>
              <w:suppressLineNumbers w:val="0"/>
              <w:jc w:val="center"/>
              <w:textAlignment w:val="center"/>
              <w:rPr>
                <w:rFonts w:hint="default" w:ascii="宋体" w:hAnsi="宋体" w:cs="宋体"/>
                <w:color w:val="000000"/>
                <w:kern w:val="0"/>
                <w:sz w:val="18"/>
                <w:szCs w:val="18"/>
                <w:highlight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58</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28</w:t>
            </w:r>
          </w:p>
        </w:tc>
      </w:tr>
      <w:tr w14:paraId="1D27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8F1A814">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2024年调整</w:t>
            </w:r>
          </w:p>
        </w:tc>
        <w:tc>
          <w:tcPr>
            <w:tcW w:w="1241" w:type="dxa"/>
            <w:shd w:val="clear" w:color="auto" w:fill="auto"/>
            <w:vAlign w:val="center"/>
          </w:tcPr>
          <w:p w14:paraId="0055B585">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15,900.00</w:t>
            </w:r>
          </w:p>
        </w:tc>
        <w:tc>
          <w:tcPr>
            <w:tcW w:w="1124" w:type="dxa"/>
            <w:shd w:val="clear" w:color="auto" w:fill="auto"/>
            <w:vAlign w:val="center"/>
          </w:tcPr>
          <w:p w14:paraId="615DF7C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881" w:type="dxa"/>
            <w:shd w:val="clear" w:color="auto" w:fill="auto"/>
            <w:vAlign w:val="center"/>
          </w:tcPr>
          <w:p w14:paraId="7F4C262D">
            <w:pPr>
              <w:jc w:val="center"/>
              <w:rPr>
                <w:rFonts w:ascii="宋体" w:hAnsi="宋体" w:cs="宋体"/>
                <w:color w:val="000000"/>
                <w:kern w:val="0"/>
                <w:sz w:val="18"/>
                <w:szCs w:val="18"/>
                <w:highlight w:val="none"/>
              </w:rPr>
            </w:pPr>
          </w:p>
        </w:tc>
        <w:tc>
          <w:tcPr>
            <w:tcW w:w="1033" w:type="dxa"/>
            <w:shd w:val="clear" w:color="auto" w:fill="auto"/>
            <w:vAlign w:val="center"/>
          </w:tcPr>
          <w:p w14:paraId="05DFE871">
            <w:pPr>
              <w:jc w:val="center"/>
              <w:rPr>
                <w:rFonts w:ascii="宋体" w:hAnsi="宋体" w:cs="宋体"/>
                <w:color w:val="000000"/>
                <w:kern w:val="0"/>
                <w:sz w:val="18"/>
                <w:szCs w:val="18"/>
                <w:highlight w:val="none"/>
              </w:rPr>
            </w:pPr>
          </w:p>
        </w:tc>
        <w:tc>
          <w:tcPr>
            <w:tcW w:w="1124" w:type="dxa"/>
            <w:shd w:val="clear" w:color="auto" w:fill="auto"/>
            <w:vAlign w:val="center"/>
          </w:tcPr>
          <w:p w14:paraId="32D608CF">
            <w:pPr>
              <w:jc w:val="center"/>
              <w:rPr>
                <w:rFonts w:ascii="宋体" w:hAnsi="宋体" w:cs="宋体"/>
                <w:color w:val="000000"/>
                <w:kern w:val="0"/>
                <w:sz w:val="18"/>
                <w:szCs w:val="18"/>
                <w:highlight w:val="none"/>
              </w:rPr>
            </w:pPr>
          </w:p>
        </w:tc>
        <w:tc>
          <w:tcPr>
            <w:tcW w:w="1241" w:type="dxa"/>
            <w:shd w:val="clear" w:color="auto" w:fill="auto"/>
            <w:vAlign w:val="center"/>
          </w:tcPr>
          <w:p w14:paraId="3F80DC2E">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214" w:type="dxa"/>
            <w:shd w:val="clear" w:color="auto" w:fill="auto"/>
            <w:vAlign w:val="center"/>
          </w:tcPr>
          <w:p w14:paraId="7ECC09D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r>
      <w:tr w14:paraId="3210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4E83F318">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2025年</w:t>
            </w:r>
          </w:p>
        </w:tc>
        <w:tc>
          <w:tcPr>
            <w:tcW w:w="1241" w:type="dxa"/>
            <w:shd w:val="clear" w:color="auto" w:fill="auto"/>
            <w:vAlign w:val="center"/>
          </w:tcPr>
          <w:p w14:paraId="083BF97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124" w:type="dxa"/>
            <w:shd w:val="clear" w:color="auto" w:fill="auto"/>
            <w:vAlign w:val="center"/>
          </w:tcPr>
          <w:p w14:paraId="7C2CD52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881" w:type="dxa"/>
            <w:shd w:val="clear" w:color="auto" w:fill="auto"/>
            <w:vAlign w:val="center"/>
          </w:tcPr>
          <w:p w14:paraId="4431430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033" w:type="dxa"/>
            <w:shd w:val="clear" w:color="auto" w:fill="auto"/>
            <w:vAlign w:val="center"/>
          </w:tcPr>
          <w:p w14:paraId="3382E8B0">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c>
          <w:tcPr>
            <w:tcW w:w="1124" w:type="dxa"/>
            <w:shd w:val="clear" w:color="auto" w:fill="auto"/>
            <w:vAlign w:val="center"/>
          </w:tcPr>
          <w:p w14:paraId="62F7B5D5">
            <w:pPr>
              <w:jc w:val="center"/>
              <w:rPr>
                <w:rFonts w:ascii="宋体" w:hAnsi="宋体" w:cs="宋体"/>
                <w:color w:val="000000"/>
                <w:kern w:val="0"/>
                <w:sz w:val="18"/>
                <w:szCs w:val="18"/>
                <w:highlight w:val="none"/>
              </w:rPr>
            </w:pPr>
          </w:p>
        </w:tc>
        <w:tc>
          <w:tcPr>
            <w:tcW w:w="1241" w:type="dxa"/>
            <w:shd w:val="clear" w:color="auto" w:fill="auto"/>
            <w:vAlign w:val="center"/>
          </w:tcPr>
          <w:p w14:paraId="4513D1C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214" w:type="dxa"/>
            <w:shd w:val="clear" w:color="auto" w:fill="auto"/>
            <w:vAlign w:val="center"/>
          </w:tcPr>
          <w:p w14:paraId="7FB46833">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r>
      <w:tr w14:paraId="2EFA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F645735">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2026年</w:t>
            </w:r>
          </w:p>
        </w:tc>
        <w:tc>
          <w:tcPr>
            <w:tcW w:w="1241" w:type="dxa"/>
            <w:shd w:val="clear" w:color="auto" w:fill="auto"/>
            <w:vAlign w:val="center"/>
          </w:tcPr>
          <w:p w14:paraId="69F5F67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124" w:type="dxa"/>
            <w:shd w:val="clear" w:color="auto" w:fill="auto"/>
            <w:vAlign w:val="center"/>
          </w:tcPr>
          <w:p w14:paraId="0D2CFE68">
            <w:pPr>
              <w:jc w:val="center"/>
              <w:rPr>
                <w:rFonts w:ascii="宋体" w:hAnsi="宋体" w:cs="宋体"/>
                <w:color w:val="000000"/>
                <w:kern w:val="0"/>
                <w:sz w:val="18"/>
                <w:szCs w:val="18"/>
                <w:highlight w:val="none"/>
              </w:rPr>
            </w:pPr>
          </w:p>
        </w:tc>
        <w:tc>
          <w:tcPr>
            <w:tcW w:w="881" w:type="dxa"/>
            <w:shd w:val="clear" w:color="auto" w:fill="auto"/>
            <w:vAlign w:val="center"/>
          </w:tcPr>
          <w:p w14:paraId="584C6CFD">
            <w:pPr>
              <w:jc w:val="center"/>
              <w:rPr>
                <w:rFonts w:ascii="宋体" w:hAnsi="宋体" w:cs="宋体"/>
                <w:color w:val="000000"/>
                <w:kern w:val="0"/>
                <w:sz w:val="18"/>
                <w:szCs w:val="18"/>
                <w:highlight w:val="none"/>
              </w:rPr>
            </w:pPr>
          </w:p>
        </w:tc>
        <w:tc>
          <w:tcPr>
            <w:tcW w:w="1033" w:type="dxa"/>
            <w:shd w:val="clear" w:color="auto" w:fill="auto"/>
            <w:vAlign w:val="center"/>
          </w:tcPr>
          <w:p w14:paraId="4E5DCAE6">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c>
          <w:tcPr>
            <w:tcW w:w="1124" w:type="dxa"/>
            <w:shd w:val="clear" w:color="auto" w:fill="auto"/>
            <w:vAlign w:val="center"/>
          </w:tcPr>
          <w:p w14:paraId="2E1F0470">
            <w:pPr>
              <w:jc w:val="center"/>
              <w:rPr>
                <w:rFonts w:ascii="宋体" w:hAnsi="宋体" w:cs="宋体"/>
                <w:color w:val="000000"/>
                <w:kern w:val="0"/>
                <w:sz w:val="18"/>
                <w:szCs w:val="18"/>
                <w:highlight w:val="none"/>
              </w:rPr>
            </w:pPr>
          </w:p>
        </w:tc>
        <w:tc>
          <w:tcPr>
            <w:tcW w:w="1241" w:type="dxa"/>
            <w:shd w:val="clear" w:color="auto" w:fill="auto"/>
            <w:vAlign w:val="center"/>
          </w:tcPr>
          <w:p w14:paraId="772A1B87">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214" w:type="dxa"/>
            <w:shd w:val="clear" w:color="auto" w:fill="auto"/>
            <w:vAlign w:val="center"/>
          </w:tcPr>
          <w:p w14:paraId="42549615">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r>
      <w:tr w14:paraId="04E8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EA15C43">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2027年</w:t>
            </w:r>
          </w:p>
        </w:tc>
        <w:tc>
          <w:tcPr>
            <w:tcW w:w="1241" w:type="dxa"/>
            <w:shd w:val="clear" w:color="auto" w:fill="auto"/>
            <w:vAlign w:val="center"/>
          </w:tcPr>
          <w:p w14:paraId="21147D77">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124" w:type="dxa"/>
            <w:shd w:val="clear" w:color="auto" w:fill="auto"/>
            <w:vAlign w:val="center"/>
          </w:tcPr>
          <w:p w14:paraId="5DF0B613">
            <w:pPr>
              <w:jc w:val="center"/>
              <w:rPr>
                <w:rFonts w:ascii="宋体" w:hAnsi="宋体" w:cs="宋体"/>
                <w:color w:val="000000"/>
                <w:kern w:val="0"/>
                <w:sz w:val="18"/>
                <w:szCs w:val="18"/>
                <w:highlight w:val="none"/>
              </w:rPr>
            </w:pPr>
          </w:p>
        </w:tc>
        <w:tc>
          <w:tcPr>
            <w:tcW w:w="881" w:type="dxa"/>
            <w:shd w:val="clear" w:color="auto" w:fill="auto"/>
            <w:vAlign w:val="center"/>
          </w:tcPr>
          <w:p w14:paraId="2D3C8E1A">
            <w:pPr>
              <w:jc w:val="center"/>
              <w:rPr>
                <w:rFonts w:ascii="宋体" w:hAnsi="宋体" w:cs="宋体"/>
                <w:color w:val="000000"/>
                <w:kern w:val="0"/>
                <w:sz w:val="18"/>
                <w:szCs w:val="18"/>
                <w:highlight w:val="none"/>
              </w:rPr>
            </w:pPr>
          </w:p>
        </w:tc>
        <w:tc>
          <w:tcPr>
            <w:tcW w:w="1033" w:type="dxa"/>
            <w:shd w:val="clear" w:color="auto" w:fill="auto"/>
            <w:vAlign w:val="center"/>
          </w:tcPr>
          <w:p w14:paraId="06B66D58">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c>
          <w:tcPr>
            <w:tcW w:w="1124" w:type="dxa"/>
            <w:shd w:val="clear" w:color="auto" w:fill="auto"/>
            <w:vAlign w:val="center"/>
          </w:tcPr>
          <w:p w14:paraId="70E0D303">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5343618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214" w:type="dxa"/>
            <w:shd w:val="clear" w:color="auto" w:fill="auto"/>
            <w:vAlign w:val="center"/>
          </w:tcPr>
          <w:p w14:paraId="78841202">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r>
      <w:tr w14:paraId="163E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E8C0AA1">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2028年</w:t>
            </w:r>
          </w:p>
        </w:tc>
        <w:tc>
          <w:tcPr>
            <w:tcW w:w="1241" w:type="dxa"/>
            <w:shd w:val="clear" w:color="auto" w:fill="auto"/>
            <w:vAlign w:val="center"/>
          </w:tcPr>
          <w:p w14:paraId="5F6565E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23,900.00</w:t>
            </w:r>
          </w:p>
        </w:tc>
        <w:tc>
          <w:tcPr>
            <w:tcW w:w="1124" w:type="dxa"/>
            <w:shd w:val="clear" w:color="auto" w:fill="auto"/>
            <w:vAlign w:val="center"/>
          </w:tcPr>
          <w:p w14:paraId="5178A2BA">
            <w:pPr>
              <w:jc w:val="center"/>
              <w:rPr>
                <w:rFonts w:ascii="宋体" w:hAnsi="宋体" w:cs="宋体"/>
                <w:color w:val="000000"/>
                <w:kern w:val="0"/>
                <w:sz w:val="18"/>
                <w:szCs w:val="18"/>
                <w:highlight w:val="none"/>
              </w:rPr>
            </w:pPr>
          </w:p>
        </w:tc>
        <w:tc>
          <w:tcPr>
            <w:tcW w:w="881" w:type="dxa"/>
            <w:shd w:val="clear" w:color="auto" w:fill="auto"/>
            <w:vAlign w:val="center"/>
          </w:tcPr>
          <w:p w14:paraId="4675341C">
            <w:pPr>
              <w:jc w:val="center"/>
              <w:rPr>
                <w:rFonts w:ascii="宋体" w:hAnsi="宋体" w:cs="宋体"/>
                <w:color w:val="000000"/>
                <w:kern w:val="0"/>
                <w:sz w:val="18"/>
                <w:szCs w:val="18"/>
                <w:highlight w:val="none"/>
              </w:rPr>
            </w:pPr>
          </w:p>
        </w:tc>
        <w:tc>
          <w:tcPr>
            <w:tcW w:w="1033" w:type="dxa"/>
            <w:shd w:val="clear" w:color="auto" w:fill="auto"/>
            <w:vAlign w:val="center"/>
          </w:tcPr>
          <w:p w14:paraId="761D68A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c>
          <w:tcPr>
            <w:tcW w:w="1124" w:type="dxa"/>
            <w:shd w:val="clear" w:color="auto" w:fill="auto"/>
            <w:vAlign w:val="center"/>
          </w:tcPr>
          <w:p w14:paraId="1AABA94F">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6,500.00</w:t>
            </w:r>
          </w:p>
        </w:tc>
        <w:tc>
          <w:tcPr>
            <w:tcW w:w="1241" w:type="dxa"/>
            <w:shd w:val="clear" w:color="auto" w:fill="auto"/>
            <w:vAlign w:val="center"/>
          </w:tcPr>
          <w:p w14:paraId="39324FAC">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17,400.00</w:t>
            </w:r>
          </w:p>
        </w:tc>
        <w:tc>
          <w:tcPr>
            <w:tcW w:w="1214" w:type="dxa"/>
            <w:shd w:val="clear" w:color="auto" w:fill="auto"/>
            <w:vAlign w:val="center"/>
          </w:tcPr>
          <w:p w14:paraId="037F0FAB">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814.75</w:t>
            </w:r>
          </w:p>
        </w:tc>
      </w:tr>
      <w:tr w14:paraId="6C71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14:paraId="7FF7CE0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2029年</w:t>
            </w:r>
          </w:p>
        </w:tc>
        <w:tc>
          <w:tcPr>
            <w:tcW w:w="1241" w:type="dxa"/>
            <w:shd w:val="clear" w:color="auto" w:fill="auto"/>
            <w:vAlign w:val="center"/>
          </w:tcPr>
          <w:p w14:paraId="6F0DCA51">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17,400.00</w:t>
            </w:r>
          </w:p>
        </w:tc>
        <w:tc>
          <w:tcPr>
            <w:tcW w:w="1124" w:type="dxa"/>
            <w:shd w:val="clear" w:color="auto" w:fill="auto"/>
            <w:vAlign w:val="center"/>
          </w:tcPr>
          <w:p w14:paraId="64729983">
            <w:pPr>
              <w:jc w:val="center"/>
              <w:rPr>
                <w:rFonts w:ascii="宋体" w:hAnsi="宋体" w:cs="宋体"/>
                <w:color w:val="000000"/>
                <w:kern w:val="0"/>
                <w:sz w:val="18"/>
                <w:szCs w:val="18"/>
                <w:highlight w:val="none"/>
              </w:rPr>
            </w:pPr>
          </w:p>
        </w:tc>
        <w:tc>
          <w:tcPr>
            <w:tcW w:w="881" w:type="dxa"/>
            <w:shd w:val="clear" w:color="auto" w:fill="auto"/>
            <w:vAlign w:val="center"/>
          </w:tcPr>
          <w:p w14:paraId="6B5DEA1E">
            <w:pPr>
              <w:jc w:val="center"/>
              <w:rPr>
                <w:rFonts w:ascii="宋体" w:hAnsi="宋体" w:cs="宋体"/>
                <w:color w:val="000000"/>
                <w:kern w:val="0"/>
                <w:sz w:val="18"/>
                <w:szCs w:val="18"/>
                <w:highlight w:val="none"/>
              </w:rPr>
            </w:pPr>
          </w:p>
        </w:tc>
        <w:tc>
          <w:tcPr>
            <w:tcW w:w="1033" w:type="dxa"/>
            <w:shd w:val="clear" w:color="auto" w:fill="auto"/>
            <w:vAlign w:val="center"/>
          </w:tcPr>
          <w:p w14:paraId="01E38B88">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633.40</w:t>
            </w:r>
          </w:p>
        </w:tc>
        <w:tc>
          <w:tcPr>
            <w:tcW w:w="1124" w:type="dxa"/>
            <w:shd w:val="clear" w:color="auto" w:fill="auto"/>
            <w:vAlign w:val="center"/>
          </w:tcPr>
          <w:p w14:paraId="73C18669">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9,400.00</w:t>
            </w:r>
          </w:p>
        </w:tc>
        <w:tc>
          <w:tcPr>
            <w:tcW w:w="1241" w:type="dxa"/>
            <w:shd w:val="clear" w:color="auto" w:fill="auto"/>
            <w:vAlign w:val="center"/>
          </w:tcPr>
          <w:p w14:paraId="0A7314DD">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24D534EF">
            <w:pPr>
              <w:keepNext w:val="0"/>
              <w:keepLines w:val="0"/>
              <w:widowControl/>
              <w:suppressLineNumbers w:val="0"/>
              <w:jc w:val="center"/>
              <w:textAlignment w:val="center"/>
              <w:rPr>
                <w:rFonts w:ascii="宋体" w:hAnsi="宋体" w:cs="宋体"/>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633.40</w:t>
            </w:r>
          </w:p>
        </w:tc>
      </w:tr>
      <w:tr w14:paraId="1C4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2" w:type="dxa"/>
            <w:shd w:val="clear" w:color="auto" w:fill="auto"/>
            <w:vAlign w:val="center"/>
          </w:tcPr>
          <w:p w14:paraId="579851EA">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2030年</w:t>
            </w:r>
          </w:p>
        </w:tc>
        <w:tc>
          <w:tcPr>
            <w:tcW w:w="1241" w:type="dxa"/>
            <w:shd w:val="clear" w:color="auto" w:fill="auto"/>
            <w:vAlign w:val="center"/>
          </w:tcPr>
          <w:p w14:paraId="7D94A750">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523F580B">
            <w:pPr>
              <w:jc w:val="center"/>
              <w:rPr>
                <w:rFonts w:ascii="宋体" w:hAnsi="宋体" w:cs="宋体"/>
                <w:b/>
                <w:bCs/>
                <w:color w:val="000000"/>
                <w:kern w:val="0"/>
                <w:sz w:val="18"/>
                <w:szCs w:val="18"/>
                <w:highlight w:val="none"/>
              </w:rPr>
            </w:pPr>
          </w:p>
        </w:tc>
        <w:tc>
          <w:tcPr>
            <w:tcW w:w="881" w:type="dxa"/>
            <w:shd w:val="clear" w:color="auto" w:fill="auto"/>
            <w:vAlign w:val="center"/>
          </w:tcPr>
          <w:p w14:paraId="173C3766">
            <w:pPr>
              <w:jc w:val="center"/>
              <w:rPr>
                <w:rFonts w:ascii="宋体" w:hAnsi="宋体" w:cs="宋体"/>
                <w:b/>
                <w:bCs/>
                <w:color w:val="000000"/>
                <w:kern w:val="0"/>
                <w:sz w:val="18"/>
                <w:szCs w:val="18"/>
                <w:highlight w:val="none"/>
              </w:rPr>
            </w:pPr>
          </w:p>
        </w:tc>
        <w:tc>
          <w:tcPr>
            <w:tcW w:w="1033" w:type="dxa"/>
            <w:shd w:val="clear" w:color="auto" w:fill="auto"/>
            <w:vAlign w:val="center"/>
          </w:tcPr>
          <w:p w14:paraId="2B879A1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AF68A8D">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4F7E4A5E">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2D48989B">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285.60</w:t>
            </w:r>
          </w:p>
        </w:tc>
      </w:tr>
      <w:tr w14:paraId="39A3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2D84B83">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2031年</w:t>
            </w:r>
          </w:p>
        </w:tc>
        <w:tc>
          <w:tcPr>
            <w:tcW w:w="1241" w:type="dxa"/>
            <w:shd w:val="clear" w:color="auto" w:fill="auto"/>
            <w:vAlign w:val="center"/>
          </w:tcPr>
          <w:p w14:paraId="3736CBAA">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26804D3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2F976A66">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07C2AB4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90510B2">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DC28F8D">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04DE0C8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05A4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1AAB06F8">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2032年</w:t>
            </w:r>
          </w:p>
        </w:tc>
        <w:tc>
          <w:tcPr>
            <w:tcW w:w="1241" w:type="dxa"/>
            <w:shd w:val="clear" w:color="auto" w:fill="auto"/>
            <w:vAlign w:val="center"/>
          </w:tcPr>
          <w:p w14:paraId="66132308">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75C2930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6878FFD6">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767B552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65EDF4C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3C916D7E">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0C956DAD">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1E08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40E6D621">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2033年</w:t>
            </w:r>
          </w:p>
        </w:tc>
        <w:tc>
          <w:tcPr>
            <w:tcW w:w="1241" w:type="dxa"/>
            <w:shd w:val="clear" w:color="auto" w:fill="auto"/>
            <w:vAlign w:val="center"/>
          </w:tcPr>
          <w:p w14:paraId="5C3E9A7E">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650DEE6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274E690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5D11D90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110CD5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567F6563">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21B7F8D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3F45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8467C9A">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2034年</w:t>
            </w:r>
          </w:p>
        </w:tc>
        <w:tc>
          <w:tcPr>
            <w:tcW w:w="1241" w:type="dxa"/>
            <w:shd w:val="clear" w:color="auto" w:fill="auto"/>
            <w:vAlign w:val="center"/>
          </w:tcPr>
          <w:p w14:paraId="0856F77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4AF7DB0A">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3C30CCB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3B52106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03F6491">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89CC572">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389C19D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410B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784E1F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2035年</w:t>
            </w:r>
          </w:p>
        </w:tc>
        <w:tc>
          <w:tcPr>
            <w:tcW w:w="1241" w:type="dxa"/>
            <w:shd w:val="clear" w:color="auto" w:fill="auto"/>
            <w:vAlign w:val="center"/>
          </w:tcPr>
          <w:p w14:paraId="1597A914">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59B6A5BE">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1A4B0E16">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7B6EEFA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A4FB875">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241" w:type="dxa"/>
            <w:shd w:val="clear" w:color="auto" w:fill="auto"/>
            <w:vAlign w:val="center"/>
          </w:tcPr>
          <w:p w14:paraId="0FD85D6F">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4588277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74D4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414A6616">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2036年</w:t>
            </w:r>
          </w:p>
        </w:tc>
        <w:tc>
          <w:tcPr>
            <w:tcW w:w="1241" w:type="dxa"/>
            <w:shd w:val="clear" w:color="auto" w:fill="auto"/>
            <w:vAlign w:val="center"/>
          </w:tcPr>
          <w:p w14:paraId="02ABDC03">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5528CB96">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30AD6E3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00E0CED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64B1C6C">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B0BE4A9">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66B3571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0741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8589F7E">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2037年</w:t>
            </w:r>
          </w:p>
        </w:tc>
        <w:tc>
          <w:tcPr>
            <w:tcW w:w="1241" w:type="dxa"/>
            <w:shd w:val="clear" w:color="auto" w:fill="auto"/>
            <w:vAlign w:val="center"/>
          </w:tcPr>
          <w:p w14:paraId="02B63F2D">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79EE686E">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1CE487DF">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6C217B4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3B1647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C2F2F6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1EDB75D4">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6D9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8ED4105">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2038年</w:t>
            </w:r>
          </w:p>
        </w:tc>
        <w:tc>
          <w:tcPr>
            <w:tcW w:w="1241" w:type="dxa"/>
            <w:shd w:val="clear" w:color="auto" w:fill="auto"/>
            <w:vAlign w:val="center"/>
          </w:tcPr>
          <w:p w14:paraId="566D9240">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096F197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145919E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6F39086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063884E">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35FF404B">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33EBBF4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4202F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0865662">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2039年</w:t>
            </w:r>
          </w:p>
        </w:tc>
        <w:tc>
          <w:tcPr>
            <w:tcW w:w="1241" w:type="dxa"/>
            <w:shd w:val="clear" w:color="auto" w:fill="auto"/>
            <w:vAlign w:val="center"/>
          </w:tcPr>
          <w:p w14:paraId="0A6760C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2CB2F71E">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66A08042">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177141B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F424DE6">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7AF58B1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44D9114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7F21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357D4CD">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2040年</w:t>
            </w:r>
          </w:p>
        </w:tc>
        <w:tc>
          <w:tcPr>
            <w:tcW w:w="1241" w:type="dxa"/>
            <w:shd w:val="clear" w:color="auto" w:fill="auto"/>
            <w:vAlign w:val="center"/>
          </w:tcPr>
          <w:p w14:paraId="0308E51F">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385B5F39">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5E20C1E0">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4333A87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55244CC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2DBE4C4">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0C6AB25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2081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B355B66">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2041年</w:t>
            </w:r>
          </w:p>
        </w:tc>
        <w:tc>
          <w:tcPr>
            <w:tcW w:w="1241" w:type="dxa"/>
            <w:shd w:val="clear" w:color="auto" w:fill="auto"/>
            <w:vAlign w:val="center"/>
          </w:tcPr>
          <w:p w14:paraId="6C5CCC99">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72535D8C">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238275AC">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53BA3D1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24E5004A">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3C4B1BB">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2B014D05">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1E61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1DC66C4F">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2042年</w:t>
            </w:r>
          </w:p>
        </w:tc>
        <w:tc>
          <w:tcPr>
            <w:tcW w:w="1241" w:type="dxa"/>
            <w:shd w:val="clear" w:color="auto" w:fill="auto"/>
            <w:vAlign w:val="center"/>
          </w:tcPr>
          <w:p w14:paraId="21574319">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3261D90A">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59F5481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632FBCE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655E0B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ECDEA9F">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70D8AA0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34B3C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6B4D892">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2043年</w:t>
            </w:r>
          </w:p>
        </w:tc>
        <w:tc>
          <w:tcPr>
            <w:tcW w:w="1241" w:type="dxa"/>
            <w:shd w:val="clear" w:color="auto" w:fill="auto"/>
            <w:vAlign w:val="center"/>
          </w:tcPr>
          <w:p w14:paraId="2B71CA24">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6D3F974C">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7F6B454F">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469A120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262ACDEF">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12184CB">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23399A9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21CE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4BF1B8E1">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2044年</w:t>
            </w:r>
          </w:p>
        </w:tc>
        <w:tc>
          <w:tcPr>
            <w:tcW w:w="1241" w:type="dxa"/>
            <w:shd w:val="clear" w:color="auto" w:fill="auto"/>
            <w:vAlign w:val="center"/>
          </w:tcPr>
          <w:p w14:paraId="694CC38F">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192455FA">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61E4236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101F3AC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5D3CA8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0BFC077">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1988572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73C0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3386D6BC">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2045年</w:t>
            </w:r>
          </w:p>
        </w:tc>
        <w:tc>
          <w:tcPr>
            <w:tcW w:w="1241" w:type="dxa"/>
            <w:shd w:val="clear" w:color="auto" w:fill="auto"/>
            <w:vAlign w:val="center"/>
          </w:tcPr>
          <w:p w14:paraId="13BD078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69D4732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60228BEC">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4CED884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08A573E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73F78C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35CEEF0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0F81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50E8747">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2046年</w:t>
            </w:r>
          </w:p>
        </w:tc>
        <w:tc>
          <w:tcPr>
            <w:tcW w:w="1241" w:type="dxa"/>
            <w:shd w:val="clear" w:color="auto" w:fill="auto"/>
            <w:vAlign w:val="center"/>
          </w:tcPr>
          <w:p w14:paraId="2BCA8B6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4310025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177645D4">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448DA25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2777A24E">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72A136F0">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3CA00EE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78B9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76DDA3CE">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2047年</w:t>
            </w:r>
          </w:p>
        </w:tc>
        <w:tc>
          <w:tcPr>
            <w:tcW w:w="1241" w:type="dxa"/>
            <w:shd w:val="clear" w:color="auto" w:fill="auto"/>
            <w:vAlign w:val="center"/>
          </w:tcPr>
          <w:p w14:paraId="4A701CA2">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2F469D7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41DED68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307AC97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BFE529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3FC0D2F">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025B6C1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60B1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BBCB0A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2048年</w:t>
            </w:r>
          </w:p>
        </w:tc>
        <w:tc>
          <w:tcPr>
            <w:tcW w:w="1241" w:type="dxa"/>
            <w:shd w:val="clear" w:color="auto" w:fill="auto"/>
            <w:vAlign w:val="center"/>
          </w:tcPr>
          <w:p w14:paraId="2EE2C9B0">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6AFE55B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0D14CE49">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0A1778F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FDE10F4">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4321A3F2">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43BCFD14">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4279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11990B3">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2049年</w:t>
            </w:r>
          </w:p>
        </w:tc>
        <w:tc>
          <w:tcPr>
            <w:tcW w:w="1241" w:type="dxa"/>
            <w:shd w:val="clear" w:color="auto" w:fill="auto"/>
            <w:vAlign w:val="center"/>
          </w:tcPr>
          <w:p w14:paraId="7BA52DBE">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3A13E72D">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692E2B21">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263CCC7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7EEB7705">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653E768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3DB73745">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65A0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D157CA6">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2050年</w:t>
            </w:r>
          </w:p>
        </w:tc>
        <w:tc>
          <w:tcPr>
            <w:tcW w:w="1241" w:type="dxa"/>
            <w:shd w:val="clear" w:color="auto" w:fill="auto"/>
            <w:vAlign w:val="center"/>
          </w:tcPr>
          <w:p w14:paraId="07807E03">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7AFB7C62">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13E56DC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249495C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099282E8">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3C894F1E">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58391D7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466B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2D489AD6">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2051年</w:t>
            </w:r>
          </w:p>
        </w:tc>
        <w:tc>
          <w:tcPr>
            <w:tcW w:w="1241" w:type="dxa"/>
            <w:shd w:val="clear" w:color="auto" w:fill="auto"/>
            <w:vAlign w:val="center"/>
          </w:tcPr>
          <w:p w14:paraId="54BEAB27">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2C5E6CB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26433031">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56F351D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579F13BB">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6DF7BF26">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13F53FA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58B8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6EDA5669">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2052年</w:t>
            </w:r>
          </w:p>
        </w:tc>
        <w:tc>
          <w:tcPr>
            <w:tcW w:w="1241" w:type="dxa"/>
            <w:shd w:val="clear" w:color="auto" w:fill="auto"/>
            <w:vAlign w:val="center"/>
          </w:tcPr>
          <w:p w14:paraId="4B880DA1">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2749ADC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2327DFC7">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13CD032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41BA1489">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0BFEF827">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05E4D56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6D08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FF7DB2D">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2053年</w:t>
            </w:r>
          </w:p>
        </w:tc>
        <w:tc>
          <w:tcPr>
            <w:tcW w:w="1241" w:type="dxa"/>
            <w:shd w:val="clear" w:color="auto" w:fill="auto"/>
            <w:vAlign w:val="center"/>
          </w:tcPr>
          <w:p w14:paraId="45F590A4">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4E0BCFF2">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59E335AF">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27316D9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5590EDAA">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241" w:type="dxa"/>
            <w:shd w:val="clear" w:color="auto" w:fill="auto"/>
            <w:vAlign w:val="center"/>
          </w:tcPr>
          <w:p w14:paraId="2F07AC2C">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214" w:type="dxa"/>
            <w:shd w:val="clear" w:color="auto" w:fill="auto"/>
            <w:vAlign w:val="center"/>
          </w:tcPr>
          <w:p w14:paraId="58F595D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3115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62" w:type="dxa"/>
            <w:shd w:val="clear" w:color="auto" w:fill="auto"/>
            <w:vAlign w:val="center"/>
          </w:tcPr>
          <w:p w14:paraId="58ADF2EF">
            <w:pPr>
              <w:keepNext w:val="0"/>
              <w:keepLines w:val="0"/>
              <w:widowControl/>
              <w:suppressLineNumbers w:val="0"/>
              <w:jc w:val="center"/>
              <w:textAlignment w:val="center"/>
              <w:rPr>
                <w:rFonts w:hint="eastAsia"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2054年</w:t>
            </w:r>
          </w:p>
        </w:tc>
        <w:tc>
          <w:tcPr>
            <w:tcW w:w="1241" w:type="dxa"/>
            <w:shd w:val="clear" w:color="auto" w:fill="auto"/>
            <w:vAlign w:val="center"/>
          </w:tcPr>
          <w:p w14:paraId="530B1DD7">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8,000.00</w:t>
            </w:r>
          </w:p>
        </w:tc>
        <w:tc>
          <w:tcPr>
            <w:tcW w:w="1124" w:type="dxa"/>
            <w:shd w:val="clear" w:color="auto" w:fill="auto"/>
            <w:vAlign w:val="center"/>
          </w:tcPr>
          <w:p w14:paraId="5E3AD49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881" w:type="dxa"/>
            <w:shd w:val="clear" w:color="auto" w:fill="auto"/>
            <w:vAlign w:val="center"/>
          </w:tcPr>
          <w:p w14:paraId="7ECEDD33">
            <w:pPr>
              <w:jc w:val="center"/>
              <w:rPr>
                <w:rFonts w:hint="eastAsia" w:ascii="宋体" w:hAnsi="宋体" w:eastAsia="宋体" w:cs="宋体"/>
                <w:b/>
                <w:bCs/>
                <w:i w:val="0"/>
                <w:iCs w:val="0"/>
                <w:color w:val="000000"/>
                <w:kern w:val="0"/>
                <w:sz w:val="18"/>
                <w:szCs w:val="18"/>
                <w:highlight w:val="none"/>
                <w:u w:val="none"/>
                <w:lang w:val="en-US" w:eastAsia="zh-CN" w:bidi="ar"/>
              </w:rPr>
            </w:pPr>
          </w:p>
        </w:tc>
        <w:tc>
          <w:tcPr>
            <w:tcW w:w="1033" w:type="dxa"/>
            <w:shd w:val="clear" w:color="auto" w:fill="auto"/>
            <w:vAlign w:val="center"/>
          </w:tcPr>
          <w:p w14:paraId="637245D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c>
          <w:tcPr>
            <w:tcW w:w="1124" w:type="dxa"/>
            <w:shd w:val="clear" w:color="auto" w:fill="auto"/>
            <w:vAlign w:val="center"/>
          </w:tcPr>
          <w:p w14:paraId="322CF915">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8,000.00</w:t>
            </w:r>
          </w:p>
        </w:tc>
        <w:tc>
          <w:tcPr>
            <w:tcW w:w="1241" w:type="dxa"/>
            <w:shd w:val="clear" w:color="auto" w:fill="auto"/>
            <w:vAlign w:val="center"/>
          </w:tcPr>
          <w:p w14:paraId="1E3D9BFA">
            <w:pPr>
              <w:keepNext w:val="0"/>
              <w:keepLines w:val="0"/>
              <w:widowControl/>
              <w:suppressLineNumbers w:val="0"/>
              <w:jc w:val="center"/>
              <w:textAlignment w:val="center"/>
              <w:rPr>
                <w:rFonts w:ascii="宋体" w:hAnsi="宋体" w:cs="宋体"/>
                <w:b/>
                <w:bCs/>
                <w:color w:val="000000"/>
                <w:kern w:val="0"/>
                <w:sz w:val="18"/>
                <w:szCs w:val="18"/>
                <w:highlight w:val="none"/>
              </w:rPr>
            </w:pPr>
            <w:r>
              <w:rPr>
                <w:rFonts w:hint="eastAsia" w:ascii="宋体" w:hAnsi="宋体" w:eastAsia="宋体" w:cs="宋体"/>
                <w:i w:val="0"/>
                <w:iCs w:val="0"/>
                <w:color w:val="000000"/>
                <w:kern w:val="0"/>
                <w:sz w:val="18"/>
                <w:szCs w:val="18"/>
                <w:u w:val="none"/>
                <w:lang w:val="en-US" w:eastAsia="zh-CN" w:bidi="ar"/>
              </w:rPr>
              <w:t>-</w:t>
            </w:r>
          </w:p>
        </w:tc>
        <w:tc>
          <w:tcPr>
            <w:tcW w:w="1214" w:type="dxa"/>
            <w:shd w:val="clear" w:color="auto" w:fill="auto"/>
            <w:vAlign w:val="center"/>
          </w:tcPr>
          <w:p w14:paraId="74CE8D1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285.60</w:t>
            </w:r>
          </w:p>
        </w:tc>
      </w:tr>
      <w:tr w14:paraId="475D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14:paraId="211ED896">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合计</w:t>
            </w:r>
          </w:p>
        </w:tc>
        <w:tc>
          <w:tcPr>
            <w:tcW w:w="1241" w:type="dxa"/>
            <w:shd w:val="clear" w:color="auto" w:fill="auto"/>
            <w:vAlign w:val="center"/>
          </w:tcPr>
          <w:p w14:paraId="0178D558">
            <w:pPr>
              <w:jc w:val="center"/>
              <w:rPr>
                <w:rFonts w:ascii="宋体" w:hAnsi="宋体" w:cs="宋体"/>
                <w:b/>
                <w:bCs/>
                <w:color w:val="000000"/>
                <w:kern w:val="0"/>
                <w:sz w:val="18"/>
                <w:szCs w:val="18"/>
                <w:highlight w:val="none"/>
              </w:rPr>
            </w:pPr>
          </w:p>
        </w:tc>
        <w:tc>
          <w:tcPr>
            <w:tcW w:w="1124" w:type="dxa"/>
            <w:shd w:val="clear" w:color="auto" w:fill="auto"/>
            <w:vAlign w:val="center"/>
          </w:tcPr>
          <w:p w14:paraId="1292D9E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23,900.00</w:t>
            </w:r>
          </w:p>
        </w:tc>
        <w:tc>
          <w:tcPr>
            <w:tcW w:w="881" w:type="dxa"/>
            <w:shd w:val="clear" w:color="auto" w:fill="auto"/>
            <w:vAlign w:val="center"/>
          </w:tcPr>
          <w:p w14:paraId="034DE919">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15.90</w:t>
            </w:r>
          </w:p>
        </w:tc>
        <w:tc>
          <w:tcPr>
            <w:tcW w:w="1033" w:type="dxa"/>
            <w:shd w:val="clear" w:color="auto" w:fill="auto"/>
            <w:vAlign w:val="center"/>
          </w:tcPr>
          <w:p w14:paraId="5FB8765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11,213.75</w:t>
            </w:r>
          </w:p>
        </w:tc>
        <w:tc>
          <w:tcPr>
            <w:tcW w:w="1124" w:type="dxa"/>
            <w:shd w:val="clear" w:color="auto" w:fill="auto"/>
            <w:vAlign w:val="center"/>
          </w:tcPr>
          <w:p w14:paraId="5DC1843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23,900.00</w:t>
            </w:r>
          </w:p>
        </w:tc>
        <w:tc>
          <w:tcPr>
            <w:tcW w:w="1241" w:type="dxa"/>
            <w:shd w:val="clear" w:color="auto" w:fill="auto"/>
            <w:vAlign w:val="center"/>
          </w:tcPr>
          <w:p w14:paraId="79DB0EB1">
            <w:pPr>
              <w:jc w:val="center"/>
              <w:rPr>
                <w:rFonts w:ascii="宋体" w:hAnsi="宋体" w:cs="宋体"/>
                <w:b/>
                <w:bCs/>
                <w:color w:val="000000"/>
                <w:kern w:val="0"/>
                <w:sz w:val="18"/>
                <w:szCs w:val="18"/>
                <w:highlight w:val="none"/>
              </w:rPr>
            </w:pPr>
          </w:p>
        </w:tc>
        <w:tc>
          <w:tcPr>
            <w:tcW w:w="1214" w:type="dxa"/>
            <w:shd w:val="clear" w:color="auto" w:fill="auto"/>
            <w:vAlign w:val="center"/>
          </w:tcPr>
          <w:p w14:paraId="72228B4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11,229.65</w:t>
            </w:r>
          </w:p>
        </w:tc>
      </w:tr>
    </w:tbl>
    <w:p w14:paraId="57A6293D">
      <w:pPr>
        <w:pStyle w:val="19"/>
        <w:spacing w:before="0" w:beforeAutospacing="0" w:after="156" w:afterLines="50" w:afterAutospacing="0" w:line="360" w:lineRule="exact"/>
        <w:ind w:firstLine="364" w:firstLineChars="200"/>
        <w:jc w:val="both"/>
        <w:rPr>
          <w:rFonts w:cs="Times New Roman"/>
          <w:color w:val="000000" w:themeColor="text1"/>
          <w:sz w:val="18"/>
          <w:szCs w:val="18"/>
          <w:highlight w:val="none"/>
          <w14:textFill>
            <w14:solidFill>
              <w14:schemeClr w14:val="tx1"/>
            </w14:solidFill>
          </w14:textFill>
        </w:rPr>
      </w:pPr>
      <w:r>
        <w:rPr>
          <w:rFonts w:hint="eastAsia" w:cs="Times New Roman"/>
          <w:color w:val="000000" w:themeColor="text1"/>
          <w:sz w:val="18"/>
          <w:szCs w:val="18"/>
          <w:highlight w:val="none"/>
          <w14:textFill>
            <w14:solidFill>
              <w14:schemeClr w14:val="tx1"/>
            </w14:solidFill>
          </w14:textFill>
        </w:rPr>
        <w:t>注</w:t>
      </w:r>
      <w:r>
        <w:rPr>
          <w:rFonts w:hint="eastAsia" w:cs="Times New Roman"/>
          <w:color w:val="000000" w:themeColor="text1"/>
          <w:sz w:val="18"/>
          <w:szCs w:val="18"/>
          <w:highlight w:val="none"/>
          <w:lang w:eastAsia="zh-CN"/>
          <w14:textFill>
            <w14:solidFill>
              <w14:schemeClr w14:val="tx1"/>
            </w14:solidFill>
          </w14:textFill>
        </w:rPr>
        <w:t>：</w:t>
      </w:r>
      <w:r>
        <w:rPr>
          <w:rFonts w:hint="eastAsia"/>
          <w:color w:val="000000" w:themeColor="text1"/>
          <w:sz w:val="18"/>
          <w:szCs w:val="18"/>
          <w:highlight w:val="none"/>
          <w14:textFill>
            <w14:solidFill>
              <w14:schemeClr w14:val="tx1"/>
            </w14:solidFill>
          </w14:textFill>
        </w:rPr>
        <w:t>5年期债券从债券发行年份的次年起按照每年支付一次债券利息</w:t>
      </w:r>
      <w:r>
        <w:rPr>
          <w:rFonts w:hint="eastAsia" w:cs="Times New Roman"/>
          <w:color w:val="000000" w:themeColor="text1"/>
          <w:sz w:val="18"/>
          <w:szCs w:val="18"/>
          <w:highlight w:val="none"/>
          <w14:textFill>
            <w14:solidFill>
              <w14:schemeClr w14:val="tx1"/>
            </w14:solidFill>
          </w14:textFill>
        </w:rPr>
        <w:t>。</w:t>
      </w:r>
    </w:p>
    <w:p w14:paraId="44D51353">
      <w:pPr>
        <w:pStyle w:val="19"/>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4" w:firstLineChars="200"/>
        <w:jc w:val="both"/>
        <w:textAlignment w:val="auto"/>
        <w:rPr>
          <w:color w:val="000000" w:themeColor="text1"/>
          <w:sz w:val="28"/>
          <w:szCs w:val="28"/>
          <w:highlight w:val="none"/>
          <w14:textFill>
            <w14:solidFill>
              <w14:schemeClr w14:val="tx1"/>
            </w14:solidFill>
          </w14:textFill>
        </w:rPr>
      </w:pPr>
      <w:r>
        <w:rPr>
          <w:rFonts w:hint="eastAsia"/>
          <w:color w:val="000000" w:themeColor="text1"/>
          <w:sz w:val="28"/>
          <w:szCs w:val="28"/>
          <w:highlight w:val="none"/>
          <w:lang w:eastAsia="zh-CN"/>
          <w14:textFill>
            <w14:solidFill>
              <w14:schemeClr w14:val="tx1"/>
            </w14:solidFill>
          </w14:textFill>
        </w:rPr>
        <w:t>2021年江西省高质量发展专项债券（十六期）——2021年江西省政府专项债券（三十一期）债券资金调整之南昌县向塘镇320国道改造安置房（保障房）一期二批工程</w:t>
      </w:r>
      <w:r>
        <w:rPr>
          <w:rFonts w:hint="eastAsia"/>
          <w:color w:val="000000" w:themeColor="text1"/>
          <w:sz w:val="28"/>
          <w:szCs w:val="28"/>
          <w:highlight w:val="none"/>
          <w14:textFill>
            <w14:solidFill>
              <w14:schemeClr w14:val="tx1"/>
            </w14:solidFill>
          </w14:textFill>
        </w:rPr>
        <w:t>专项债券项目实施方案资金充足性分析情况具体如下表3</w:t>
      </w:r>
      <w:r>
        <w:rPr>
          <w:color w:val="000000" w:themeColor="text1"/>
          <w:sz w:val="28"/>
          <w:szCs w:val="28"/>
          <w:highlight w:val="none"/>
          <w14:textFill>
            <w14:solidFill>
              <w14:schemeClr w14:val="tx1"/>
            </w14:solidFill>
          </w14:textFill>
        </w:rPr>
        <w:t>-5</w:t>
      </w:r>
      <w:r>
        <w:rPr>
          <w:rFonts w:hint="eastAsia"/>
          <w:color w:val="000000" w:themeColor="text1"/>
          <w:sz w:val="28"/>
          <w:szCs w:val="28"/>
          <w:highlight w:val="none"/>
          <w14:textFill>
            <w14:solidFill>
              <w14:schemeClr w14:val="tx1"/>
            </w14:solidFill>
          </w14:textFill>
        </w:rPr>
        <w:t>及图3-</w:t>
      </w:r>
      <w:r>
        <w:rPr>
          <w:color w:val="000000" w:themeColor="text1"/>
          <w:sz w:val="28"/>
          <w:szCs w:val="28"/>
          <w:highlight w:val="none"/>
          <w14:textFill>
            <w14:solidFill>
              <w14:schemeClr w14:val="tx1"/>
            </w14:solidFill>
          </w14:textFill>
        </w:rPr>
        <w:t>1</w:t>
      </w:r>
      <w:r>
        <w:rPr>
          <w:rFonts w:hint="eastAsia"/>
          <w:color w:val="000000" w:themeColor="text1"/>
          <w:sz w:val="28"/>
          <w:szCs w:val="28"/>
          <w:highlight w:val="none"/>
          <w14:textFill>
            <w14:solidFill>
              <w14:schemeClr w14:val="tx1"/>
            </w14:solidFill>
          </w14:textFill>
        </w:rPr>
        <w:t>所示：</w:t>
      </w:r>
    </w:p>
    <w:p w14:paraId="264EF54F">
      <w:pPr>
        <w:pStyle w:val="19"/>
        <w:spacing w:after="156" w:afterLines="50" w:afterAutospacing="0" w:line="360" w:lineRule="exact"/>
        <w:ind w:firstLine="444" w:firstLineChars="200"/>
        <w:jc w:val="center"/>
        <w:rPr>
          <w:rFonts w:hint="eastAsia"/>
          <w:b/>
          <w:color w:val="000000" w:themeColor="text1"/>
          <w:highlight w:val="none"/>
          <w14:textFill>
            <w14:solidFill>
              <w14:schemeClr w14:val="tx1"/>
            </w14:solidFill>
          </w14:textFill>
        </w:rPr>
        <w:sectPr>
          <w:pgSz w:w="11906" w:h="16838"/>
          <w:pgMar w:top="1531" w:right="1701" w:bottom="1417" w:left="1701" w:header="851" w:footer="992" w:gutter="0"/>
          <w:pgNumType w:fmt="decimal"/>
          <w:cols w:space="0" w:num="1"/>
          <w:rtlGutter w:val="0"/>
          <w:docGrid w:type="linesAndChars" w:linePitch="312" w:charSpace="532"/>
        </w:sectPr>
      </w:pPr>
    </w:p>
    <w:p w14:paraId="3BE96065">
      <w:pPr>
        <w:pStyle w:val="19"/>
        <w:spacing w:after="156" w:afterLines="50" w:afterAutospacing="0" w:line="360" w:lineRule="exact"/>
        <w:ind w:firstLine="444" w:firstLineChars="200"/>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表3-</w:t>
      </w:r>
      <w:r>
        <w:rPr>
          <w:b/>
          <w:color w:val="000000" w:themeColor="text1"/>
          <w:highlight w:val="none"/>
          <w14:textFill>
            <w14:solidFill>
              <w14:schemeClr w14:val="tx1"/>
            </w14:solidFill>
          </w14:textFill>
        </w:rPr>
        <w:t>5</w:t>
      </w:r>
      <w:r>
        <w:rPr>
          <w:rFonts w:hint="eastAsia"/>
          <w:b/>
          <w:color w:val="000000" w:themeColor="text1"/>
          <w:highlight w:val="none"/>
          <w:lang w:eastAsia="zh-CN"/>
          <w14:textFill>
            <w14:solidFill>
              <w14:schemeClr w14:val="tx1"/>
            </w14:solidFill>
          </w14:textFill>
        </w:rPr>
        <w:t>2021年江西省高质量发展专项债券（十六期）——2021年江西省政府专项债券（三十一期）债券资金调整之南昌县向塘镇320国道改造安置房（保障房）一期二批工程</w:t>
      </w:r>
      <w:r>
        <w:rPr>
          <w:rFonts w:hint="eastAsia"/>
          <w:b/>
          <w:color w:val="000000" w:themeColor="text1"/>
          <w:highlight w:val="none"/>
          <w14:textFill>
            <w14:solidFill>
              <w14:schemeClr w14:val="tx1"/>
            </w14:solidFill>
          </w14:textFill>
        </w:rPr>
        <w:t>专项债券项目实施方案资金充足性分析情况表</w:t>
      </w:r>
    </w:p>
    <w:p w14:paraId="73332BE6">
      <w:pPr>
        <w:pStyle w:val="19"/>
        <w:spacing w:before="0" w:beforeAutospacing="0" w:after="0" w:afterAutospacing="0" w:line="360" w:lineRule="exact"/>
        <w:ind w:right="-515" w:rightChars="-243" w:firstLine="364" w:firstLineChars="200"/>
        <w:jc w:val="right"/>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单位：万元</w:t>
      </w:r>
    </w:p>
    <w:tbl>
      <w:tblPr>
        <w:tblStyle w:val="23"/>
        <w:tblW w:w="5041" w:type="pct"/>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697"/>
        <w:gridCol w:w="1028"/>
        <w:gridCol w:w="1026"/>
        <w:gridCol w:w="1068"/>
        <w:gridCol w:w="1090"/>
        <w:gridCol w:w="1096"/>
        <w:gridCol w:w="1096"/>
        <w:gridCol w:w="1116"/>
        <w:gridCol w:w="1096"/>
        <w:gridCol w:w="1119"/>
        <w:gridCol w:w="1076"/>
        <w:gridCol w:w="1076"/>
      </w:tblGrid>
      <w:tr w14:paraId="378C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224" w:type="pct"/>
            <w:shd w:val="clear" w:color="auto" w:fill="auto"/>
            <w:vAlign w:val="center"/>
          </w:tcPr>
          <w:p w14:paraId="12CE3461">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596" w:type="pct"/>
            <w:shd w:val="clear" w:color="auto" w:fill="auto"/>
            <w:vAlign w:val="center"/>
          </w:tcPr>
          <w:p w14:paraId="63983DB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361" w:type="pct"/>
            <w:shd w:val="clear" w:color="auto" w:fill="auto"/>
            <w:vAlign w:val="center"/>
          </w:tcPr>
          <w:p w14:paraId="69A675D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360" w:type="pct"/>
            <w:shd w:val="clear" w:color="auto" w:fill="auto"/>
            <w:vAlign w:val="center"/>
          </w:tcPr>
          <w:p w14:paraId="7FB044F2">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2022年</w:t>
            </w:r>
          </w:p>
        </w:tc>
        <w:tc>
          <w:tcPr>
            <w:tcW w:w="375" w:type="pct"/>
            <w:shd w:val="clear" w:color="auto" w:fill="auto"/>
            <w:vAlign w:val="center"/>
          </w:tcPr>
          <w:p w14:paraId="0EF33836">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2023年</w:t>
            </w:r>
          </w:p>
        </w:tc>
        <w:tc>
          <w:tcPr>
            <w:tcW w:w="383" w:type="pct"/>
            <w:shd w:val="clear" w:color="auto" w:fill="auto"/>
            <w:vAlign w:val="center"/>
          </w:tcPr>
          <w:p w14:paraId="340A6EBE">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2024年</w:t>
            </w:r>
          </w:p>
        </w:tc>
        <w:tc>
          <w:tcPr>
            <w:tcW w:w="385" w:type="pct"/>
            <w:shd w:val="clear" w:color="auto" w:fill="auto"/>
            <w:vAlign w:val="center"/>
          </w:tcPr>
          <w:p w14:paraId="1E152054">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2025年</w:t>
            </w:r>
          </w:p>
        </w:tc>
        <w:tc>
          <w:tcPr>
            <w:tcW w:w="385" w:type="pct"/>
            <w:shd w:val="clear" w:color="auto" w:fill="auto"/>
            <w:vAlign w:val="center"/>
          </w:tcPr>
          <w:p w14:paraId="6FF9A730">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2026年</w:t>
            </w:r>
          </w:p>
        </w:tc>
        <w:tc>
          <w:tcPr>
            <w:tcW w:w="392" w:type="pct"/>
            <w:shd w:val="clear" w:color="auto" w:fill="auto"/>
            <w:vAlign w:val="center"/>
          </w:tcPr>
          <w:p w14:paraId="2C0B8752">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2027年</w:t>
            </w:r>
          </w:p>
        </w:tc>
        <w:tc>
          <w:tcPr>
            <w:tcW w:w="385" w:type="pct"/>
            <w:shd w:val="clear" w:color="auto" w:fill="auto"/>
            <w:vAlign w:val="center"/>
          </w:tcPr>
          <w:p w14:paraId="7A83E2A2">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2028年</w:t>
            </w:r>
          </w:p>
        </w:tc>
        <w:tc>
          <w:tcPr>
            <w:tcW w:w="393" w:type="pct"/>
            <w:shd w:val="clear" w:color="auto" w:fill="auto"/>
            <w:vAlign w:val="center"/>
          </w:tcPr>
          <w:p w14:paraId="1ED0D310">
            <w:pPr>
              <w:keepNext w:val="0"/>
              <w:keepLines w:val="0"/>
              <w:widowControl/>
              <w:suppressLineNumbers w:val="0"/>
              <w:jc w:val="center"/>
              <w:textAlignment w:val="center"/>
              <w:rPr>
                <w:rFonts w:hint="eastAsia" w:ascii="宋体" w:hAnsi="宋体" w:eastAsia="宋体" w:cs="宋体"/>
                <w:bCs/>
                <w:color w:val="000000"/>
                <w:kern w:val="0"/>
                <w:sz w:val="18"/>
                <w:szCs w:val="18"/>
                <w:highlight w:val="none"/>
              </w:rPr>
            </w:pPr>
            <w:r>
              <w:rPr>
                <w:rFonts w:hint="eastAsia" w:ascii="宋体" w:hAnsi="宋体" w:eastAsia="宋体" w:cs="宋体"/>
                <w:b/>
                <w:bCs/>
                <w:i w:val="0"/>
                <w:iCs w:val="0"/>
                <w:color w:val="000000"/>
                <w:kern w:val="0"/>
                <w:sz w:val="18"/>
                <w:szCs w:val="18"/>
                <w:highlight w:val="none"/>
                <w:u w:val="none"/>
                <w:lang w:val="en-US" w:eastAsia="zh-CN" w:bidi="ar"/>
              </w:rPr>
              <w:t>2029年</w:t>
            </w:r>
          </w:p>
        </w:tc>
        <w:tc>
          <w:tcPr>
            <w:tcW w:w="378" w:type="pct"/>
            <w:shd w:val="clear" w:color="auto" w:fill="auto"/>
            <w:vAlign w:val="center"/>
          </w:tcPr>
          <w:p w14:paraId="34F4591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2030年</w:t>
            </w:r>
          </w:p>
        </w:tc>
        <w:tc>
          <w:tcPr>
            <w:tcW w:w="378" w:type="pct"/>
            <w:shd w:val="clear" w:color="auto" w:fill="auto"/>
            <w:vAlign w:val="center"/>
          </w:tcPr>
          <w:p w14:paraId="422B1869">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highlight w:val="none"/>
                <w:u w:val="none"/>
                <w:lang w:val="en-US" w:eastAsia="zh-CN" w:bidi="ar"/>
              </w:rPr>
            </w:pPr>
            <w:r>
              <w:rPr>
                <w:rFonts w:hint="eastAsia" w:ascii="宋体" w:hAnsi="宋体" w:cs="宋体"/>
                <w:b/>
                <w:bCs/>
                <w:i w:val="0"/>
                <w:iCs w:val="0"/>
                <w:color w:val="000000"/>
                <w:kern w:val="0"/>
                <w:sz w:val="18"/>
                <w:szCs w:val="18"/>
                <w:highlight w:val="none"/>
                <w:u w:val="none"/>
                <w:lang w:val="en-US" w:eastAsia="zh-CN" w:bidi="ar"/>
              </w:rPr>
              <w:t>2031年</w:t>
            </w:r>
          </w:p>
        </w:tc>
      </w:tr>
      <w:tr w14:paraId="153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D73D23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596" w:type="pct"/>
            <w:shd w:val="clear" w:color="auto" w:fill="auto"/>
            <w:vAlign w:val="center"/>
          </w:tcPr>
          <w:p w14:paraId="07D7B55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361" w:type="pct"/>
            <w:shd w:val="clear" w:color="auto" w:fill="auto"/>
            <w:vAlign w:val="center"/>
          </w:tcPr>
          <w:p w14:paraId="119182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80,263.74</w:t>
            </w:r>
          </w:p>
        </w:tc>
        <w:tc>
          <w:tcPr>
            <w:tcW w:w="360" w:type="pct"/>
            <w:shd w:val="clear" w:color="auto" w:fill="auto"/>
            <w:vAlign w:val="center"/>
          </w:tcPr>
          <w:p w14:paraId="4D34D2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262C7B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2,624.91</w:t>
            </w:r>
          </w:p>
        </w:tc>
        <w:tc>
          <w:tcPr>
            <w:tcW w:w="383" w:type="pct"/>
            <w:shd w:val="clear" w:color="auto" w:fill="auto"/>
            <w:vAlign w:val="center"/>
          </w:tcPr>
          <w:p w14:paraId="4D8F9B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27,437.37</w:t>
            </w:r>
          </w:p>
        </w:tc>
        <w:tc>
          <w:tcPr>
            <w:tcW w:w="385" w:type="pct"/>
            <w:shd w:val="clear" w:color="auto" w:fill="auto"/>
            <w:vAlign w:val="center"/>
          </w:tcPr>
          <w:p w14:paraId="65AFFA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37690B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vAlign w:val="center"/>
          </w:tcPr>
          <w:p w14:paraId="62FA96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385" w:type="pct"/>
            <w:shd w:val="clear" w:color="auto" w:fill="auto"/>
            <w:vAlign w:val="center"/>
          </w:tcPr>
          <w:p w14:paraId="2AA290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vAlign w:val="center"/>
          </w:tcPr>
          <w:p w14:paraId="225C7F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36C845A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2F2FE9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3DB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24" w:type="pct"/>
            <w:shd w:val="clear" w:color="auto" w:fill="auto"/>
            <w:vAlign w:val="center"/>
          </w:tcPr>
          <w:p w14:paraId="19D3FCB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6A79224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361" w:type="pct"/>
            <w:shd w:val="clear" w:color="auto" w:fill="auto"/>
            <w:vAlign w:val="center"/>
          </w:tcPr>
          <w:p w14:paraId="26EB8F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360" w:type="pct"/>
            <w:shd w:val="clear" w:color="auto" w:fill="auto"/>
            <w:vAlign w:val="center"/>
          </w:tcPr>
          <w:p w14:paraId="42F6A7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6C9BFA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6D0E49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3BFC31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10BE4ED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vAlign w:val="center"/>
          </w:tcPr>
          <w:p w14:paraId="2C15E5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385" w:type="pct"/>
            <w:shd w:val="clear" w:color="auto" w:fill="auto"/>
            <w:vAlign w:val="center"/>
          </w:tcPr>
          <w:p w14:paraId="555A47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vAlign w:val="center"/>
          </w:tcPr>
          <w:p w14:paraId="4E893A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655D3AF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7B8586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49C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816835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6282C4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361" w:type="pct"/>
            <w:shd w:val="clear" w:color="auto" w:fill="auto"/>
            <w:vAlign w:val="center"/>
          </w:tcPr>
          <w:p w14:paraId="6C006D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0728AC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5" w:type="pct"/>
            <w:shd w:val="clear" w:color="auto" w:fill="auto"/>
            <w:vAlign w:val="center"/>
          </w:tcPr>
          <w:p w14:paraId="0F2187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3" w:type="pct"/>
            <w:shd w:val="clear" w:color="auto" w:fill="auto"/>
            <w:vAlign w:val="center"/>
          </w:tcPr>
          <w:p w14:paraId="22F1DA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03A66A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74C18E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7827AF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0688A2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336E5E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7D64CA9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7D1F62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D65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5F8BAD8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7229623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361" w:type="pct"/>
            <w:shd w:val="clear" w:color="auto" w:fill="auto"/>
            <w:vAlign w:val="center"/>
          </w:tcPr>
          <w:p w14:paraId="36BA1A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360" w:type="pct"/>
            <w:shd w:val="clear" w:color="auto" w:fill="auto"/>
            <w:vAlign w:val="center"/>
          </w:tcPr>
          <w:p w14:paraId="257599B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14B732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10D744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0A870D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bottom"/>
          </w:tcPr>
          <w:p w14:paraId="1FDD37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noWrap/>
            <w:vAlign w:val="bottom"/>
          </w:tcPr>
          <w:p w14:paraId="7594E2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385" w:type="pct"/>
            <w:shd w:val="clear" w:color="auto" w:fill="auto"/>
            <w:noWrap/>
            <w:vAlign w:val="bottom"/>
          </w:tcPr>
          <w:p w14:paraId="404254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noWrap/>
            <w:vAlign w:val="bottom"/>
          </w:tcPr>
          <w:p w14:paraId="17ABFE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noWrap/>
            <w:vAlign w:val="bottom"/>
          </w:tcPr>
          <w:p w14:paraId="4C7870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noWrap/>
            <w:vAlign w:val="bottom"/>
          </w:tcPr>
          <w:p w14:paraId="067D20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E6D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24" w:type="pct"/>
            <w:shd w:val="clear" w:color="auto" w:fill="auto"/>
            <w:vAlign w:val="center"/>
          </w:tcPr>
          <w:p w14:paraId="162B31F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1BC5382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361" w:type="pct"/>
            <w:shd w:val="clear" w:color="auto" w:fill="auto"/>
            <w:vAlign w:val="center"/>
          </w:tcPr>
          <w:p w14:paraId="794B32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360" w:type="pct"/>
            <w:shd w:val="clear" w:color="auto" w:fill="auto"/>
            <w:vAlign w:val="center"/>
          </w:tcPr>
          <w:p w14:paraId="32C382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6,500.00</w:t>
            </w:r>
          </w:p>
        </w:tc>
        <w:tc>
          <w:tcPr>
            <w:tcW w:w="375" w:type="pct"/>
            <w:shd w:val="clear" w:color="auto" w:fill="auto"/>
            <w:vAlign w:val="center"/>
          </w:tcPr>
          <w:p w14:paraId="428A9D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2762AA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17,400.00</w:t>
            </w:r>
          </w:p>
        </w:tc>
        <w:tc>
          <w:tcPr>
            <w:tcW w:w="385" w:type="pct"/>
            <w:shd w:val="clear" w:color="auto" w:fill="auto"/>
            <w:vAlign w:val="center"/>
          </w:tcPr>
          <w:p w14:paraId="5A3AB3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40B5F4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vAlign w:val="center"/>
          </w:tcPr>
          <w:p w14:paraId="0B7AA7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6E7AA05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vAlign w:val="center"/>
          </w:tcPr>
          <w:p w14:paraId="3CBC7C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2919433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2E7B24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7503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83DE3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596" w:type="pct"/>
            <w:shd w:val="clear" w:color="auto" w:fill="auto"/>
            <w:vAlign w:val="center"/>
          </w:tcPr>
          <w:p w14:paraId="62C380D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361" w:type="pct"/>
            <w:shd w:val="clear" w:color="auto" w:fill="auto"/>
            <w:vAlign w:val="center"/>
          </w:tcPr>
          <w:p w14:paraId="71B236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360" w:type="pct"/>
            <w:shd w:val="clear" w:color="auto" w:fill="auto"/>
            <w:vAlign w:val="center"/>
          </w:tcPr>
          <w:p w14:paraId="2680CE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6,500.00</w:t>
            </w:r>
          </w:p>
        </w:tc>
        <w:tc>
          <w:tcPr>
            <w:tcW w:w="375" w:type="pct"/>
            <w:shd w:val="clear" w:color="auto" w:fill="auto"/>
            <w:vAlign w:val="center"/>
          </w:tcPr>
          <w:p w14:paraId="53C03F0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3" w:type="pct"/>
            <w:shd w:val="clear" w:color="auto" w:fill="auto"/>
            <w:vAlign w:val="center"/>
          </w:tcPr>
          <w:p w14:paraId="72EB3D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17,400.00</w:t>
            </w:r>
          </w:p>
        </w:tc>
        <w:tc>
          <w:tcPr>
            <w:tcW w:w="385" w:type="pct"/>
            <w:shd w:val="clear" w:color="auto" w:fill="auto"/>
            <w:vAlign w:val="center"/>
          </w:tcPr>
          <w:p w14:paraId="3B8A16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0083FD3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28E6B9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52E5EDD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25A14B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25BE591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1CE121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D20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1DCA4F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596" w:type="pct"/>
            <w:shd w:val="clear" w:color="auto" w:fill="auto"/>
            <w:vAlign w:val="center"/>
          </w:tcPr>
          <w:p w14:paraId="4E91E77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361" w:type="pct"/>
            <w:shd w:val="clear" w:color="auto" w:fill="auto"/>
            <w:vAlign w:val="center"/>
          </w:tcPr>
          <w:p w14:paraId="6607DE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7B2731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50F1C6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609A44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322CEB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2BABA7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5CE5D5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024DAE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6F1A37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7299DA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042C27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96B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038FEC0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52A0966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361" w:type="pct"/>
            <w:shd w:val="clear" w:color="auto" w:fill="auto"/>
            <w:vAlign w:val="center"/>
          </w:tcPr>
          <w:p w14:paraId="0B4F99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6,162.28</w:t>
            </w:r>
          </w:p>
        </w:tc>
        <w:tc>
          <w:tcPr>
            <w:tcW w:w="360" w:type="pct"/>
            <w:shd w:val="clear" w:color="auto" w:fill="auto"/>
            <w:vAlign w:val="center"/>
          </w:tcPr>
          <w:p w14:paraId="795A89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-6,500.00</w:t>
            </w:r>
          </w:p>
        </w:tc>
        <w:tc>
          <w:tcPr>
            <w:tcW w:w="375" w:type="pct"/>
            <w:shd w:val="clear" w:color="auto" w:fill="auto"/>
            <w:vAlign w:val="center"/>
          </w:tcPr>
          <w:p w14:paraId="33E6B6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2,624.91</w:t>
            </w:r>
          </w:p>
        </w:tc>
        <w:tc>
          <w:tcPr>
            <w:tcW w:w="383" w:type="pct"/>
            <w:shd w:val="clear" w:color="auto" w:fill="auto"/>
            <w:vAlign w:val="center"/>
          </w:tcPr>
          <w:p w14:paraId="3C8910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10,037.37</w:t>
            </w:r>
          </w:p>
        </w:tc>
        <w:tc>
          <w:tcPr>
            <w:tcW w:w="385" w:type="pct"/>
            <w:shd w:val="clear" w:color="auto" w:fill="auto"/>
            <w:vAlign w:val="center"/>
          </w:tcPr>
          <w:p w14:paraId="302D32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25B5C0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69EDC4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30476C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6A7C1E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4ECFA4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7BCD7A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C698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5A8E6A1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596" w:type="pct"/>
            <w:shd w:val="clear" w:color="auto" w:fill="auto"/>
            <w:vAlign w:val="center"/>
          </w:tcPr>
          <w:p w14:paraId="0B42646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361" w:type="pct"/>
            <w:shd w:val="clear" w:color="auto" w:fill="auto"/>
            <w:vAlign w:val="center"/>
          </w:tcPr>
          <w:p w14:paraId="395A1F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66,195.96</w:t>
            </w:r>
          </w:p>
        </w:tc>
        <w:tc>
          <w:tcPr>
            <w:tcW w:w="360" w:type="pct"/>
            <w:shd w:val="clear" w:color="auto" w:fill="auto"/>
            <w:vAlign w:val="center"/>
          </w:tcPr>
          <w:p w14:paraId="7580E3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75" w:type="pct"/>
            <w:shd w:val="clear" w:color="auto" w:fill="auto"/>
            <w:vAlign w:val="center"/>
          </w:tcPr>
          <w:p w14:paraId="493530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12,215.66</w:t>
            </w:r>
          </w:p>
        </w:tc>
        <w:tc>
          <w:tcPr>
            <w:tcW w:w="383" w:type="pct"/>
            <w:shd w:val="clear" w:color="auto" w:fill="auto"/>
            <w:vAlign w:val="center"/>
          </w:tcPr>
          <w:p w14:paraId="6A9F8E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18,037.37</w:t>
            </w:r>
          </w:p>
        </w:tc>
        <w:tc>
          <w:tcPr>
            <w:tcW w:w="385" w:type="pct"/>
            <w:shd w:val="clear" w:color="auto" w:fill="auto"/>
            <w:vAlign w:val="center"/>
          </w:tcPr>
          <w:p w14:paraId="36EA178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vAlign w:val="center"/>
          </w:tcPr>
          <w:p w14:paraId="236CBF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92" w:type="pct"/>
            <w:shd w:val="clear" w:color="auto" w:fill="auto"/>
            <w:vAlign w:val="center"/>
          </w:tcPr>
          <w:p w14:paraId="6564C4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1,818.78</w:t>
            </w:r>
          </w:p>
        </w:tc>
        <w:tc>
          <w:tcPr>
            <w:tcW w:w="385" w:type="pct"/>
            <w:shd w:val="clear" w:color="auto" w:fill="auto"/>
            <w:vAlign w:val="center"/>
          </w:tcPr>
          <w:p w14:paraId="0BF1D9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7,314.75</w:t>
            </w:r>
          </w:p>
        </w:tc>
        <w:tc>
          <w:tcPr>
            <w:tcW w:w="393" w:type="pct"/>
            <w:shd w:val="clear" w:color="auto" w:fill="auto"/>
            <w:vAlign w:val="center"/>
          </w:tcPr>
          <w:p w14:paraId="0BECA2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10,033.40</w:t>
            </w:r>
          </w:p>
        </w:tc>
        <w:tc>
          <w:tcPr>
            <w:tcW w:w="378" w:type="pct"/>
            <w:shd w:val="clear" w:color="auto" w:fill="auto"/>
            <w:vAlign w:val="center"/>
          </w:tcPr>
          <w:p w14:paraId="74E2D9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378" w:type="pct"/>
            <w:shd w:val="clear" w:color="auto" w:fill="auto"/>
            <w:vAlign w:val="center"/>
          </w:tcPr>
          <w:p w14:paraId="7E1B80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0D21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24" w:type="pct"/>
            <w:shd w:val="clear" w:color="auto" w:fill="auto"/>
            <w:vAlign w:val="center"/>
          </w:tcPr>
          <w:p w14:paraId="617674C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014A822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361" w:type="pct"/>
            <w:shd w:val="clear" w:color="auto" w:fill="auto"/>
            <w:vAlign w:val="center"/>
          </w:tcPr>
          <w:p w14:paraId="7033E7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360" w:type="pct"/>
            <w:shd w:val="clear" w:color="auto" w:fill="auto"/>
            <w:vAlign w:val="center"/>
          </w:tcPr>
          <w:p w14:paraId="3C173C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705547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33370DE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2A81C9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7FC9E91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vAlign w:val="center"/>
          </w:tcPr>
          <w:p w14:paraId="167614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385" w:type="pct"/>
            <w:shd w:val="clear" w:color="auto" w:fill="auto"/>
            <w:vAlign w:val="center"/>
          </w:tcPr>
          <w:p w14:paraId="78F32EC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vAlign w:val="center"/>
          </w:tcPr>
          <w:p w14:paraId="614F43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744C7F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4FC2DF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33C5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4795FF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10E3971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361" w:type="pct"/>
            <w:shd w:val="clear" w:color="auto" w:fill="auto"/>
            <w:vAlign w:val="center"/>
          </w:tcPr>
          <w:p w14:paraId="1D5781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360" w:type="pct"/>
            <w:shd w:val="clear" w:color="auto" w:fill="auto"/>
            <w:vAlign w:val="center"/>
          </w:tcPr>
          <w:p w14:paraId="2AE1E1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6DF9DF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vAlign w:val="center"/>
          </w:tcPr>
          <w:p w14:paraId="7D1423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07E202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4DA15D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vAlign w:val="center"/>
          </w:tcPr>
          <w:p w14:paraId="7C9F0B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385" w:type="pct"/>
            <w:shd w:val="clear" w:color="auto" w:fill="auto"/>
            <w:vAlign w:val="center"/>
          </w:tcPr>
          <w:p w14:paraId="218E48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vAlign w:val="center"/>
          </w:tcPr>
          <w:p w14:paraId="03D820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0518D7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vAlign w:val="center"/>
          </w:tcPr>
          <w:p w14:paraId="18774EB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06E2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CAA57D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7A965B0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361" w:type="pct"/>
            <w:shd w:val="clear" w:color="auto" w:fill="auto"/>
            <w:vAlign w:val="center"/>
          </w:tcPr>
          <w:p w14:paraId="75FD06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6460DC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2FE60A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3" w:type="pct"/>
            <w:shd w:val="clear" w:color="auto" w:fill="auto"/>
            <w:vAlign w:val="center"/>
          </w:tcPr>
          <w:p w14:paraId="79EAC6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1FAF33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3C062A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62D1F0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0D72C89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39E888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1DF950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56AA2A4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FBB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4" w:type="pct"/>
            <w:shd w:val="clear" w:color="auto" w:fill="auto"/>
            <w:vAlign w:val="center"/>
          </w:tcPr>
          <w:p w14:paraId="1D65AFE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75C533D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361" w:type="pct"/>
            <w:shd w:val="clear" w:color="auto" w:fill="auto"/>
            <w:vAlign w:val="center"/>
          </w:tcPr>
          <w:p w14:paraId="58DF4B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30,062.28</w:t>
            </w:r>
          </w:p>
        </w:tc>
        <w:tc>
          <w:tcPr>
            <w:tcW w:w="360" w:type="pct"/>
            <w:shd w:val="clear" w:color="auto" w:fill="auto"/>
            <w:vAlign w:val="center"/>
          </w:tcPr>
          <w:p w14:paraId="3C3FBF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3B5F3D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12,024.91</w:t>
            </w:r>
          </w:p>
        </w:tc>
        <w:tc>
          <w:tcPr>
            <w:tcW w:w="383" w:type="pct"/>
            <w:shd w:val="clear" w:color="auto" w:fill="auto"/>
            <w:vAlign w:val="center"/>
          </w:tcPr>
          <w:p w14:paraId="604BC2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18,037.37</w:t>
            </w:r>
          </w:p>
        </w:tc>
        <w:tc>
          <w:tcPr>
            <w:tcW w:w="385" w:type="pct"/>
            <w:shd w:val="clear" w:color="auto" w:fill="auto"/>
            <w:vAlign w:val="center"/>
          </w:tcPr>
          <w:p w14:paraId="116ADE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44F4DC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2BAC17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1CF838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6E9E94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277B6E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6A078C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2597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4" w:type="pct"/>
            <w:shd w:val="clear" w:color="auto" w:fill="auto"/>
            <w:vAlign w:val="center"/>
          </w:tcPr>
          <w:p w14:paraId="414F0BE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38E29F0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361" w:type="pct"/>
            <w:shd w:val="clear" w:color="auto" w:fill="auto"/>
            <w:vAlign w:val="center"/>
          </w:tcPr>
          <w:p w14:paraId="0D7C61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35,129.65</w:t>
            </w:r>
          </w:p>
        </w:tc>
        <w:tc>
          <w:tcPr>
            <w:tcW w:w="360" w:type="pct"/>
            <w:shd w:val="clear" w:color="auto" w:fill="auto"/>
            <w:vAlign w:val="center"/>
          </w:tcPr>
          <w:p w14:paraId="099281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75" w:type="pct"/>
            <w:shd w:val="clear" w:color="auto" w:fill="auto"/>
            <w:vAlign w:val="center"/>
          </w:tcPr>
          <w:p w14:paraId="585DB9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190.75</w:t>
            </w:r>
          </w:p>
        </w:tc>
        <w:tc>
          <w:tcPr>
            <w:tcW w:w="383" w:type="pct"/>
            <w:shd w:val="clear" w:color="auto" w:fill="auto"/>
            <w:vAlign w:val="center"/>
          </w:tcPr>
          <w:p w14:paraId="52A281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0FF12E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vAlign w:val="center"/>
          </w:tcPr>
          <w:p w14:paraId="6D5DCF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92" w:type="pct"/>
            <w:shd w:val="clear" w:color="auto" w:fill="auto"/>
            <w:vAlign w:val="center"/>
          </w:tcPr>
          <w:p w14:paraId="5C8000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vAlign w:val="center"/>
          </w:tcPr>
          <w:p w14:paraId="0A92BD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7,314.75</w:t>
            </w:r>
          </w:p>
        </w:tc>
        <w:tc>
          <w:tcPr>
            <w:tcW w:w="393" w:type="pct"/>
            <w:shd w:val="clear" w:color="auto" w:fill="auto"/>
            <w:vAlign w:val="center"/>
          </w:tcPr>
          <w:p w14:paraId="0B308F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10,033.40</w:t>
            </w:r>
          </w:p>
        </w:tc>
        <w:tc>
          <w:tcPr>
            <w:tcW w:w="378" w:type="pct"/>
            <w:shd w:val="clear" w:color="auto" w:fill="auto"/>
            <w:vAlign w:val="center"/>
          </w:tcPr>
          <w:p w14:paraId="6C6F0B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378" w:type="pct"/>
            <w:shd w:val="clear" w:color="auto" w:fill="auto"/>
            <w:vAlign w:val="center"/>
          </w:tcPr>
          <w:p w14:paraId="6C157F4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3185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6518AF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596" w:type="pct"/>
            <w:shd w:val="clear" w:color="auto" w:fill="auto"/>
            <w:vAlign w:val="center"/>
          </w:tcPr>
          <w:p w14:paraId="3C00B52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361" w:type="pct"/>
            <w:shd w:val="clear" w:color="auto" w:fill="auto"/>
            <w:vAlign w:val="center"/>
          </w:tcPr>
          <w:p w14:paraId="6F1FCD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15.90</w:t>
            </w:r>
          </w:p>
        </w:tc>
        <w:tc>
          <w:tcPr>
            <w:tcW w:w="360" w:type="pct"/>
            <w:shd w:val="clear" w:color="auto" w:fill="auto"/>
            <w:vAlign w:val="center"/>
          </w:tcPr>
          <w:p w14:paraId="1CEF03B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75" w:type="pct"/>
            <w:shd w:val="clear" w:color="auto" w:fill="auto"/>
            <w:vAlign w:val="center"/>
          </w:tcPr>
          <w:p w14:paraId="286A77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9.40</w:t>
            </w:r>
          </w:p>
        </w:tc>
        <w:tc>
          <w:tcPr>
            <w:tcW w:w="383" w:type="pct"/>
            <w:shd w:val="clear" w:color="auto" w:fill="auto"/>
            <w:vAlign w:val="center"/>
          </w:tcPr>
          <w:p w14:paraId="1FC088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7B2DDF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vAlign w:val="center"/>
          </w:tcPr>
          <w:p w14:paraId="0001BF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2" w:type="pct"/>
            <w:shd w:val="clear" w:color="auto" w:fill="auto"/>
            <w:vAlign w:val="center"/>
          </w:tcPr>
          <w:p w14:paraId="1E6A3A1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6316A2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93" w:type="pct"/>
            <w:shd w:val="clear" w:color="auto" w:fill="auto"/>
            <w:vAlign w:val="center"/>
          </w:tcPr>
          <w:p w14:paraId="1FD0F8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37B12E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8" w:type="pct"/>
            <w:shd w:val="clear" w:color="auto" w:fill="auto"/>
            <w:vAlign w:val="center"/>
          </w:tcPr>
          <w:p w14:paraId="70E9AB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2D1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CA2DF3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596" w:type="pct"/>
            <w:shd w:val="clear" w:color="auto" w:fill="auto"/>
            <w:vAlign w:val="center"/>
          </w:tcPr>
          <w:p w14:paraId="1E4734A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361" w:type="pct"/>
            <w:shd w:val="clear" w:color="auto" w:fill="auto"/>
            <w:vAlign w:val="center"/>
          </w:tcPr>
          <w:p w14:paraId="402448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360" w:type="pct"/>
            <w:shd w:val="clear" w:color="auto" w:fill="auto"/>
            <w:vAlign w:val="bottom"/>
          </w:tcPr>
          <w:p w14:paraId="50D4A44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noWrap/>
            <w:vAlign w:val="bottom"/>
          </w:tcPr>
          <w:p w14:paraId="4C1144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3" w:type="pct"/>
            <w:shd w:val="clear" w:color="auto" w:fill="auto"/>
            <w:noWrap/>
            <w:vAlign w:val="bottom"/>
          </w:tcPr>
          <w:p w14:paraId="2C1A8C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noWrap/>
            <w:vAlign w:val="bottom"/>
          </w:tcPr>
          <w:p w14:paraId="6D9161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noWrap/>
            <w:vAlign w:val="bottom"/>
          </w:tcPr>
          <w:p w14:paraId="222492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noWrap/>
            <w:vAlign w:val="bottom"/>
          </w:tcPr>
          <w:p w14:paraId="0AF278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noWrap/>
            <w:vAlign w:val="bottom"/>
          </w:tcPr>
          <w:p w14:paraId="17F9EF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6,500.00</w:t>
            </w:r>
          </w:p>
        </w:tc>
        <w:tc>
          <w:tcPr>
            <w:tcW w:w="393" w:type="pct"/>
            <w:shd w:val="clear" w:color="auto" w:fill="auto"/>
            <w:noWrap/>
            <w:vAlign w:val="bottom"/>
          </w:tcPr>
          <w:p w14:paraId="161AD8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9,400.00</w:t>
            </w:r>
          </w:p>
        </w:tc>
        <w:tc>
          <w:tcPr>
            <w:tcW w:w="378" w:type="pct"/>
            <w:shd w:val="clear" w:color="auto" w:fill="auto"/>
            <w:noWrap/>
            <w:vAlign w:val="bottom"/>
          </w:tcPr>
          <w:p w14:paraId="47DA20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noWrap/>
            <w:vAlign w:val="bottom"/>
          </w:tcPr>
          <w:p w14:paraId="1ED0C9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9437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15A9CF2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596" w:type="pct"/>
            <w:shd w:val="clear" w:color="auto" w:fill="auto"/>
            <w:vAlign w:val="center"/>
          </w:tcPr>
          <w:p w14:paraId="5785CC3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361" w:type="pct"/>
            <w:shd w:val="clear" w:color="auto" w:fill="auto"/>
            <w:vAlign w:val="center"/>
          </w:tcPr>
          <w:p w14:paraId="180032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11,213.75</w:t>
            </w:r>
          </w:p>
        </w:tc>
        <w:tc>
          <w:tcPr>
            <w:tcW w:w="360" w:type="pct"/>
            <w:shd w:val="clear" w:color="auto" w:fill="auto"/>
            <w:vAlign w:val="bottom"/>
          </w:tcPr>
          <w:p w14:paraId="584BC9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noWrap/>
            <w:vAlign w:val="bottom"/>
          </w:tcPr>
          <w:p w14:paraId="387DFA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181.35</w:t>
            </w:r>
          </w:p>
        </w:tc>
        <w:tc>
          <w:tcPr>
            <w:tcW w:w="383" w:type="pct"/>
            <w:shd w:val="clear" w:color="auto" w:fill="auto"/>
            <w:noWrap/>
            <w:vAlign w:val="bottom"/>
          </w:tcPr>
          <w:p w14:paraId="7D8610E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noWrap/>
            <w:vAlign w:val="bottom"/>
          </w:tcPr>
          <w:p w14:paraId="2538D1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noWrap/>
            <w:vAlign w:val="bottom"/>
          </w:tcPr>
          <w:p w14:paraId="5F6A1BB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92" w:type="pct"/>
            <w:shd w:val="clear" w:color="auto" w:fill="auto"/>
            <w:noWrap/>
            <w:vAlign w:val="bottom"/>
          </w:tcPr>
          <w:p w14:paraId="390126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noWrap/>
            <w:vAlign w:val="bottom"/>
          </w:tcPr>
          <w:p w14:paraId="2276C5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93" w:type="pct"/>
            <w:shd w:val="clear" w:color="auto" w:fill="auto"/>
            <w:noWrap/>
            <w:vAlign w:val="bottom"/>
          </w:tcPr>
          <w:p w14:paraId="7429D1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633.40</w:t>
            </w:r>
          </w:p>
        </w:tc>
        <w:tc>
          <w:tcPr>
            <w:tcW w:w="378" w:type="pct"/>
            <w:shd w:val="clear" w:color="auto" w:fill="auto"/>
            <w:noWrap/>
            <w:vAlign w:val="bottom"/>
          </w:tcPr>
          <w:p w14:paraId="435E95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378" w:type="pct"/>
            <w:shd w:val="clear" w:color="auto" w:fill="auto"/>
            <w:noWrap/>
            <w:vAlign w:val="bottom"/>
          </w:tcPr>
          <w:p w14:paraId="1351B2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4BFA7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4" w:type="pct"/>
            <w:shd w:val="clear" w:color="auto" w:fill="auto"/>
            <w:vAlign w:val="center"/>
          </w:tcPr>
          <w:p w14:paraId="0D1585F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596" w:type="pct"/>
            <w:shd w:val="clear" w:color="auto" w:fill="auto"/>
            <w:vAlign w:val="center"/>
          </w:tcPr>
          <w:p w14:paraId="59D75DC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361" w:type="pct"/>
            <w:shd w:val="clear" w:color="auto" w:fill="auto"/>
            <w:vAlign w:val="center"/>
          </w:tcPr>
          <w:p w14:paraId="7E9EC5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4D3AC4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75" w:type="pct"/>
            <w:shd w:val="clear" w:color="auto" w:fill="auto"/>
            <w:vAlign w:val="center"/>
          </w:tcPr>
          <w:p w14:paraId="47A93DF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3" w:type="pct"/>
            <w:shd w:val="clear" w:color="auto" w:fill="auto"/>
            <w:vAlign w:val="center"/>
          </w:tcPr>
          <w:p w14:paraId="005F54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center"/>
          </w:tcPr>
          <w:p w14:paraId="15DA16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385" w:type="pct"/>
            <w:shd w:val="clear" w:color="auto" w:fill="auto"/>
            <w:vAlign w:val="bottom"/>
          </w:tcPr>
          <w:p w14:paraId="0BCAD9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2" w:type="pct"/>
            <w:shd w:val="clear" w:color="auto" w:fill="auto"/>
            <w:noWrap/>
            <w:vAlign w:val="bottom"/>
          </w:tcPr>
          <w:p w14:paraId="028D2D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85" w:type="pct"/>
            <w:shd w:val="clear" w:color="auto" w:fill="auto"/>
            <w:noWrap/>
            <w:vAlign w:val="bottom"/>
          </w:tcPr>
          <w:p w14:paraId="7C2C0D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93" w:type="pct"/>
            <w:shd w:val="clear" w:color="auto" w:fill="auto"/>
            <w:noWrap/>
            <w:vAlign w:val="bottom"/>
          </w:tcPr>
          <w:p w14:paraId="044A66C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noWrap/>
            <w:vAlign w:val="bottom"/>
          </w:tcPr>
          <w:p w14:paraId="0FACD0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8" w:type="pct"/>
            <w:shd w:val="clear" w:color="auto" w:fill="auto"/>
            <w:noWrap/>
            <w:vAlign w:val="bottom"/>
          </w:tcPr>
          <w:p w14:paraId="60A251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F52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4" w:type="pct"/>
            <w:shd w:val="clear" w:color="auto" w:fill="auto"/>
            <w:vAlign w:val="center"/>
          </w:tcPr>
          <w:p w14:paraId="27306DE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596" w:type="pct"/>
            <w:shd w:val="clear" w:color="auto" w:fill="auto"/>
            <w:vAlign w:val="center"/>
          </w:tcPr>
          <w:p w14:paraId="1016B51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361" w:type="pct"/>
            <w:shd w:val="clear" w:color="auto" w:fill="auto"/>
            <w:vAlign w:val="center"/>
          </w:tcPr>
          <w:p w14:paraId="3CA89A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bottom"/>
          </w:tcPr>
          <w:p w14:paraId="1E7DFB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75" w:type="pct"/>
            <w:shd w:val="clear" w:color="auto" w:fill="auto"/>
            <w:noWrap/>
            <w:vAlign w:val="bottom"/>
          </w:tcPr>
          <w:p w14:paraId="7B648F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83" w:type="pct"/>
            <w:shd w:val="clear" w:color="auto" w:fill="auto"/>
            <w:noWrap/>
            <w:vAlign w:val="bottom"/>
          </w:tcPr>
          <w:p w14:paraId="732957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85" w:type="pct"/>
            <w:shd w:val="clear" w:color="auto" w:fill="auto"/>
            <w:noWrap/>
            <w:vAlign w:val="bottom"/>
          </w:tcPr>
          <w:p w14:paraId="1FEDC6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85" w:type="pct"/>
            <w:shd w:val="clear" w:color="auto" w:fill="auto"/>
            <w:noWrap/>
            <w:vAlign w:val="bottom"/>
          </w:tcPr>
          <w:p w14:paraId="4AF7AD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92" w:type="pct"/>
            <w:shd w:val="clear" w:color="auto" w:fill="auto"/>
            <w:noWrap/>
            <w:vAlign w:val="bottom"/>
          </w:tcPr>
          <w:p w14:paraId="6E7A584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85" w:type="pct"/>
            <w:shd w:val="clear" w:color="auto" w:fill="auto"/>
            <w:noWrap/>
            <w:vAlign w:val="bottom"/>
          </w:tcPr>
          <w:p w14:paraId="62EEB1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93" w:type="pct"/>
            <w:shd w:val="clear" w:color="auto" w:fill="auto"/>
            <w:noWrap/>
            <w:vAlign w:val="bottom"/>
          </w:tcPr>
          <w:p w14:paraId="252C51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78" w:type="pct"/>
            <w:shd w:val="clear" w:color="auto" w:fill="auto"/>
            <w:noWrap/>
            <w:vAlign w:val="bottom"/>
          </w:tcPr>
          <w:p w14:paraId="3A30F1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378" w:type="pct"/>
            <w:shd w:val="clear" w:color="auto" w:fill="auto"/>
            <w:noWrap/>
            <w:vAlign w:val="bottom"/>
          </w:tcPr>
          <w:p w14:paraId="4703EB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r>
      <w:tr w14:paraId="696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1FDCC89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596" w:type="pct"/>
            <w:shd w:val="clear" w:color="auto" w:fill="auto"/>
            <w:vAlign w:val="center"/>
          </w:tcPr>
          <w:p w14:paraId="6F8DEC8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361" w:type="pct"/>
            <w:shd w:val="clear" w:color="auto" w:fill="auto"/>
            <w:vAlign w:val="center"/>
          </w:tcPr>
          <w:p w14:paraId="480817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14,067.78</w:t>
            </w:r>
          </w:p>
        </w:tc>
        <w:tc>
          <w:tcPr>
            <w:tcW w:w="360" w:type="pct"/>
            <w:shd w:val="clear" w:color="auto" w:fill="auto"/>
            <w:vAlign w:val="center"/>
          </w:tcPr>
          <w:p w14:paraId="6BABFF1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75" w:type="pct"/>
            <w:shd w:val="clear" w:color="auto" w:fill="auto"/>
            <w:vAlign w:val="center"/>
          </w:tcPr>
          <w:p w14:paraId="22E22A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-9,590.75</w:t>
            </w:r>
          </w:p>
        </w:tc>
        <w:tc>
          <w:tcPr>
            <w:tcW w:w="383" w:type="pct"/>
            <w:shd w:val="clear" w:color="auto" w:fill="auto"/>
            <w:vAlign w:val="center"/>
          </w:tcPr>
          <w:p w14:paraId="6192E4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9,400.00</w:t>
            </w:r>
          </w:p>
        </w:tc>
        <w:tc>
          <w:tcPr>
            <w:tcW w:w="385" w:type="pct"/>
            <w:shd w:val="clear" w:color="auto" w:fill="auto"/>
            <w:vAlign w:val="center"/>
          </w:tcPr>
          <w:p w14:paraId="6DA63F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85" w:type="pct"/>
            <w:shd w:val="clear" w:color="auto" w:fill="auto"/>
            <w:vAlign w:val="center"/>
          </w:tcPr>
          <w:p w14:paraId="29AA7F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-814.75</w:t>
            </w:r>
          </w:p>
        </w:tc>
        <w:tc>
          <w:tcPr>
            <w:tcW w:w="392" w:type="pct"/>
            <w:shd w:val="clear" w:color="auto" w:fill="auto"/>
            <w:vAlign w:val="center"/>
          </w:tcPr>
          <w:p w14:paraId="062F96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48,382.68</w:t>
            </w:r>
          </w:p>
        </w:tc>
        <w:tc>
          <w:tcPr>
            <w:tcW w:w="385" w:type="pct"/>
            <w:shd w:val="clear" w:color="auto" w:fill="auto"/>
            <w:vAlign w:val="center"/>
          </w:tcPr>
          <w:p w14:paraId="242111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-7,314.75</w:t>
            </w:r>
          </w:p>
        </w:tc>
        <w:tc>
          <w:tcPr>
            <w:tcW w:w="393" w:type="pct"/>
            <w:shd w:val="clear" w:color="auto" w:fill="auto"/>
            <w:vAlign w:val="center"/>
          </w:tcPr>
          <w:p w14:paraId="283BF9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-10,033.40</w:t>
            </w:r>
          </w:p>
        </w:tc>
        <w:tc>
          <w:tcPr>
            <w:tcW w:w="378" w:type="pct"/>
            <w:shd w:val="clear" w:color="auto" w:fill="auto"/>
            <w:vAlign w:val="center"/>
          </w:tcPr>
          <w:p w14:paraId="398E39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378" w:type="pct"/>
            <w:shd w:val="clear" w:color="auto" w:fill="auto"/>
            <w:vAlign w:val="center"/>
          </w:tcPr>
          <w:p w14:paraId="1E2E6F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646E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5A5B7CF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596" w:type="pct"/>
            <w:shd w:val="clear" w:color="auto" w:fill="auto"/>
            <w:vAlign w:val="center"/>
          </w:tcPr>
          <w:p w14:paraId="2B7743D1">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361" w:type="pct"/>
            <w:shd w:val="clear" w:color="auto" w:fill="auto"/>
            <w:vAlign w:val="center"/>
          </w:tcPr>
          <w:p w14:paraId="671842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34EFCE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75" w:type="pct"/>
            <w:shd w:val="clear" w:color="auto" w:fill="auto"/>
            <w:vAlign w:val="center"/>
          </w:tcPr>
          <w:p w14:paraId="1F561E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83" w:type="pct"/>
            <w:shd w:val="clear" w:color="auto" w:fill="auto"/>
            <w:vAlign w:val="center"/>
          </w:tcPr>
          <w:p w14:paraId="16D179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-9,597.25</w:t>
            </w:r>
          </w:p>
        </w:tc>
        <w:tc>
          <w:tcPr>
            <w:tcW w:w="385" w:type="pct"/>
            <w:shd w:val="clear" w:color="auto" w:fill="auto"/>
            <w:vAlign w:val="center"/>
          </w:tcPr>
          <w:p w14:paraId="216323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-197.25</w:t>
            </w:r>
          </w:p>
        </w:tc>
        <w:tc>
          <w:tcPr>
            <w:tcW w:w="385" w:type="pct"/>
            <w:shd w:val="clear" w:color="auto" w:fill="auto"/>
            <w:vAlign w:val="center"/>
          </w:tcPr>
          <w:p w14:paraId="74F70B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-1,012.00</w:t>
            </w:r>
          </w:p>
        </w:tc>
        <w:tc>
          <w:tcPr>
            <w:tcW w:w="392" w:type="pct"/>
            <w:shd w:val="clear" w:color="auto" w:fill="auto"/>
            <w:vAlign w:val="center"/>
          </w:tcPr>
          <w:p w14:paraId="121F1B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-1,826.75</w:t>
            </w:r>
          </w:p>
        </w:tc>
        <w:tc>
          <w:tcPr>
            <w:tcW w:w="385" w:type="pct"/>
            <w:shd w:val="clear" w:color="auto" w:fill="auto"/>
            <w:vAlign w:val="center"/>
          </w:tcPr>
          <w:p w14:paraId="1FB9A7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46,555.93</w:t>
            </w:r>
          </w:p>
        </w:tc>
        <w:tc>
          <w:tcPr>
            <w:tcW w:w="393" w:type="pct"/>
            <w:shd w:val="clear" w:color="auto" w:fill="auto"/>
            <w:vAlign w:val="center"/>
          </w:tcPr>
          <w:p w14:paraId="690D6A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39,241.18</w:t>
            </w:r>
          </w:p>
        </w:tc>
        <w:tc>
          <w:tcPr>
            <w:tcW w:w="378" w:type="pct"/>
            <w:shd w:val="clear" w:color="auto" w:fill="auto"/>
            <w:vAlign w:val="center"/>
          </w:tcPr>
          <w:p w14:paraId="555E913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29,207.78</w:t>
            </w:r>
          </w:p>
        </w:tc>
        <w:tc>
          <w:tcPr>
            <w:tcW w:w="378" w:type="pct"/>
            <w:shd w:val="clear" w:color="auto" w:fill="auto"/>
            <w:vAlign w:val="center"/>
          </w:tcPr>
          <w:p w14:paraId="2EE456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28,922.18</w:t>
            </w:r>
          </w:p>
        </w:tc>
      </w:tr>
      <w:tr w14:paraId="1F7B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E17060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596" w:type="pct"/>
            <w:shd w:val="clear" w:color="auto" w:fill="auto"/>
            <w:vAlign w:val="center"/>
          </w:tcPr>
          <w:p w14:paraId="405185E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361" w:type="pct"/>
            <w:shd w:val="clear" w:color="auto" w:fill="auto"/>
            <w:vAlign w:val="center"/>
          </w:tcPr>
          <w:p w14:paraId="2242A4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360" w:type="pct"/>
            <w:shd w:val="clear" w:color="auto" w:fill="auto"/>
            <w:vAlign w:val="center"/>
          </w:tcPr>
          <w:p w14:paraId="7275E22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375" w:type="pct"/>
            <w:shd w:val="clear" w:color="auto" w:fill="auto"/>
            <w:vAlign w:val="center"/>
          </w:tcPr>
          <w:p w14:paraId="74DA1D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-9,597.25</w:t>
            </w:r>
          </w:p>
        </w:tc>
        <w:tc>
          <w:tcPr>
            <w:tcW w:w="383" w:type="pct"/>
            <w:shd w:val="clear" w:color="auto" w:fill="auto"/>
            <w:vAlign w:val="center"/>
          </w:tcPr>
          <w:p w14:paraId="52B716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-197.25</w:t>
            </w:r>
          </w:p>
        </w:tc>
        <w:tc>
          <w:tcPr>
            <w:tcW w:w="385" w:type="pct"/>
            <w:shd w:val="clear" w:color="auto" w:fill="auto"/>
            <w:vAlign w:val="center"/>
          </w:tcPr>
          <w:p w14:paraId="342AD3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-1,012.00</w:t>
            </w:r>
          </w:p>
        </w:tc>
        <w:tc>
          <w:tcPr>
            <w:tcW w:w="385" w:type="pct"/>
            <w:shd w:val="clear" w:color="auto" w:fill="auto"/>
            <w:vAlign w:val="center"/>
          </w:tcPr>
          <w:p w14:paraId="44D5D5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-1,826.75</w:t>
            </w:r>
          </w:p>
        </w:tc>
        <w:tc>
          <w:tcPr>
            <w:tcW w:w="392" w:type="pct"/>
            <w:shd w:val="clear" w:color="auto" w:fill="auto"/>
            <w:vAlign w:val="center"/>
          </w:tcPr>
          <w:p w14:paraId="5A950CB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46,555.93</w:t>
            </w:r>
          </w:p>
        </w:tc>
        <w:tc>
          <w:tcPr>
            <w:tcW w:w="385" w:type="pct"/>
            <w:shd w:val="clear" w:color="auto" w:fill="auto"/>
            <w:vAlign w:val="center"/>
          </w:tcPr>
          <w:p w14:paraId="08ECD1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39,241.18</w:t>
            </w:r>
          </w:p>
        </w:tc>
        <w:tc>
          <w:tcPr>
            <w:tcW w:w="393" w:type="pct"/>
            <w:shd w:val="clear" w:color="auto" w:fill="auto"/>
            <w:vAlign w:val="center"/>
          </w:tcPr>
          <w:p w14:paraId="3CA930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29,207.78</w:t>
            </w:r>
          </w:p>
        </w:tc>
        <w:tc>
          <w:tcPr>
            <w:tcW w:w="378" w:type="pct"/>
            <w:shd w:val="clear" w:color="auto" w:fill="auto"/>
            <w:vAlign w:val="center"/>
          </w:tcPr>
          <w:p w14:paraId="09A458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28,922.18</w:t>
            </w:r>
          </w:p>
        </w:tc>
        <w:tc>
          <w:tcPr>
            <w:tcW w:w="378" w:type="pct"/>
            <w:shd w:val="clear" w:color="auto" w:fill="auto"/>
            <w:vAlign w:val="center"/>
          </w:tcPr>
          <w:p w14:paraId="423BBC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28,636.58</w:t>
            </w:r>
          </w:p>
        </w:tc>
      </w:tr>
    </w:tbl>
    <w:p w14:paraId="6CDC0749">
      <w:pPr>
        <w:pStyle w:val="19"/>
        <w:spacing w:before="0" w:beforeAutospacing="0" w:after="0" w:afterAutospacing="0" w:line="360" w:lineRule="exact"/>
        <w:ind w:right="-515" w:rightChars="-243" w:firstLine="364" w:firstLineChars="200"/>
        <w:jc w:val="right"/>
        <w:rPr>
          <w:color w:val="000000" w:themeColor="text1"/>
          <w:sz w:val="18"/>
          <w:szCs w:val="18"/>
          <w:highlight w:val="none"/>
          <w14:textFill>
            <w14:solidFill>
              <w14:schemeClr w14:val="tx1"/>
            </w14:solidFill>
          </w14:textFill>
        </w:rPr>
      </w:pPr>
    </w:p>
    <w:tbl>
      <w:tblPr>
        <w:tblStyle w:val="23"/>
        <w:tblW w:w="5041" w:type="pct"/>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697"/>
        <w:gridCol w:w="1028"/>
        <w:gridCol w:w="1026"/>
        <w:gridCol w:w="1068"/>
        <w:gridCol w:w="1090"/>
        <w:gridCol w:w="1096"/>
        <w:gridCol w:w="1096"/>
        <w:gridCol w:w="1116"/>
        <w:gridCol w:w="1096"/>
        <w:gridCol w:w="1119"/>
        <w:gridCol w:w="1076"/>
        <w:gridCol w:w="1076"/>
      </w:tblGrid>
      <w:tr w14:paraId="16D43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224" w:type="pct"/>
            <w:shd w:val="clear" w:color="auto" w:fill="auto"/>
            <w:vAlign w:val="center"/>
          </w:tcPr>
          <w:p w14:paraId="2904A2AB">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596" w:type="pct"/>
            <w:shd w:val="clear" w:color="auto" w:fill="auto"/>
            <w:vAlign w:val="center"/>
          </w:tcPr>
          <w:p w14:paraId="746B34B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361" w:type="pct"/>
            <w:shd w:val="clear" w:color="auto" w:fill="auto"/>
            <w:vAlign w:val="center"/>
          </w:tcPr>
          <w:p w14:paraId="4ABDC48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1026" w:type="dxa"/>
            <w:shd w:val="clear" w:color="auto" w:fill="auto"/>
            <w:vAlign w:val="center"/>
          </w:tcPr>
          <w:p w14:paraId="483D802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2032年</w:t>
            </w:r>
          </w:p>
        </w:tc>
        <w:tc>
          <w:tcPr>
            <w:tcW w:w="1068" w:type="dxa"/>
            <w:shd w:val="clear" w:color="auto" w:fill="auto"/>
            <w:vAlign w:val="center"/>
          </w:tcPr>
          <w:p w14:paraId="134029FA">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2033年</w:t>
            </w:r>
          </w:p>
        </w:tc>
        <w:tc>
          <w:tcPr>
            <w:tcW w:w="1090" w:type="dxa"/>
            <w:shd w:val="clear" w:color="auto" w:fill="auto"/>
            <w:vAlign w:val="center"/>
          </w:tcPr>
          <w:p w14:paraId="596809B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2034年</w:t>
            </w:r>
          </w:p>
        </w:tc>
        <w:tc>
          <w:tcPr>
            <w:tcW w:w="1096" w:type="dxa"/>
            <w:shd w:val="clear" w:color="auto" w:fill="auto"/>
            <w:vAlign w:val="center"/>
          </w:tcPr>
          <w:p w14:paraId="5D28C2E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2035年</w:t>
            </w:r>
          </w:p>
        </w:tc>
        <w:tc>
          <w:tcPr>
            <w:tcW w:w="1096" w:type="dxa"/>
            <w:shd w:val="clear" w:color="auto" w:fill="auto"/>
            <w:vAlign w:val="center"/>
          </w:tcPr>
          <w:p w14:paraId="3F408FB4">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2036年</w:t>
            </w:r>
          </w:p>
        </w:tc>
        <w:tc>
          <w:tcPr>
            <w:tcW w:w="1116" w:type="dxa"/>
            <w:shd w:val="clear" w:color="auto" w:fill="auto"/>
            <w:vAlign w:val="center"/>
          </w:tcPr>
          <w:p w14:paraId="74C345C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2037年</w:t>
            </w:r>
          </w:p>
        </w:tc>
        <w:tc>
          <w:tcPr>
            <w:tcW w:w="1096" w:type="dxa"/>
            <w:shd w:val="clear" w:color="auto" w:fill="auto"/>
            <w:vAlign w:val="center"/>
          </w:tcPr>
          <w:p w14:paraId="227F46D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2038年</w:t>
            </w:r>
          </w:p>
        </w:tc>
        <w:tc>
          <w:tcPr>
            <w:tcW w:w="1119" w:type="dxa"/>
            <w:shd w:val="clear" w:color="auto" w:fill="auto"/>
            <w:vAlign w:val="center"/>
          </w:tcPr>
          <w:p w14:paraId="2FDF72A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2039年</w:t>
            </w:r>
          </w:p>
        </w:tc>
        <w:tc>
          <w:tcPr>
            <w:tcW w:w="1076" w:type="dxa"/>
            <w:shd w:val="clear" w:color="auto" w:fill="auto"/>
            <w:vAlign w:val="center"/>
          </w:tcPr>
          <w:p w14:paraId="44A29E5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2040年</w:t>
            </w:r>
          </w:p>
        </w:tc>
        <w:tc>
          <w:tcPr>
            <w:tcW w:w="1076" w:type="dxa"/>
            <w:shd w:val="clear" w:color="auto" w:fill="auto"/>
            <w:vAlign w:val="center"/>
          </w:tcPr>
          <w:p w14:paraId="378FC9C1">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2041年</w:t>
            </w:r>
          </w:p>
        </w:tc>
      </w:tr>
      <w:tr w14:paraId="3CC5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96C6AD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596" w:type="pct"/>
            <w:shd w:val="clear" w:color="auto" w:fill="auto"/>
            <w:vAlign w:val="center"/>
          </w:tcPr>
          <w:p w14:paraId="7EB08D86">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361" w:type="pct"/>
            <w:shd w:val="clear" w:color="auto" w:fill="auto"/>
            <w:vAlign w:val="center"/>
          </w:tcPr>
          <w:p w14:paraId="7A7597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80,263.74</w:t>
            </w:r>
          </w:p>
        </w:tc>
        <w:tc>
          <w:tcPr>
            <w:tcW w:w="1026" w:type="dxa"/>
            <w:shd w:val="clear" w:color="auto" w:fill="auto"/>
            <w:vAlign w:val="center"/>
          </w:tcPr>
          <w:p w14:paraId="22D7D5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238654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0DF35B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73B0B7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1EF35B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3F9DB7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574F49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4264EF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26D249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409635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3445B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24" w:type="pct"/>
            <w:shd w:val="clear" w:color="auto" w:fill="auto"/>
            <w:vAlign w:val="center"/>
          </w:tcPr>
          <w:p w14:paraId="482B729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0B272F4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361" w:type="pct"/>
            <w:shd w:val="clear" w:color="auto" w:fill="auto"/>
            <w:vAlign w:val="center"/>
          </w:tcPr>
          <w:p w14:paraId="6B67748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1026" w:type="dxa"/>
            <w:shd w:val="clear" w:color="auto" w:fill="auto"/>
            <w:vAlign w:val="center"/>
          </w:tcPr>
          <w:p w14:paraId="19A1B8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24E453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2F380E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60517E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58097E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1A9F4A8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3255BD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06DABB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6A7D793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05E4F7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7DF8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4FAB0A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2CB3237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361" w:type="pct"/>
            <w:shd w:val="clear" w:color="auto" w:fill="auto"/>
            <w:vAlign w:val="center"/>
          </w:tcPr>
          <w:p w14:paraId="3FE6B1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07CB1C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268279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6381932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959462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BA017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5EF5F0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03F36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651894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C4A50A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582A48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96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08CF9F9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64F4FB2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361" w:type="pct"/>
            <w:shd w:val="clear" w:color="auto" w:fill="auto"/>
            <w:vAlign w:val="center"/>
          </w:tcPr>
          <w:p w14:paraId="7F816F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1026" w:type="dxa"/>
            <w:shd w:val="clear" w:color="auto" w:fill="auto"/>
            <w:vAlign w:val="bottom"/>
          </w:tcPr>
          <w:p w14:paraId="49D0DF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bottom"/>
          </w:tcPr>
          <w:p w14:paraId="1BFFD0A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bottom"/>
          </w:tcPr>
          <w:p w14:paraId="0BCBD47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7EF831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109659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noWrap/>
            <w:vAlign w:val="bottom"/>
          </w:tcPr>
          <w:p w14:paraId="7DC362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691C96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noWrap/>
            <w:vAlign w:val="bottom"/>
          </w:tcPr>
          <w:p w14:paraId="37078DF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03F515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38C38EB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3B87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24" w:type="pct"/>
            <w:shd w:val="clear" w:color="auto" w:fill="auto"/>
            <w:vAlign w:val="center"/>
          </w:tcPr>
          <w:p w14:paraId="01DF89D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27B398F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361" w:type="pct"/>
            <w:shd w:val="clear" w:color="auto" w:fill="auto"/>
            <w:vAlign w:val="center"/>
          </w:tcPr>
          <w:p w14:paraId="50F147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center"/>
          </w:tcPr>
          <w:p w14:paraId="0046B7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60A523B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314237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16EFE3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023F07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3B3F8B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17E202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4C8718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2816D5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3E6BF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007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F92E54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596" w:type="pct"/>
            <w:shd w:val="clear" w:color="auto" w:fill="auto"/>
            <w:vAlign w:val="center"/>
          </w:tcPr>
          <w:p w14:paraId="48B9934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361" w:type="pct"/>
            <w:shd w:val="clear" w:color="auto" w:fill="auto"/>
            <w:vAlign w:val="center"/>
          </w:tcPr>
          <w:p w14:paraId="3A7282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center"/>
          </w:tcPr>
          <w:p w14:paraId="2CEC68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0D1693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342F86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169FCD4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3E59FB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29C039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28886A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2E11790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4560F2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2131A9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E0D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1181E8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596" w:type="pct"/>
            <w:shd w:val="clear" w:color="auto" w:fill="auto"/>
            <w:vAlign w:val="center"/>
          </w:tcPr>
          <w:p w14:paraId="1B871AF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361" w:type="pct"/>
            <w:shd w:val="clear" w:color="auto" w:fill="auto"/>
            <w:vAlign w:val="center"/>
          </w:tcPr>
          <w:p w14:paraId="6ECDEC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64A82E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0645DA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5C9C31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23018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EBD6D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55FEDC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619048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67FBB9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E2F8F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8CABB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8EE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89145A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422DA49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361" w:type="pct"/>
            <w:shd w:val="clear" w:color="auto" w:fill="auto"/>
            <w:vAlign w:val="center"/>
          </w:tcPr>
          <w:p w14:paraId="189328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6,162.28</w:t>
            </w:r>
          </w:p>
        </w:tc>
        <w:tc>
          <w:tcPr>
            <w:tcW w:w="1026" w:type="dxa"/>
            <w:shd w:val="clear" w:color="auto" w:fill="auto"/>
            <w:vAlign w:val="center"/>
          </w:tcPr>
          <w:p w14:paraId="5A39080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5AA4C0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0AF5A0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14EB3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199B7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54C6C4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D985EC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2F93BA9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66FDA3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48325F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FFF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E95D07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596" w:type="pct"/>
            <w:shd w:val="clear" w:color="auto" w:fill="auto"/>
            <w:vAlign w:val="center"/>
          </w:tcPr>
          <w:p w14:paraId="6E8E82A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361" w:type="pct"/>
            <w:shd w:val="clear" w:color="auto" w:fill="auto"/>
            <w:vAlign w:val="center"/>
          </w:tcPr>
          <w:p w14:paraId="681457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66,195.96</w:t>
            </w:r>
          </w:p>
        </w:tc>
        <w:tc>
          <w:tcPr>
            <w:tcW w:w="1026" w:type="dxa"/>
            <w:shd w:val="clear" w:color="auto" w:fill="auto"/>
            <w:vAlign w:val="center"/>
          </w:tcPr>
          <w:p w14:paraId="3063AB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1551A1B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6EFEC5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7043A2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098699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7522F65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48345B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219039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58E8E8A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26CCE2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6003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24" w:type="pct"/>
            <w:shd w:val="clear" w:color="auto" w:fill="auto"/>
            <w:vAlign w:val="center"/>
          </w:tcPr>
          <w:p w14:paraId="48FABAD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74A6369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361" w:type="pct"/>
            <w:shd w:val="clear" w:color="auto" w:fill="auto"/>
            <w:vAlign w:val="center"/>
          </w:tcPr>
          <w:p w14:paraId="632651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1026" w:type="dxa"/>
            <w:shd w:val="clear" w:color="auto" w:fill="auto"/>
            <w:vAlign w:val="center"/>
          </w:tcPr>
          <w:p w14:paraId="61F806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06C95F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70B428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5AF4B6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3643985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6BD5B4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6B5D4C7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303B33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16C478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618578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7F9C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5C126A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735CAE7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361" w:type="pct"/>
            <w:shd w:val="clear" w:color="auto" w:fill="auto"/>
            <w:vAlign w:val="center"/>
          </w:tcPr>
          <w:p w14:paraId="711B79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1026" w:type="dxa"/>
            <w:shd w:val="clear" w:color="auto" w:fill="auto"/>
            <w:vAlign w:val="center"/>
          </w:tcPr>
          <w:p w14:paraId="577D43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3AED0D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4A80E2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18ECA7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321642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19666F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29423C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7B9A75A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580ADB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0C379E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9EB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49819F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3E843B3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361" w:type="pct"/>
            <w:shd w:val="clear" w:color="auto" w:fill="auto"/>
            <w:vAlign w:val="center"/>
          </w:tcPr>
          <w:p w14:paraId="6A118D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1EBFB8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1DC99E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757091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EA6D4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019C9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12290B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4B00F2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5ED90A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7466FF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5E54181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ED0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4" w:type="pct"/>
            <w:shd w:val="clear" w:color="auto" w:fill="auto"/>
            <w:vAlign w:val="center"/>
          </w:tcPr>
          <w:p w14:paraId="090E408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74C7ED0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361" w:type="pct"/>
            <w:shd w:val="clear" w:color="auto" w:fill="auto"/>
            <w:vAlign w:val="center"/>
          </w:tcPr>
          <w:p w14:paraId="6BE5B0F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30,062.28</w:t>
            </w:r>
          </w:p>
        </w:tc>
        <w:tc>
          <w:tcPr>
            <w:tcW w:w="1026" w:type="dxa"/>
            <w:shd w:val="clear" w:color="auto" w:fill="auto"/>
            <w:vAlign w:val="center"/>
          </w:tcPr>
          <w:p w14:paraId="3ADFAF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498E27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5E72BEE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C1DF0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B2B18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26BE6B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1A9D2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65BFBF4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2DA111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586693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0CC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4" w:type="pct"/>
            <w:shd w:val="clear" w:color="auto" w:fill="auto"/>
            <w:vAlign w:val="center"/>
          </w:tcPr>
          <w:p w14:paraId="06CA202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6B34C2D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361" w:type="pct"/>
            <w:shd w:val="clear" w:color="auto" w:fill="auto"/>
            <w:vAlign w:val="center"/>
          </w:tcPr>
          <w:p w14:paraId="67FABF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35,129.65</w:t>
            </w:r>
          </w:p>
        </w:tc>
        <w:tc>
          <w:tcPr>
            <w:tcW w:w="1026" w:type="dxa"/>
            <w:shd w:val="clear" w:color="auto" w:fill="auto"/>
            <w:vAlign w:val="center"/>
          </w:tcPr>
          <w:p w14:paraId="3916FA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0843C0E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4BC5446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667B60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407709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0B22ADB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7C2AF69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03C64F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7224A6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73942F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6644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0CB0835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596" w:type="pct"/>
            <w:shd w:val="clear" w:color="auto" w:fill="auto"/>
            <w:vAlign w:val="center"/>
          </w:tcPr>
          <w:p w14:paraId="7C517C8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361" w:type="pct"/>
            <w:shd w:val="clear" w:color="auto" w:fill="auto"/>
            <w:vAlign w:val="center"/>
          </w:tcPr>
          <w:p w14:paraId="47ED7F5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15.90</w:t>
            </w:r>
          </w:p>
        </w:tc>
        <w:tc>
          <w:tcPr>
            <w:tcW w:w="1026" w:type="dxa"/>
            <w:shd w:val="clear" w:color="auto" w:fill="auto"/>
            <w:vAlign w:val="center"/>
          </w:tcPr>
          <w:p w14:paraId="7B228A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7D0AB3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2F7A3B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8DABA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26BFC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65FEE5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41476B2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35BAE4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496D820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6C715B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A76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6D321FC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596" w:type="pct"/>
            <w:shd w:val="clear" w:color="auto" w:fill="auto"/>
            <w:vAlign w:val="center"/>
          </w:tcPr>
          <w:p w14:paraId="67616EE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361" w:type="pct"/>
            <w:shd w:val="clear" w:color="auto" w:fill="auto"/>
            <w:vAlign w:val="center"/>
          </w:tcPr>
          <w:p w14:paraId="32055E8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bottom"/>
          </w:tcPr>
          <w:p w14:paraId="12C530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noWrap/>
            <w:vAlign w:val="bottom"/>
          </w:tcPr>
          <w:p w14:paraId="620441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noWrap/>
            <w:vAlign w:val="bottom"/>
          </w:tcPr>
          <w:p w14:paraId="47C04A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493C70C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1FB3C6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noWrap/>
            <w:vAlign w:val="bottom"/>
          </w:tcPr>
          <w:p w14:paraId="569C72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54DC48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noWrap/>
            <w:vAlign w:val="bottom"/>
          </w:tcPr>
          <w:p w14:paraId="31B59E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39443A3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4AA6CA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26E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F59C6A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596" w:type="pct"/>
            <w:shd w:val="clear" w:color="auto" w:fill="auto"/>
            <w:vAlign w:val="center"/>
          </w:tcPr>
          <w:p w14:paraId="1B1E72D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361" w:type="pct"/>
            <w:shd w:val="clear" w:color="auto" w:fill="auto"/>
            <w:vAlign w:val="center"/>
          </w:tcPr>
          <w:p w14:paraId="1EFAD5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11,213.75</w:t>
            </w:r>
          </w:p>
        </w:tc>
        <w:tc>
          <w:tcPr>
            <w:tcW w:w="1026" w:type="dxa"/>
            <w:shd w:val="clear" w:color="auto" w:fill="auto"/>
            <w:vAlign w:val="bottom"/>
          </w:tcPr>
          <w:p w14:paraId="3639763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noWrap/>
            <w:vAlign w:val="bottom"/>
          </w:tcPr>
          <w:p w14:paraId="0A61D7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noWrap/>
            <w:vAlign w:val="bottom"/>
          </w:tcPr>
          <w:p w14:paraId="5EE958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2E70F10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35EC0C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noWrap/>
            <w:vAlign w:val="bottom"/>
          </w:tcPr>
          <w:p w14:paraId="7808E0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2A3190F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noWrap/>
            <w:vAlign w:val="bottom"/>
          </w:tcPr>
          <w:p w14:paraId="20BE9B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noWrap/>
            <w:vAlign w:val="bottom"/>
          </w:tcPr>
          <w:p w14:paraId="61615F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noWrap/>
            <w:vAlign w:val="bottom"/>
          </w:tcPr>
          <w:p w14:paraId="532518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70F4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4" w:type="pct"/>
            <w:shd w:val="clear" w:color="auto" w:fill="auto"/>
            <w:vAlign w:val="center"/>
          </w:tcPr>
          <w:p w14:paraId="62EECA5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596" w:type="pct"/>
            <w:shd w:val="clear" w:color="auto" w:fill="auto"/>
            <w:vAlign w:val="center"/>
          </w:tcPr>
          <w:p w14:paraId="6748E9D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361" w:type="pct"/>
            <w:shd w:val="clear" w:color="auto" w:fill="auto"/>
            <w:vAlign w:val="center"/>
          </w:tcPr>
          <w:p w14:paraId="58807D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34894E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bottom"/>
          </w:tcPr>
          <w:p w14:paraId="24903E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bottom"/>
          </w:tcPr>
          <w:p w14:paraId="25932F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25B687E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3453802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noWrap/>
            <w:vAlign w:val="bottom"/>
          </w:tcPr>
          <w:p w14:paraId="769A83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3F38D1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noWrap/>
            <w:vAlign w:val="bottom"/>
          </w:tcPr>
          <w:p w14:paraId="01F2DD1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657A96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516F99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FA0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4" w:type="pct"/>
            <w:shd w:val="clear" w:color="auto" w:fill="auto"/>
            <w:vAlign w:val="center"/>
          </w:tcPr>
          <w:p w14:paraId="7D016E5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596" w:type="pct"/>
            <w:shd w:val="clear" w:color="auto" w:fill="auto"/>
            <w:vAlign w:val="center"/>
          </w:tcPr>
          <w:p w14:paraId="6B7A734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361" w:type="pct"/>
            <w:shd w:val="clear" w:color="auto" w:fill="auto"/>
            <w:vAlign w:val="center"/>
          </w:tcPr>
          <w:p w14:paraId="7D74E2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67E207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068" w:type="dxa"/>
            <w:shd w:val="clear" w:color="auto" w:fill="auto"/>
            <w:noWrap/>
            <w:vAlign w:val="bottom"/>
          </w:tcPr>
          <w:p w14:paraId="5412E4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090" w:type="dxa"/>
            <w:shd w:val="clear" w:color="auto" w:fill="auto"/>
            <w:noWrap/>
            <w:vAlign w:val="bottom"/>
          </w:tcPr>
          <w:p w14:paraId="68FFCC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096" w:type="dxa"/>
            <w:shd w:val="clear" w:color="auto" w:fill="auto"/>
            <w:noWrap/>
            <w:vAlign w:val="bottom"/>
          </w:tcPr>
          <w:p w14:paraId="4221A1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096" w:type="dxa"/>
            <w:shd w:val="clear" w:color="auto" w:fill="auto"/>
            <w:noWrap/>
            <w:vAlign w:val="bottom"/>
          </w:tcPr>
          <w:p w14:paraId="505A756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0.00</w:t>
            </w:r>
          </w:p>
        </w:tc>
        <w:tc>
          <w:tcPr>
            <w:tcW w:w="1116" w:type="dxa"/>
            <w:shd w:val="clear" w:color="auto" w:fill="auto"/>
            <w:noWrap/>
            <w:vAlign w:val="bottom"/>
          </w:tcPr>
          <w:p w14:paraId="4AAAD9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7A13E7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noWrap/>
            <w:vAlign w:val="bottom"/>
          </w:tcPr>
          <w:p w14:paraId="160FD8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5C214D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2016829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DDA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5EAB49D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596" w:type="pct"/>
            <w:shd w:val="clear" w:color="auto" w:fill="auto"/>
            <w:vAlign w:val="center"/>
          </w:tcPr>
          <w:p w14:paraId="38C955D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361" w:type="pct"/>
            <w:shd w:val="clear" w:color="auto" w:fill="auto"/>
            <w:vAlign w:val="center"/>
          </w:tcPr>
          <w:p w14:paraId="44A7B8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14,067.78</w:t>
            </w:r>
          </w:p>
        </w:tc>
        <w:tc>
          <w:tcPr>
            <w:tcW w:w="1026" w:type="dxa"/>
            <w:shd w:val="clear" w:color="auto" w:fill="auto"/>
            <w:vAlign w:val="center"/>
          </w:tcPr>
          <w:p w14:paraId="1658CA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211EE6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74BF84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7A0D18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2943D52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6D2ABB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12BEAD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69DCE3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593644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082109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7929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CC6615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596" w:type="pct"/>
            <w:shd w:val="clear" w:color="auto" w:fill="auto"/>
            <w:vAlign w:val="center"/>
          </w:tcPr>
          <w:p w14:paraId="26023F7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361" w:type="pct"/>
            <w:shd w:val="clear" w:color="auto" w:fill="auto"/>
            <w:vAlign w:val="center"/>
          </w:tcPr>
          <w:p w14:paraId="6C95BE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7B96AD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28,636.58</w:t>
            </w:r>
          </w:p>
        </w:tc>
        <w:tc>
          <w:tcPr>
            <w:tcW w:w="1068" w:type="dxa"/>
            <w:shd w:val="clear" w:color="auto" w:fill="auto"/>
            <w:vAlign w:val="center"/>
          </w:tcPr>
          <w:p w14:paraId="166578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28,350.98</w:t>
            </w:r>
          </w:p>
        </w:tc>
        <w:tc>
          <w:tcPr>
            <w:tcW w:w="1090" w:type="dxa"/>
            <w:shd w:val="clear" w:color="auto" w:fill="auto"/>
            <w:vAlign w:val="center"/>
          </w:tcPr>
          <w:p w14:paraId="418B26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28,065.38</w:t>
            </w:r>
          </w:p>
        </w:tc>
        <w:tc>
          <w:tcPr>
            <w:tcW w:w="1096" w:type="dxa"/>
            <w:shd w:val="clear" w:color="auto" w:fill="auto"/>
            <w:vAlign w:val="center"/>
          </w:tcPr>
          <w:p w14:paraId="30C8E5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27,779.78</w:t>
            </w:r>
          </w:p>
        </w:tc>
        <w:tc>
          <w:tcPr>
            <w:tcW w:w="1096" w:type="dxa"/>
            <w:shd w:val="clear" w:color="auto" w:fill="auto"/>
            <w:vAlign w:val="center"/>
          </w:tcPr>
          <w:p w14:paraId="1B612D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27,494.18</w:t>
            </w:r>
          </w:p>
        </w:tc>
        <w:tc>
          <w:tcPr>
            <w:tcW w:w="1116" w:type="dxa"/>
            <w:shd w:val="clear" w:color="auto" w:fill="auto"/>
            <w:vAlign w:val="center"/>
          </w:tcPr>
          <w:p w14:paraId="5F1520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27,208.58</w:t>
            </w:r>
          </w:p>
        </w:tc>
        <w:tc>
          <w:tcPr>
            <w:tcW w:w="1096" w:type="dxa"/>
            <w:shd w:val="clear" w:color="auto" w:fill="auto"/>
            <w:vAlign w:val="center"/>
          </w:tcPr>
          <w:p w14:paraId="149D1D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26,922.98</w:t>
            </w:r>
          </w:p>
        </w:tc>
        <w:tc>
          <w:tcPr>
            <w:tcW w:w="1119" w:type="dxa"/>
            <w:shd w:val="clear" w:color="auto" w:fill="auto"/>
            <w:vAlign w:val="center"/>
          </w:tcPr>
          <w:p w14:paraId="4FC358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26,637.38</w:t>
            </w:r>
          </w:p>
        </w:tc>
        <w:tc>
          <w:tcPr>
            <w:tcW w:w="1076" w:type="dxa"/>
            <w:shd w:val="clear" w:color="auto" w:fill="auto"/>
            <w:vAlign w:val="center"/>
          </w:tcPr>
          <w:p w14:paraId="3FCEE96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26,351.78</w:t>
            </w:r>
          </w:p>
        </w:tc>
        <w:tc>
          <w:tcPr>
            <w:tcW w:w="1076" w:type="dxa"/>
            <w:shd w:val="clear" w:color="auto" w:fill="auto"/>
            <w:vAlign w:val="center"/>
          </w:tcPr>
          <w:p w14:paraId="6DB9AE8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26,066.18</w:t>
            </w:r>
          </w:p>
        </w:tc>
      </w:tr>
      <w:tr w14:paraId="5CE3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198B521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596" w:type="pct"/>
            <w:shd w:val="clear" w:color="auto" w:fill="auto"/>
            <w:vAlign w:val="center"/>
          </w:tcPr>
          <w:p w14:paraId="17FB557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361" w:type="pct"/>
            <w:shd w:val="clear" w:color="auto" w:fill="auto"/>
            <w:vAlign w:val="center"/>
          </w:tcPr>
          <w:p w14:paraId="4DA960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1E959D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28,350.98</w:t>
            </w:r>
          </w:p>
        </w:tc>
        <w:tc>
          <w:tcPr>
            <w:tcW w:w="1068" w:type="dxa"/>
            <w:shd w:val="clear" w:color="auto" w:fill="auto"/>
            <w:vAlign w:val="center"/>
          </w:tcPr>
          <w:p w14:paraId="06A167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28,065.38</w:t>
            </w:r>
          </w:p>
        </w:tc>
        <w:tc>
          <w:tcPr>
            <w:tcW w:w="1090" w:type="dxa"/>
            <w:shd w:val="clear" w:color="auto" w:fill="auto"/>
            <w:vAlign w:val="center"/>
          </w:tcPr>
          <w:p w14:paraId="78676C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27,779.78</w:t>
            </w:r>
          </w:p>
        </w:tc>
        <w:tc>
          <w:tcPr>
            <w:tcW w:w="1096" w:type="dxa"/>
            <w:shd w:val="clear" w:color="auto" w:fill="auto"/>
            <w:vAlign w:val="center"/>
          </w:tcPr>
          <w:p w14:paraId="2EBC28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27,494.18</w:t>
            </w:r>
          </w:p>
        </w:tc>
        <w:tc>
          <w:tcPr>
            <w:tcW w:w="1096" w:type="dxa"/>
            <w:shd w:val="clear" w:color="auto" w:fill="auto"/>
            <w:vAlign w:val="center"/>
          </w:tcPr>
          <w:p w14:paraId="59AD93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27,208.58</w:t>
            </w:r>
          </w:p>
        </w:tc>
        <w:tc>
          <w:tcPr>
            <w:tcW w:w="1116" w:type="dxa"/>
            <w:shd w:val="clear" w:color="auto" w:fill="auto"/>
            <w:vAlign w:val="center"/>
          </w:tcPr>
          <w:p w14:paraId="2736F9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26,922.98</w:t>
            </w:r>
          </w:p>
        </w:tc>
        <w:tc>
          <w:tcPr>
            <w:tcW w:w="1096" w:type="dxa"/>
            <w:shd w:val="clear" w:color="auto" w:fill="auto"/>
            <w:vAlign w:val="center"/>
          </w:tcPr>
          <w:p w14:paraId="23D2845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26,637.38</w:t>
            </w:r>
          </w:p>
        </w:tc>
        <w:tc>
          <w:tcPr>
            <w:tcW w:w="1119" w:type="dxa"/>
            <w:shd w:val="clear" w:color="auto" w:fill="auto"/>
            <w:vAlign w:val="center"/>
          </w:tcPr>
          <w:p w14:paraId="7E3244F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26,351.78</w:t>
            </w:r>
          </w:p>
        </w:tc>
        <w:tc>
          <w:tcPr>
            <w:tcW w:w="1076" w:type="dxa"/>
            <w:shd w:val="clear" w:color="auto" w:fill="auto"/>
            <w:vAlign w:val="center"/>
          </w:tcPr>
          <w:p w14:paraId="1AB24D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26,066.18</w:t>
            </w:r>
          </w:p>
        </w:tc>
        <w:tc>
          <w:tcPr>
            <w:tcW w:w="1076" w:type="dxa"/>
            <w:shd w:val="clear" w:color="auto" w:fill="auto"/>
            <w:vAlign w:val="center"/>
          </w:tcPr>
          <w:p w14:paraId="0E4E703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25,780.58</w:t>
            </w:r>
          </w:p>
        </w:tc>
      </w:tr>
    </w:tbl>
    <w:p w14:paraId="0495F5C4">
      <w:pPr>
        <w:pStyle w:val="19"/>
        <w:spacing w:before="0" w:beforeAutospacing="0" w:after="0" w:afterAutospacing="0" w:line="360" w:lineRule="exact"/>
        <w:ind w:right="-515" w:rightChars="-243" w:firstLine="364" w:firstLineChars="200"/>
        <w:jc w:val="right"/>
        <w:rPr>
          <w:color w:val="000000" w:themeColor="text1"/>
          <w:sz w:val="18"/>
          <w:szCs w:val="18"/>
          <w:highlight w:val="none"/>
          <w14:textFill>
            <w14:solidFill>
              <w14:schemeClr w14:val="tx1"/>
            </w14:solidFill>
          </w14:textFill>
        </w:rPr>
      </w:pPr>
    </w:p>
    <w:tbl>
      <w:tblPr>
        <w:tblStyle w:val="23"/>
        <w:tblW w:w="5041" w:type="pct"/>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697"/>
        <w:gridCol w:w="1028"/>
        <w:gridCol w:w="1026"/>
        <w:gridCol w:w="1068"/>
        <w:gridCol w:w="1090"/>
        <w:gridCol w:w="1096"/>
        <w:gridCol w:w="1096"/>
        <w:gridCol w:w="1116"/>
        <w:gridCol w:w="1096"/>
        <w:gridCol w:w="1119"/>
        <w:gridCol w:w="1076"/>
        <w:gridCol w:w="1076"/>
      </w:tblGrid>
      <w:tr w14:paraId="4E9C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224" w:type="pct"/>
            <w:shd w:val="clear" w:color="auto" w:fill="auto"/>
            <w:vAlign w:val="center"/>
          </w:tcPr>
          <w:p w14:paraId="20BC4CD7">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596" w:type="pct"/>
            <w:shd w:val="clear" w:color="auto" w:fill="auto"/>
            <w:vAlign w:val="center"/>
          </w:tcPr>
          <w:p w14:paraId="0FCA2CEF">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361" w:type="pct"/>
            <w:shd w:val="clear" w:color="auto" w:fill="auto"/>
            <w:vAlign w:val="center"/>
          </w:tcPr>
          <w:p w14:paraId="35D9888C">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1026" w:type="dxa"/>
            <w:shd w:val="clear" w:color="auto" w:fill="auto"/>
            <w:vAlign w:val="center"/>
          </w:tcPr>
          <w:p w14:paraId="42B00DA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2042年</w:t>
            </w:r>
          </w:p>
        </w:tc>
        <w:tc>
          <w:tcPr>
            <w:tcW w:w="1068" w:type="dxa"/>
            <w:shd w:val="clear" w:color="auto" w:fill="auto"/>
            <w:vAlign w:val="center"/>
          </w:tcPr>
          <w:p w14:paraId="0F0DAA9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2043年</w:t>
            </w:r>
          </w:p>
        </w:tc>
        <w:tc>
          <w:tcPr>
            <w:tcW w:w="1090" w:type="dxa"/>
            <w:shd w:val="clear" w:color="auto" w:fill="auto"/>
            <w:vAlign w:val="center"/>
          </w:tcPr>
          <w:p w14:paraId="3FAA86D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2044年</w:t>
            </w:r>
          </w:p>
        </w:tc>
        <w:tc>
          <w:tcPr>
            <w:tcW w:w="1096" w:type="dxa"/>
            <w:shd w:val="clear" w:color="auto" w:fill="auto"/>
            <w:vAlign w:val="center"/>
          </w:tcPr>
          <w:p w14:paraId="586755F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2045年</w:t>
            </w:r>
          </w:p>
        </w:tc>
        <w:tc>
          <w:tcPr>
            <w:tcW w:w="1096" w:type="dxa"/>
            <w:shd w:val="clear" w:color="auto" w:fill="auto"/>
            <w:vAlign w:val="center"/>
          </w:tcPr>
          <w:p w14:paraId="768BE0F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2046年</w:t>
            </w:r>
          </w:p>
        </w:tc>
        <w:tc>
          <w:tcPr>
            <w:tcW w:w="1116" w:type="dxa"/>
            <w:shd w:val="clear" w:color="auto" w:fill="auto"/>
            <w:vAlign w:val="center"/>
          </w:tcPr>
          <w:p w14:paraId="20FACDBB">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2047年</w:t>
            </w:r>
          </w:p>
        </w:tc>
        <w:tc>
          <w:tcPr>
            <w:tcW w:w="1096" w:type="dxa"/>
            <w:shd w:val="clear" w:color="auto" w:fill="auto"/>
            <w:vAlign w:val="center"/>
          </w:tcPr>
          <w:p w14:paraId="48B61EA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2048年</w:t>
            </w:r>
          </w:p>
        </w:tc>
        <w:tc>
          <w:tcPr>
            <w:tcW w:w="1119" w:type="dxa"/>
            <w:shd w:val="clear" w:color="auto" w:fill="auto"/>
            <w:vAlign w:val="center"/>
          </w:tcPr>
          <w:p w14:paraId="5906EB0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2049年</w:t>
            </w:r>
          </w:p>
        </w:tc>
        <w:tc>
          <w:tcPr>
            <w:tcW w:w="1076" w:type="dxa"/>
            <w:shd w:val="clear" w:color="auto" w:fill="auto"/>
            <w:vAlign w:val="center"/>
          </w:tcPr>
          <w:p w14:paraId="6992AE3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2050年</w:t>
            </w:r>
          </w:p>
        </w:tc>
        <w:tc>
          <w:tcPr>
            <w:tcW w:w="1076" w:type="dxa"/>
            <w:shd w:val="clear" w:color="auto" w:fill="auto"/>
            <w:vAlign w:val="center"/>
          </w:tcPr>
          <w:p w14:paraId="7740B64F">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2051年</w:t>
            </w:r>
          </w:p>
        </w:tc>
      </w:tr>
      <w:tr w14:paraId="7F5A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0273739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596" w:type="pct"/>
            <w:shd w:val="clear" w:color="auto" w:fill="auto"/>
            <w:vAlign w:val="center"/>
          </w:tcPr>
          <w:p w14:paraId="2480632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361" w:type="pct"/>
            <w:shd w:val="clear" w:color="auto" w:fill="auto"/>
            <w:vAlign w:val="center"/>
          </w:tcPr>
          <w:p w14:paraId="5AD9B9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80,263.74</w:t>
            </w:r>
          </w:p>
        </w:tc>
        <w:tc>
          <w:tcPr>
            <w:tcW w:w="1026" w:type="dxa"/>
            <w:shd w:val="clear" w:color="auto" w:fill="auto"/>
            <w:vAlign w:val="center"/>
          </w:tcPr>
          <w:p w14:paraId="31A191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1409CFB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01DCFF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75F315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6F08D9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51810F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2B380D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45D9483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0CF700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30A8E0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07C6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24" w:type="pct"/>
            <w:shd w:val="clear" w:color="auto" w:fill="auto"/>
            <w:vAlign w:val="center"/>
          </w:tcPr>
          <w:p w14:paraId="7796FA3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286816B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361" w:type="pct"/>
            <w:shd w:val="clear" w:color="auto" w:fill="auto"/>
            <w:vAlign w:val="center"/>
          </w:tcPr>
          <w:p w14:paraId="1EE58E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1026" w:type="dxa"/>
            <w:shd w:val="clear" w:color="auto" w:fill="auto"/>
            <w:vAlign w:val="center"/>
          </w:tcPr>
          <w:p w14:paraId="1FACCE4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706665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0A2849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360EB9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7AFBCB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4D4971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46C6FC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394353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39DAA3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1FCB30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375C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C54D25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2530D47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361" w:type="pct"/>
            <w:shd w:val="clear" w:color="auto" w:fill="auto"/>
            <w:vAlign w:val="center"/>
          </w:tcPr>
          <w:p w14:paraId="7613C5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26EA34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33C14C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4ADC99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A7609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06373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59939A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E5F59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4205D7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35369B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23C88FE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CDE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136F5AB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3E2981C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361" w:type="pct"/>
            <w:shd w:val="clear" w:color="auto" w:fill="auto"/>
            <w:vAlign w:val="center"/>
          </w:tcPr>
          <w:p w14:paraId="125E5B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1026" w:type="dxa"/>
            <w:shd w:val="clear" w:color="auto" w:fill="auto"/>
            <w:vAlign w:val="bottom"/>
          </w:tcPr>
          <w:p w14:paraId="54FD2A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bottom"/>
          </w:tcPr>
          <w:p w14:paraId="342061D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bottom"/>
          </w:tcPr>
          <w:p w14:paraId="4F05A1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28AD8E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bottom"/>
          </w:tcPr>
          <w:p w14:paraId="092C02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noWrap/>
            <w:vAlign w:val="bottom"/>
          </w:tcPr>
          <w:p w14:paraId="080114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5812C5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noWrap/>
            <w:vAlign w:val="bottom"/>
          </w:tcPr>
          <w:p w14:paraId="6A5F90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24E091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6A92ED9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4F35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224" w:type="pct"/>
            <w:shd w:val="clear" w:color="auto" w:fill="auto"/>
            <w:vAlign w:val="center"/>
          </w:tcPr>
          <w:p w14:paraId="05B04E7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3B05362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361" w:type="pct"/>
            <w:shd w:val="clear" w:color="auto" w:fill="auto"/>
            <w:vAlign w:val="center"/>
          </w:tcPr>
          <w:p w14:paraId="378CDE6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center"/>
          </w:tcPr>
          <w:p w14:paraId="7CD6F17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74F50A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13B280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3857B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68F881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1620975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4D300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26F82A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AD544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694395C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76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6E16CF9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596" w:type="pct"/>
            <w:shd w:val="clear" w:color="auto" w:fill="auto"/>
            <w:vAlign w:val="center"/>
          </w:tcPr>
          <w:p w14:paraId="7663C76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361" w:type="pct"/>
            <w:shd w:val="clear" w:color="auto" w:fill="auto"/>
            <w:vAlign w:val="center"/>
          </w:tcPr>
          <w:p w14:paraId="015B856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center"/>
          </w:tcPr>
          <w:p w14:paraId="4435FD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5793BB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4E826E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4F8ECB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5562DA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6BCD39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2C980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61EB45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6E3D1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BA0D26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D6A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6BA29FD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596" w:type="pct"/>
            <w:shd w:val="clear" w:color="auto" w:fill="auto"/>
            <w:vAlign w:val="center"/>
          </w:tcPr>
          <w:p w14:paraId="1A0D0EE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361" w:type="pct"/>
            <w:shd w:val="clear" w:color="auto" w:fill="auto"/>
            <w:vAlign w:val="center"/>
          </w:tcPr>
          <w:p w14:paraId="28B0D0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62289D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5226F2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700D2C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BFBE5D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1019D8B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2745417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4191C5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2B2B7D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3EAA81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E2E923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348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942FE4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4E69F3F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361" w:type="pct"/>
            <w:shd w:val="clear" w:color="auto" w:fill="auto"/>
            <w:vAlign w:val="center"/>
          </w:tcPr>
          <w:p w14:paraId="1810E5D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6,162.28</w:t>
            </w:r>
          </w:p>
        </w:tc>
        <w:tc>
          <w:tcPr>
            <w:tcW w:w="1026" w:type="dxa"/>
            <w:shd w:val="clear" w:color="auto" w:fill="auto"/>
            <w:vAlign w:val="center"/>
          </w:tcPr>
          <w:p w14:paraId="37B6FC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16BC97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1346DF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97308A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38093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318F50D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59095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74C371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DB3DCA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69E7ED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7C3E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0FEA56E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596" w:type="pct"/>
            <w:shd w:val="clear" w:color="auto" w:fill="auto"/>
            <w:vAlign w:val="center"/>
          </w:tcPr>
          <w:p w14:paraId="6F526BB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361" w:type="pct"/>
            <w:shd w:val="clear" w:color="auto" w:fill="auto"/>
            <w:vAlign w:val="center"/>
          </w:tcPr>
          <w:p w14:paraId="5C6862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66,195.96</w:t>
            </w:r>
          </w:p>
        </w:tc>
        <w:tc>
          <w:tcPr>
            <w:tcW w:w="1026" w:type="dxa"/>
            <w:shd w:val="clear" w:color="auto" w:fill="auto"/>
            <w:vAlign w:val="center"/>
          </w:tcPr>
          <w:p w14:paraId="5AA073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615994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609437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1CBBF4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736DDA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558A501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3CACB63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1EDECA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26ADF1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13A6F75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34D9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24" w:type="pct"/>
            <w:shd w:val="clear" w:color="auto" w:fill="auto"/>
            <w:vAlign w:val="center"/>
          </w:tcPr>
          <w:p w14:paraId="22DC426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6" w:type="pct"/>
            <w:shd w:val="clear" w:color="auto" w:fill="auto"/>
            <w:vAlign w:val="center"/>
          </w:tcPr>
          <w:p w14:paraId="1BEA149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361" w:type="pct"/>
            <w:shd w:val="clear" w:color="auto" w:fill="auto"/>
            <w:vAlign w:val="center"/>
          </w:tcPr>
          <w:p w14:paraId="1B96D42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1026" w:type="dxa"/>
            <w:shd w:val="clear" w:color="auto" w:fill="auto"/>
            <w:vAlign w:val="center"/>
          </w:tcPr>
          <w:p w14:paraId="3100FB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28577F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5451C6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72B50B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14488A7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13BEF2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7921BC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4D270D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46A08AD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1617EE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4A47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463B280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6" w:type="pct"/>
            <w:shd w:val="clear" w:color="auto" w:fill="auto"/>
            <w:vAlign w:val="center"/>
          </w:tcPr>
          <w:p w14:paraId="0AD2942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361" w:type="pct"/>
            <w:shd w:val="clear" w:color="auto" w:fill="auto"/>
            <w:vAlign w:val="center"/>
          </w:tcPr>
          <w:p w14:paraId="6C99EA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1026" w:type="dxa"/>
            <w:shd w:val="clear" w:color="auto" w:fill="auto"/>
            <w:vAlign w:val="center"/>
          </w:tcPr>
          <w:p w14:paraId="68A2C6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vAlign w:val="center"/>
          </w:tcPr>
          <w:p w14:paraId="402DF4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vAlign w:val="center"/>
          </w:tcPr>
          <w:p w14:paraId="3688B1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326828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479938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vAlign w:val="center"/>
          </w:tcPr>
          <w:p w14:paraId="32DBA79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vAlign w:val="center"/>
          </w:tcPr>
          <w:p w14:paraId="1885B8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vAlign w:val="center"/>
          </w:tcPr>
          <w:p w14:paraId="2BBD17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2E3DFC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vAlign w:val="center"/>
          </w:tcPr>
          <w:p w14:paraId="38C1B6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229B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BD6573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6" w:type="pct"/>
            <w:shd w:val="clear" w:color="auto" w:fill="auto"/>
            <w:vAlign w:val="center"/>
          </w:tcPr>
          <w:p w14:paraId="7285F2A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361" w:type="pct"/>
            <w:shd w:val="clear" w:color="auto" w:fill="auto"/>
            <w:vAlign w:val="center"/>
          </w:tcPr>
          <w:p w14:paraId="19DC49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628E92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051AE0C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6AC71F1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DD1D11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2C6F48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1F74D2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5A8DD57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60ECE3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0049B0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34B10A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4FB5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4" w:type="pct"/>
            <w:shd w:val="clear" w:color="auto" w:fill="auto"/>
            <w:vAlign w:val="center"/>
          </w:tcPr>
          <w:p w14:paraId="33ABC98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6" w:type="pct"/>
            <w:shd w:val="clear" w:color="auto" w:fill="auto"/>
            <w:vAlign w:val="center"/>
          </w:tcPr>
          <w:p w14:paraId="0A5E7AE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361" w:type="pct"/>
            <w:shd w:val="clear" w:color="auto" w:fill="auto"/>
            <w:vAlign w:val="center"/>
          </w:tcPr>
          <w:p w14:paraId="3D93DFB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30,062.28</w:t>
            </w:r>
          </w:p>
        </w:tc>
        <w:tc>
          <w:tcPr>
            <w:tcW w:w="1026" w:type="dxa"/>
            <w:shd w:val="clear" w:color="auto" w:fill="auto"/>
            <w:vAlign w:val="center"/>
          </w:tcPr>
          <w:p w14:paraId="4870AC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20391F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28D58B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3EABCE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6C3C274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4DDCBFF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79CB0B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03126E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1934CA5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3F830FD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30CC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4" w:type="pct"/>
            <w:shd w:val="clear" w:color="auto" w:fill="auto"/>
            <w:vAlign w:val="center"/>
          </w:tcPr>
          <w:p w14:paraId="42F8EB1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6" w:type="pct"/>
            <w:shd w:val="clear" w:color="auto" w:fill="auto"/>
            <w:vAlign w:val="center"/>
          </w:tcPr>
          <w:p w14:paraId="5DC5540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361" w:type="pct"/>
            <w:shd w:val="clear" w:color="auto" w:fill="auto"/>
            <w:vAlign w:val="center"/>
          </w:tcPr>
          <w:p w14:paraId="7788CC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35,129.65</w:t>
            </w:r>
          </w:p>
        </w:tc>
        <w:tc>
          <w:tcPr>
            <w:tcW w:w="1026" w:type="dxa"/>
            <w:shd w:val="clear" w:color="auto" w:fill="auto"/>
            <w:vAlign w:val="center"/>
          </w:tcPr>
          <w:p w14:paraId="22F396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1C64BC7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36B4BC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688297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65A8059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1B0346D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0527C2D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58355E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728AD7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3662B2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557D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1B87AAC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596" w:type="pct"/>
            <w:shd w:val="clear" w:color="auto" w:fill="auto"/>
            <w:vAlign w:val="center"/>
          </w:tcPr>
          <w:p w14:paraId="74973A7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361" w:type="pct"/>
            <w:shd w:val="clear" w:color="auto" w:fill="auto"/>
            <w:vAlign w:val="center"/>
          </w:tcPr>
          <w:p w14:paraId="0919ECA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15.90</w:t>
            </w:r>
          </w:p>
        </w:tc>
        <w:tc>
          <w:tcPr>
            <w:tcW w:w="1026" w:type="dxa"/>
            <w:shd w:val="clear" w:color="auto" w:fill="auto"/>
            <w:vAlign w:val="center"/>
          </w:tcPr>
          <w:p w14:paraId="4D3FAA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center"/>
          </w:tcPr>
          <w:p w14:paraId="3AAF5F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center"/>
          </w:tcPr>
          <w:p w14:paraId="371B047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034385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4E5B33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vAlign w:val="center"/>
          </w:tcPr>
          <w:p w14:paraId="40C55F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center"/>
          </w:tcPr>
          <w:p w14:paraId="323616A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vAlign w:val="center"/>
          </w:tcPr>
          <w:p w14:paraId="5B7E68B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096D6E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vAlign w:val="center"/>
          </w:tcPr>
          <w:p w14:paraId="621DEB6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259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511A188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596" w:type="pct"/>
            <w:shd w:val="clear" w:color="auto" w:fill="auto"/>
            <w:vAlign w:val="center"/>
          </w:tcPr>
          <w:p w14:paraId="6221862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361" w:type="pct"/>
            <w:shd w:val="clear" w:color="auto" w:fill="auto"/>
            <w:vAlign w:val="center"/>
          </w:tcPr>
          <w:p w14:paraId="46BFB12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1026" w:type="dxa"/>
            <w:shd w:val="clear" w:color="auto" w:fill="auto"/>
            <w:vAlign w:val="bottom"/>
          </w:tcPr>
          <w:p w14:paraId="639497E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68" w:type="dxa"/>
            <w:shd w:val="clear" w:color="auto" w:fill="auto"/>
            <w:noWrap/>
            <w:vAlign w:val="bottom"/>
          </w:tcPr>
          <w:p w14:paraId="54703E4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0" w:type="dxa"/>
            <w:shd w:val="clear" w:color="auto" w:fill="auto"/>
            <w:noWrap/>
            <w:vAlign w:val="bottom"/>
          </w:tcPr>
          <w:p w14:paraId="3016D3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6A3DA5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759159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6" w:type="dxa"/>
            <w:shd w:val="clear" w:color="auto" w:fill="auto"/>
            <w:noWrap/>
            <w:vAlign w:val="bottom"/>
          </w:tcPr>
          <w:p w14:paraId="715E36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96" w:type="dxa"/>
            <w:shd w:val="clear" w:color="auto" w:fill="auto"/>
            <w:noWrap/>
            <w:vAlign w:val="bottom"/>
          </w:tcPr>
          <w:p w14:paraId="14628C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119" w:type="dxa"/>
            <w:shd w:val="clear" w:color="auto" w:fill="auto"/>
            <w:noWrap/>
            <w:vAlign w:val="bottom"/>
          </w:tcPr>
          <w:p w14:paraId="5F77C9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749F402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76" w:type="dxa"/>
            <w:shd w:val="clear" w:color="auto" w:fill="auto"/>
            <w:noWrap/>
            <w:vAlign w:val="bottom"/>
          </w:tcPr>
          <w:p w14:paraId="16FC03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r>
      <w:tr w14:paraId="120B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15E1C7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596" w:type="pct"/>
            <w:shd w:val="clear" w:color="auto" w:fill="auto"/>
            <w:vAlign w:val="center"/>
          </w:tcPr>
          <w:p w14:paraId="79BC0FD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361" w:type="pct"/>
            <w:shd w:val="clear" w:color="auto" w:fill="auto"/>
            <w:vAlign w:val="center"/>
          </w:tcPr>
          <w:p w14:paraId="5EEF82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11,213.75</w:t>
            </w:r>
          </w:p>
        </w:tc>
        <w:tc>
          <w:tcPr>
            <w:tcW w:w="1026" w:type="dxa"/>
            <w:shd w:val="clear" w:color="auto" w:fill="auto"/>
            <w:vAlign w:val="bottom"/>
          </w:tcPr>
          <w:p w14:paraId="13DF5A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noWrap/>
            <w:vAlign w:val="bottom"/>
          </w:tcPr>
          <w:p w14:paraId="506447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noWrap/>
            <w:vAlign w:val="bottom"/>
          </w:tcPr>
          <w:p w14:paraId="60378BC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737E25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133E96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noWrap/>
            <w:vAlign w:val="bottom"/>
          </w:tcPr>
          <w:p w14:paraId="713EA3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noWrap/>
            <w:vAlign w:val="bottom"/>
          </w:tcPr>
          <w:p w14:paraId="742020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noWrap/>
            <w:vAlign w:val="bottom"/>
          </w:tcPr>
          <w:p w14:paraId="34A1BDC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noWrap/>
            <w:vAlign w:val="bottom"/>
          </w:tcPr>
          <w:p w14:paraId="4AB581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noWrap/>
            <w:vAlign w:val="bottom"/>
          </w:tcPr>
          <w:p w14:paraId="108779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1EF1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4" w:type="pct"/>
            <w:shd w:val="clear" w:color="auto" w:fill="auto"/>
            <w:vAlign w:val="center"/>
          </w:tcPr>
          <w:p w14:paraId="54A7968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596" w:type="pct"/>
            <w:shd w:val="clear" w:color="auto" w:fill="auto"/>
            <w:vAlign w:val="center"/>
          </w:tcPr>
          <w:p w14:paraId="185D082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361" w:type="pct"/>
            <w:shd w:val="clear" w:color="auto" w:fill="auto"/>
            <w:vAlign w:val="center"/>
          </w:tcPr>
          <w:p w14:paraId="660616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4578246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vAlign w:val="bottom"/>
          </w:tcPr>
          <w:p w14:paraId="4598FF4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vAlign w:val="bottom"/>
          </w:tcPr>
          <w:p w14:paraId="3A8992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bottom"/>
          </w:tcPr>
          <w:p w14:paraId="56257F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vAlign w:val="bottom"/>
          </w:tcPr>
          <w:p w14:paraId="451A40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noWrap/>
            <w:vAlign w:val="bottom"/>
          </w:tcPr>
          <w:p w14:paraId="6DFB0AF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2F88CE5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noWrap/>
            <w:vAlign w:val="bottom"/>
          </w:tcPr>
          <w:p w14:paraId="543E8C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5CDA835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367EB00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5E8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4" w:type="pct"/>
            <w:shd w:val="clear" w:color="auto" w:fill="auto"/>
            <w:vAlign w:val="center"/>
          </w:tcPr>
          <w:p w14:paraId="248547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596" w:type="pct"/>
            <w:shd w:val="clear" w:color="auto" w:fill="auto"/>
            <w:vAlign w:val="center"/>
          </w:tcPr>
          <w:p w14:paraId="0B0AFC3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361" w:type="pct"/>
            <w:shd w:val="clear" w:color="auto" w:fill="auto"/>
            <w:vAlign w:val="center"/>
          </w:tcPr>
          <w:p w14:paraId="3EC4DD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bottom"/>
          </w:tcPr>
          <w:p w14:paraId="7C8C97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68" w:type="dxa"/>
            <w:shd w:val="clear" w:color="auto" w:fill="auto"/>
            <w:noWrap/>
            <w:vAlign w:val="bottom"/>
          </w:tcPr>
          <w:p w14:paraId="3866EE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0" w:type="dxa"/>
            <w:shd w:val="clear" w:color="auto" w:fill="auto"/>
            <w:noWrap/>
            <w:vAlign w:val="bottom"/>
          </w:tcPr>
          <w:p w14:paraId="77C046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0136E1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79DCAE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shd w:val="clear" w:color="auto" w:fill="auto"/>
            <w:noWrap/>
            <w:vAlign w:val="bottom"/>
          </w:tcPr>
          <w:p w14:paraId="6A50D8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96" w:type="dxa"/>
            <w:shd w:val="clear" w:color="auto" w:fill="auto"/>
            <w:noWrap/>
            <w:vAlign w:val="bottom"/>
          </w:tcPr>
          <w:p w14:paraId="69FA6C3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19" w:type="dxa"/>
            <w:shd w:val="clear" w:color="auto" w:fill="auto"/>
            <w:noWrap/>
            <w:vAlign w:val="bottom"/>
          </w:tcPr>
          <w:p w14:paraId="4AB90B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4F6E290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076" w:type="dxa"/>
            <w:shd w:val="clear" w:color="auto" w:fill="auto"/>
            <w:noWrap/>
            <w:vAlign w:val="bottom"/>
          </w:tcPr>
          <w:p w14:paraId="40C27CD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AC5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7040018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596" w:type="pct"/>
            <w:shd w:val="clear" w:color="auto" w:fill="auto"/>
            <w:vAlign w:val="center"/>
          </w:tcPr>
          <w:p w14:paraId="0B1A6129">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361" w:type="pct"/>
            <w:shd w:val="clear" w:color="auto" w:fill="auto"/>
            <w:vAlign w:val="center"/>
          </w:tcPr>
          <w:p w14:paraId="29617B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14,067.78</w:t>
            </w:r>
          </w:p>
        </w:tc>
        <w:tc>
          <w:tcPr>
            <w:tcW w:w="1026" w:type="dxa"/>
            <w:shd w:val="clear" w:color="auto" w:fill="auto"/>
            <w:vAlign w:val="center"/>
          </w:tcPr>
          <w:p w14:paraId="40B924F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68" w:type="dxa"/>
            <w:shd w:val="clear" w:color="auto" w:fill="auto"/>
            <w:vAlign w:val="center"/>
          </w:tcPr>
          <w:p w14:paraId="0FC414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0" w:type="dxa"/>
            <w:shd w:val="clear" w:color="auto" w:fill="auto"/>
            <w:vAlign w:val="center"/>
          </w:tcPr>
          <w:p w14:paraId="72FE91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5FD682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4700D6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6" w:type="dxa"/>
            <w:shd w:val="clear" w:color="auto" w:fill="auto"/>
            <w:vAlign w:val="center"/>
          </w:tcPr>
          <w:p w14:paraId="4015A6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96" w:type="dxa"/>
            <w:shd w:val="clear" w:color="auto" w:fill="auto"/>
            <w:vAlign w:val="center"/>
          </w:tcPr>
          <w:p w14:paraId="1B085E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119" w:type="dxa"/>
            <w:shd w:val="clear" w:color="auto" w:fill="auto"/>
            <w:vAlign w:val="center"/>
          </w:tcPr>
          <w:p w14:paraId="363911E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56C10E5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c>
          <w:tcPr>
            <w:tcW w:w="1076" w:type="dxa"/>
            <w:shd w:val="clear" w:color="auto" w:fill="auto"/>
            <w:vAlign w:val="center"/>
          </w:tcPr>
          <w:p w14:paraId="03299B1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-285.60</w:t>
            </w:r>
          </w:p>
        </w:tc>
      </w:tr>
      <w:tr w14:paraId="669F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3FBC6CBC">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596" w:type="pct"/>
            <w:shd w:val="clear" w:color="auto" w:fill="auto"/>
            <w:vAlign w:val="center"/>
          </w:tcPr>
          <w:p w14:paraId="505ED5A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361" w:type="pct"/>
            <w:shd w:val="clear" w:color="auto" w:fill="auto"/>
            <w:vAlign w:val="center"/>
          </w:tcPr>
          <w:p w14:paraId="1190254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169CC0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25,780.58</w:t>
            </w:r>
          </w:p>
        </w:tc>
        <w:tc>
          <w:tcPr>
            <w:tcW w:w="1068" w:type="dxa"/>
            <w:shd w:val="clear" w:color="auto" w:fill="auto"/>
            <w:vAlign w:val="center"/>
          </w:tcPr>
          <w:p w14:paraId="291DBE6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25,494.98</w:t>
            </w:r>
          </w:p>
        </w:tc>
        <w:tc>
          <w:tcPr>
            <w:tcW w:w="1090" w:type="dxa"/>
            <w:shd w:val="clear" w:color="auto" w:fill="auto"/>
            <w:vAlign w:val="center"/>
          </w:tcPr>
          <w:p w14:paraId="4624CA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25,209.38</w:t>
            </w:r>
          </w:p>
        </w:tc>
        <w:tc>
          <w:tcPr>
            <w:tcW w:w="1096" w:type="dxa"/>
            <w:shd w:val="clear" w:color="auto" w:fill="auto"/>
            <w:vAlign w:val="center"/>
          </w:tcPr>
          <w:p w14:paraId="38EA7F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24,923.78</w:t>
            </w:r>
          </w:p>
        </w:tc>
        <w:tc>
          <w:tcPr>
            <w:tcW w:w="1096" w:type="dxa"/>
            <w:shd w:val="clear" w:color="auto" w:fill="auto"/>
            <w:vAlign w:val="center"/>
          </w:tcPr>
          <w:p w14:paraId="1BC77F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24,638.18</w:t>
            </w:r>
          </w:p>
        </w:tc>
        <w:tc>
          <w:tcPr>
            <w:tcW w:w="1116" w:type="dxa"/>
            <w:shd w:val="clear" w:color="auto" w:fill="auto"/>
            <w:vAlign w:val="center"/>
          </w:tcPr>
          <w:p w14:paraId="69CBF7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24,352.58</w:t>
            </w:r>
          </w:p>
        </w:tc>
        <w:tc>
          <w:tcPr>
            <w:tcW w:w="1096" w:type="dxa"/>
            <w:shd w:val="clear" w:color="auto" w:fill="auto"/>
            <w:vAlign w:val="center"/>
          </w:tcPr>
          <w:p w14:paraId="000735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24,066.98</w:t>
            </w:r>
          </w:p>
        </w:tc>
        <w:tc>
          <w:tcPr>
            <w:tcW w:w="1119" w:type="dxa"/>
            <w:shd w:val="clear" w:color="auto" w:fill="auto"/>
            <w:vAlign w:val="center"/>
          </w:tcPr>
          <w:p w14:paraId="156D69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23,781.38</w:t>
            </w:r>
          </w:p>
        </w:tc>
        <w:tc>
          <w:tcPr>
            <w:tcW w:w="1076" w:type="dxa"/>
            <w:shd w:val="clear" w:color="auto" w:fill="auto"/>
            <w:vAlign w:val="center"/>
          </w:tcPr>
          <w:p w14:paraId="2EDA10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23,495.78</w:t>
            </w:r>
          </w:p>
        </w:tc>
        <w:tc>
          <w:tcPr>
            <w:tcW w:w="1076" w:type="dxa"/>
            <w:shd w:val="clear" w:color="auto" w:fill="auto"/>
            <w:vAlign w:val="center"/>
          </w:tcPr>
          <w:p w14:paraId="20353AE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23,210.18</w:t>
            </w:r>
          </w:p>
        </w:tc>
      </w:tr>
      <w:tr w14:paraId="7F74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4" w:type="pct"/>
            <w:shd w:val="clear" w:color="auto" w:fill="auto"/>
            <w:vAlign w:val="center"/>
          </w:tcPr>
          <w:p w14:paraId="22EA2BF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596" w:type="pct"/>
            <w:shd w:val="clear" w:color="auto" w:fill="auto"/>
            <w:vAlign w:val="center"/>
          </w:tcPr>
          <w:p w14:paraId="68D738E0">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361" w:type="pct"/>
            <w:shd w:val="clear" w:color="auto" w:fill="auto"/>
            <w:vAlign w:val="center"/>
          </w:tcPr>
          <w:p w14:paraId="599DBC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1026" w:type="dxa"/>
            <w:shd w:val="clear" w:color="auto" w:fill="auto"/>
            <w:vAlign w:val="center"/>
          </w:tcPr>
          <w:p w14:paraId="6C7064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25,494.98</w:t>
            </w:r>
          </w:p>
        </w:tc>
        <w:tc>
          <w:tcPr>
            <w:tcW w:w="1068" w:type="dxa"/>
            <w:shd w:val="clear" w:color="auto" w:fill="auto"/>
            <w:vAlign w:val="center"/>
          </w:tcPr>
          <w:p w14:paraId="27DE3C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25,209.38</w:t>
            </w:r>
          </w:p>
        </w:tc>
        <w:tc>
          <w:tcPr>
            <w:tcW w:w="1090" w:type="dxa"/>
            <w:shd w:val="clear" w:color="auto" w:fill="auto"/>
            <w:vAlign w:val="center"/>
          </w:tcPr>
          <w:p w14:paraId="544561A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24,923.78</w:t>
            </w:r>
          </w:p>
        </w:tc>
        <w:tc>
          <w:tcPr>
            <w:tcW w:w="1096" w:type="dxa"/>
            <w:shd w:val="clear" w:color="auto" w:fill="auto"/>
            <w:vAlign w:val="center"/>
          </w:tcPr>
          <w:p w14:paraId="1DCA0D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24,638.18</w:t>
            </w:r>
          </w:p>
        </w:tc>
        <w:tc>
          <w:tcPr>
            <w:tcW w:w="1096" w:type="dxa"/>
            <w:shd w:val="clear" w:color="auto" w:fill="auto"/>
            <w:vAlign w:val="center"/>
          </w:tcPr>
          <w:p w14:paraId="4189E3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24,352.58</w:t>
            </w:r>
          </w:p>
        </w:tc>
        <w:tc>
          <w:tcPr>
            <w:tcW w:w="1116" w:type="dxa"/>
            <w:shd w:val="clear" w:color="auto" w:fill="auto"/>
            <w:vAlign w:val="center"/>
          </w:tcPr>
          <w:p w14:paraId="56554CA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24,066.98</w:t>
            </w:r>
          </w:p>
        </w:tc>
        <w:tc>
          <w:tcPr>
            <w:tcW w:w="1096" w:type="dxa"/>
            <w:shd w:val="clear" w:color="auto" w:fill="auto"/>
            <w:vAlign w:val="center"/>
          </w:tcPr>
          <w:p w14:paraId="4DD4DC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23,781.38</w:t>
            </w:r>
          </w:p>
        </w:tc>
        <w:tc>
          <w:tcPr>
            <w:tcW w:w="1119" w:type="dxa"/>
            <w:shd w:val="clear" w:color="auto" w:fill="auto"/>
            <w:vAlign w:val="center"/>
          </w:tcPr>
          <w:p w14:paraId="366904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23,495.78</w:t>
            </w:r>
          </w:p>
        </w:tc>
        <w:tc>
          <w:tcPr>
            <w:tcW w:w="1076" w:type="dxa"/>
            <w:shd w:val="clear" w:color="auto" w:fill="auto"/>
            <w:vAlign w:val="center"/>
          </w:tcPr>
          <w:p w14:paraId="755B97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23,210.18</w:t>
            </w:r>
          </w:p>
        </w:tc>
        <w:tc>
          <w:tcPr>
            <w:tcW w:w="1076" w:type="dxa"/>
            <w:shd w:val="clear" w:color="auto" w:fill="auto"/>
            <w:vAlign w:val="center"/>
          </w:tcPr>
          <w:p w14:paraId="539BB01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22,924.58</w:t>
            </w:r>
          </w:p>
        </w:tc>
      </w:tr>
    </w:tbl>
    <w:p w14:paraId="72BE45DB">
      <w:pPr>
        <w:pStyle w:val="19"/>
        <w:tabs>
          <w:tab w:val="left" w:pos="5047"/>
        </w:tabs>
        <w:spacing w:after="156" w:afterLines="50" w:afterAutospacing="0" w:line="360" w:lineRule="exact"/>
        <w:ind w:firstLine="364" w:firstLineChars="200"/>
        <w:jc w:val="both"/>
        <w:rPr>
          <w:rFonts w:hint="eastAsia" w:eastAsia="宋体"/>
          <w:color w:val="000000" w:themeColor="text1"/>
          <w:sz w:val="18"/>
          <w:szCs w:val="18"/>
          <w:highlight w:val="none"/>
          <w:lang w:eastAsia="zh-CN"/>
          <w14:textFill>
            <w14:solidFill>
              <w14:schemeClr w14:val="tx1"/>
            </w14:solidFill>
          </w14:textFill>
        </w:rPr>
      </w:pPr>
      <w:r>
        <w:rPr>
          <w:rFonts w:hint="eastAsia"/>
          <w:color w:val="000000" w:themeColor="text1"/>
          <w:sz w:val="18"/>
          <w:szCs w:val="18"/>
          <w:highlight w:val="none"/>
          <w:lang w:eastAsia="zh-CN"/>
          <w14:textFill>
            <w14:solidFill>
              <w14:schemeClr w14:val="tx1"/>
            </w14:solidFill>
          </w14:textFill>
        </w:rPr>
        <w:tab/>
      </w:r>
    </w:p>
    <w:tbl>
      <w:tblPr>
        <w:tblStyle w:val="23"/>
        <w:tblW w:w="4755" w:type="pct"/>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2584"/>
        <w:gridCol w:w="2590"/>
        <w:gridCol w:w="2584"/>
        <w:gridCol w:w="2584"/>
        <w:gridCol w:w="2587"/>
      </w:tblGrid>
      <w:tr w14:paraId="6D28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81" w:type="pct"/>
            <w:shd w:val="clear" w:color="auto" w:fill="auto"/>
            <w:vAlign w:val="center"/>
          </w:tcPr>
          <w:p w14:paraId="03EAF47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序号</w:t>
            </w:r>
          </w:p>
        </w:tc>
        <w:tc>
          <w:tcPr>
            <w:tcW w:w="963" w:type="pct"/>
            <w:shd w:val="clear" w:color="auto" w:fill="auto"/>
            <w:vAlign w:val="center"/>
          </w:tcPr>
          <w:p w14:paraId="3CA95921">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年份</w:t>
            </w:r>
          </w:p>
        </w:tc>
        <w:tc>
          <w:tcPr>
            <w:tcW w:w="964" w:type="pct"/>
            <w:shd w:val="clear" w:color="auto" w:fill="auto"/>
            <w:vAlign w:val="center"/>
          </w:tcPr>
          <w:p w14:paraId="1B9024E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合计</w:t>
            </w:r>
          </w:p>
        </w:tc>
        <w:tc>
          <w:tcPr>
            <w:tcW w:w="963" w:type="pct"/>
            <w:shd w:val="clear" w:color="auto" w:fill="auto"/>
            <w:vAlign w:val="center"/>
          </w:tcPr>
          <w:p w14:paraId="1F6B1A2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2052年</w:t>
            </w:r>
          </w:p>
        </w:tc>
        <w:tc>
          <w:tcPr>
            <w:tcW w:w="963" w:type="pct"/>
            <w:shd w:val="clear" w:color="auto" w:fill="auto"/>
            <w:vAlign w:val="center"/>
          </w:tcPr>
          <w:p w14:paraId="55373F3E">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2053年</w:t>
            </w:r>
          </w:p>
        </w:tc>
        <w:tc>
          <w:tcPr>
            <w:tcW w:w="963" w:type="pct"/>
            <w:shd w:val="clear" w:color="auto" w:fill="auto"/>
            <w:vAlign w:val="center"/>
          </w:tcPr>
          <w:p w14:paraId="265CDAC5">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2054年</w:t>
            </w:r>
          </w:p>
        </w:tc>
      </w:tr>
      <w:tr w14:paraId="3E5A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5A5C095C">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一</w:t>
            </w:r>
          </w:p>
        </w:tc>
        <w:tc>
          <w:tcPr>
            <w:tcW w:w="963" w:type="pct"/>
            <w:shd w:val="clear" w:color="auto" w:fill="auto"/>
            <w:vAlign w:val="center"/>
          </w:tcPr>
          <w:p w14:paraId="11ED5713">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现金流入</w:t>
            </w:r>
          </w:p>
        </w:tc>
        <w:tc>
          <w:tcPr>
            <w:tcW w:w="964" w:type="pct"/>
            <w:shd w:val="clear" w:color="auto" w:fill="auto"/>
            <w:vAlign w:val="center"/>
          </w:tcPr>
          <w:p w14:paraId="6CBB1C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80,263.74</w:t>
            </w:r>
          </w:p>
        </w:tc>
        <w:tc>
          <w:tcPr>
            <w:tcW w:w="963" w:type="pct"/>
            <w:shd w:val="clear" w:color="auto" w:fill="auto"/>
            <w:vAlign w:val="center"/>
          </w:tcPr>
          <w:p w14:paraId="6150069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6193FB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6516A60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r>
      <w:tr w14:paraId="7E2C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81" w:type="pct"/>
            <w:shd w:val="clear" w:color="auto" w:fill="auto"/>
            <w:vAlign w:val="center"/>
          </w:tcPr>
          <w:p w14:paraId="17496B2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963" w:type="pct"/>
            <w:shd w:val="clear" w:color="auto" w:fill="auto"/>
            <w:vAlign w:val="center"/>
          </w:tcPr>
          <w:p w14:paraId="5D9D618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业务活动现金流入</w:t>
            </w:r>
          </w:p>
        </w:tc>
        <w:tc>
          <w:tcPr>
            <w:tcW w:w="964" w:type="pct"/>
            <w:shd w:val="clear" w:color="auto" w:fill="auto"/>
            <w:vAlign w:val="center"/>
          </w:tcPr>
          <w:p w14:paraId="2F5841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963" w:type="pct"/>
            <w:shd w:val="clear" w:color="auto" w:fill="auto"/>
            <w:vAlign w:val="center"/>
          </w:tcPr>
          <w:p w14:paraId="06AE95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64C08A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669D23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r>
      <w:tr w14:paraId="5F43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60653E6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963" w:type="pct"/>
            <w:shd w:val="clear" w:color="auto" w:fill="auto"/>
            <w:vAlign w:val="center"/>
          </w:tcPr>
          <w:p w14:paraId="05B4089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财政补贴收入</w:t>
            </w:r>
          </w:p>
        </w:tc>
        <w:tc>
          <w:tcPr>
            <w:tcW w:w="964" w:type="pct"/>
            <w:shd w:val="clear" w:color="auto" w:fill="auto"/>
            <w:vAlign w:val="center"/>
          </w:tcPr>
          <w:p w14:paraId="7297C8E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center"/>
          </w:tcPr>
          <w:p w14:paraId="5439B18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70BBB6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46AC3B7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FF9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6DDEEDA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963" w:type="pct"/>
            <w:shd w:val="clear" w:color="auto" w:fill="auto"/>
            <w:vAlign w:val="center"/>
          </w:tcPr>
          <w:p w14:paraId="38E586C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经营收入</w:t>
            </w:r>
          </w:p>
        </w:tc>
        <w:tc>
          <w:tcPr>
            <w:tcW w:w="964" w:type="pct"/>
            <w:shd w:val="clear" w:color="auto" w:fill="auto"/>
            <w:vAlign w:val="center"/>
          </w:tcPr>
          <w:p w14:paraId="245E9F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50,201.46</w:t>
            </w:r>
          </w:p>
        </w:tc>
        <w:tc>
          <w:tcPr>
            <w:tcW w:w="963" w:type="pct"/>
            <w:shd w:val="clear" w:color="auto" w:fill="auto"/>
            <w:vAlign w:val="bottom"/>
          </w:tcPr>
          <w:p w14:paraId="3FA755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bottom"/>
          </w:tcPr>
          <w:p w14:paraId="747B99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bottom"/>
          </w:tcPr>
          <w:p w14:paraId="389DD3B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r>
      <w:tr w14:paraId="7DBF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81" w:type="pct"/>
            <w:shd w:val="clear" w:color="auto" w:fill="auto"/>
            <w:vAlign w:val="center"/>
          </w:tcPr>
          <w:p w14:paraId="12B07E4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963" w:type="pct"/>
            <w:shd w:val="clear" w:color="auto" w:fill="auto"/>
            <w:vAlign w:val="center"/>
          </w:tcPr>
          <w:p w14:paraId="194B13A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融资活动现金流入</w:t>
            </w:r>
          </w:p>
        </w:tc>
        <w:tc>
          <w:tcPr>
            <w:tcW w:w="964" w:type="pct"/>
            <w:shd w:val="clear" w:color="auto" w:fill="auto"/>
            <w:vAlign w:val="center"/>
          </w:tcPr>
          <w:p w14:paraId="058003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963" w:type="pct"/>
            <w:shd w:val="clear" w:color="auto" w:fill="auto"/>
            <w:vAlign w:val="center"/>
          </w:tcPr>
          <w:p w14:paraId="76995A1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58995C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5943DF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6927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476BDC4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963" w:type="pct"/>
            <w:shd w:val="clear" w:color="auto" w:fill="auto"/>
            <w:vAlign w:val="center"/>
          </w:tcPr>
          <w:p w14:paraId="4F50CCB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债券融资款</w:t>
            </w:r>
          </w:p>
        </w:tc>
        <w:tc>
          <w:tcPr>
            <w:tcW w:w="964" w:type="pct"/>
            <w:shd w:val="clear" w:color="auto" w:fill="auto"/>
            <w:vAlign w:val="center"/>
          </w:tcPr>
          <w:p w14:paraId="2F4C4E8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963" w:type="pct"/>
            <w:shd w:val="clear" w:color="auto" w:fill="auto"/>
            <w:vAlign w:val="center"/>
          </w:tcPr>
          <w:p w14:paraId="61B324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6FF31EF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081C2E0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C35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20773D4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963" w:type="pct"/>
            <w:shd w:val="clear" w:color="auto" w:fill="auto"/>
            <w:vAlign w:val="center"/>
          </w:tcPr>
          <w:p w14:paraId="43D72F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其他融资款</w:t>
            </w:r>
          </w:p>
        </w:tc>
        <w:tc>
          <w:tcPr>
            <w:tcW w:w="964" w:type="pct"/>
            <w:shd w:val="clear" w:color="auto" w:fill="auto"/>
            <w:vAlign w:val="center"/>
          </w:tcPr>
          <w:p w14:paraId="0408000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center"/>
          </w:tcPr>
          <w:p w14:paraId="1C70E9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6930096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454E767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67F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13D3641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963" w:type="pct"/>
            <w:shd w:val="clear" w:color="auto" w:fill="auto"/>
            <w:vAlign w:val="center"/>
          </w:tcPr>
          <w:p w14:paraId="2160C18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资本金投入</w:t>
            </w:r>
          </w:p>
        </w:tc>
        <w:tc>
          <w:tcPr>
            <w:tcW w:w="964" w:type="pct"/>
            <w:shd w:val="clear" w:color="auto" w:fill="auto"/>
            <w:vAlign w:val="center"/>
          </w:tcPr>
          <w:p w14:paraId="3E88E3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6,162.28</w:t>
            </w:r>
          </w:p>
        </w:tc>
        <w:tc>
          <w:tcPr>
            <w:tcW w:w="963" w:type="pct"/>
            <w:shd w:val="clear" w:color="auto" w:fill="auto"/>
            <w:vAlign w:val="center"/>
          </w:tcPr>
          <w:p w14:paraId="3A1D87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6F3CEE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0EDB2F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770B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383FC281">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二</w:t>
            </w:r>
          </w:p>
        </w:tc>
        <w:tc>
          <w:tcPr>
            <w:tcW w:w="963" w:type="pct"/>
            <w:shd w:val="clear" w:color="auto" w:fill="auto"/>
            <w:vAlign w:val="center"/>
          </w:tcPr>
          <w:p w14:paraId="17F3C6F8">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现金流出</w:t>
            </w:r>
          </w:p>
        </w:tc>
        <w:tc>
          <w:tcPr>
            <w:tcW w:w="964" w:type="pct"/>
            <w:shd w:val="clear" w:color="auto" w:fill="auto"/>
            <w:vAlign w:val="center"/>
          </w:tcPr>
          <w:p w14:paraId="27492BE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66,195.96</w:t>
            </w:r>
          </w:p>
        </w:tc>
        <w:tc>
          <w:tcPr>
            <w:tcW w:w="963" w:type="pct"/>
            <w:shd w:val="clear" w:color="auto" w:fill="auto"/>
            <w:vAlign w:val="center"/>
          </w:tcPr>
          <w:p w14:paraId="6E22963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1205118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742ECB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8,285.60 </w:t>
            </w:r>
          </w:p>
        </w:tc>
      </w:tr>
      <w:tr w14:paraId="5F64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81" w:type="pct"/>
            <w:shd w:val="clear" w:color="auto" w:fill="auto"/>
            <w:vAlign w:val="center"/>
          </w:tcPr>
          <w:p w14:paraId="63A95CF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963" w:type="pct"/>
            <w:shd w:val="clear" w:color="auto" w:fill="auto"/>
            <w:vAlign w:val="center"/>
          </w:tcPr>
          <w:p w14:paraId="24C5A4C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业务活动现金流出</w:t>
            </w:r>
          </w:p>
        </w:tc>
        <w:tc>
          <w:tcPr>
            <w:tcW w:w="964" w:type="pct"/>
            <w:shd w:val="clear" w:color="auto" w:fill="auto"/>
            <w:vAlign w:val="center"/>
          </w:tcPr>
          <w:p w14:paraId="67C9C18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963" w:type="pct"/>
            <w:shd w:val="clear" w:color="auto" w:fill="auto"/>
            <w:vAlign w:val="center"/>
          </w:tcPr>
          <w:p w14:paraId="36E9DC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17EA6E6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0E5B09F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531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0A72DF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963" w:type="pct"/>
            <w:shd w:val="clear" w:color="auto" w:fill="auto"/>
            <w:vAlign w:val="center"/>
          </w:tcPr>
          <w:p w14:paraId="77C3B75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运营成本</w:t>
            </w:r>
          </w:p>
        </w:tc>
        <w:tc>
          <w:tcPr>
            <w:tcW w:w="964" w:type="pct"/>
            <w:shd w:val="clear" w:color="auto" w:fill="auto"/>
            <w:vAlign w:val="center"/>
          </w:tcPr>
          <w:p w14:paraId="366537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1,004.03</w:t>
            </w:r>
          </w:p>
        </w:tc>
        <w:tc>
          <w:tcPr>
            <w:tcW w:w="963" w:type="pct"/>
            <w:shd w:val="clear" w:color="auto" w:fill="auto"/>
            <w:vAlign w:val="center"/>
          </w:tcPr>
          <w:p w14:paraId="03D199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vAlign w:val="center"/>
          </w:tcPr>
          <w:p w14:paraId="764FCE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512A4A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25D5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6ED5431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963" w:type="pct"/>
            <w:shd w:val="clear" w:color="auto" w:fill="auto"/>
            <w:vAlign w:val="center"/>
          </w:tcPr>
          <w:p w14:paraId="0A32930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税金支出</w:t>
            </w:r>
          </w:p>
        </w:tc>
        <w:tc>
          <w:tcPr>
            <w:tcW w:w="964" w:type="pct"/>
            <w:shd w:val="clear" w:color="auto" w:fill="auto"/>
            <w:vAlign w:val="center"/>
          </w:tcPr>
          <w:p w14:paraId="4847243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center"/>
          </w:tcPr>
          <w:p w14:paraId="31C6D2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02999B0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01D2176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55E1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81" w:type="pct"/>
            <w:shd w:val="clear" w:color="auto" w:fill="auto"/>
            <w:vAlign w:val="center"/>
          </w:tcPr>
          <w:p w14:paraId="5EC6F00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963" w:type="pct"/>
            <w:shd w:val="clear" w:color="auto" w:fill="auto"/>
            <w:vAlign w:val="center"/>
          </w:tcPr>
          <w:p w14:paraId="772B665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建设投资现金流出</w:t>
            </w:r>
          </w:p>
        </w:tc>
        <w:tc>
          <w:tcPr>
            <w:tcW w:w="964" w:type="pct"/>
            <w:shd w:val="clear" w:color="auto" w:fill="auto"/>
            <w:vAlign w:val="center"/>
          </w:tcPr>
          <w:p w14:paraId="38CDA9F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30,062.28</w:t>
            </w:r>
          </w:p>
        </w:tc>
        <w:tc>
          <w:tcPr>
            <w:tcW w:w="963" w:type="pct"/>
            <w:shd w:val="clear" w:color="auto" w:fill="auto"/>
            <w:vAlign w:val="center"/>
          </w:tcPr>
          <w:p w14:paraId="4EEBEED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10F291D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41D19F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B9C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81" w:type="pct"/>
            <w:shd w:val="clear" w:color="auto" w:fill="auto"/>
            <w:vAlign w:val="center"/>
          </w:tcPr>
          <w:p w14:paraId="586F6EA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963" w:type="pct"/>
            <w:shd w:val="clear" w:color="auto" w:fill="auto"/>
            <w:vAlign w:val="center"/>
          </w:tcPr>
          <w:p w14:paraId="5F4C801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融资活动现金流出</w:t>
            </w:r>
          </w:p>
        </w:tc>
        <w:tc>
          <w:tcPr>
            <w:tcW w:w="964" w:type="pct"/>
            <w:shd w:val="clear" w:color="auto" w:fill="auto"/>
            <w:vAlign w:val="center"/>
          </w:tcPr>
          <w:p w14:paraId="1834279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35,129.65</w:t>
            </w:r>
          </w:p>
        </w:tc>
        <w:tc>
          <w:tcPr>
            <w:tcW w:w="963" w:type="pct"/>
            <w:shd w:val="clear" w:color="auto" w:fill="auto"/>
            <w:vAlign w:val="center"/>
          </w:tcPr>
          <w:p w14:paraId="74DE43A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63F3D53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60D603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8,285.60 </w:t>
            </w:r>
          </w:p>
        </w:tc>
      </w:tr>
      <w:tr w14:paraId="48CB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28256D2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963" w:type="pct"/>
            <w:shd w:val="clear" w:color="auto" w:fill="auto"/>
            <w:vAlign w:val="center"/>
          </w:tcPr>
          <w:p w14:paraId="5722AD1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债券发行费用</w:t>
            </w:r>
          </w:p>
        </w:tc>
        <w:tc>
          <w:tcPr>
            <w:tcW w:w="964" w:type="pct"/>
            <w:shd w:val="clear" w:color="auto" w:fill="auto"/>
            <w:vAlign w:val="center"/>
          </w:tcPr>
          <w:p w14:paraId="78A3F7F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15.90</w:t>
            </w:r>
          </w:p>
        </w:tc>
        <w:tc>
          <w:tcPr>
            <w:tcW w:w="963" w:type="pct"/>
            <w:shd w:val="clear" w:color="auto" w:fill="auto"/>
            <w:vAlign w:val="center"/>
          </w:tcPr>
          <w:p w14:paraId="1520714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32C61F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center"/>
          </w:tcPr>
          <w:p w14:paraId="235BED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0B8EE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1F79968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963" w:type="pct"/>
            <w:shd w:val="clear" w:color="auto" w:fill="auto"/>
            <w:vAlign w:val="center"/>
          </w:tcPr>
          <w:p w14:paraId="34D8649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偿还债券本金</w:t>
            </w:r>
          </w:p>
        </w:tc>
        <w:tc>
          <w:tcPr>
            <w:tcW w:w="964" w:type="pct"/>
            <w:shd w:val="clear" w:color="auto" w:fill="auto"/>
            <w:vAlign w:val="center"/>
          </w:tcPr>
          <w:p w14:paraId="7D3315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23,900.00</w:t>
            </w:r>
          </w:p>
        </w:tc>
        <w:tc>
          <w:tcPr>
            <w:tcW w:w="963" w:type="pct"/>
            <w:shd w:val="clear" w:color="auto" w:fill="auto"/>
            <w:vAlign w:val="bottom"/>
          </w:tcPr>
          <w:p w14:paraId="7E1110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noWrap/>
            <w:vAlign w:val="bottom"/>
          </w:tcPr>
          <w:p w14:paraId="3E24DD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   </w:t>
            </w:r>
          </w:p>
        </w:tc>
        <w:tc>
          <w:tcPr>
            <w:tcW w:w="963" w:type="pct"/>
            <w:shd w:val="clear" w:color="auto" w:fill="auto"/>
            <w:noWrap/>
            <w:vAlign w:val="bottom"/>
          </w:tcPr>
          <w:p w14:paraId="1CBA2A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8,000.00 </w:t>
            </w:r>
          </w:p>
        </w:tc>
      </w:tr>
      <w:tr w14:paraId="3527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3C5C0F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963" w:type="pct"/>
            <w:shd w:val="clear" w:color="auto" w:fill="auto"/>
            <w:vAlign w:val="center"/>
          </w:tcPr>
          <w:p w14:paraId="5FA44FD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支付债券利息</w:t>
            </w:r>
          </w:p>
        </w:tc>
        <w:tc>
          <w:tcPr>
            <w:tcW w:w="964" w:type="pct"/>
            <w:shd w:val="clear" w:color="auto" w:fill="auto"/>
            <w:vAlign w:val="center"/>
          </w:tcPr>
          <w:p w14:paraId="5BAEEA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11,213.75</w:t>
            </w:r>
          </w:p>
        </w:tc>
        <w:tc>
          <w:tcPr>
            <w:tcW w:w="963" w:type="pct"/>
            <w:shd w:val="clear" w:color="auto" w:fill="auto"/>
            <w:vAlign w:val="bottom"/>
          </w:tcPr>
          <w:p w14:paraId="270653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noWrap/>
            <w:vAlign w:val="bottom"/>
          </w:tcPr>
          <w:p w14:paraId="65714F0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noWrap/>
            <w:vAlign w:val="bottom"/>
          </w:tcPr>
          <w:p w14:paraId="123F60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r>
      <w:tr w14:paraId="4224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81" w:type="pct"/>
            <w:shd w:val="clear" w:color="auto" w:fill="auto"/>
            <w:vAlign w:val="center"/>
          </w:tcPr>
          <w:p w14:paraId="6E89F76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963" w:type="pct"/>
            <w:shd w:val="clear" w:color="auto" w:fill="auto"/>
            <w:vAlign w:val="center"/>
          </w:tcPr>
          <w:p w14:paraId="053C815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偿还其他融资本金</w:t>
            </w:r>
          </w:p>
        </w:tc>
        <w:tc>
          <w:tcPr>
            <w:tcW w:w="964" w:type="pct"/>
            <w:shd w:val="clear" w:color="auto" w:fill="auto"/>
            <w:vAlign w:val="center"/>
          </w:tcPr>
          <w:p w14:paraId="00AC48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bottom"/>
          </w:tcPr>
          <w:p w14:paraId="5A442F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bottom"/>
          </w:tcPr>
          <w:p w14:paraId="40CACB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vAlign w:val="bottom"/>
          </w:tcPr>
          <w:p w14:paraId="7BB4F9F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15AB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81" w:type="pct"/>
            <w:shd w:val="clear" w:color="auto" w:fill="auto"/>
            <w:vAlign w:val="center"/>
          </w:tcPr>
          <w:p w14:paraId="5425A8D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963" w:type="pct"/>
            <w:shd w:val="clear" w:color="auto" w:fill="auto"/>
            <w:vAlign w:val="center"/>
          </w:tcPr>
          <w:p w14:paraId="0FEA017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支付其他融资利息</w:t>
            </w:r>
          </w:p>
        </w:tc>
        <w:tc>
          <w:tcPr>
            <w:tcW w:w="964" w:type="pct"/>
            <w:shd w:val="clear" w:color="auto" w:fill="auto"/>
            <w:vAlign w:val="center"/>
          </w:tcPr>
          <w:p w14:paraId="3CCD3D2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bottom"/>
          </w:tcPr>
          <w:p w14:paraId="79367D7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noWrap/>
            <w:vAlign w:val="bottom"/>
          </w:tcPr>
          <w:p w14:paraId="345B718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63" w:type="pct"/>
            <w:shd w:val="clear" w:color="auto" w:fill="auto"/>
            <w:noWrap/>
            <w:vAlign w:val="bottom"/>
          </w:tcPr>
          <w:p w14:paraId="65C449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14:paraId="5851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354179B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三</w:t>
            </w:r>
          </w:p>
        </w:tc>
        <w:tc>
          <w:tcPr>
            <w:tcW w:w="963" w:type="pct"/>
            <w:shd w:val="clear" w:color="auto" w:fill="auto"/>
            <w:vAlign w:val="center"/>
          </w:tcPr>
          <w:p w14:paraId="72F5AFE4">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当期现金结余</w:t>
            </w:r>
          </w:p>
        </w:tc>
        <w:tc>
          <w:tcPr>
            <w:tcW w:w="964" w:type="pct"/>
            <w:shd w:val="clear" w:color="auto" w:fill="auto"/>
            <w:vAlign w:val="center"/>
          </w:tcPr>
          <w:p w14:paraId="0B4A40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14,067.78</w:t>
            </w:r>
          </w:p>
        </w:tc>
        <w:tc>
          <w:tcPr>
            <w:tcW w:w="963" w:type="pct"/>
            <w:shd w:val="clear" w:color="auto" w:fill="auto"/>
            <w:vAlign w:val="center"/>
          </w:tcPr>
          <w:p w14:paraId="41C7539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22BDA4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-285.60 </w:t>
            </w:r>
          </w:p>
        </w:tc>
        <w:tc>
          <w:tcPr>
            <w:tcW w:w="963" w:type="pct"/>
            <w:shd w:val="clear" w:color="auto" w:fill="auto"/>
            <w:vAlign w:val="center"/>
          </w:tcPr>
          <w:p w14:paraId="2BC44D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-8,285.60 </w:t>
            </w:r>
          </w:p>
        </w:tc>
      </w:tr>
      <w:tr w14:paraId="7DE2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21CEFCBE">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四</w:t>
            </w:r>
          </w:p>
        </w:tc>
        <w:tc>
          <w:tcPr>
            <w:tcW w:w="963" w:type="pct"/>
            <w:shd w:val="clear" w:color="auto" w:fill="auto"/>
            <w:vAlign w:val="center"/>
          </w:tcPr>
          <w:p w14:paraId="3FCE27CD">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期初现金</w:t>
            </w:r>
          </w:p>
        </w:tc>
        <w:tc>
          <w:tcPr>
            <w:tcW w:w="964" w:type="pct"/>
            <w:shd w:val="clear" w:color="auto" w:fill="auto"/>
            <w:vAlign w:val="center"/>
          </w:tcPr>
          <w:p w14:paraId="5EC5CD2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center"/>
          </w:tcPr>
          <w:p w14:paraId="70812AA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22,924.58 </w:t>
            </w:r>
          </w:p>
        </w:tc>
        <w:tc>
          <w:tcPr>
            <w:tcW w:w="963" w:type="pct"/>
            <w:shd w:val="clear" w:color="auto" w:fill="auto"/>
            <w:vAlign w:val="center"/>
          </w:tcPr>
          <w:p w14:paraId="334D67B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22,638.98 </w:t>
            </w:r>
          </w:p>
        </w:tc>
        <w:tc>
          <w:tcPr>
            <w:tcW w:w="963" w:type="pct"/>
            <w:shd w:val="clear" w:color="auto" w:fill="auto"/>
            <w:vAlign w:val="center"/>
          </w:tcPr>
          <w:p w14:paraId="6B2B311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22,353.38 </w:t>
            </w:r>
          </w:p>
        </w:tc>
      </w:tr>
      <w:tr w14:paraId="6E56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 w:type="pct"/>
            <w:shd w:val="clear" w:color="auto" w:fill="auto"/>
            <w:vAlign w:val="center"/>
          </w:tcPr>
          <w:p w14:paraId="7F72BEE2">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五</w:t>
            </w:r>
          </w:p>
        </w:tc>
        <w:tc>
          <w:tcPr>
            <w:tcW w:w="963" w:type="pct"/>
            <w:shd w:val="clear" w:color="auto" w:fill="auto"/>
            <w:vAlign w:val="center"/>
          </w:tcPr>
          <w:p w14:paraId="28F79ECA">
            <w:pPr>
              <w:widowControl/>
              <w:jc w:val="center"/>
              <w:rPr>
                <w:rFonts w:ascii="宋体" w:hAnsi="宋体" w:cs="宋体"/>
                <w:bCs/>
                <w:color w:val="000000"/>
                <w:kern w:val="0"/>
                <w:sz w:val="18"/>
                <w:szCs w:val="18"/>
                <w:highlight w:val="none"/>
              </w:rPr>
            </w:pPr>
            <w:r>
              <w:rPr>
                <w:rFonts w:hint="eastAsia" w:ascii="宋体" w:hAnsi="宋体" w:cs="宋体"/>
                <w:bCs/>
                <w:color w:val="000000"/>
                <w:kern w:val="0"/>
                <w:sz w:val="18"/>
                <w:szCs w:val="18"/>
                <w:highlight w:val="none"/>
              </w:rPr>
              <w:t>期末现金</w:t>
            </w:r>
          </w:p>
        </w:tc>
        <w:tc>
          <w:tcPr>
            <w:tcW w:w="964" w:type="pct"/>
            <w:shd w:val="clear" w:color="auto" w:fill="auto"/>
            <w:vAlign w:val="center"/>
          </w:tcPr>
          <w:p w14:paraId="218A26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p>
        </w:tc>
        <w:tc>
          <w:tcPr>
            <w:tcW w:w="963" w:type="pct"/>
            <w:shd w:val="clear" w:color="auto" w:fill="auto"/>
            <w:vAlign w:val="center"/>
          </w:tcPr>
          <w:p w14:paraId="140AD8E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22,638.98 </w:t>
            </w:r>
          </w:p>
        </w:tc>
        <w:tc>
          <w:tcPr>
            <w:tcW w:w="963" w:type="pct"/>
            <w:shd w:val="clear" w:color="auto" w:fill="auto"/>
            <w:vAlign w:val="center"/>
          </w:tcPr>
          <w:p w14:paraId="626EEFA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22,353.38 </w:t>
            </w:r>
          </w:p>
        </w:tc>
        <w:tc>
          <w:tcPr>
            <w:tcW w:w="963" w:type="pct"/>
            <w:shd w:val="clear" w:color="auto" w:fill="auto"/>
            <w:vAlign w:val="center"/>
          </w:tcPr>
          <w:p w14:paraId="6984EA0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14,067.78 </w:t>
            </w:r>
          </w:p>
        </w:tc>
      </w:tr>
      <w:tr w14:paraId="5AA2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109" w:type="pct"/>
            <w:gridSpan w:val="3"/>
            <w:shd w:val="clear" w:color="auto" w:fill="auto"/>
            <w:vAlign w:val="center"/>
          </w:tcPr>
          <w:p w14:paraId="2742D913">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债券资金覆盖倍数</w:t>
            </w:r>
          </w:p>
        </w:tc>
        <w:tc>
          <w:tcPr>
            <w:tcW w:w="2890" w:type="pct"/>
            <w:gridSpan w:val="3"/>
            <w:shd w:val="clear" w:color="auto" w:fill="auto"/>
            <w:vAlign w:val="center"/>
          </w:tcPr>
          <w:p w14:paraId="3152907E">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1.40</w:t>
            </w:r>
          </w:p>
        </w:tc>
      </w:tr>
    </w:tbl>
    <w:p w14:paraId="10C80859">
      <w:pPr>
        <w:pStyle w:val="19"/>
        <w:spacing w:after="156" w:afterLines="50" w:afterAutospacing="0" w:line="360" w:lineRule="exact"/>
        <w:ind w:firstLine="364" w:firstLineChars="200"/>
        <w:jc w:val="both"/>
        <w:rPr>
          <w:color w:val="000000" w:themeColor="text1"/>
          <w:sz w:val="18"/>
          <w:szCs w:val="18"/>
          <w:highlight w:val="none"/>
          <w14:textFill>
            <w14:solidFill>
              <w14:schemeClr w14:val="tx1"/>
            </w14:solidFill>
          </w14:textFill>
        </w:rPr>
      </w:pPr>
      <w:r>
        <w:rPr>
          <w:rFonts w:hint="eastAsia"/>
          <w:color w:val="000000" w:themeColor="text1"/>
          <w:sz w:val="18"/>
          <w:szCs w:val="18"/>
          <w:highlight w:val="none"/>
          <w14:textFill>
            <w14:solidFill>
              <w14:schemeClr w14:val="tx1"/>
            </w14:solidFill>
          </w14:textFill>
        </w:rPr>
        <w:t>注：</w:t>
      </w:r>
      <w:r>
        <w:rPr>
          <w:color w:val="000000" w:themeColor="text1"/>
          <w:sz w:val="18"/>
          <w:szCs w:val="18"/>
          <w:highlight w:val="none"/>
          <w14:textFill>
            <w14:solidFill>
              <w14:schemeClr w14:val="tx1"/>
            </w14:solidFill>
          </w14:textFill>
        </w:rPr>
        <w:t>1</w:t>
      </w:r>
      <w:r>
        <w:rPr>
          <w:rFonts w:hint="eastAsia"/>
          <w:color w:val="000000" w:themeColor="text1"/>
          <w:sz w:val="18"/>
          <w:szCs w:val="18"/>
          <w:highlight w:val="none"/>
          <w14:textFill>
            <w14:solidFill>
              <w14:schemeClr w14:val="tx1"/>
            </w14:solidFill>
          </w14:textFill>
        </w:rPr>
        <w:t>.按照</w:t>
      </w:r>
      <w:r>
        <w:rPr>
          <w:rFonts w:hint="eastAsia"/>
          <w:color w:val="000000" w:themeColor="text1"/>
          <w:sz w:val="18"/>
          <w:szCs w:val="18"/>
          <w:highlight w:val="none"/>
          <w:lang w:eastAsia="zh-CN"/>
          <w14:textFill>
            <w14:solidFill>
              <w14:schemeClr w14:val="tx1"/>
            </w14:solidFill>
          </w14:textFill>
        </w:rPr>
        <w:t>南昌县住房和城乡建设局</w:t>
      </w:r>
      <w:r>
        <w:rPr>
          <w:rFonts w:hint="eastAsia"/>
          <w:color w:val="000000" w:themeColor="text1"/>
          <w:sz w:val="18"/>
          <w:szCs w:val="18"/>
          <w:highlight w:val="none"/>
          <w14:textFill>
            <w14:solidFill>
              <w14:schemeClr w14:val="tx1"/>
            </w14:solidFill>
          </w14:textFill>
        </w:rPr>
        <w:t>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highlight w:val="none"/>
          <w14:textFill>
            <w14:solidFill>
              <w14:schemeClr w14:val="tx1"/>
            </w14:solidFill>
          </w14:textFill>
        </w:rPr>
        <w:t>1.</w:t>
      </w:r>
      <w:r>
        <w:rPr>
          <w:rFonts w:hint="eastAsia"/>
          <w:color w:val="000000" w:themeColor="text1"/>
          <w:sz w:val="18"/>
          <w:szCs w:val="18"/>
          <w:highlight w:val="none"/>
          <w:lang w:val="en-US" w:eastAsia="zh-CN"/>
          <w14:textFill>
            <w14:solidFill>
              <w14:schemeClr w14:val="tx1"/>
            </w14:solidFill>
          </w14:textFill>
        </w:rPr>
        <w:t>40</w:t>
      </w:r>
      <w:r>
        <w:rPr>
          <w:rFonts w:hint="eastAsia"/>
          <w:color w:val="000000" w:themeColor="text1"/>
          <w:sz w:val="18"/>
          <w:szCs w:val="18"/>
          <w:highlight w:val="none"/>
          <w14:textFill>
            <w14:solidFill>
              <w14:schemeClr w14:val="tx1"/>
            </w14:solidFill>
          </w14:textFill>
        </w:rPr>
        <w:t>倍，还本付息资金有充分保障。</w:t>
      </w:r>
    </w:p>
    <w:p w14:paraId="266EEE32">
      <w:pPr>
        <w:pStyle w:val="19"/>
        <w:spacing w:before="0" w:beforeAutospacing="0" w:after="156" w:afterLines="50" w:afterAutospacing="0" w:line="360" w:lineRule="exact"/>
        <w:ind w:firstLine="364" w:firstLineChars="20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2</w:t>
      </w:r>
      <w:r>
        <w:rPr>
          <w:rFonts w:hint="eastAsia"/>
          <w:color w:val="000000" w:themeColor="text1"/>
          <w:sz w:val="18"/>
          <w:szCs w:val="18"/>
          <w:highlight w:val="none"/>
          <w14:textFill>
            <w14:solidFill>
              <w14:schemeClr w14:val="tx1"/>
            </w14:solidFill>
          </w14:textFill>
        </w:rPr>
        <w:t>.2</w:t>
      </w:r>
      <w:r>
        <w:rPr>
          <w:color w:val="000000" w:themeColor="text1"/>
          <w:sz w:val="18"/>
          <w:szCs w:val="18"/>
          <w:highlight w:val="none"/>
          <w14:textFill>
            <w14:solidFill>
              <w14:schemeClr w14:val="tx1"/>
            </w14:solidFill>
          </w14:textFill>
        </w:rPr>
        <w:t>022</w:t>
      </w:r>
      <w:r>
        <w:rPr>
          <w:rFonts w:hint="eastAsia"/>
          <w:color w:val="000000" w:themeColor="text1"/>
          <w:sz w:val="18"/>
          <w:szCs w:val="18"/>
          <w:highlight w:val="none"/>
          <w14:textFill>
            <w14:solidFill>
              <w14:schemeClr w14:val="tx1"/>
            </w14:solidFill>
          </w14:textFill>
        </w:rPr>
        <w:t>-</w:t>
      </w:r>
      <w:r>
        <w:rPr>
          <w:color w:val="000000" w:themeColor="text1"/>
          <w:sz w:val="18"/>
          <w:szCs w:val="18"/>
          <w:highlight w:val="none"/>
          <w14:textFill>
            <w14:solidFill>
              <w14:schemeClr w14:val="tx1"/>
            </w14:solidFill>
          </w14:textFill>
        </w:rPr>
        <w:t>202</w:t>
      </w:r>
      <w:r>
        <w:rPr>
          <w:rFonts w:hint="eastAsia"/>
          <w:color w:val="000000" w:themeColor="text1"/>
          <w:sz w:val="18"/>
          <w:szCs w:val="18"/>
          <w:highlight w:val="none"/>
          <w:lang w:val="en-US" w:eastAsia="zh-CN"/>
          <w14:textFill>
            <w14:solidFill>
              <w14:schemeClr w14:val="tx1"/>
            </w14:solidFill>
          </w14:textFill>
        </w:rPr>
        <w:t>6</w:t>
      </w:r>
      <w:r>
        <w:rPr>
          <w:rFonts w:hint="eastAsia"/>
          <w:color w:val="000000" w:themeColor="text1"/>
          <w:sz w:val="18"/>
          <w:szCs w:val="18"/>
          <w:highlight w:val="none"/>
          <w14:textFill>
            <w14:solidFill>
              <w14:schemeClr w14:val="tx1"/>
            </w14:solidFill>
          </w14:textFill>
        </w:rPr>
        <w:t>年期末现金为负数的原因系建设期的债券发行费及利息及借款利息，该部分资金由项目单位自筹解决。</w:t>
      </w:r>
    </w:p>
    <w:p w14:paraId="1D3C8E7D">
      <w:pPr>
        <w:pStyle w:val="19"/>
        <w:spacing w:before="0" w:beforeAutospacing="0" w:after="156" w:afterLines="50" w:afterAutospacing="0" w:line="360" w:lineRule="exact"/>
        <w:ind w:firstLine="424" w:firstLineChars="200"/>
        <w:jc w:val="both"/>
        <w:rPr>
          <w:rFonts w:hint="eastAsia" w:eastAsia="宋体"/>
          <w:color w:val="000000" w:themeColor="text1"/>
          <w:sz w:val="21"/>
          <w:szCs w:val="21"/>
          <w:highlight w:val="none"/>
          <w:lang w:eastAsia="zh-CN"/>
          <w14:textFill>
            <w14:solidFill>
              <w14:schemeClr w14:val="tx1"/>
            </w14:solidFill>
          </w14:textFill>
        </w:rPr>
        <w:sectPr>
          <w:pgSz w:w="16838" w:h="11906" w:orient="landscape"/>
          <w:pgMar w:top="1701" w:right="1531" w:bottom="1701" w:left="1417" w:header="851" w:footer="992" w:gutter="0"/>
          <w:pgNumType w:fmt="decimal"/>
          <w:cols w:space="0" w:num="1"/>
          <w:rtlGutter w:val="0"/>
          <w:docGrid w:type="linesAndChars" w:linePitch="314" w:charSpace="532"/>
        </w:sectPr>
      </w:pPr>
    </w:p>
    <w:p w14:paraId="4E58A4E3">
      <w:pPr>
        <w:widowControl/>
        <w:ind w:firstLine="564" w:firstLineChars="200"/>
        <w:rPr>
          <w:rFonts w:hint="eastAsia" w:asciiTheme="minorEastAsia" w:hAnsiTheme="minorEastAsia" w:eastAsiaTheme="minorEastAsia" w:cstheme="minorEastAsia"/>
          <w:color w:val="000000"/>
          <w:kern w:val="0"/>
          <w:sz w:val="28"/>
          <w:szCs w:val="28"/>
          <w:highlight w:val="none"/>
          <w:lang w:eastAsia="zh-CN"/>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本次发行专项债券各项目预期业务活动现金流入合计</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50</w:t>
      </w:r>
      <w:r>
        <w:rPr>
          <w:rFonts w:hint="eastAsia" w:asciiTheme="minorEastAsia" w:hAnsiTheme="minorEastAsia" w:eastAsiaTheme="minorEastAsia" w:cstheme="minorEastAsia"/>
          <w:color w:val="000000"/>
          <w:kern w:val="0"/>
          <w:sz w:val="28"/>
          <w:szCs w:val="28"/>
          <w:highlight w:val="none"/>
        </w:rPr>
        <w:t>,</w:t>
      </w:r>
      <w:r>
        <w:rPr>
          <w:rFonts w:hint="eastAsia" w:asciiTheme="minorEastAsia" w:hAnsiTheme="minorEastAsia" w:eastAsiaTheme="minorEastAsia" w:cstheme="minorEastAsia"/>
          <w:color w:val="000000"/>
          <w:kern w:val="0"/>
          <w:sz w:val="28"/>
          <w:szCs w:val="28"/>
          <w:highlight w:val="none"/>
          <w:lang w:val="en-US" w:eastAsia="zh-CN"/>
        </w:rPr>
        <w:t>201</w:t>
      </w:r>
      <w:r>
        <w:rPr>
          <w:rFonts w:hint="eastAsia" w:asciiTheme="minorEastAsia" w:hAnsiTheme="minorEastAsia" w:eastAsiaTheme="minorEastAsia" w:cstheme="minorEastAsia"/>
          <w:color w:val="000000"/>
          <w:kern w:val="0"/>
          <w:sz w:val="28"/>
          <w:szCs w:val="28"/>
          <w:highlight w:val="none"/>
        </w:rPr>
        <w:t>.</w:t>
      </w:r>
      <w:r>
        <w:rPr>
          <w:rFonts w:hint="eastAsia" w:asciiTheme="minorEastAsia" w:hAnsiTheme="minorEastAsia" w:eastAsiaTheme="minorEastAsia" w:cstheme="minorEastAsia"/>
          <w:color w:val="000000"/>
          <w:kern w:val="0"/>
          <w:sz w:val="28"/>
          <w:szCs w:val="28"/>
          <w:highlight w:val="none"/>
          <w:lang w:val="en-US" w:eastAsia="zh-CN"/>
        </w:rPr>
        <w:t>46</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万元，业务活动现金流出合计</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1,004</w:t>
      </w:r>
      <w:r>
        <w:rPr>
          <w:rFonts w:hint="eastAsia" w:asciiTheme="minorEastAsia" w:hAnsiTheme="minorEastAsia" w:eastAsiaTheme="minorEastAsia" w:cstheme="minorEastAsia"/>
          <w:color w:val="000000"/>
          <w:kern w:val="0"/>
          <w:sz w:val="28"/>
          <w:szCs w:val="28"/>
          <w:highlight w:val="none"/>
        </w:rPr>
        <w:t>.</w:t>
      </w:r>
      <w:r>
        <w:rPr>
          <w:rFonts w:hint="eastAsia" w:asciiTheme="minorEastAsia" w:hAnsiTheme="minorEastAsia" w:eastAsiaTheme="minorEastAsia" w:cstheme="minorEastAsia"/>
          <w:color w:val="000000"/>
          <w:kern w:val="0"/>
          <w:sz w:val="28"/>
          <w:szCs w:val="28"/>
          <w:highlight w:val="none"/>
          <w:lang w:val="en-US" w:eastAsia="zh-CN"/>
        </w:rPr>
        <w:t>03</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万元，债券存续期内债券本金与利息合计</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35</w:t>
      </w:r>
      <w:r>
        <w:rPr>
          <w:rFonts w:hint="eastAsia" w:asciiTheme="minorEastAsia" w:hAnsiTheme="minorEastAsia" w:eastAsiaTheme="minorEastAsia" w:cstheme="minorEastAsia"/>
          <w:color w:val="000000"/>
          <w:kern w:val="0"/>
          <w:sz w:val="28"/>
          <w:szCs w:val="28"/>
          <w:highlight w:val="none"/>
        </w:rPr>
        <w:t>,</w:t>
      </w:r>
      <w:r>
        <w:rPr>
          <w:rFonts w:hint="eastAsia" w:asciiTheme="minorEastAsia" w:hAnsiTheme="minorEastAsia" w:eastAsiaTheme="minorEastAsia" w:cstheme="minorEastAsia"/>
          <w:color w:val="000000"/>
          <w:kern w:val="0"/>
          <w:sz w:val="28"/>
          <w:szCs w:val="28"/>
          <w:highlight w:val="none"/>
          <w:lang w:val="en-US" w:eastAsia="zh-CN"/>
        </w:rPr>
        <w:t>113</w:t>
      </w:r>
      <w:r>
        <w:rPr>
          <w:rFonts w:hint="eastAsia" w:asciiTheme="minorEastAsia" w:hAnsiTheme="minorEastAsia" w:eastAsiaTheme="minorEastAsia" w:cstheme="minorEastAsia"/>
          <w:color w:val="000000"/>
          <w:kern w:val="0"/>
          <w:sz w:val="28"/>
          <w:szCs w:val="28"/>
          <w:highlight w:val="none"/>
        </w:rPr>
        <w:t>.</w:t>
      </w:r>
      <w:r>
        <w:rPr>
          <w:rFonts w:hint="eastAsia" w:asciiTheme="minorEastAsia" w:hAnsiTheme="minorEastAsia" w:eastAsiaTheme="minorEastAsia" w:cstheme="minorEastAsia"/>
          <w:color w:val="000000"/>
          <w:kern w:val="0"/>
          <w:sz w:val="28"/>
          <w:szCs w:val="28"/>
          <w:highlight w:val="none"/>
          <w:lang w:val="en-US" w:eastAsia="zh-CN"/>
        </w:rPr>
        <w:t>75</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元。项目存续期内偿债资金覆盖倍数为1.</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40</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倍，还本付息资金有充分保障，项目实施方案资金计划能够满足发行专项债券资金充足性要求。债券存续期间整体资金流入、流出情况及期末现金如下图所示：</w:t>
      </w:r>
    </w:p>
    <w:p w14:paraId="432F5B53">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44" w:firstLineChars="200"/>
        <w:jc w:val="right"/>
        <w:textAlignment w:val="auto"/>
        <w:rPr>
          <w:color w:val="000000" w:themeColor="text1"/>
          <w:sz w:val="18"/>
          <w:szCs w:val="18"/>
          <w:highlight w:val="none"/>
          <w14:textFill>
            <w14:solidFill>
              <w14:schemeClr w14:val="tx1"/>
            </w14:solidFill>
          </w14:textFill>
        </w:rPr>
      </w:pPr>
      <w:r>
        <w:drawing>
          <wp:inline distT="0" distB="0" distL="114300" distR="114300">
            <wp:extent cx="4107180" cy="3002280"/>
            <wp:effectExtent l="4445" t="4445" r="22225" b="2222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color w:val="000000" w:themeColor="text1"/>
          <w:sz w:val="18"/>
          <w:szCs w:val="18"/>
          <w:highlight w:val="none"/>
          <w14:textFill>
            <w14:solidFill>
              <w14:schemeClr w14:val="tx1"/>
            </w14:solidFill>
          </w14:textFill>
        </w:rPr>
        <w:t>单位：万元</w:t>
      </w:r>
    </w:p>
    <w:p w14:paraId="317C14AD">
      <w:pPr>
        <w:pStyle w:val="19"/>
        <w:spacing w:before="0" w:beforeAutospacing="0" w:after="156" w:afterLines="50" w:afterAutospacing="0" w:line="360" w:lineRule="exact"/>
        <w:ind w:firstLine="424" w:firstLineChars="200"/>
        <w:jc w:val="center"/>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图3-</w:t>
      </w:r>
      <w:r>
        <w:rPr>
          <w:color w:val="000000" w:themeColor="text1"/>
          <w:sz w:val="21"/>
          <w:szCs w:val="21"/>
          <w:highlight w:val="none"/>
          <w14:textFill>
            <w14:solidFill>
              <w14:schemeClr w14:val="tx1"/>
            </w14:solidFill>
          </w14:textFill>
        </w:rPr>
        <w:t>1</w:t>
      </w:r>
      <w:r>
        <w:rPr>
          <w:rFonts w:hint="eastAsia"/>
          <w:color w:val="000000" w:themeColor="text1"/>
          <w:sz w:val="21"/>
          <w:szCs w:val="21"/>
          <w:highlight w:val="none"/>
          <w14:textFill>
            <w14:solidFill>
              <w14:schemeClr w14:val="tx1"/>
            </w14:solidFill>
          </w14:textFill>
        </w:rPr>
        <w:t>债券存续期间现金流情况图</w:t>
      </w:r>
    </w:p>
    <w:p w14:paraId="05E4F580">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67" w:name="_Toc17673"/>
      <w:r>
        <w:rPr>
          <w:rFonts w:hint="eastAsia" w:ascii="微软雅黑" w:hAnsi="微软雅黑" w:eastAsia="微软雅黑" w:cs="微软雅黑"/>
          <w:b w:val="0"/>
          <w:bCs w:val="0"/>
          <w:color w:val="000000"/>
          <w:sz w:val="32"/>
          <w:szCs w:val="24"/>
          <w:highlight w:val="none"/>
          <w:lang w:val="en-US"/>
        </w:rPr>
        <w:t>四、事前绩效评价</w:t>
      </w:r>
      <w:bookmarkEnd w:id="67"/>
    </w:p>
    <w:p w14:paraId="43014C6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1、项目实施的必要性、公益性、收益性</w:t>
      </w:r>
    </w:p>
    <w:p w14:paraId="53B83FE1">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（1）必要性</w:t>
      </w:r>
    </w:p>
    <w:p w14:paraId="2A876A2B">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1）项目建设是大力提高人民群众的居住水平，是全面建设小康社会和实现现代化的重要方面与重要内容之一。</w:t>
      </w:r>
    </w:p>
    <w:p w14:paraId="2245DCA9">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2EE3AE21">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224E79CF">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（2）公益性</w:t>
      </w:r>
    </w:p>
    <w:p w14:paraId="154AF970">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目前南昌县经济发展不断加快，城市化进程不断加速，城市范围在不断扩大，城市新区各项功能不断完善，街上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38E1502B">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（3）收益性</w:t>
      </w:r>
    </w:p>
    <w:p w14:paraId="1A1D4B10">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本项目实施后，可产生运营收益，根据测算收入约为 50,201.46万元，可用于偿债的项目收益为50,201.46万元，满足资金平衡需求。</w:t>
      </w:r>
    </w:p>
    <w:p w14:paraId="03F6696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2、项目建设投资合规性与项目成熟度</w:t>
      </w:r>
    </w:p>
    <w:p w14:paraId="6271BF79">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项目于2022年4月18日已获得南昌县行政审批局《关于南昌县向塘镇320国道改造安置房（保障房）一期二批工程可行性研究报告的批复》（南行审投资投字[2022]54 号）。</w:t>
      </w:r>
    </w:p>
    <w:p w14:paraId="5CAEBEB0">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项目建设有期充分的必要性，前期手续完善，项目资金为部分项目单位自筹，部分申请政府专项债券资金。项目成熟度、可靠度较高。</w:t>
      </w:r>
    </w:p>
    <w:p w14:paraId="635D7AE8">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项目资金来源和可到位性</w:t>
      </w:r>
    </w:p>
    <w:p w14:paraId="41349714">
      <w:pPr>
        <w:keepNext w:val="0"/>
        <w:keepLines w:val="0"/>
        <w:pageBreakBefore w:val="0"/>
        <w:widowControl w:val="0"/>
        <w:kinsoku/>
        <w:wordWrap/>
        <w:overflowPunct/>
        <w:topLinePunct w:val="0"/>
        <w:autoSpaceDE/>
        <w:autoSpaceDN/>
        <w:bidi w:val="0"/>
        <w:adjustRightInd/>
        <w:snapToGrid/>
        <w:spacing w:line="600" w:lineRule="exact"/>
        <w:ind w:firstLine="564" w:firstLineChars="200"/>
        <w:textAlignment w:val="auto"/>
        <w:rPr>
          <w:rFonts w:hint="eastAsia" w:asciiTheme="minorEastAsia" w:hAnsiTheme="minorEastAsia" w:eastAsiaTheme="minorEastAsia" w:cstheme="minorEastAsia"/>
          <w:color w:val="000000"/>
          <w:sz w:val="28"/>
          <w:szCs w:val="28"/>
          <w:highlight w:val="none"/>
          <w:lang w:val="en-US" w:eastAsia="zh-CN"/>
        </w:rPr>
      </w:pPr>
      <w:r>
        <w:rPr>
          <w:rFonts w:hint="eastAsia" w:asciiTheme="minorEastAsia" w:hAnsiTheme="minorEastAsia" w:eastAsiaTheme="minorEastAsia" w:cstheme="minorEastAsia"/>
          <w:color w:val="000000"/>
          <w:kern w:val="2"/>
          <w:sz w:val="28"/>
          <w:szCs w:val="28"/>
          <w:highlight w:val="none"/>
          <w:lang w:val="en-US" w:eastAsia="zh-CN" w:bidi="ar-SA"/>
        </w:rPr>
        <w:t>本项目资金筹措方式包括自筹资金及政府债券，</w:t>
      </w:r>
      <w:r>
        <w:rPr>
          <w:rFonts w:hint="eastAsia" w:asciiTheme="minorEastAsia" w:hAnsiTheme="minorEastAsia" w:eastAsiaTheme="minorEastAsia" w:cstheme="minorEastAsia"/>
          <w:color w:val="000000"/>
          <w:sz w:val="28"/>
          <w:szCs w:val="28"/>
          <w:highlight w:val="none"/>
          <w:lang w:val="en-US" w:eastAsia="zh-CN"/>
        </w:rPr>
        <w:t>自筹资金6162.28 万元；本期发行专项债券1600.00 万元，期限5年。</w:t>
      </w:r>
    </w:p>
    <w:p w14:paraId="56DD450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4、项目收入、成本、收益预测合理性</w:t>
      </w:r>
    </w:p>
    <w:p w14:paraId="07452CAB">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根据项目可行性研究报告并结合实际情况进行测算，本项目债券存续期内收入包含土地出让收入万元。</w:t>
      </w:r>
    </w:p>
    <w:p w14:paraId="00653DC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债券存续期收益已由业主单位盖章确认，预测合理性较高。</w:t>
      </w:r>
    </w:p>
    <w:p w14:paraId="3D5D345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5、债券资金需求合理性</w:t>
      </w:r>
    </w:p>
    <w:p w14:paraId="49EEE6F7">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本项目资本金比例</w:t>
      </w:r>
      <w:r>
        <w:rPr>
          <w:rFonts w:hint="eastAsia" w:asciiTheme="minorEastAsia" w:hAnsiTheme="minorEastAsia" w:eastAsiaTheme="minorEastAsia" w:cstheme="minorEastAsia"/>
          <w:color w:val="000000"/>
          <w:sz w:val="28"/>
          <w:szCs w:val="28"/>
          <w:highlight w:val="none"/>
          <w:lang w:val="en-US" w:eastAsia="zh-CN"/>
        </w:rPr>
        <w:t>20.50%</w:t>
      </w:r>
      <w:r>
        <w:rPr>
          <w:rFonts w:hint="eastAsia" w:asciiTheme="minorEastAsia" w:hAnsiTheme="minorEastAsia" w:eastAsiaTheme="minorEastAsia" w:cstheme="minorEastAsia"/>
          <w:color w:val="000000"/>
          <w:kern w:val="2"/>
          <w:sz w:val="28"/>
          <w:szCs w:val="28"/>
          <w:highlight w:val="none"/>
          <w:lang w:val="en-US" w:eastAsia="zh-CN" w:bidi="ar-SA"/>
        </w:rPr>
        <w:t>，满足国家发改委对固定资产投资项目资本金比例的要求。项目拟申请债券资金本息额共计</w:t>
      </w:r>
      <w:r>
        <w:rPr>
          <w:rFonts w:hint="eastAsia" w:asciiTheme="minorEastAsia" w:hAnsiTheme="minorEastAsia" w:eastAsiaTheme="minorEastAsia" w:cstheme="minorEastAsia"/>
          <w:color w:val="000000"/>
          <w:sz w:val="28"/>
          <w:szCs w:val="28"/>
          <w:highlight w:val="none"/>
          <w:lang w:val="en-US" w:eastAsia="zh-CN"/>
        </w:rPr>
        <w:t>35,113.75</w:t>
      </w:r>
      <w:r>
        <w:rPr>
          <w:rFonts w:hint="eastAsia" w:asciiTheme="minorEastAsia" w:hAnsiTheme="minorEastAsia" w:eastAsiaTheme="minorEastAsia" w:cstheme="minorEastAsia"/>
          <w:color w:val="000000"/>
          <w:kern w:val="2"/>
          <w:sz w:val="28"/>
          <w:szCs w:val="28"/>
          <w:highlight w:val="none"/>
          <w:lang w:val="en-US" w:eastAsia="zh-CN" w:bidi="ar-SA"/>
        </w:rPr>
        <w:t>万元，项目收益预计为 50,201.46万元，项目收益对债券本息的覆盖倍数计算为1.4，偿债保障性较高，债券需求额度合理。</w:t>
      </w:r>
    </w:p>
    <w:p w14:paraId="3F6947B4">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6、项目偿债计划可行性和偿债风险</w:t>
      </w:r>
    </w:p>
    <w:p w14:paraId="0CF7F909">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本项目2023年-2024年合计拟申请发行5年期专项债券23900.00万元；每年付息一次，到期一次偿还本金。其均以资本金偿还，可保障建设期利息可靠偿还。</w:t>
      </w:r>
    </w:p>
    <w:p w14:paraId="774E0A83">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项目自2023年起可实现收益，可满足后续债券各年利息偿还，结余资金转账管理，用于到期一次还本，偿债计划可行。</w:t>
      </w:r>
    </w:p>
    <w:p w14:paraId="226AD59F">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7、绩效目标合理性</w:t>
      </w:r>
    </w:p>
    <w:p w14:paraId="62D92D26">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1225429C">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其他需要纳入其他绩效评估的事项</w:t>
      </w:r>
    </w:p>
    <w:p w14:paraId="5634E365">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68" w:name="_Toc15778"/>
      <w:r>
        <w:rPr>
          <w:rFonts w:hint="eastAsia" w:ascii="微软雅黑" w:hAnsi="微软雅黑" w:eastAsia="微软雅黑" w:cs="微软雅黑"/>
          <w:b w:val="0"/>
          <w:bCs w:val="0"/>
          <w:color w:val="000000"/>
          <w:sz w:val="32"/>
          <w:szCs w:val="24"/>
          <w:highlight w:val="none"/>
          <w:lang w:val="en-US"/>
        </w:rPr>
        <w:t>五、项目风险分析</w:t>
      </w:r>
      <w:bookmarkEnd w:id="68"/>
    </w:p>
    <w:p w14:paraId="29EBA268">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1、投资估算风险</w:t>
      </w:r>
    </w:p>
    <w:p w14:paraId="2649C0D9">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66855927">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2、工程风险</w:t>
      </w:r>
    </w:p>
    <w:p w14:paraId="54130EDF">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10C8DCAD">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4、融资风险</w:t>
      </w:r>
    </w:p>
    <w:p w14:paraId="7A948BB0">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647AE021">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5、财务风险</w:t>
      </w:r>
    </w:p>
    <w:p w14:paraId="079086AD">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3EA794EC">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7、自然风险</w:t>
      </w:r>
    </w:p>
    <w:p w14:paraId="661D376D">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本项目在经营期间遇到人力不可抗拒的自然灾害是完全可能的，为了降低此间风险，要根据项目的特点制定的相应的措施，以便使不可抗拒自然灾害的风险降到最低。</w:t>
      </w:r>
    </w:p>
    <w:p w14:paraId="0A2F3B85">
      <w:pPr>
        <w:pStyle w:val="3"/>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69" w:name="_Toc12859"/>
      <w:r>
        <w:rPr>
          <w:rFonts w:hint="eastAsia" w:ascii="微软雅黑" w:hAnsi="微软雅黑" w:eastAsia="微软雅黑" w:cs="微软雅黑"/>
          <w:b w:val="0"/>
          <w:bCs w:val="0"/>
          <w:color w:val="000000"/>
          <w:sz w:val="32"/>
          <w:szCs w:val="24"/>
          <w:highlight w:val="none"/>
          <w:lang w:val="en-US" w:eastAsia="zh-CN"/>
        </w:rPr>
        <w:t>六</w:t>
      </w:r>
      <w:r>
        <w:rPr>
          <w:rFonts w:hint="eastAsia" w:ascii="微软雅黑" w:hAnsi="微软雅黑" w:eastAsia="微软雅黑" w:cs="微软雅黑"/>
          <w:b w:val="0"/>
          <w:bCs w:val="0"/>
          <w:color w:val="000000"/>
          <w:sz w:val="32"/>
          <w:szCs w:val="24"/>
          <w:highlight w:val="none"/>
          <w:lang w:val="en-US"/>
        </w:rPr>
        <w:t>、专项债发行方案</w:t>
      </w:r>
      <w:bookmarkEnd w:id="69"/>
    </w:p>
    <w:p w14:paraId="4B0E96C5">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发行主体资格:根据《关于试点发展项目收益与融资自求平衡的地方政府专项债券品种的通知》（财预[2017]89号）之规定，地方政府专项债券需由江西省人民政府作为发行主体。本项目的实施机构为南昌县住建和城乡建设局，是依法批准设立的机关单位，具备机关单位法人资格，具有相应的民事权利能力和民事行为能力；项目业主为南昌县城市建设投资发展有限公司,是依法批准设立的企业法人，具备作为项目业主的资格。</w:t>
      </w:r>
    </w:p>
    <w:p w14:paraId="351D4FD8">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2、发行计划: 南昌县向塘镇320国道改造安置房（保障房）一期二批工程本期年申请发行地方政府专项债券1600.00万元，期限5年，专项债券融资成本按3.7%估算。</w:t>
      </w:r>
    </w:p>
    <w:p w14:paraId="32E746C5">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3、发行场所:通过全国银行间债券市场、证券交易所债券市场发行。将来条件具备时也可在银行柜台债券市场发行。</w:t>
      </w:r>
    </w:p>
    <w:p w14:paraId="31F696D9">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4、时间安排:计划发行时间为2024年09月，以后年度结合当年发债计划安排。</w:t>
      </w:r>
    </w:p>
    <w:p w14:paraId="0451A477">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5、信息披露：在专项债发行日前5个工作日通过</w:t>
      </w:r>
      <w:r>
        <w:rPr>
          <w:rFonts w:hint="eastAsia" w:asciiTheme="minorEastAsia" w:hAnsiTheme="minorEastAsia" w:eastAsiaTheme="minorEastAsia" w:cstheme="minorEastAsia"/>
          <w:color w:val="000000"/>
          <w:kern w:val="2"/>
          <w:sz w:val="28"/>
          <w:szCs w:val="28"/>
          <w:highlight w:val="none"/>
          <w:lang w:val="en-US" w:eastAsia="zh-CN" w:bidi="ar-SA"/>
        </w:rPr>
        <w:fldChar w:fldCharType="begin"/>
      </w:r>
      <w:r>
        <w:rPr>
          <w:rFonts w:hint="eastAsia" w:asciiTheme="minorEastAsia" w:hAnsiTheme="minorEastAsia" w:eastAsiaTheme="minorEastAsia" w:cstheme="minorEastAsia"/>
          <w:color w:val="000000"/>
          <w:kern w:val="2"/>
          <w:sz w:val="28"/>
          <w:szCs w:val="28"/>
          <w:highlight w:val="none"/>
          <w:lang w:val="en-US" w:eastAsia="zh-CN" w:bidi="ar-SA"/>
        </w:rPr>
        <w:instrText xml:space="preserve"> HYPERLINK "https://www.sogou.com/link?url=DSOYnZeCC_pzE53eXNhcqFoov_MuMQYQreaVHN88tHY." \t "https://www.sogou.com/_blank" </w:instrText>
      </w:r>
      <w:r>
        <w:rPr>
          <w:rFonts w:hint="eastAsia" w:asciiTheme="minorEastAsia" w:hAnsiTheme="minorEastAsia" w:eastAsiaTheme="minorEastAsia" w:cstheme="minorEastAsia"/>
          <w:color w:val="000000"/>
          <w:kern w:val="2"/>
          <w:sz w:val="28"/>
          <w:szCs w:val="28"/>
          <w:highlight w:val="none"/>
          <w:lang w:val="en-US" w:eastAsia="zh-CN" w:bidi="ar-SA"/>
        </w:rPr>
        <w:fldChar w:fldCharType="separate"/>
      </w:r>
      <w:r>
        <w:rPr>
          <w:rFonts w:hint="eastAsia" w:asciiTheme="minorEastAsia" w:hAnsiTheme="minorEastAsia" w:eastAsiaTheme="minorEastAsia" w:cstheme="minorEastAsia"/>
          <w:color w:val="000000"/>
          <w:kern w:val="2"/>
          <w:sz w:val="28"/>
          <w:szCs w:val="28"/>
          <w:highlight w:val="none"/>
          <w:lang w:val="en-US" w:eastAsia="zh-CN" w:bidi="ar-SA"/>
        </w:rPr>
        <w:t>中国地方政府债券信息公开平台</w:t>
      </w:r>
      <w:r>
        <w:rPr>
          <w:rFonts w:hint="eastAsia" w:asciiTheme="minorEastAsia" w:hAnsiTheme="minorEastAsia" w:eastAsiaTheme="minorEastAsia" w:cstheme="minorEastAsia"/>
          <w:color w:val="000000"/>
          <w:kern w:val="2"/>
          <w:sz w:val="28"/>
          <w:szCs w:val="28"/>
          <w:highlight w:val="none"/>
          <w:lang w:val="en-US" w:eastAsia="zh-CN" w:bidi="ar-SA"/>
        </w:rPr>
        <w:fldChar w:fldCharType="end"/>
      </w:r>
      <w:r>
        <w:rPr>
          <w:rFonts w:hint="eastAsia" w:asciiTheme="minorEastAsia" w:hAnsiTheme="minorEastAsia" w:eastAsiaTheme="minorEastAsia" w:cstheme="minorEastAsia"/>
          <w:color w:val="000000"/>
          <w:kern w:val="2"/>
          <w:sz w:val="28"/>
          <w:szCs w:val="28"/>
          <w:highlight w:val="none"/>
          <w:lang w:val="en-US" w:eastAsia="zh-CN" w:bidi="ar-SA"/>
        </w:rPr>
        <w:t>、江西省财政厅官方网站和中国债券信息网-中央结算公司官方网站披露（http：//www.chinabond.com.cn/）详细披露债券发行全套信息披露文件。</w:t>
      </w:r>
    </w:p>
    <w:p w14:paraId="3ECCEC1E">
      <w:pPr>
        <w:pStyle w:val="19"/>
        <w:spacing w:before="0" w:beforeAutospacing="0" w:after="156" w:afterLines="50" w:afterAutospacing="0" w:line="560" w:lineRule="exact"/>
        <w:ind w:firstLine="564"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总体而言，南昌县向塘镇320国道改造安置房（保障房）一期二批工程通过发行专项债可以降低项目融资成本，是现阶段解决建设资金问题的推荐方案。且基于财政部对地方政府发行项目收益与融资自求平衡专项债券的要求，并根据项目重大建设意义，南昌县向塘镇320国道改造安置房（保障房）一期二批工程可以通过申请专项债券的方式进行融资以完成资金筹措。</w:t>
      </w:r>
    </w:p>
    <w:p w14:paraId="7D52E0B5">
      <w:pPr>
        <w:rPr>
          <w:rFonts w:ascii="楷体" w:hAnsi="楷体" w:eastAsia="楷体"/>
          <w:b/>
          <w:color w:val="auto"/>
          <w:sz w:val="44"/>
          <w:szCs w:val="44"/>
        </w:rPr>
      </w:pPr>
    </w:p>
    <w:p w14:paraId="3FD8F925">
      <w:pPr>
        <w:spacing w:line="360" w:lineRule="auto"/>
        <w:ind w:right="-99" w:rightChars="-47"/>
        <w:rPr>
          <w:rFonts w:ascii="楷体" w:hAnsi="楷体" w:eastAsia="楷体" w:cs="楷体"/>
          <w:bCs/>
          <w:color w:val="auto"/>
          <w:sz w:val="28"/>
          <w:szCs w:val="28"/>
        </w:rPr>
      </w:pPr>
    </w:p>
    <w:sectPr>
      <w:footerReference r:id="rId5" w:type="default"/>
      <w:pgSz w:w="11906" w:h="16838"/>
      <w:pgMar w:top="1531" w:right="1701" w:bottom="1417" w:left="1701" w:header="851" w:footer="992" w:gutter="0"/>
      <w:pgNumType w:fmt="decimal"/>
      <w:cols w:space="0" w:num="1"/>
      <w:rtlGutter w:val="0"/>
      <w:docGrid w:type="linesAndChars" w:linePitch="314"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Arial Narrow">
    <w:altName w:val="Arial"/>
    <w:panose1 w:val="020B0606020202030204"/>
    <w:charset w:val="00"/>
    <w:family w:val="auto"/>
    <w:pitch w:val="default"/>
    <w:sig w:usb0="00000000"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40815">
    <w:pPr>
      <w:pStyle w:val="14"/>
    </w:pPr>
    <w:r>
      <w:rPr>
        <w:sz w:val="18"/>
      </w:rPr>
      <w:pict>
        <v:shape id="_x0000_s4096" o:spid="_x0000_s409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2721573">
                <w:pPr>
                  <w:pStyle w:val="14"/>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3BCB1">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999E">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F0999E">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E257">
    <w:pPr>
      <w:pStyle w:val="5"/>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378C42">
                          <w:pPr>
                            <w:pStyle w:val="14"/>
                          </w:pPr>
                          <w:r>
                            <w:fldChar w:fldCharType="begin"/>
                          </w:r>
                          <w:r>
                            <w:instrText xml:space="preserve"> PAGE  \* MERGEFORMAT </w:instrText>
                          </w:r>
                          <w:r>
                            <w:fldChar w:fldCharType="separate"/>
                          </w:r>
                          <w:r>
                            <w:t>18</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7A378C42">
                    <w:pPr>
                      <w:pStyle w:val="14"/>
                    </w:pPr>
                    <w:r>
                      <w:fldChar w:fldCharType="begin"/>
                    </w:r>
                    <w:r>
                      <w:instrText xml:space="preserve"> PAGE  \* MERGEFORMAT </w:instrText>
                    </w:r>
                    <w:r>
                      <w:fldChar w:fldCharType="separate"/>
                    </w:r>
                    <w:r>
                      <w:t>18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japaneseCounting"/>
      <w:pStyle w:val="3"/>
      <w:lvlText w:val="（%1）"/>
      <w:lvlJc w:val="left"/>
      <w:pPr>
        <w:ind w:left="520" w:hanging="420"/>
      </w:pPr>
      <w:rPr>
        <w:rFonts w:hint="default"/>
        <w:lang w:val="en-US"/>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6"/>
  <w:drawingGridVerticalSpacing w:val="157"/>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IyOGE2OTJmOWQzOWY5NmY5NjBkYmVlZDcwNWQifQ=="/>
  </w:docVars>
  <w:rsids>
    <w:rsidRoot w:val="000957C8"/>
    <w:rsid w:val="00003C41"/>
    <w:rsid w:val="00006FDF"/>
    <w:rsid w:val="000268DF"/>
    <w:rsid w:val="00026E32"/>
    <w:rsid w:val="00026F26"/>
    <w:rsid w:val="00052D78"/>
    <w:rsid w:val="0005687B"/>
    <w:rsid w:val="0006002E"/>
    <w:rsid w:val="0006647B"/>
    <w:rsid w:val="000731AE"/>
    <w:rsid w:val="000957C8"/>
    <w:rsid w:val="000A33B8"/>
    <w:rsid w:val="000B329A"/>
    <w:rsid w:val="000B580E"/>
    <w:rsid w:val="000B77C2"/>
    <w:rsid w:val="000C20AD"/>
    <w:rsid w:val="000D3026"/>
    <w:rsid w:val="00100261"/>
    <w:rsid w:val="00100A62"/>
    <w:rsid w:val="0010463A"/>
    <w:rsid w:val="0012739F"/>
    <w:rsid w:val="00136AAB"/>
    <w:rsid w:val="0014723D"/>
    <w:rsid w:val="00151559"/>
    <w:rsid w:val="001542D4"/>
    <w:rsid w:val="00191081"/>
    <w:rsid w:val="00193DA2"/>
    <w:rsid w:val="001D4575"/>
    <w:rsid w:val="001E17EF"/>
    <w:rsid w:val="001E3B27"/>
    <w:rsid w:val="001E48BA"/>
    <w:rsid w:val="001E4D1C"/>
    <w:rsid w:val="001F77AC"/>
    <w:rsid w:val="00203DF8"/>
    <w:rsid w:val="0020518D"/>
    <w:rsid w:val="00211840"/>
    <w:rsid w:val="00215469"/>
    <w:rsid w:val="00215FB4"/>
    <w:rsid w:val="00221A34"/>
    <w:rsid w:val="002370D4"/>
    <w:rsid w:val="00237D3D"/>
    <w:rsid w:val="00257E35"/>
    <w:rsid w:val="00260C53"/>
    <w:rsid w:val="00266729"/>
    <w:rsid w:val="00275600"/>
    <w:rsid w:val="00276117"/>
    <w:rsid w:val="00282489"/>
    <w:rsid w:val="0028504A"/>
    <w:rsid w:val="00285F6F"/>
    <w:rsid w:val="00291239"/>
    <w:rsid w:val="002A3449"/>
    <w:rsid w:val="002A5058"/>
    <w:rsid w:val="002D5858"/>
    <w:rsid w:val="002D7E89"/>
    <w:rsid w:val="003259CD"/>
    <w:rsid w:val="003352EB"/>
    <w:rsid w:val="003535A5"/>
    <w:rsid w:val="00375939"/>
    <w:rsid w:val="00385166"/>
    <w:rsid w:val="00392890"/>
    <w:rsid w:val="003A2C4B"/>
    <w:rsid w:val="003C1919"/>
    <w:rsid w:val="003F3F28"/>
    <w:rsid w:val="004178C9"/>
    <w:rsid w:val="004229A8"/>
    <w:rsid w:val="00423E55"/>
    <w:rsid w:val="004269A1"/>
    <w:rsid w:val="00444C61"/>
    <w:rsid w:val="004700ED"/>
    <w:rsid w:val="004762C6"/>
    <w:rsid w:val="00482967"/>
    <w:rsid w:val="004A704F"/>
    <w:rsid w:val="004B1D3D"/>
    <w:rsid w:val="004C02E5"/>
    <w:rsid w:val="004E709D"/>
    <w:rsid w:val="004E7922"/>
    <w:rsid w:val="004F073B"/>
    <w:rsid w:val="004F136D"/>
    <w:rsid w:val="005074EF"/>
    <w:rsid w:val="00511385"/>
    <w:rsid w:val="00514E64"/>
    <w:rsid w:val="00517FAD"/>
    <w:rsid w:val="00531421"/>
    <w:rsid w:val="00540951"/>
    <w:rsid w:val="00545436"/>
    <w:rsid w:val="00550E41"/>
    <w:rsid w:val="005512B2"/>
    <w:rsid w:val="0057253B"/>
    <w:rsid w:val="00590D5F"/>
    <w:rsid w:val="0059720E"/>
    <w:rsid w:val="005A34F1"/>
    <w:rsid w:val="005A79D7"/>
    <w:rsid w:val="005B1732"/>
    <w:rsid w:val="005B62F9"/>
    <w:rsid w:val="005D77EA"/>
    <w:rsid w:val="005E6D0C"/>
    <w:rsid w:val="005F013A"/>
    <w:rsid w:val="00600DF7"/>
    <w:rsid w:val="00610108"/>
    <w:rsid w:val="0061021E"/>
    <w:rsid w:val="006263C6"/>
    <w:rsid w:val="0065130C"/>
    <w:rsid w:val="0067047D"/>
    <w:rsid w:val="00684591"/>
    <w:rsid w:val="006847A8"/>
    <w:rsid w:val="006A0560"/>
    <w:rsid w:val="006A39C8"/>
    <w:rsid w:val="006A3A7A"/>
    <w:rsid w:val="006B0798"/>
    <w:rsid w:val="006C0699"/>
    <w:rsid w:val="006C1C43"/>
    <w:rsid w:val="006C3DCC"/>
    <w:rsid w:val="006C6AFE"/>
    <w:rsid w:val="006D7BBE"/>
    <w:rsid w:val="006E2143"/>
    <w:rsid w:val="006E28EC"/>
    <w:rsid w:val="006E3EE5"/>
    <w:rsid w:val="006F2A0A"/>
    <w:rsid w:val="007064D9"/>
    <w:rsid w:val="00712661"/>
    <w:rsid w:val="00712F76"/>
    <w:rsid w:val="007206FB"/>
    <w:rsid w:val="007228F4"/>
    <w:rsid w:val="00734971"/>
    <w:rsid w:val="00740F6C"/>
    <w:rsid w:val="0074140D"/>
    <w:rsid w:val="007524E4"/>
    <w:rsid w:val="00770D0D"/>
    <w:rsid w:val="00775922"/>
    <w:rsid w:val="007802A1"/>
    <w:rsid w:val="007911AD"/>
    <w:rsid w:val="007966DC"/>
    <w:rsid w:val="007A3D76"/>
    <w:rsid w:val="007A675D"/>
    <w:rsid w:val="007C6B59"/>
    <w:rsid w:val="007D219F"/>
    <w:rsid w:val="007D3F6D"/>
    <w:rsid w:val="007F15C4"/>
    <w:rsid w:val="007F2C02"/>
    <w:rsid w:val="00804A26"/>
    <w:rsid w:val="00817CB3"/>
    <w:rsid w:val="00820DBF"/>
    <w:rsid w:val="00822A21"/>
    <w:rsid w:val="008255CD"/>
    <w:rsid w:val="00826EF6"/>
    <w:rsid w:val="00834951"/>
    <w:rsid w:val="00840055"/>
    <w:rsid w:val="008537A8"/>
    <w:rsid w:val="00854B79"/>
    <w:rsid w:val="00856A1A"/>
    <w:rsid w:val="00860F46"/>
    <w:rsid w:val="008851A1"/>
    <w:rsid w:val="008921E2"/>
    <w:rsid w:val="008B58F8"/>
    <w:rsid w:val="008C2005"/>
    <w:rsid w:val="008C2716"/>
    <w:rsid w:val="008C3676"/>
    <w:rsid w:val="008C45AF"/>
    <w:rsid w:val="008D221C"/>
    <w:rsid w:val="008F394A"/>
    <w:rsid w:val="009101EB"/>
    <w:rsid w:val="00914391"/>
    <w:rsid w:val="0092472F"/>
    <w:rsid w:val="00924CE9"/>
    <w:rsid w:val="00946AF1"/>
    <w:rsid w:val="00970324"/>
    <w:rsid w:val="009935A3"/>
    <w:rsid w:val="009C3527"/>
    <w:rsid w:val="009C397B"/>
    <w:rsid w:val="009D6C7B"/>
    <w:rsid w:val="009D74AF"/>
    <w:rsid w:val="009F6BA6"/>
    <w:rsid w:val="00A013DA"/>
    <w:rsid w:val="00A046FD"/>
    <w:rsid w:val="00A11A52"/>
    <w:rsid w:val="00A229A3"/>
    <w:rsid w:val="00A26432"/>
    <w:rsid w:val="00A31BCB"/>
    <w:rsid w:val="00A31D49"/>
    <w:rsid w:val="00A51A97"/>
    <w:rsid w:val="00A54822"/>
    <w:rsid w:val="00A55EDC"/>
    <w:rsid w:val="00A8775B"/>
    <w:rsid w:val="00A9536B"/>
    <w:rsid w:val="00AB3A9C"/>
    <w:rsid w:val="00AC4CDA"/>
    <w:rsid w:val="00AC6845"/>
    <w:rsid w:val="00AC7B73"/>
    <w:rsid w:val="00AD0548"/>
    <w:rsid w:val="00AD4456"/>
    <w:rsid w:val="00AD5F08"/>
    <w:rsid w:val="00AF3B26"/>
    <w:rsid w:val="00AF5EF0"/>
    <w:rsid w:val="00B0034B"/>
    <w:rsid w:val="00B17E6E"/>
    <w:rsid w:val="00B2140B"/>
    <w:rsid w:val="00B32751"/>
    <w:rsid w:val="00B40F46"/>
    <w:rsid w:val="00B4324A"/>
    <w:rsid w:val="00B52E6E"/>
    <w:rsid w:val="00B57D4D"/>
    <w:rsid w:val="00B66020"/>
    <w:rsid w:val="00B706FA"/>
    <w:rsid w:val="00B708D3"/>
    <w:rsid w:val="00B94CDB"/>
    <w:rsid w:val="00B95750"/>
    <w:rsid w:val="00BB5D05"/>
    <w:rsid w:val="00BB7078"/>
    <w:rsid w:val="00BC079F"/>
    <w:rsid w:val="00BC4CA0"/>
    <w:rsid w:val="00BE706E"/>
    <w:rsid w:val="00BF4C92"/>
    <w:rsid w:val="00C02D9B"/>
    <w:rsid w:val="00C0393E"/>
    <w:rsid w:val="00C048DF"/>
    <w:rsid w:val="00C14621"/>
    <w:rsid w:val="00C1697D"/>
    <w:rsid w:val="00C30336"/>
    <w:rsid w:val="00C31324"/>
    <w:rsid w:val="00C33D8C"/>
    <w:rsid w:val="00C471A7"/>
    <w:rsid w:val="00C75EA3"/>
    <w:rsid w:val="00C80A14"/>
    <w:rsid w:val="00C80FC2"/>
    <w:rsid w:val="00C82216"/>
    <w:rsid w:val="00C849D8"/>
    <w:rsid w:val="00C84E61"/>
    <w:rsid w:val="00CA36F1"/>
    <w:rsid w:val="00CA578A"/>
    <w:rsid w:val="00CA5CAD"/>
    <w:rsid w:val="00CC1814"/>
    <w:rsid w:val="00CD6EF4"/>
    <w:rsid w:val="00CE79C0"/>
    <w:rsid w:val="00D01433"/>
    <w:rsid w:val="00D05681"/>
    <w:rsid w:val="00D21B57"/>
    <w:rsid w:val="00D405D5"/>
    <w:rsid w:val="00D43C10"/>
    <w:rsid w:val="00D5084D"/>
    <w:rsid w:val="00D6106F"/>
    <w:rsid w:val="00D6142E"/>
    <w:rsid w:val="00D64F2D"/>
    <w:rsid w:val="00D777AE"/>
    <w:rsid w:val="00DA059D"/>
    <w:rsid w:val="00DE3DD5"/>
    <w:rsid w:val="00DE4342"/>
    <w:rsid w:val="00DF0CDD"/>
    <w:rsid w:val="00DF315C"/>
    <w:rsid w:val="00DF6E3A"/>
    <w:rsid w:val="00E07FD8"/>
    <w:rsid w:val="00E261E7"/>
    <w:rsid w:val="00E27719"/>
    <w:rsid w:val="00E42248"/>
    <w:rsid w:val="00E824F8"/>
    <w:rsid w:val="00E90D59"/>
    <w:rsid w:val="00E92CFB"/>
    <w:rsid w:val="00EC4F81"/>
    <w:rsid w:val="00EC6198"/>
    <w:rsid w:val="00EC77CD"/>
    <w:rsid w:val="00ED3127"/>
    <w:rsid w:val="00EF3FD5"/>
    <w:rsid w:val="00EF583A"/>
    <w:rsid w:val="00EF7DB6"/>
    <w:rsid w:val="00F072DB"/>
    <w:rsid w:val="00F355ED"/>
    <w:rsid w:val="00F56916"/>
    <w:rsid w:val="00F72A00"/>
    <w:rsid w:val="00F82C81"/>
    <w:rsid w:val="00F85EC7"/>
    <w:rsid w:val="00FA2FA0"/>
    <w:rsid w:val="00FB2ADA"/>
    <w:rsid w:val="00FC29B6"/>
    <w:rsid w:val="00FD14D2"/>
    <w:rsid w:val="00FD2474"/>
    <w:rsid w:val="00FD65D5"/>
    <w:rsid w:val="00FE12A0"/>
    <w:rsid w:val="0A8D1341"/>
    <w:rsid w:val="0C240EA8"/>
    <w:rsid w:val="0C414581"/>
    <w:rsid w:val="0E4B1ECF"/>
    <w:rsid w:val="0FD16016"/>
    <w:rsid w:val="11BF0A31"/>
    <w:rsid w:val="13307A17"/>
    <w:rsid w:val="142C5DFB"/>
    <w:rsid w:val="1795285A"/>
    <w:rsid w:val="19B56814"/>
    <w:rsid w:val="1A424B3D"/>
    <w:rsid w:val="1AD0786D"/>
    <w:rsid w:val="23B00850"/>
    <w:rsid w:val="253A0854"/>
    <w:rsid w:val="259440F0"/>
    <w:rsid w:val="2B02503C"/>
    <w:rsid w:val="2B2B10BE"/>
    <w:rsid w:val="2C8B456A"/>
    <w:rsid w:val="2F384E37"/>
    <w:rsid w:val="30156AF1"/>
    <w:rsid w:val="32636634"/>
    <w:rsid w:val="358B0CEF"/>
    <w:rsid w:val="35A80FA8"/>
    <w:rsid w:val="3666560D"/>
    <w:rsid w:val="3B892C45"/>
    <w:rsid w:val="3E911FD1"/>
    <w:rsid w:val="402E00FC"/>
    <w:rsid w:val="41D46B09"/>
    <w:rsid w:val="45A075CF"/>
    <w:rsid w:val="49BE62FE"/>
    <w:rsid w:val="4D7910BE"/>
    <w:rsid w:val="505B7E56"/>
    <w:rsid w:val="508D7BB9"/>
    <w:rsid w:val="50C95261"/>
    <w:rsid w:val="54CD50C6"/>
    <w:rsid w:val="5B9C6E34"/>
    <w:rsid w:val="5D762069"/>
    <w:rsid w:val="5F490BC5"/>
    <w:rsid w:val="60F00554"/>
    <w:rsid w:val="62E51BFA"/>
    <w:rsid w:val="67B36D05"/>
    <w:rsid w:val="6A13192C"/>
    <w:rsid w:val="6DDA0FE0"/>
    <w:rsid w:val="6FF42FA6"/>
    <w:rsid w:val="709A7A5C"/>
    <w:rsid w:val="74BA3C6E"/>
    <w:rsid w:val="751002ED"/>
    <w:rsid w:val="75C83D17"/>
    <w:rsid w:val="775742F6"/>
    <w:rsid w:val="7E865A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2"/>
    <w:qFormat/>
    <w:uiPriority w:val="0"/>
    <w:pPr>
      <w:keepNext/>
      <w:keepLines/>
      <w:pageBreakBefore/>
      <w:spacing w:before="240" w:after="240" w:line="360" w:lineRule="auto"/>
      <w:ind w:left="1701" w:hanging="1701"/>
      <w:jc w:val="center"/>
      <w:outlineLvl w:val="0"/>
    </w:pPr>
    <w:rPr>
      <w:rFonts w:ascii="Times New Roman" w:hAnsi="Times New Roman" w:eastAsia="宋体" w:cs="Times New Roman"/>
      <w:b/>
      <w:bCs/>
      <w:kern w:val="44"/>
      <w:sz w:val="36"/>
      <w:szCs w:val="36"/>
    </w:rPr>
  </w:style>
  <w:style w:type="paragraph" w:styleId="3">
    <w:name w:val="heading 2"/>
    <w:basedOn w:val="4"/>
    <w:next w:val="5"/>
    <w:link w:val="32"/>
    <w:qFormat/>
    <w:uiPriority w:val="0"/>
    <w:pPr>
      <w:numPr>
        <w:ilvl w:val="0"/>
        <w:numId w:val="1"/>
      </w:numPr>
      <w:spacing w:beforeLines="0" w:afterLines="0" w:line="600" w:lineRule="exact"/>
      <w:ind w:firstLine="0" w:firstLineChars="0"/>
      <w:outlineLvl w:val="1"/>
    </w:pPr>
    <w:rPr>
      <w:rFonts w:eastAsia="楷体"/>
      <w:kern w:val="2"/>
      <w:szCs w:val="22"/>
    </w:rPr>
  </w:style>
  <w:style w:type="paragraph" w:styleId="4">
    <w:name w:val="heading 3"/>
    <w:basedOn w:val="1"/>
    <w:next w:val="1"/>
    <w:link w:val="33"/>
    <w:qFormat/>
    <w:uiPriority w:val="0"/>
    <w:pPr>
      <w:keepNext/>
      <w:keepLines/>
      <w:adjustRightInd w:val="0"/>
      <w:snapToGrid w:val="0"/>
      <w:spacing w:beforeLines="100" w:afterLines="50" w:line="360" w:lineRule="auto"/>
      <w:ind w:firstLine="200" w:firstLineChars="200"/>
      <w:jc w:val="left"/>
      <w:outlineLvl w:val="2"/>
    </w:pPr>
    <w:rPr>
      <w:rFonts w:ascii="华文楷体" w:hAnsi="华文楷体" w:eastAsia="仿宋_GB2312" w:cs="Times New Roman"/>
      <w:b/>
      <w:kern w:val="0"/>
      <w:sz w:val="32"/>
      <w:szCs w:val="20"/>
      <w:lang w:val="en-GB"/>
    </w:rPr>
  </w:style>
  <w:style w:type="paragraph" w:styleId="6">
    <w:name w:val="heading 4"/>
    <w:basedOn w:val="1"/>
    <w:next w:val="1"/>
    <w:link w:val="43"/>
    <w:qFormat/>
    <w:uiPriority w:val="0"/>
    <w:pPr>
      <w:tabs>
        <w:tab w:val="left" w:pos="1221"/>
      </w:tabs>
      <w:spacing w:before="160" w:after="160" w:line="360" w:lineRule="auto"/>
      <w:ind w:left="1221" w:hanging="681"/>
      <w:outlineLvl w:val="3"/>
    </w:pPr>
    <w:rPr>
      <w:rFonts w:ascii="Arial" w:hAnsi="Arial" w:eastAsia="宋体"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4"/>
    <w:unhideWhenUsed/>
    <w:qFormat/>
    <w:uiPriority w:val="99"/>
    <w:pPr>
      <w:spacing w:after="120"/>
    </w:pPr>
  </w:style>
  <w:style w:type="paragraph" w:styleId="7">
    <w:name w:val="List Number"/>
    <w:basedOn w:val="1"/>
    <w:next w:val="1"/>
    <w:qFormat/>
    <w:uiPriority w:val="0"/>
    <w:pPr>
      <w:keepNext/>
      <w:tabs>
        <w:tab w:val="left" w:pos="2880"/>
        <w:tab w:val="left" w:pos="3600"/>
        <w:tab w:val="left" w:pos="3780"/>
      </w:tabs>
      <w:spacing w:line="360" w:lineRule="auto"/>
      <w:ind w:left="3314" w:hanging="794"/>
      <w:jc w:val="left"/>
    </w:pPr>
    <w:rPr>
      <w:rFonts w:ascii="黑体" w:hAnsi="Times New Roman" w:eastAsia="黑体" w:cs="Times New Roman"/>
      <w:b/>
      <w:bCs/>
      <w:color w:val="000000"/>
      <w:sz w:val="28"/>
      <w:szCs w:val="28"/>
    </w:rPr>
  </w:style>
  <w:style w:type="paragraph" w:styleId="8">
    <w:name w:val="Document Map"/>
    <w:basedOn w:val="1"/>
    <w:link w:val="41"/>
    <w:unhideWhenUsed/>
    <w:qFormat/>
    <w:uiPriority w:val="99"/>
    <w:rPr>
      <w:rFonts w:ascii="宋体" w:eastAsia="宋体"/>
      <w:sz w:val="18"/>
      <w:szCs w:val="18"/>
    </w:rPr>
  </w:style>
  <w:style w:type="paragraph" w:styleId="9">
    <w:name w:val="annotation text"/>
    <w:basedOn w:val="1"/>
    <w:link w:val="44"/>
    <w:qFormat/>
    <w:uiPriority w:val="99"/>
    <w:pPr>
      <w:jc w:val="left"/>
    </w:pPr>
    <w:rPr>
      <w:rFonts w:ascii="Times New Roman" w:hAnsi="Times New Roman" w:eastAsia="仿宋" w:cs="Times New Roman"/>
      <w:sz w:val="28"/>
      <w:szCs w:val="28"/>
    </w:rPr>
  </w:style>
  <w:style w:type="paragraph" w:styleId="10">
    <w:name w:val="Body Text Indent"/>
    <w:basedOn w:val="1"/>
    <w:link w:val="45"/>
    <w:qFormat/>
    <w:uiPriority w:val="99"/>
    <w:pPr>
      <w:spacing w:before="156"/>
      <w:ind w:firstLine="560"/>
    </w:pPr>
    <w:rPr>
      <w:rFonts w:ascii="Times New Roman" w:hAnsi="Times New Roman" w:eastAsia="宋体" w:cs="Times New Roman"/>
      <w:kern w:val="0"/>
      <w:sz w:val="20"/>
      <w:szCs w:val="20"/>
    </w:rPr>
  </w:style>
  <w:style w:type="paragraph" w:styleId="11">
    <w:name w:val="toc 3"/>
    <w:basedOn w:val="1"/>
    <w:next w:val="1"/>
    <w:semiHidden/>
    <w:unhideWhenUsed/>
    <w:qFormat/>
    <w:uiPriority w:val="39"/>
    <w:pPr>
      <w:ind w:left="840" w:leftChars="400"/>
    </w:pPr>
  </w:style>
  <w:style w:type="paragraph" w:styleId="12">
    <w:name w:val="Body Text Indent 2"/>
    <w:basedOn w:val="1"/>
    <w:link w:val="46"/>
    <w:qFormat/>
    <w:uiPriority w:val="0"/>
    <w:pPr>
      <w:spacing w:after="120" w:line="480" w:lineRule="auto"/>
      <w:ind w:left="420" w:leftChars="200"/>
    </w:pPr>
    <w:rPr>
      <w:rFonts w:ascii="Times New Roman" w:hAnsi="Times New Roman" w:eastAsia="宋体" w:cs="Times New Roman"/>
      <w:szCs w:val="24"/>
    </w:rPr>
  </w:style>
  <w:style w:type="paragraph" w:styleId="13">
    <w:name w:val="Balloon Text"/>
    <w:basedOn w:val="1"/>
    <w:link w:val="35"/>
    <w:unhideWhenUsed/>
    <w:qFormat/>
    <w:uiPriority w:val="99"/>
    <w:rPr>
      <w:sz w:val="18"/>
      <w:szCs w:val="18"/>
    </w:rPr>
  </w:style>
  <w:style w:type="paragraph" w:styleId="14">
    <w:name w:val="footer"/>
    <w:basedOn w:val="1"/>
    <w:link w:val="31"/>
    <w:unhideWhenUsed/>
    <w:qFormat/>
    <w:uiPriority w:val="99"/>
    <w:pPr>
      <w:tabs>
        <w:tab w:val="center" w:pos="4153"/>
        <w:tab w:val="right" w:pos="8306"/>
      </w:tabs>
      <w:snapToGrid w:val="0"/>
      <w:jc w:val="left"/>
    </w:pPr>
    <w:rPr>
      <w:sz w:val="18"/>
      <w:szCs w:val="18"/>
    </w:rPr>
  </w:style>
  <w:style w:type="paragraph" w:styleId="15">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Subtitle"/>
    <w:basedOn w:val="1"/>
    <w:next w:val="1"/>
    <w:link w:val="53"/>
    <w:qFormat/>
    <w:uiPriority w:val="11"/>
    <w:pPr>
      <w:adjustRightInd w:val="0"/>
      <w:snapToGrid w:val="0"/>
      <w:jc w:val="center"/>
    </w:pPr>
    <w:rPr>
      <w:rFonts w:ascii="Calibri Light" w:hAnsi="Calibri Light" w:eastAsia="宋体" w:cs="Times New Roman"/>
      <w:b/>
      <w:bCs/>
      <w:kern w:val="28"/>
      <w:sz w:val="24"/>
      <w:szCs w:val="32"/>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widowControl/>
      <w:spacing w:before="100" w:beforeAutospacing="1" w:after="100" w:afterAutospacing="1" w:line="305" w:lineRule="atLeast"/>
      <w:jc w:val="left"/>
    </w:pPr>
    <w:rPr>
      <w:rFonts w:ascii="宋体" w:hAnsi="宋体" w:eastAsia="宋体" w:cs="宋体"/>
      <w:kern w:val="0"/>
      <w:sz w:val="22"/>
    </w:rPr>
  </w:style>
  <w:style w:type="paragraph" w:styleId="20">
    <w:name w:val="Title"/>
    <w:basedOn w:val="1"/>
    <w:next w:val="1"/>
    <w:link w:val="54"/>
    <w:qFormat/>
    <w:uiPriority w:val="10"/>
    <w:pPr>
      <w:adjustRightInd w:val="0"/>
      <w:snapToGrid w:val="0"/>
      <w:spacing w:line="360" w:lineRule="auto"/>
      <w:jc w:val="center"/>
    </w:pPr>
    <w:rPr>
      <w:rFonts w:ascii="Calibri Light" w:hAnsi="Calibri Light" w:eastAsia="宋体" w:cs="Times New Roman"/>
      <w:bCs/>
      <w:kern w:val="0"/>
      <w:sz w:val="24"/>
      <w:szCs w:val="32"/>
    </w:rPr>
  </w:style>
  <w:style w:type="paragraph" w:styleId="21">
    <w:name w:val="annotation subject"/>
    <w:basedOn w:val="9"/>
    <w:next w:val="9"/>
    <w:link w:val="49"/>
    <w:unhideWhenUsed/>
    <w:qFormat/>
    <w:uiPriority w:val="99"/>
    <w:rPr>
      <w:rFonts w:eastAsia="宋体"/>
      <w:b/>
      <w:bCs/>
      <w:sz w:val="21"/>
      <w:szCs w:val="20"/>
    </w:rPr>
  </w:style>
  <w:style w:type="paragraph" w:styleId="22">
    <w:name w:val="Body Text First Indent"/>
    <w:basedOn w:val="5"/>
    <w:link w:val="36"/>
    <w:unhideWhenUsed/>
    <w:qFormat/>
    <w:uiPriority w:val="99"/>
    <w:pPr>
      <w:ind w:firstLine="420" w:firstLineChars="100"/>
    </w:pPr>
    <w:rPr>
      <w:rFonts w:ascii="Times New Roman" w:hAnsi="Times New Roman" w:eastAsia="宋体" w:cs="Times New Roman"/>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qFormat/>
    <w:uiPriority w:val="99"/>
    <w:rPr>
      <w:rFonts w:cs="Times New Roman"/>
    </w:rPr>
  </w:style>
  <w:style w:type="character" w:styleId="27">
    <w:name w:val="Hyperlink"/>
    <w:basedOn w:val="25"/>
    <w:unhideWhenUsed/>
    <w:qFormat/>
    <w:uiPriority w:val="99"/>
    <w:rPr>
      <w:color w:val="0000FF"/>
      <w:u w:val="single"/>
    </w:rPr>
  </w:style>
  <w:style w:type="character" w:styleId="28">
    <w:name w:val="annotation reference"/>
    <w:basedOn w:val="25"/>
    <w:unhideWhenUsed/>
    <w:qFormat/>
    <w:uiPriority w:val="99"/>
    <w:rPr>
      <w:sz w:val="21"/>
      <w:szCs w:val="21"/>
    </w:rPr>
  </w:style>
  <w:style w:type="paragraph" w:customStyle="1" w:styleId="29">
    <w:name w:val="Default"/>
    <w:qFormat/>
    <w:uiPriority w:val="0"/>
    <w:pPr>
      <w:widowControl w:val="0"/>
      <w:autoSpaceDE w:val="0"/>
      <w:autoSpaceDN w:val="0"/>
      <w:adjustRightInd w:val="0"/>
    </w:pPr>
    <w:rPr>
      <w:rFonts w:ascii="华文新魏" w:hAnsi="华文新魏" w:eastAsia="宋体" w:cs="华文新魏"/>
      <w:color w:val="000000"/>
      <w:sz w:val="24"/>
      <w:szCs w:val="24"/>
      <w:lang w:val="en-US" w:eastAsia="zh-CN" w:bidi="ar-SA"/>
    </w:rPr>
  </w:style>
  <w:style w:type="character" w:customStyle="1" w:styleId="30">
    <w:name w:val="页眉 字符"/>
    <w:basedOn w:val="25"/>
    <w:link w:val="15"/>
    <w:qFormat/>
    <w:uiPriority w:val="99"/>
    <w:rPr>
      <w:sz w:val="18"/>
      <w:szCs w:val="18"/>
    </w:rPr>
  </w:style>
  <w:style w:type="character" w:customStyle="1" w:styleId="31">
    <w:name w:val="页脚 字符"/>
    <w:basedOn w:val="25"/>
    <w:link w:val="14"/>
    <w:qFormat/>
    <w:uiPriority w:val="99"/>
    <w:rPr>
      <w:sz w:val="18"/>
      <w:szCs w:val="18"/>
    </w:rPr>
  </w:style>
  <w:style w:type="character" w:customStyle="1" w:styleId="32">
    <w:name w:val="标题 2 字符"/>
    <w:basedOn w:val="25"/>
    <w:link w:val="3"/>
    <w:qFormat/>
    <w:uiPriority w:val="0"/>
    <w:rPr>
      <w:rFonts w:ascii="华文楷体" w:hAnsi="华文楷体" w:eastAsia="楷体" w:cs="Times New Roman"/>
      <w:b/>
      <w:sz w:val="32"/>
      <w:lang w:val="en-GB"/>
    </w:rPr>
  </w:style>
  <w:style w:type="character" w:customStyle="1" w:styleId="33">
    <w:name w:val="标题 3 字符"/>
    <w:basedOn w:val="25"/>
    <w:link w:val="4"/>
    <w:qFormat/>
    <w:uiPriority w:val="0"/>
    <w:rPr>
      <w:rFonts w:ascii="华文楷体" w:hAnsi="华文楷体" w:eastAsia="仿宋_GB2312" w:cs="Times New Roman"/>
      <w:b/>
      <w:kern w:val="0"/>
      <w:sz w:val="32"/>
      <w:szCs w:val="20"/>
      <w:lang w:val="en-GB"/>
    </w:rPr>
  </w:style>
  <w:style w:type="character" w:customStyle="1" w:styleId="34">
    <w:name w:val="正文文本 字符"/>
    <w:basedOn w:val="25"/>
    <w:link w:val="5"/>
    <w:qFormat/>
    <w:uiPriority w:val="99"/>
  </w:style>
  <w:style w:type="character" w:customStyle="1" w:styleId="35">
    <w:name w:val="批注框文本 字符"/>
    <w:basedOn w:val="25"/>
    <w:link w:val="13"/>
    <w:semiHidden/>
    <w:qFormat/>
    <w:uiPriority w:val="99"/>
    <w:rPr>
      <w:sz w:val="18"/>
      <w:szCs w:val="18"/>
    </w:rPr>
  </w:style>
  <w:style w:type="character" w:customStyle="1" w:styleId="36">
    <w:name w:val="正文文本首行缩进 字符"/>
    <w:basedOn w:val="34"/>
    <w:link w:val="22"/>
    <w:qFormat/>
    <w:uiPriority w:val="99"/>
    <w:rPr>
      <w:rFonts w:ascii="Times New Roman" w:hAnsi="Times New Roman" w:eastAsia="宋体" w:cs="Times New Roman"/>
    </w:rPr>
  </w:style>
  <w:style w:type="paragraph" w:customStyle="1" w:styleId="37">
    <w:name w:val="标题 11"/>
    <w:basedOn w:val="1"/>
    <w:qFormat/>
    <w:uiPriority w:val="1"/>
    <w:pPr>
      <w:autoSpaceDE w:val="0"/>
      <w:autoSpaceDN w:val="0"/>
      <w:ind w:left="776"/>
      <w:jc w:val="left"/>
      <w:outlineLvl w:val="1"/>
    </w:pPr>
    <w:rPr>
      <w:rFonts w:ascii="仿宋" w:hAnsi="仿宋" w:eastAsia="仿宋" w:cs="仿宋"/>
      <w:b/>
      <w:bCs/>
      <w:kern w:val="0"/>
      <w:sz w:val="28"/>
      <w:szCs w:val="28"/>
      <w:lang w:val="zh-CN" w:bidi="zh-CN"/>
    </w:rPr>
  </w:style>
  <w:style w:type="paragraph" w:styleId="38">
    <w:name w:val="List Paragraph"/>
    <w:basedOn w:val="1"/>
    <w:qFormat/>
    <w:uiPriority w:val="34"/>
    <w:pPr>
      <w:autoSpaceDE w:val="0"/>
      <w:autoSpaceDN w:val="0"/>
      <w:ind w:left="217" w:hanging="422"/>
      <w:jc w:val="left"/>
    </w:pPr>
    <w:rPr>
      <w:rFonts w:ascii="仿宋" w:hAnsi="仿宋" w:eastAsia="仿宋" w:cs="仿宋"/>
      <w:kern w:val="0"/>
      <w:sz w:val="22"/>
      <w:lang w:val="zh-CN" w:bidi="zh-CN"/>
    </w:rPr>
  </w:style>
  <w:style w:type="table" w:customStyle="1" w:styleId="39">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40">
    <w:name w:val="Table Paragraph"/>
    <w:basedOn w:val="1"/>
    <w:qFormat/>
    <w:uiPriority w:val="1"/>
    <w:pPr>
      <w:autoSpaceDE w:val="0"/>
      <w:autoSpaceDN w:val="0"/>
      <w:jc w:val="right"/>
    </w:pPr>
    <w:rPr>
      <w:rFonts w:ascii="Verdana" w:hAnsi="Verdana" w:eastAsia="Verdana" w:cs="Verdana"/>
      <w:kern w:val="0"/>
      <w:sz w:val="22"/>
      <w:lang w:val="zh-CN" w:bidi="zh-CN"/>
    </w:rPr>
  </w:style>
  <w:style w:type="character" w:customStyle="1" w:styleId="41">
    <w:name w:val="文档结构图 字符"/>
    <w:basedOn w:val="25"/>
    <w:link w:val="8"/>
    <w:semiHidden/>
    <w:qFormat/>
    <w:uiPriority w:val="99"/>
    <w:rPr>
      <w:rFonts w:ascii="宋体" w:eastAsia="宋体"/>
      <w:sz w:val="18"/>
      <w:szCs w:val="18"/>
    </w:rPr>
  </w:style>
  <w:style w:type="character" w:customStyle="1" w:styleId="42">
    <w:name w:val="标题 1 字符"/>
    <w:basedOn w:val="25"/>
    <w:link w:val="2"/>
    <w:qFormat/>
    <w:uiPriority w:val="0"/>
    <w:rPr>
      <w:b/>
      <w:bCs/>
      <w:kern w:val="44"/>
      <w:sz w:val="36"/>
      <w:szCs w:val="36"/>
    </w:rPr>
  </w:style>
  <w:style w:type="character" w:customStyle="1" w:styleId="43">
    <w:name w:val="标题 4 字符"/>
    <w:basedOn w:val="25"/>
    <w:link w:val="6"/>
    <w:qFormat/>
    <w:uiPriority w:val="0"/>
    <w:rPr>
      <w:rFonts w:ascii="Arial" w:hAnsi="Arial"/>
      <w:b/>
      <w:bCs/>
      <w:kern w:val="2"/>
      <w:sz w:val="28"/>
      <w:szCs w:val="28"/>
    </w:rPr>
  </w:style>
  <w:style w:type="character" w:customStyle="1" w:styleId="44">
    <w:name w:val="批注文字 字符"/>
    <w:basedOn w:val="25"/>
    <w:link w:val="9"/>
    <w:qFormat/>
    <w:uiPriority w:val="99"/>
    <w:rPr>
      <w:rFonts w:eastAsia="仿宋"/>
      <w:kern w:val="2"/>
      <w:sz w:val="28"/>
      <w:szCs w:val="28"/>
    </w:rPr>
  </w:style>
  <w:style w:type="character" w:customStyle="1" w:styleId="45">
    <w:name w:val="正文文本缩进 字符"/>
    <w:basedOn w:val="25"/>
    <w:link w:val="10"/>
    <w:qFormat/>
    <w:uiPriority w:val="99"/>
  </w:style>
  <w:style w:type="character" w:customStyle="1" w:styleId="46">
    <w:name w:val="正文文本缩进 2 字符"/>
    <w:basedOn w:val="25"/>
    <w:link w:val="12"/>
    <w:qFormat/>
    <w:uiPriority w:val="0"/>
    <w:rPr>
      <w:kern w:val="2"/>
      <w:sz w:val="21"/>
      <w:szCs w:val="24"/>
    </w:rPr>
  </w:style>
  <w:style w:type="character" w:customStyle="1" w:styleId="47">
    <w:name w:val="副标题 字符"/>
    <w:basedOn w:val="25"/>
    <w:qFormat/>
    <w:uiPriority w:val="11"/>
    <w:rPr>
      <w:rFonts w:asciiTheme="minorHAnsi" w:hAnsiTheme="minorHAnsi" w:eastAsiaTheme="minorEastAsia" w:cstheme="minorBidi"/>
      <w:b/>
      <w:bCs/>
      <w:kern w:val="28"/>
      <w:sz w:val="32"/>
      <w:szCs w:val="32"/>
    </w:rPr>
  </w:style>
  <w:style w:type="character" w:customStyle="1" w:styleId="48">
    <w:name w:val="标题 字符"/>
    <w:basedOn w:val="25"/>
    <w:qFormat/>
    <w:uiPriority w:val="10"/>
    <w:rPr>
      <w:rFonts w:asciiTheme="majorHAnsi" w:hAnsiTheme="majorHAnsi" w:eastAsiaTheme="majorEastAsia" w:cstheme="majorBidi"/>
      <w:b/>
      <w:bCs/>
      <w:kern w:val="2"/>
      <w:sz w:val="32"/>
      <w:szCs w:val="32"/>
    </w:rPr>
  </w:style>
  <w:style w:type="character" w:customStyle="1" w:styleId="49">
    <w:name w:val="批注主题 字符"/>
    <w:basedOn w:val="44"/>
    <w:link w:val="21"/>
    <w:semiHidden/>
    <w:qFormat/>
    <w:uiPriority w:val="99"/>
    <w:rPr>
      <w:rFonts w:eastAsia="仿宋"/>
      <w:b/>
      <w:bCs/>
      <w:kern w:val="2"/>
      <w:sz w:val="21"/>
      <w:szCs w:val="28"/>
    </w:rPr>
  </w:style>
  <w:style w:type="character" w:customStyle="1" w:styleId="50">
    <w:name w:val="页脚 字符1"/>
    <w:basedOn w:val="25"/>
    <w:qFormat/>
    <w:uiPriority w:val="99"/>
    <w:rPr>
      <w:sz w:val="18"/>
      <w:szCs w:val="18"/>
    </w:rPr>
  </w:style>
  <w:style w:type="paragraph" w:customStyle="1" w:styleId="51">
    <w:name w:val="图编号"/>
    <w:basedOn w:val="1"/>
    <w:next w:val="1"/>
    <w:qFormat/>
    <w:uiPriority w:val="0"/>
    <w:pPr>
      <w:tabs>
        <w:tab w:val="left" w:pos="1534"/>
      </w:tabs>
      <w:ind w:left="1534" w:hanging="1534"/>
      <w:jc w:val="center"/>
    </w:pPr>
    <w:rPr>
      <w:rFonts w:ascii="Times New Roman" w:hAnsi="Times New Roman" w:eastAsia="宋体" w:cs="Times New Roman"/>
      <w:sz w:val="24"/>
      <w:szCs w:val="24"/>
    </w:rPr>
  </w:style>
  <w:style w:type="paragraph" w:customStyle="1" w:styleId="52">
    <w:name w:val="Char Char Char1 Char"/>
    <w:basedOn w:val="1"/>
    <w:qFormat/>
    <w:uiPriority w:val="0"/>
    <w:pPr>
      <w:widowControl/>
      <w:spacing w:line="360" w:lineRule="auto"/>
      <w:ind w:firstLine="200" w:firstLineChars="200"/>
    </w:pPr>
    <w:rPr>
      <w:rFonts w:ascii="Times New Roman" w:hAnsi="Times New Roman" w:eastAsia="宋体" w:cs="Times New Roman"/>
      <w:szCs w:val="20"/>
    </w:rPr>
  </w:style>
  <w:style w:type="character" w:customStyle="1" w:styleId="53">
    <w:name w:val="副标题 字符1"/>
    <w:basedOn w:val="25"/>
    <w:link w:val="17"/>
    <w:qFormat/>
    <w:uiPriority w:val="11"/>
    <w:rPr>
      <w:rFonts w:ascii="Calibri Light" w:hAnsi="Calibri Light"/>
      <w:b/>
      <w:bCs/>
      <w:kern w:val="28"/>
      <w:sz w:val="24"/>
      <w:szCs w:val="32"/>
    </w:rPr>
  </w:style>
  <w:style w:type="character" w:customStyle="1" w:styleId="54">
    <w:name w:val="标题 字符1"/>
    <w:basedOn w:val="25"/>
    <w:link w:val="20"/>
    <w:qFormat/>
    <w:uiPriority w:val="10"/>
    <w:rPr>
      <w:rFonts w:ascii="Calibri Light" w:hAnsi="Calibri Light"/>
      <w:bCs/>
      <w:sz w:val="24"/>
      <w:szCs w:val="32"/>
    </w:rPr>
  </w:style>
  <w:style w:type="paragraph" w:customStyle="1" w:styleId="55">
    <w:name w:val="Char Char Char"/>
    <w:basedOn w:val="1"/>
    <w:qFormat/>
    <w:uiPriority w:val="0"/>
    <w:rPr>
      <w:rFonts w:ascii="宋体" w:hAnsi="Times New Roman" w:eastAsia="宋体" w:cs="Times New Roman"/>
      <w:sz w:val="30"/>
      <w:szCs w:val="30"/>
    </w:rPr>
  </w:style>
  <w:style w:type="paragraph" w:customStyle="1" w:styleId="56">
    <w:name w:val="默认段落字体 Para Char Char Char Char Char Char Char Char Char Char"/>
    <w:basedOn w:val="1"/>
    <w:qFormat/>
    <w:uiPriority w:val="0"/>
    <w:rPr>
      <w:rFonts w:ascii="Times New Roman" w:hAnsi="Times New Roman" w:eastAsia="宋体" w:cs="Times New Roman"/>
      <w:szCs w:val="24"/>
    </w:rPr>
  </w:style>
  <w:style w:type="character" w:customStyle="1" w:styleId="57">
    <w:name w:val="正文缩进 Char"/>
    <w:link w:val="58"/>
    <w:qFormat/>
    <w:uiPriority w:val="0"/>
    <w:rPr>
      <w:rFonts w:ascii="Tahoma" w:hAnsi="Tahoma"/>
      <w:sz w:val="28"/>
    </w:rPr>
  </w:style>
  <w:style w:type="paragraph" w:customStyle="1" w:styleId="58">
    <w:name w:val="正文缩进1"/>
    <w:basedOn w:val="1"/>
    <w:link w:val="57"/>
    <w:qFormat/>
    <w:uiPriority w:val="0"/>
    <w:pPr>
      <w:spacing w:line="360" w:lineRule="auto"/>
      <w:ind w:firstLine="567"/>
    </w:pPr>
    <w:rPr>
      <w:rFonts w:ascii="Tahoma" w:hAnsi="Tahoma" w:eastAsia="宋体" w:cs="Times New Roman"/>
      <w:kern w:val="0"/>
      <w:sz w:val="28"/>
      <w:szCs w:val="20"/>
    </w:rPr>
  </w:style>
  <w:style w:type="paragraph" w:customStyle="1" w:styleId="59">
    <w:name w:val="正文文本缩进 31"/>
    <w:basedOn w:val="1"/>
    <w:qFormat/>
    <w:uiPriority w:val="0"/>
    <w:pPr>
      <w:ind w:firstLine="600" w:firstLineChars="200"/>
    </w:pPr>
    <w:rPr>
      <w:rFonts w:ascii="Times New Roman" w:hAnsi="Times New Roman" w:eastAsia="仿宋_GB2312" w:cs="Times New Roman"/>
      <w:sz w:val="30"/>
      <w:szCs w:val="20"/>
    </w:rPr>
  </w:style>
  <w:style w:type="paragraph" w:customStyle="1" w:styleId="60">
    <w:name w:val="正文缩进2"/>
    <w:basedOn w:val="1"/>
    <w:qFormat/>
    <w:uiPriority w:val="0"/>
    <w:pPr>
      <w:spacing w:line="360" w:lineRule="auto"/>
      <w:ind w:firstLine="567"/>
    </w:pPr>
    <w:rPr>
      <w:rFonts w:ascii="Tahoma" w:hAnsi="Tahoma" w:eastAsia="宋体" w:cs="Times New Roman"/>
      <w:sz w:val="28"/>
      <w:szCs w:val="20"/>
    </w:rPr>
  </w:style>
  <w:style w:type="paragraph" w:customStyle="1" w:styleId="61">
    <w:name w:val="Char"/>
    <w:basedOn w:val="1"/>
    <w:qFormat/>
    <w:uiPriority w:val="0"/>
    <w:pPr>
      <w:widowControl/>
      <w:spacing w:after="160" w:line="240" w:lineRule="exact"/>
      <w:jc w:val="left"/>
    </w:pPr>
    <w:rPr>
      <w:rFonts w:ascii="Arial" w:hAnsi="Arial" w:eastAsia="Times New Roman" w:cs="Verdana"/>
      <w:b/>
      <w:color w:val="000000"/>
      <w:kern w:val="0"/>
      <w:sz w:val="24"/>
      <w:szCs w:val="20"/>
      <w:lang w:eastAsia="en-US"/>
    </w:rPr>
  </w:style>
  <w:style w:type="paragraph" w:customStyle="1" w:styleId="62">
    <w:name w:val="GS1"/>
    <w:basedOn w:val="1"/>
    <w:qFormat/>
    <w:uiPriority w:val="0"/>
    <w:pPr>
      <w:ind w:firstLine="560" w:firstLineChars="200"/>
    </w:pPr>
    <w:rPr>
      <w:rFonts w:ascii="仿宋_GB2312" w:hAnsi="Times New Roman" w:eastAsia="仿宋_GB2312" w:cs="Times New Roman"/>
      <w:sz w:val="28"/>
      <w:szCs w:val="20"/>
    </w:rPr>
  </w:style>
  <w:style w:type="character" w:customStyle="1" w:styleId="63">
    <w:name w:val="font31"/>
    <w:basedOn w:val="25"/>
    <w:qFormat/>
    <w:uiPriority w:val="0"/>
    <w:rPr>
      <w:rFonts w:hint="default" w:ascii="Times New Roman" w:hAnsi="Times New Roman" w:cs="Times New Roman"/>
      <w:color w:val="000000"/>
      <w:sz w:val="20"/>
      <w:szCs w:val="20"/>
      <w:u w:val="none"/>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11"/>
    <w:basedOn w:val="25"/>
    <w:qFormat/>
    <w:uiPriority w:val="0"/>
    <w:rPr>
      <w:rFonts w:hint="eastAsia" w:ascii="宋体" w:hAnsi="宋体" w:eastAsia="宋体" w:cs="宋体"/>
      <w:color w:val="000000"/>
      <w:sz w:val="22"/>
      <w:szCs w:val="22"/>
      <w:u w:val="none"/>
    </w:rPr>
  </w:style>
  <w:style w:type="character" w:customStyle="1" w:styleId="66">
    <w:name w:val="font61"/>
    <w:basedOn w:val="25"/>
    <w:qFormat/>
    <w:uiPriority w:val="0"/>
    <w:rPr>
      <w:rFonts w:hint="eastAsia" w:ascii="宋体" w:hAnsi="宋体" w:eastAsia="宋体" w:cs="宋体"/>
      <w:color w:val="000000"/>
      <w:sz w:val="22"/>
      <w:szCs w:val="22"/>
      <w:u w:val="none"/>
    </w:rPr>
  </w:style>
  <w:style w:type="character" w:customStyle="1" w:styleId="67">
    <w:name w:val="font41"/>
    <w:basedOn w:val="25"/>
    <w:qFormat/>
    <w:uiPriority w:val="0"/>
    <w:rPr>
      <w:rFonts w:hint="eastAsia" w:ascii="宋体" w:hAnsi="宋体" w:eastAsia="宋体" w:cs="宋体"/>
      <w:color w:val="000000"/>
      <w:sz w:val="20"/>
      <w:szCs w:val="20"/>
      <w:u w:val="none"/>
    </w:rPr>
  </w:style>
  <w:style w:type="paragraph" w:customStyle="1" w:styleId="68">
    <w:name w:val="内容"/>
    <w:basedOn w:val="1"/>
    <w:next w:val="69"/>
    <w:qFormat/>
    <w:uiPriority w:val="0"/>
    <w:pPr>
      <w:spacing w:line="500" w:lineRule="exact"/>
      <w:ind w:left="200" w:leftChars="200" w:firstLine="200" w:firstLineChars="200"/>
      <w:jc w:val="left"/>
    </w:pPr>
    <w:rPr>
      <w:rFonts w:ascii="宋体" w:hAnsi="宋体"/>
      <w:color w:val="000000"/>
      <w:sz w:val="28"/>
      <w:szCs w:val="24"/>
    </w:rPr>
  </w:style>
  <w:style w:type="paragraph" w:customStyle="1" w:styleId="69">
    <w:name w:val="目录 811"/>
    <w:next w:val="1"/>
    <w:qFormat/>
    <w:uiPriority w:val="0"/>
    <w:pPr>
      <w:wordWrap w:val="0"/>
      <w:ind w:left="2550"/>
      <w:jc w:val="both"/>
    </w:pPr>
    <w:rPr>
      <w:rFonts w:ascii="Times New Roman" w:hAnsi="Times New Roman" w:eastAsia="宋体" w:cs="Times New Roman"/>
      <w:sz w:val="21"/>
      <w:lang w:val="en-US" w:eastAsia="zh-CN" w:bidi="ar-SA"/>
    </w:rPr>
  </w:style>
  <w:style w:type="character" w:customStyle="1" w:styleId="70">
    <w:name w:val="font71"/>
    <w:basedOn w:val="25"/>
    <w:qFormat/>
    <w:uiPriority w:val="0"/>
    <w:rPr>
      <w:rFonts w:hint="default" w:ascii="Arial Narrow" w:hAnsi="Arial Narrow" w:eastAsia="Arial Narrow" w:cs="Arial Narrow"/>
      <w:color w:val="000000"/>
      <w:sz w:val="20"/>
      <w:szCs w:val="20"/>
      <w:u w:val="none"/>
    </w:rPr>
  </w:style>
  <w:style w:type="character" w:customStyle="1" w:styleId="71">
    <w:name w:val="font81"/>
    <w:basedOn w:val="25"/>
    <w:qFormat/>
    <w:uiPriority w:val="0"/>
    <w:rPr>
      <w:rFonts w:hint="eastAsia" w:ascii="宋体" w:hAnsi="宋体" w:eastAsia="宋体" w:cs="宋体"/>
      <w:color w:val="000000"/>
      <w:sz w:val="21"/>
      <w:szCs w:val="21"/>
      <w:u w:val="none"/>
    </w:rPr>
  </w:style>
  <w:style w:type="character" w:customStyle="1" w:styleId="72">
    <w:name w:val="font51"/>
    <w:basedOn w:val="25"/>
    <w:qFormat/>
    <w:uiPriority w:val="0"/>
    <w:rPr>
      <w:rFonts w:hint="eastAsia" w:ascii="宋体" w:hAnsi="宋体" w:eastAsia="宋体" w:cs="宋体"/>
      <w:color w:val="000000"/>
      <w:sz w:val="20"/>
      <w:szCs w:val="20"/>
      <w:u w:val="none"/>
    </w:rPr>
  </w:style>
  <w:style w:type="character" w:customStyle="1" w:styleId="73">
    <w:name w:val="font21"/>
    <w:basedOn w:val="25"/>
    <w:qFormat/>
    <w:uiPriority w:val="0"/>
    <w:rPr>
      <w:rFonts w:hint="eastAsia" w:ascii="宋体" w:hAnsi="宋体" w:eastAsia="宋体" w:cs="宋体"/>
      <w:b/>
      <w:bCs/>
      <w:color w:val="000000"/>
      <w:sz w:val="18"/>
      <w:szCs w:val="18"/>
      <w:u w:val="none"/>
    </w:rPr>
  </w:style>
  <w:style w:type="character" w:customStyle="1" w:styleId="74">
    <w:name w:val="font91"/>
    <w:basedOn w:val="2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Users\202333153\Desktop\&#21335;&#26124;&#25919;&#24220;&#20538;\&#35843;&#25972;&#39033;&#30446;\&#24179;&#34913;&#27979;&#31639;&#34920;-&#19996;&#26032;&#20065;&#19996;&#23731;&#26449;&#19977;&#26399;&#23433;&#32622;&#25151;&#65288;&#22478;&#24066;&#26842;&#25143;&#21306;&#25913;&#36896;&#65289;&#39033;&#30446;-&#35843;&#25972;&#25253;&#21578;%20-%20&#26368;&#2603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Users\202333153\Desktop\&#21335;&#26124;&#25919;&#24220;&#20538;\&#35843;&#25972;&#39033;&#30446;\&#24179;&#34913;&#27979;&#31639;&#34920;-&#21335;&#26124;&#21439;&#21521;&#22616;&#38215;320&#22269;&#36947;&#25913;&#36896;&#23433;&#32622;&#25151;&#65288;&#20445;&#38556;&#25151;&#65289;&#19968;&#26399;&#20108;&#25209;&#24037;&#31243;&#23454;&#26045;&#26041;&#26696;-&#35843;&#25972;&#25253;&#21578;%20-%20&#26368;&#2603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'[平衡测算表-东新乡东岳村三期安置房（城市棚户区改造）项目-调整报告 - 最新.xlsx]图'!$A$2</c:f>
              <c:strCache>
                <c:ptCount val="1"/>
                <c:pt idx="0">
                  <c:v>现金流入</c:v>
                </c:pt>
              </c:strCache>
            </c:strRef>
          </c:tx>
          <c:spPr>
            <a:solidFill>
              <a:schemeClr val="accent1"/>
            </a:solidFill>
            <a:ln>
              <a:noFill/>
            </a:ln>
            <a:effectLst/>
          </c:spPr>
          <c:invertIfNegative val="0"/>
          <c:dLbls>
            <c:delete val="1"/>
          </c:dLbls>
          <c:cat>
            <c:strRef>
              <c:f>'[平衡测算表-东新乡东岳村三期安置房（城市棚户区改造）项目-调整报告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'[平衡测算表-东新乡东岳村三期安置房（城市棚户区改造）项目-调整报告 - 最新.xlsx]图'!$B$2:$AJ$2</c:f>
              <c:numCache>
                <c:formatCode>_ * #,##0.00_ ;_ * \-#,##0.00_ ;_ * "-"??_ ;_ @_ </c:formatCode>
                <c:ptCount val="34"/>
                <c:pt idx="0">
                  <c:v>88387.88</c:v>
                </c:pt>
                <c:pt idx="1">
                  <c:v>0</c:v>
                </c:pt>
                <c:pt idx="2">
                  <c:v>2659.28</c:v>
                </c:pt>
                <c:pt idx="3">
                  <c:v>15318.5</c:v>
                </c:pt>
                <c:pt idx="4">
                  <c:v>14950.89</c:v>
                </c:pt>
                <c:pt idx="5">
                  <c:v>18046.09</c:v>
                </c:pt>
                <c:pt idx="6">
                  <c:v>0</c:v>
                </c:pt>
                <c:pt idx="7">
                  <c:v>37413.12</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numCache>
            </c:numRef>
          </c:val>
        </c:ser>
        <c:ser>
          <c:idx val="1"/>
          <c:order val="1"/>
          <c:tx>
            <c:strRef>
              <c:f>'[平衡测算表-东新乡东岳村三期安置房（城市棚户区改造）项目-调整报告 - 最新.xlsx]图'!$A$3</c:f>
              <c:strCache>
                <c:ptCount val="1"/>
                <c:pt idx="0">
                  <c:v>现金流出</c:v>
                </c:pt>
              </c:strCache>
            </c:strRef>
          </c:tx>
          <c:spPr>
            <a:solidFill>
              <a:schemeClr val="accent2"/>
            </a:solidFill>
            <a:ln>
              <a:noFill/>
            </a:ln>
            <a:effectLst/>
          </c:spPr>
          <c:invertIfNegative val="0"/>
          <c:dLbls>
            <c:delete val="1"/>
          </c:dLbls>
          <c:cat>
            <c:strRef>
              <c:f>'[平衡测算表-东新乡东岳村三期安置房（城市棚户区改造）项目-调整报告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'[平衡测算表-东新乡东岳村三期安置房（城市棚户区改造）项目-调整报告 - 最新.xlsx]图'!$B$3:$AJ$3</c:f>
              <c:numCache>
                <c:formatCode>_ * #,##0.00_ ;_ * \-#,##0.00_ ;_ * "-"??_ ;_ @_ </c:formatCode>
                <c:ptCount val="34"/>
                <c:pt idx="0">
                  <c:v>-74770.67</c:v>
                </c:pt>
                <c:pt idx="1">
                  <c:v>0</c:v>
                </c:pt>
                <c:pt idx="2">
                  <c:v>-2669.78</c:v>
                </c:pt>
                <c:pt idx="3">
                  <c:v>-15326.85</c:v>
                </c:pt>
                <c:pt idx="4">
                  <c:v>-14950.89</c:v>
                </c:pt>
                <c:pt idx="5">
                  <c:v>-18046.09</c:v>
                </c:pt>
                <c:pt idx="6">
                  <c:v>-758.95</c:v>
                </c:pt>
                <c:pt idx="7">
                  <c:v>-1507.21</c:v>
                </c:pt>
                <c:pt idx="8">
                  <c:v>-11258.95</c:v>
                </c:pt>
                <c:pt idx="9">
                  <c:v>-8835.95</c:v>
                </c:pt>
                <c:pt idx="10">
                  <c:v>-177</c:v>
                </c:pt>
                <c:pt idx="11">
                  <c:v>-177</c:v>
                </c:pt>
                <c:pt idx="12">
                  <c:v>-177</c:v>
                </c:pt>
                <c:pt idx="13">
                  <c:v>-177</c:v>
                </c:pt>
                <c:pt idx="14">
                  <c:v>-177</c:v>
                </c:pt>
                <c:pt idx="15">
                  <c:v>-177</c:v>
                </c:pt>
                <c:pt idx="16">
                  <c:v>-177</c:v>
                </c:pt>
                <c:pt idx="17">
                  <c:v>-177</c:v>
                </c:pt>
                <c:pt idx="18">
                  <c:v>-177</c:v>
                </c:pt>
                <c:pt idx="19">
                  <c:v>-177</c:v>
                </c:pt>
                <c:pt idx="20">
                  <c:v>-177</c:v>
                </c:pt>
                <c:pt idx="21">
                  <c:v>-177</c:v>
                </c:pt>
                <c:pt idx="22">
                  <c:v>-177</c:v>
                </c:pt>
                <c:pt idx="23">
                  <c:v>-177</c:v>
                </c:pt>
                <c:pt idx="24">
                  <c:v>-177</c:v>
                </c:pt>
                <c:pt idx="25">
                  <c:v>-177</c:v>
                </c:pt>
                <c:pt idx="26">
                  <c:v>-177</c:v>
                </c:pt>
                <c:pt idx="27">
                  <c:v>-177</c:v>
                </c:pt>
                <c:pt idx="28">
                  <c:v>-177</c:v>
                </c:pt>
                <c:pt idx="29">
                  <c:v>-177</c:v>
                </c:pt>
                <c:pt idx="30">
                  <c:v>-177</c:v>
                </c:pt>
                <c:pt idx="31">
                  <c:v>-177</c:v>
                </c:pt>
                <c:pt idx="32">
                  <c:v>-177</c:v>
                </c:pt>
                <c:pt idx="33">
                  <c:v>-177</c:v>
                </c:pt>
              </c:numCache>
            </c:numRef>
          </c:val>
        </c:ser>
        <c:ser>
          <c:idx val="2"/>
          <c:order val="2"/>
          <c:tx>
            <c:strRef>
              <c:f>'[平衡测算表-东新乡东岳村三期安置房（城市棚户区改造）项目-调整报告 - 最新.xlsx]图'!$A$4</c:f>
              <c:strCache>
                <c:ptCount val="1"/>
                <c:pt idx="0">
                  <c:v>期末现金</c:v>
                </c:pt>
              </c:strCache>
            </c:strRef>
          </c:tx>
          <c:spPr>
            <a:solidFill>
              <a:schemeClr val="accent3"/>
            </a:solidFill>
            <a:ln>
              <a:noFill/>
            </a:ln>
            <a:effectLst/>
          </c:spPr>
          <c:invertIfNegative val="0"/>
          <c:dLbls>
            <c:delete val="1"/>
          </c:dLbls>
          <c:cat>
            <c:strRef>
              <c:f>'[平衡测算表-东新乡东岳村三期安置房（城市棚户区改造）项目-调整报告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'[平衡测算表-东新乡东岳村三期安置房（城市棚户区改造）项目-调整报告 - 最新.xlsx]图'!$B$4:$AJ$4</c:f>
              <c:numCache>
                <c:formatCode>_ * #,##0.00_ ;_ * \-#,##0.00_ ;_ * "-"??_ ;_ @_ </c:formatCode>
                <c:ptCount val="34"/>
                <c:pt idx="0">
                  <c:v>13617.21</c:v>
                </c:pt>
                <c:pt idx="1">
                  <c:v>0</c:v>
                </c:pt>
                <c:pt idx="2">
                  <c:v>-10.4999999999995</c:v>
                </c:pt>
                <c:pt idx="3">
                  <c:v>-18.8499999999999</c:v>
                </c:pt>
                <c:pt idx="4">
                  <c:v>-18.8499999999999</c:v>
                </c:pt>
                <c:pt idx="5">
                  <c:v>-18.8499999999999</c:v>
                </c:pt>
                <c:pt idx="6">
                  <c:v>-777.8</c:v>
                </c:pt>
                <c:pt idx="7">
                  <c:v>35128.11</c:v>
                </c:pt>
                <c:pt idx="8">
                  <c:v>23869.16</c:v>
                </c:pt>
                <c:pt idx="9">
                  <c:v>15033.21</c:v>
                </c:pt>
                <c:pt idx="10">
                  <c:v>14856.21</c:v>
                </c:pt>
                <c:pt idx="11">
                  <c:v>14679.21</c:v>
                </c:pt>
                <c:pt idx="12">
                  <c:v>14502.21</c:v>
                </c:pt>
                <c:pt idx="13">
                  <c:v>14325.21</c:v>
                </c:pt>
                <c:pt idx="14">
                  <c:v>14148.21</c:v>
                </c:pt>
                <c:pt idx="15">
                  <c:v>13971.21</c:v>
                </c:pt>
                <c:pt idx="16">
                  <c:v>13794.21</c:v>
                </c:pt>
                <c:pt idx="17">
                  <c:v>13617.21</c:v>
                </c:pt>
                <c:pt idx="18">
                  <c:v>13440.21</c:v>
                </c:pt>
                <c:pt idx="19">
                  <c:v>13263.21</c:v>
                </c:pt>
                <c:pt idx="20">
                  <c:v>13086.21</c:v>
                </c:pt>
                <c:pt idx="21">
                  <c:v>12909.21</c:v>
                </c:pt>
                <c:pt idx="22">
                  <c:v>12732.21</c:v>
                </c:pt>
                <c:pt idx="23">
                  <c:v>12555.21</c:v>
                </c:pt>
                <c:pt idx="24">
                  <c:v>12378.21</c:v>
                </c:pt>
                <c:pt idx="25">
                  <c:v>12201.21</c:v>
                </c:pt>
                <c:pt idx="26">
                  <c:v>12024.21</c:v>
                </c:pt>
                <c:pt idx="27">
                  <c:v>11847.21</c:v>
                </c:pt>
                <c:pt idx="28">
                  <c:v>11670.21</c:v>
                </c:pt>
                <c:pt idx="29">
                  <c:v>11493.21</c:v>
                </c:pt>
                <c:pt idx="30">
                  <c:v>11316.21</c:v>
                </c:pt>
                <c:pt idx="31">
                  <c:v>11139.21</c:v>
                </c:pt>
                <c:pt idx="32">
                  <c:v>10962.21</c:v>
                </c:pt>
                <c:pt idx="33">
                  <c:v>10785.21</c:v>
                </c:pt>
              </c:numCache>
            </c:numRef>
          </c:val>
        </c:ser>
        <c:dLbls>
          <c:showLegendKey val="0"/>
          <c:showVal val="0"/>
          <c:showCatName val="0"/>
          <c:showSerName val="0"/>
          <c:showPercent val="0"/>
          <c:showBubbleSize val="0"/>
        </c:dLbls>
        <c:gapWidth val="219"/>
        <c:overlap val="-27"/>
        <c:axId val="800453776"/>
        <c:axId val="800452136"/>
      </c:barChart>
      <c:catAx>
        <c:axId val="80045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2136"/>
        <c:crosses val="autoZero"/>
        <c:auto val="1"/>
        <c:lblAlgn val="ctr"/>
        <c:lblOffset val="100"/>
        <c:noMultiLvlLbl val="0"/>
      </c:catAx>
      <c:valAx>
        <c:axId val="800452136"/>
        <c:scaling>
          <c:orientation val="minMax"/>
        </c:scaling>
        <c:delete val="0"/>
        <c:axPos val="l"/>
        <c:majorGridlines>
          <c:spPr>
            <a:ln w="9525" cap="flat" cmpd="sng" algn="ctr">
              <a:solidFill>
                <a:schemeClr val="tx1">
                  <a:lumMod val="15000"/>
                  <a:lumOff val="850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3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'[平衡测算表-南昌县向塘镇320国道改造安置房（保障房）一期二批工程实施方案-调整报告 - 最新.xlsx]图'!$A$2</c:f>
              <c:strCache>
                <c:ptCount val="1"/>
                <c:pt idx="0">
                  <c:v>现金流入</c:v>
                </c:pt>
              </c:strCache>
            </c:strRef>
          </c:tx>
          <c:spPr>
            <a:solidFill>
              <a:schemeClr val="accent1"/>
            </a:solidFill>
            <a:ln>
              <a:noFill/>
            </a:ln>
            <a:effectLst/>
          </c:spPr>
          <c:invertIfNegative val="0"/>
          <c:dLbls>
            <c:delete val="1"/>
          </c:dLbls>
          <c:cat>
            <c:strRef>
              <c:f>'[平衡测算表-南昌县向塘镇320国道改造安置房（保障房）一期二批工程实施方案-调整报告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'[平衡测算表-南昌县向塘镇320国道改造安置房（保障房）一期二批工程实施方案-调整报告 - 最新.xlsx]图'!$B$2:$AJ$2</c:f>
              <c:numCache>
                <c:formatCode>_ * #,##0.00_ ;_ * \-#,##0.00_ ;_ * "-"??_ ;_ @_ </c:formatCode>
                <c:ptCount val="34"/>
                <c:pt idx="0">
                  <c:v>80263.74</c:v>
                </c:pt>
                <c:pt idx="1">
                  <c:v>0</c:v>
                </c:pt>
                <c:pt idx="2">
                  <c:v>0</c:v>
                </c:pt>
                <c:pt idx="3">
                  <c:v>2624.91</c:v>
                </c:pt>
                <c:pt idx="4">
                  <c:v>27437.37</c:v>
                </c:pt>
                <c:pt idx="5">
                  <c:v>0</c:v>
                </c:pt>
                <c:pt idx="6">
                  <c:v>0</c:v>
                </c:pt>
                <c:pt idx="7">
                  <c:v>50201.46</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numCache>
            </c:numRef>
          </c:val>
        </c:ser>
        <c:ser>
          <c:idx val="1"/>
          <c:order val="1"/>
          <c:tx>
            <c:strRef>
              <c:f>'[平衡测算表-南昌县向塘镇320国道改造安置房（保障房）一期二批工程实施方案-调整报告 - 最新.xlsx]图'!$A$3</c:f>
              <c:strCache>
                <c:ptCount val="1"/>
                <c:pt idx="0">
                  <c:v>现金流出</c:v>
                </c:pt>
              </c:strCache>
            </c:strRef>
          </c:tx>
          <c:spPr>
            <a:solidFill>
              <a:schemeClr val="accent2"/>
            </a:solidFill>
            <a:ln>
              <a:noFill/>
            </a:ln>
            <a:effectLst/>
          </c:spPr>
          <c:invertIfNegative val="0"/>
          <c:dLbls>
            <c:delete val="1"/>
          </c:dLbls>
          <c:cat>
            <c:strRef>
              <c:f>'[平衡测算表-南昌县向塘镇320国道改造安置房（保障房）一期二批工程实施方案-调整报告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'[平衡测算表-南昌县向塘镇320国道改造安置房（保障房）一期二批工程实施方案-调整报告 - 最新.xlsx]图'!$B$3:$AJ$3</c:f>
              <c:numCache>
                <c:formatCode>_ * #,##0.00_ ;_ * \-#,##0.00_ ;_ * "-"??_ ;_ @_ </c:formatCode>
                <c:ptCount val="34"/>
                <c:pt idx="0">
                  <c:v>-53340.7592</c:v>
                </c:pt>
                <c:pt idx="1">
                  <c:v>0</c:v>
                </c:pt>
                <c:pt idx="2">
                  <c:v>-6.5</c:v>
                </c:pt>
                <c:pt idx="3">
                  <c:v>-12215.66</c:v>
                </c:pt>
                <c:pt idx="4">
                  <c:v>-18037.37</c:v>
                </c:pt>
                <c:pt idx="5">
                  <c:v>-814.75</c:v>
                </c:pt>
                <c:pt idx="6">
                  <c:v>-814.75</c:v>
                </c:pt>
                <c:pt idx="7">
                  <c:v>-1818.7792</c:v>
                </c:pt>
                <c:pt idx="8">
                  <c:v>-7314.75</c:v>
                </c:pt>
                <c:pt idx="9">
                  <c:v>-10033.4</c:v>
                </c:pt>
                <c:pt idx="10">
                  <c:v>-285.6</c:v>
                </c:pt>
                <c:pt idx="11">
                  <c:v>-285.6</c:v>
                </c:pt>
                <c:pt idx="12">
                  <c:v>-285.6</c:v>
                </c:pt>
                <c:pt idx="13">
                  <c:v>-285.6</c:v>
                </c:pt>
                <c:pt idx="14">
                  <c:v>-285.6</c:v>
                </c:pt>
                <c:pt idx="15">
                  <c:v>-285.6</c:v>
                </c:pt>
                <c:pt idx="16">
                  <c:v>-285.6</c:v>
                </c:pt>
                <c:pt idx="17">
                  <c:v>-285.6</c:v>
                </c:pt>
                <c:pt idx="18">
                  <c:v>-285.6</c:v>
                </c:pt>
                <c:pt idx="19">
                  <c:v>-285.6</c:v>
                </c:pt>
                <c:pt idx="20">
                  <c:v>-285.6</c:v>
                </c:pt>
                <c:pt idx="21">
                  <c:v>-285.6</c:v>
                </c:pt>
                <c:pt idx="22">
                  <c:v>-285.6</c:v>
                </c:pt>
                <c:pt idx="23">
                  <c:v>-285.6</c:v>
                </c:pt>
                <c:pt idx="24">
                  <c:v>-285.6</c:v>
                </c:pt>
                <c:pt idx="25">
                  <c:v>-285.6</c:v>
                </c:pt>
                <c:pt idx="26">
                  <c:v>-285.6</c:v>
                </c:pt>
                <c:pt idx="27">
                  <c:v>-285.6</c:v>
                </c:pt>
                <c:pt idx="28">
                  <c:v>-285.6</c:v>
                </c:pt>
                <c:pt idx="29">
                  <c:v>-285.6</c:v>
                </c:pt>
                <c:pt idx="30">
                  <c:v>-285.6</c:v>
                </c:pt>
                <c:pt idx="31">
                  <c:v>-285.6</c:v>
                </c:pt>
                <c:pt idx="32">
                  <c:v>-285.6</c:v>
                </c:pt>
                <c:pt idx="33">
                  <c:v>-285.6</c:v>
                </c:pt>
              </c:numCache>
            </c:numRef>
          </c:val>
        </c:ser>
        <c:ser>
          <c:idx val="2"/>
          <c:order val="2"/>
          <c:tx>
            <c:strRef>
              <c:f>'[平衡测算表-南昌县向塘镇320国道改造安置房（保障房）一期二批工程实施方案-调整报告 - 最新.xlsx]图'!$A$4</c:f>
              <c:strCache>
                <c:ptCount val="1"/>
                <c:pt idx="0">
                  <c:v>期末现金</c:v>
                </c:pt>
              </c:strCache>
            </c:strRef>
          </c:tx>
          <c:spPr>
            <a:solidFill>
              <a:schemeClr val="accent3"/>
            </a:solidFill>
            <a:ln>
              <a:noFill/>
            </a:ln>
            <a:effectLst/>
          </c:spPr>
          <c:invertIfNegative val="0"/>
          <c:dLbls>
            <c:delete val="1"/>
          </c:dLbls>
          <c:cat>
            <c:strRef>
              <c:f>'[平衡测算表-南昌县向塘镇320国道改造安置房（保障房）一期二批工程实施方案-调整报告 - 最新.xlsx]图'!$B$1:$AJ$1</c:f>
              <c:strCache>
                <c:ptCount val="34"/>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strCache>
            </c:strRef>
          </c:cat>
          <c:val>
            <c:numRef>
              <c:f>'[平衡测算表-南昌县向塘镇320国道改造安置房（保障房）一期二批工程实施方案-调整报告 - 最新.xlsx]图'!$B$4:$AJ$4</c:f>
              <c:numCache>
                <c:formatCode>_ * #,##0.00_ ;_ * \-#,##0.00_ ;_ * "-"??_ ;_ @_ </c:formatCode>
                <c:ptCount val="34"/>
                <c:pt idx="0">
                  <c:v>26922.9808</c:v>
                </c:pt>
                <c:pt idx="1">
                  <c:v>0</c:v>
                </c:pt>
                <c:pt idx="2">
                  <c:v>-6.5</c:v>
                </c:pt>
                <c:pt idx="3">
                  <c:v>-9597.25</c:v>
                </c:pt>
                <c:pt idx="4">
                  <c:v>-197.25</c:v>
                </c:pt>
                <c:pt idx="5">
                  <c:v>-1012</c:v>
                </c:pt>
                <c:pt idx="6">
                  <c:v>-1826.75</c:v>
                </c:pt>
                <c:pt idx="7">
                  <c:v>46555.9308</c:v>
                </c:pt>
                <c:pt idx="8">
                  <c:v>39241.1808</c:v>
                </c:pt>
                <c:pt idx="9">
                  <c:v>29207.7808</c:v>
                </c:pt>
                <c:pt idx="10">
                  <c:v>28922.1808</c:v>
                </c:pt>
                <c:pt idx="11">
                  <c:v>28636.5808</c:v>
                </c:pt>
                <c:pt idx="12">
                  <c:v>28350.9808</c:v>
                </c:pt>
                <c:pt idx="13">
                  <c:v>28065.3808</c:v>
                </c:pt>
                <c:pt idx="14">
                  <c:v>27779.7808</c:v>
                </c:pt>
                <c:pt idx="15">
                  <c:v>27494.1808</c:v>
                </c:pt>
                <c:pt idx="16">
                  <c:v>27208.5808</c:v>
                </c:pt>
                <c:pt idx="17">
                  <c:v>26922.9808</c:v>
                </c:pt>
                <c:pt idx="18">
                  <c:v>26637.3808</c:v>
                </c:pt>
                <c:pt idx="19">
                  <c:v>26351.7808</c:v>
                </c:pt>
                <c:pt idx="20">
                  <c:v>26066.1808</c:v>
                </c:pt>
                <c:pt idx="21">
                  <c:v>25780.5808</c:v>
                </c:pt>
                <c:pt idx="22">
                  <c:v>25494.9808</c:v>
                </c:pt>
                <c:pt idx="23">
                  <c:v>25209.3808</c:v>
                </c:pt>
                <c:pt idx="24">
                  <c:v>24923.7808</c:v>
                </c:pt>
                <c:pt idx="25">
                  <c:v>24638.1808</c:v>
                </c:pt>
                <c:pt idx="26">
                  <c:v>24352.5808</c:v>
                </c:pt>
                <c:pt idx="27">
                  <c:v>24066.9808</c:v>
                </c:pt>
                <c:pt idx="28">
                  <c:v>23781.3808</c:v>
                </c:pt>
                <c:pt idx="29">
                  <c:v>23495.7808</c:v>
                </c:pt>
                <c:pt idx="30">
                  <c:v>23210.1808</c:v>
                </c:pt>
                <c:pt idx="31">
                  <c:v>22924.5808</c:v>
                </c:pt>
                <c:pt idx="32">
                  <c:v>22638.9808</c:v>
                </c:pt>
                <c:pt idx="33">
                  <c:v>22353.3808</c:v>
                </c:pt>
              </c:numCache>
            </c:numRef>
          </c:val>
        </c:ser>
        <c:dLbls>
          <c:showLegendKey val="0"/>
          <c:showVal val="0"/>
          <c:showCatName val="0"/>
          <c:showSerName val="0"/>
          <c:showPercent val="0"/>
          <c:showBubbleSize val="0"/>
        </c:dLbls>
        <c:gapWidth val="219"/>
        <c:overlap val="-27"/>
        <c:axId val="800453776"/>
        <c:axId val="800452136"/>
      </c:barChart>
      <c:catAx>
        <c:axId val="80045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2136"/>
        <c:crosses val="autoZero"/>
        <c:auto val="1"/>
        <c:lblAlgn val="ctr"/>
        <c:lblOffset val="100"/>
        <c:noMultiLvlLbl val="0"/>
      </c:catAx>
      <c:valAx>
        <c:axId val="800452136"/>
        <c:scaling>
          <c:orientation val="minMax"/>
        </c:scaling>
        <c:delete val="0"/>
        <c:axPos val="l"/>
        <c:majorGridlines>
          <c:spPr>
            <a:ln w="9525" cap="flat" cmpd="sng" algn="ctr">
              <a:solidFill>
                <a:schemeClr val="tx1">
                  <a:lumMod val="15000"/>
                  <a:lumOff val="850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3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096" textRotate="1"/>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F0779D-EB91-4581-A45F-C40583552EBF}">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46</Pages>
  <Words>9634</Words>
  <Characters>13815</Characters>
  <Lines>109</Lines>
  <Paragraphs>30</Paragraphs>
  <TotalTime>5</TotalTime>
  <ScaleCrop>false</ScaleCrop>
  <LinksUpToDate>false</LinksUpToDate>
  <CharactersWithSpaces>13936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2020-11-16T04:07:00Z</dcterms:created>
  <dc:creator>NC171413</dc:creator>
  <cp:lastModifiedBy>W</cp:lastModifiedBy>
  <cp:lastPrinted>2021-11-09T05:57:00Z</cp:lastPrinted>
  <dcterms:modified xsi:type="dcterms:W3CDTF">2024-09-20T10:55:11Z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E3200CD95DE048FA9EFAF39451F39BB0_13</vt:lpwstr>
  </property>
</Properties>
</file>