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2B4B3">
      <w:pPr>
        <w:jc w:val="both"/>
        <w:rPr>
          <w:rFonts w:ascii="楷体" w:hAnsi="楷体" w:eastAsia="楷体"/>
          <w:b/>
          <w:color w:val="auto"/>
          <w:sz w:val="44"/>
          <w:szCs w:val="44"/>
        </w:rPr>
      </w:pPr>
    </w:p>
    <w:p w14:paraId="035C9626">
      <w:pPr>
        <w:jc w:val="center"/>
        <w:rPr>
          <w:rFonts w:ascii="楷体" w:hAnsi="楷体" w:eastAsia="楷体"/>
          <w:b/>
          <w:color w:val="auto"/>
          <w:sz w:val="44"/>
          <w:szCs w:val="44"/>
        </w:rPr>
      </w:pPr>
    </w:p>
    <w:p w14:paraId="59782714">
      <w:pPr>
        <w:spacing w:line="360" w:lineRule="auto"/>
        <w:jc w:val="center"/>
        <w:outlineLvl w:val="0"/>
        <w:rPr>
          <w:rFonts w:hint="eastAsia" w:ascii="仿宋" w:hAnsi="仿宋" w:eastAsia="楷体"/>
          <w:b/>
          <w:sz w:val="44"/>
          <w:szCs w:val="44"/>
          <w:lang w:eastAsia="zh-CN"/>
        </w:rPr>
      </w:pPr>
      <w:r>
        <w:rPr>
          <w:rFonts w:hint="eastAsia" w:ascii="仿宋" w:hAnsi="仿宋" w:eastAsia="楷体"/>
          <w:b/>
          <w:sz w:val="44"/>
          <w:szCs w:val="44"/>
          <w:lang w:eastAsia="zh-CN"/>
        </w:rPr>
        <w:t>2024年江西省政府棚户区改造专项债券（十四期）——2024年江西省政府专项债券（四十三期）实施方案</w:t>
      </w:r>
    </w:p>
    <w:p w14:paraId="74CE9DE7">
      <w:pPr>
        <w:spacing w:line="360" w:lineRule="auto"/>
        <w:jc w:val="center"/>
        <w:outlineLvl w:val="0"/>
        <w:rPr>
          <w:rFonts w:hint="eastAsia" w:ascii="仿宋" w:hAnsi="仿宋" w:eastAsia="楷体"/>
          <w:b/>
          <w:sz w:val="44"/>
          <w:szCs w:val="44"/>
          <w:lang w:eastAsia="zh-CN"/>
        </w:rPr>
      </w:pPr>
    </w:p>
    <w:p w14:paraId="2986D48B">
      <w:pPr>
        <w:ind w:left="-140" w:leftChars="-67" w:right="-98" w:rightChars="-47" w:firstLine="439" w:firstLineChars="157"/>
        <w:jc w:val="center"/>
        <w:rPr>
          <w:rFonts w:ascii="宋体" w:hAnsi="宋体" w:eastAsia="宋体"/>
          <w:color w:val="auto"/>
          <w:sz w:val="28"/>
          <w:szCs w:val="28"/>
        </w:rPr>
      </w:pPr>
    </w:p>
    <w:p w14:paraId="64845D30">
      <w:pPr>
        <w:ind w:left="-140" w:leftChars="-67" w:right="-98" w:rightChars="-47" w:firstLine="439" w:firstLineChars="157"/>
        <w:rPr>
          <w:rFonts w:ascii="宋体" w:hAnsi="宋体" w:eastAsia="宋体"/>
          <w:color w:val="auto"/>
          <w:sz w:val="28"/>
          <w:szCs w:val="28"/>
        </w:rPr>
      </w:pPr>
    </w:p>
    <w:p w14:paraId="4F4F766B">
      <w:pPr>
        <w:ind w:left="-140" w:leftChars="-67" w:right="-98" w:rightChars="-47" w:firstLine="439" w:firstLineChars="157"/>
        <w:rPr>
          <w:rFonts w:ascii="宋体" w:hAnsi="宋体" w:eastAsia="宋体"/>
          <w:color w:val="auto"/>
          <w:sz w:val="28"/>
          <w:szCs w:val="28"/>
        </w:rPr>
      </w:pPr>
    </w:p>
    <w:p w14:paraId="387775D2">
      <w:pPr>
        <w:ind w:right="-98" w:rightChars="-47"/>
        <w:rPr>
          <w:rFonts w:ascii="宋体" w:hAnsi="宋体" w:eastAsia="宋体"/>
          <w:color w:val="auto"/>
          <w:sz w:val="28"/>
          <w:szCs w:val="28"/>
          <w:u w:val="single"/>
        </w:rPr>
      </w:pPr>
    </w:p>
    <w:p w14:paraId="0884578A">
      <w:pPr>
        <w:ind w:left="-140" w:leftChars="-67" w:right="-98" w:rightChars="-47" w:firstLine="502" w:firstLineChars="157"/>
        <w:rPr>
          <w:color w:val="auto"/>
          <w:sz w:val="32"/>
          <w:szCs w:val="32"/>
          <w:u w:val="single"/>
        </w:rPr>
      </w:pPr>
    </w:p>
    <w:p w14:paraId="0F614BF4">
      <w:pPr>
        <w:ind w:left="-140" w:leftChars="-67" w:right="-98" w:rightChars="-47" w:firstLine="502" w:firstLineChars="157"/>
        <w:rPr>
          <w:color w:val="auto"/>
          <w:sz w:val="32"/>
          <w:szCs w:val="32"/>
          <w:u w:val="single"/>
        </w:rPr>
      </w:pPr>
    </w:p>
    <w:p w14:paraId="1C351E97">
      <w:pPr>
        <w:ind w:left="-140" w:leftChars="-67" w:right="-98" w:rightChars="-47" w:firstLine="502" w:firstLineChars="157"/>
        <w:rPr>
          <w:color w:val="auto"/>
          <w:sz w:val="32"/>
          <w:szCs w:val="32"/>
          <w:u w:val="single"/>
        </w:rPr>
      </w:pPr>
    </w:p>
    <w:p w14:paraId="7E5AB0EE">
      <w:pPr>
        <w:ind w:left="-140" w:leftChars="-67" w:right="-98" w:rightChars="-47" w:firstLine="502" w:firstLineChars="157"/>
        <w:rPr>
          <w:color w:val="auto"/>
          <w:sz w:val="32"/>
          <w:szCs w:val="32"/>
          <w:u w:val="single"/>
        </w:rPr>
      </w:pPr>
    </w:p>
    <w:p w14:paraId="24FC9365">
      <w:pPr>
        <w:spacing w:line="360" w:lineRule="auto"/>
        <w:jc w:val="center"/>
        <w:rPr>
          <w:rFonts w:ascii="仿宋" w:hAnsi="仿宋" w:eastAsia="楷体"/>
          <w:b/>
          <w:color w:val="auto"/>
          <w:sz w:val="44"/>
          <w:szCs w:val="44"/>
        </w:rPr>
      </w:pPr>
    </w:p>
    <w:p w14:paraId="48D0CA95">
      <w:pPr>
        <w:spacing w:line="360" w:lineRule="auto"/>
        <w:jc w:val="center"/>
        <w:rPr>
          <w:rFonts w:ascii="仿宋" w:hAnsi="仿宋" w:eastAsia="楷体"/>
          <w:b/>
          <w:color w:val="auto"/>
          <w:sz w:val="44"/>
          <w:szCs w:val="44"/>
        </w:rPr>
      </w:pPr>
    </w:p>
    <w:p w14:paraId="4290AA88">
      <w:pPr>
        <w:pStyle w:val="30"/>
        <w:rPr>
          <w:rFonts w:hint="eastAsia"/>
          <w:color w:val="auto"/>
        </w:rPr>
      </w:pPr>
    </w:p>
    <w:p w14:paraId="60943D75">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4F4389F7">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1CF31117">
      <w:pPr>
        <w:rPr>
          <w:rFonts w:ascii="楷体" w:hAnsi="楷体" w:eastAsia="楷体"/>
          <w:b/>
          <w:color w:val="auto"/>
          <w:sz w:val="44"/>
          <w:szCs w:val="44"/>
        </w:rPr>
      </w:pPr>
      <w:r>
        <w:rPr>
          <w:rFonts w:ascii="楷体" w:hAnsi="楷体" w:eastAsia="楷体"/>
          <w:b/>
          <w:color w:val="auto"/>
          <w:sz w:val="44"/>
          <w:szCs w:val="44"/>
        </w:rPr>
        <w:br w:type="page"/>
      </w:r>
    </w:p>
    <w:p w14:paraId="13A71829">
      <w:pPr>
        <w:jc w:val="center"/>
        <w:rPr>
          <w:rFonts w:ascii="楷体" w:hAnsi="楷体" w:eastAsia="楷体"/>
          <w:b/>
          <w:color w:val="auto"/>
          <w:sz w:val="44"/>
          <w:szCs w:val="44"/>
        </w:rPr>
      </w:pPr>
    </w:p>
    <w:p w14:paraId="5FE0CE56">
      <w:pPr>
        <w:jc w:val="center"/>
        <w:rPr>
          <w:rFonts w:ascii="楷体" w:hAnsi="楷体" w:eastAsia="楷体"/>
          <w:b/>
          <w:color w:val="auto"/>
          <w:sz w:val="44"/>
          <w:szCs w:val="44"/>
        </w:rPr>
      </w:pPr>
    </w:p>
    <w:p w14:paraId="501BA1D9">
      <w:pPr>
        <w:spacing w:line="360" w:lineRule="auto"/>
        <w:jc w:val="center"/>
        <w:outlineLvl w:val="0"/>
        <w:rPr>
          <w:rFonts w:hint="eastAsia" w:ascii="仿宋" w:hAnsi="仿宋" w:eastAsia="楷体"/>
          <w:b/>
          <w:sz w:val="44"/>
          <w:szCs w:val="44"/>
          <w:lang w:eastAsia="zh-CN"/>
        </w:rPr>
      </w:pPr>
      <w:r>
        <w:rPr>
          <w:rFonts w:hint="eastAsia" w:ascii="仿宋" w:hAnsi="仿宋" w:eastAsia="楷体"/>
          <w:b/>
          <w:sz w:val="44"/>
          <w:szCs w:val="44"/>
          <w:lang w:eastAsia="zh-CN"/>
        </w:rPr>
        <w:t>红谷滩生米镇南路村拆迁安置小区建设项目（南路村棚户区改造）实施方案</w:t>
      </w:r>
    </w:p>
    <w:p w14:paraId="3DFB71D0">
      <w:pPr>
        <w:spacing w:line="360" w:lineRule="auto"/>
        <w:jc w:val="center"/>
        <w:outlineLvl w:val="0"/>
        <w:rPr>
          <w:rFonts w:hint="eastAsia" w:ascii="仿宋" w:hAnsi="仿宋" w:eastAsia="楷体"/>
          <w:b/>
          <w:sz w:val="44"/>
          <w:szCs w:val="44"/>
          <w:lang w:eastAsia="zh-CN"/>
        </w:rPr>
      </w:pPr>
    </w:p>
    <w:p w14:paraId="0360C230">
      <w:pPr>
        <w:ind w:left="-140" w:leftChars="-67" w:right="-98" w:rightChars="-47" w:firstLine="439" w:firstLineChars="157"/>
        <w:jc w:val="center"/>
        <w:rPr>
          <w:rFonts w:ascii="宋体" w:hAnsi="宋体" w:eastAsia="宋体"/>
          <w:color w:val="auto"/>
          <w:sz w:val="28"/>
          <w:szCs w:val="28"/>
        </w:rPr>
      </w:pPr>
    </w:p>
    <w:p w14:paraId="7D0BDB7D">
      <w:pPr>
        <w:ind w:left="-140" w:leftChars="-67" w:right="-98" w:rightChars="-47" w:firstLine="439" w:firstLineChars="157"/>
        <w:rPr>
          <w:rFonts w:ascii="宋体" w:hAnsi="宋体" w:eastAsia="宋体"/>
          <w:color w:val="auto"/>
          <w:sz w:val="28"/>
          <w:szCs w:val="28"/>
        </w:rPr>
      </w:pPr>
    </w:p>
    <w:p w14:paraId="602626B1">
      <w:pPr>
        <w:ind w:left="-140" w:leftChars="-67" w:right="-98" w:rightChars="-47" w:firstLine="439" w:firstLineChars="157"/>
        <w:rPr>
          <w:rFonts w:ascii="宋体" w:hAnsi="宋体" w:eastAsia="宋体"/>
          <w:color w:val="auto"/>
          <w:sz w:val="28"/>
          <w:szCs w:val="28"/>
        </w:rPr>
      </w:pPr>
    </w:p>
    <w:p w14:paraId="66694998">
      <w:pPr>
        <w:ind w:right="-98" w:rightChars="-47"/>
        <w:rPr>
          <w:rFonts w:ascii="宋体" w:hAnsi="宋体" w:eastAsia="宋体"/>
          <w:color w:val="auto"/>
          <w:sz w:val="28"/>
          <w:szCs w:val="28"/>
          <w:u w:val="single"/>
        </w:rPr>
      </w:pPr>
    </w:p>
    <w:p w14:paraId="6EA9BEF1">
      <w:pPr>
        <w:ind w:left="-140" w:leftChars="-67" w:right="-98" w:rightChars="-47" w:firstLine="502" w:firstLineChars="157"/>
        <w:rPr>
          <w:color w:val="auto"/>
          <w:sz w:val="32"/>
          <w:szCs w:val="32"/>
          <w:u w:val="single"/>
        </w:rPr>
      </w:pPr>
    </w:p>
    <w:p w14:paraId="0E86E33F">
      <w:pPr>
        <w:ind w:left="-140" w:leftChars="-67" w:right="-98" w:rightChars="-47" w:firstLine="502" w:firstLineChars="157"/>
        <w:rPr>
          <w:color w:val="auto"/>
          <w:sz w:val="32"/>
          <w:szCs w:val="32"/>
          <w:u w:val="single"/>
        </w:rPr>
      </w:pPr>
    </w:p>
    <w:p w14:paraId="15F015C1">
      <w:pPr>
        <w:ind w:left="-140" w:leftChars="-67" w:right="-98" w:rightChars="-47" w:firstLine="502" w:firstLineChars="157"/>
        <w:rPr>
          <w:color w:val="auto"/>
          <w:sz w:val="32"/>
          <w:szCs w:val="32"/>
          <w:u w:val="single"/>
        </w:rPr>
      </w:pPr>
    </w:p>
    <w:p w14:paraId="4CA2099B">
      <w:pPr>
        <w:ind w:left="-140" w:leftChars="-67" w:right="-98" w:rightChars="-47" w:firstLine="502" w:firstLineChars="157"/>
        <w:rPr>
          <w:color w:val="auto"/>
          <w:sz w:val="32"/>
          <w:szCs w:val="32"/>
          <w:u w:val="single"/>
        </w:rPr>
      </w:pPr>
    </w:p>
    <w:p w14:paraId="61846138">
      <w:pPr>
        <w:spacing w:line="360" w:lineRule="auto"/>
        <w:jc w:val="center"/>
        <w:rPr>
          <w:rFonts w:ascii="仿宋" w:hAnsi="仿宋" w:eastAsia="楷体"/>
          <w:b/>
          <w:color w:val="auto"/>
          <w:sz w:val="44"/>
          <w:szCs w:val="44"/>
        </w:rPr>
      </w:pPr>
    </w:p>
    <w:p w14:paraId="07005DC1">
      <w:pPr>
        <w:spacing w:line="360" w:lineRule="auto"/>
        <w:jc w:val="center"/>
        <w:rPr>
          <w:rFonts w:ascii="仿宋" w:hAnsi="仿宋" w:eastAsia="楷体"/>
          <w:b/>
          <w:color w:val="auto"/>
          <w:sz w:val="44"/>
          <w:szCs w:val="44"/>
        </w:rPr>
      </w:pPr>
    </w:p>
    <w:p w14:paraId="55B1301C">
      <w:pPr>
        <w:pStyle w:val="30"/>
        <w:rPr>
          <w:rFonts w:hint="eastAsia"/>
          <w:color w:val="auto"/>
        </w:rPr>
      </w:pPr>
    </w:p>
    <w:p w14:paraId="6474A7C8">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258B4662">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25487754">
      <w:pPr>
        <w:rPr>
          <w:rFonts w:ascii="楷体" w:hAnsi="楷体" w:eastAsia="楷体"/>
          <w:b/>
          <w:color w:val="auto"/>
          <w:sz w:val="44"/>
          <w:szCs w:val="44"/>
        </w:rPr>
      </w:pPr>
      <w:r>
        <w:rPr>
          <w:rFonts w:ascii="楷体" w:hAnsi="楷体" w:eastAsia="楷体"/>
          <w:b/>
          <w:color w:val="auto"/>
          <w:sz w:val="44"/>
          <w:szCs w:val="44"/>
        </w:rPr>
        <w:br w:type="page"/>
      </w:r>
    </w:p>
    <w:p w14:paraId="739136B9">
      <w:pPr>
        <w:pStyle w:val="31"/>
        <w:ind w:left="0" w:leftChars="0" w:firstLine="0" w:firstLineChars="0"/>
        <w:rPr>
          <w:rFonts w:hint="eastAsia" w:ascii="仿宋" w:hAnsi="仿宋" w:eastAsia="楷体"/>
          <w:b/>
          <w:sz w:val="44"/>
          <w:szCs w:val="44"/>
        </w:rPr>
      </w:pPr>
    </w:p>
    <w:p w14:paraId="47CF9713">
      <w:pPr>
        <w:widowControl/>
        <w:ind w:firstLine="0" w:firstLineChars="0"/>
        <w:jc w:val="center"/>
        <w:rPr>
          <w:rFonts w:hint="eastAsia" w:ascii="楷体" w:hAnsi="楷体" w:eastAsia="楷体" w:cs="楷体"/>
          <w:b/>
          <w:sz w:val="28"/>
          <w:szCs w:val="28"/>
        </w:rPr>
      </w:pPr>
      <w:r>
        <w:rPr>
          <w:rFonts w:hint="eastAsia" w:ascii="楷体" w:hAnsi="楷体" w:eastAsia="楷体" w:cs="楷体"/>
          <w:b/>
          <w:sz w:val="44"/>
          <w:szCs w:val="44"/>
        </w:rPr>
        <w:t>前言</w:t>
      </w:r>
    </w:p>
    <w:p w14:paraId="01E39B03">
      <w:pPr>
        <w:widowControl/>
        <w:spacing w:line="360" w:lineRule="auto"/>
        <w:ind w:firstLine="560"/>
        <w:rPr>
          <w:rFonts w:hint="eastAsia" w:ascii="楷体" w:hAnsi="楷体" w:eastAsia="楷体" w:cs="楷体"/>
          <w:bCs/>
          <w:sz w:val="28"/>
          <w:szCs w:val="28"/>
          <w:lang w:val="en-GB"/>
        </w:rPr>
      </w:pPr>
      <w:r>
        <w:rPr>
          <w:rFonts w:hint="eastAsia" w:ascii="楷体" w:hAnsi="楷体" w:eastAsia="楷体" w:cs="楷体"/>
          <w:bCs/>
          <w:sz w:val="28"/>
          <w:szCs w:val="28"/>
          <w:lang w:val="en-GB"/>
        </w:rPr>
        <w:t>202</w:t>
      </w:r>
      <w:r>
        <w:rPr>
          <w:rFonts w:hint="eastAsia" w:ascii="楷体" w:hAnsi="楷体" w:eastAsia="楷体" w:cs="楷体"/>
          <w:bCs/>
          <w:sz w:val="28"/>
          <w:szCs w:val="28"/>
        </w:rPr>
        <w:t>4</w:t>
      </w:r>
      <w:r>
        <w:rPr>
          <w:rFonts w:hint="eastAsia" w:ascii="楷体" w:hAnsi="楷体" w:eastAsia="楷体" w:cs="楷体"/>
          <w:bCs/>
          <w:sz w:val="28"/>
          <w:szCs w:val="28"/>
          <w:lang w:val="en-GB"/>
        </w:rPr>
        <w:t>年是我们党进入全面建设社会主义现代化国家、向第二个百年奋斗目标进军新征程的重要时刻。中央经济工作会议提出今年经济工作要稳字当头、稳中求进，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13BE63D0">
      <w:pPr>
        <w:pStyle w:val="20"/>
        <w:spacing w:before="0" w:beforeAutospacing="0" w:after="156" w:afterLines="50" w:afterAutospacing="0" w:line="360" w:lineRule="auto"/>
        <w:ind w:firstLine="560"/>
        <w:jc w:val="both"/>
        <w:rPr>
          <w:rFonts w:hint="eastAsia" w:ascii="楷体" w:hAnsi="楷体" w:eastAsia="楷体" w:cs="楷体"/>
          <w:color w:val="000000" w:themeColor="text1"/>
          <w:sz w:val="28"/>
          <w:szCs w:val="28"/>
          <w14:textFill>
            <w14:solidFill>
              <w14:schemeClr w14:val="tx1"/>
            </w14:solidFill>
          </w14:textFill>
        </w:rPr>
      </w:pPr>
      <w:r>
        <w:rPr>
          <w:rFonts w:hint="eastAsia" w:ascii="楷体" w:hAnsi="楷体" w:eastAsia="楷体" w:cs="楷体"/>
          <w:bCs/>
          <w:sz w:val="28"/>
          <w:szCs w:val="28"/>
          <w:lang w:val="en-GB"/>
        </w:rPr>
        <w:t>本次申请发行的专项债券项目，符合地方政府</w:t>
      </w:r>
      <w:r>
        <w:rPr>
          <w:rFonts w:hint="eastAsia" w:ascii="楷体" w:hAnsi="楷体" w:eastAsia="楷体" w:cs="楷体"/>
          <w:bCs/>
          <w:sz w:val="28"/>
          <w:szCs w:val="28"/>
        </w:rPr>
        <w:t>城镇老旧小区改造</w:t>
      </w:r>
      <w:r>
        <w:rPr>
          <w:rFonts w:hint="eastAsia" w:ascii="楷体" w:hAnsi="楷体" w:eastAsia="楷体" w:cs="楷体"/>
          <w:bCs/>
          <w:sz w:val="28"/>
          <w:szCs w:val="28"/>
          <w:lang w:val="en-GB"/>
        </w:rPr>
        <w:t>，是</w:t>
      </w:r>
      <w:r>
        <w:rPr>
          <w:rFonts w:hint="eastAsia" w:ascii="楷体" w:hAnsi="楷体" w:eastAsia="楷体" w:cs="楷体"/>
          <w:bCs/>
          <w:sz w:val="28"/>
          <w:szCs w:val="28"/>
        </w:rPr>
        <w:t>用</w:t>
      </w:r>
      <w:r>
        <w:rPr>
          <w:rFonts w:hint="eastAsia" w:ascii="楷体" w:hAnsi="楷体" w:eastAsia="楷体" w:cs="楷体"/>
          <w:bCs/>
          <w:sz w:val="28"/>
          <w:szCs w:val="28"/>
          <w:lang w:val="en-GB"/>
        </w:rPr>
        <w:t>纳入政府性基金收入及专项收入的收入偿还的地方政府专项债券。在风险可控的前提下，按照依法依规适度举债，保障重点领域合理融资需求的原则。</w:t>
      </w:r>
      <w:r>
        <w:rPr>
          <w:rFonts w:hint="eastAsia" w:ascii="楷体" w:hAnsi="楷体" w:eastAsia="楷体"/>
          <w:color w:val="000000" w:themeColor="text1"/>
          <w:sz w:val="28"/>
          <w:szCs w:val="28"/>
          <w14:textFill>
            <w14:solidFill>
              <w14:schemeClr w14:val="tx1"/>
            </w14:solidFill>
          </w14:textFill>
        </w:rPr>
        <w:t>红谷滩生米镇南路村拆迁安置小区建设项目（南路村棚户区改造）</w:t>
      </w:r>
      <w:r>
        <w:rPr>
          <w:rFonts w:hint="eastAsia" w:ascii="楷体" w:hAnsi="楷体" w:eastAsia="楷体" w:cs="楷体"/>
          <w:color w:val="000000" w:themeColor="text1"/>
          <w:sz w:val="28"/>
          <w:szCs w:val="28"/>
          <w14:textFill>
            <w14:solidFill>
              <w14:schemeClr w14:val="tx1"/>
            </w14:solidFill>
          </w14:textFill>
        </w:rPr>
        <w:t>拟发行专项债券10</w:t>
      </w:r>
      <w:r>
        <w:rPr>
          <w:rFonts w:ascii="楷体" w:hAnsi="楷体" w:eastAsia="楷体" w:cs="楷体"/>
          <w:color w:val="000000" w:themeColor="text1"/>
          <w:sz w:val="28"/>
          <w:szCs w:val="28"/>
          <w14:textFill>
            <w14:solidFill>
              <w14:schemeClr w14:val="tx1"/>
            </w14:solidFill>
          </w14:textFill>
        </w:rPr>
        <w:t>000</w:t>
      </w:r>
      <w:r>
        <w:rPr>
          <w:rFonts w:hint="eastAsia" w:ascii="楷体" w:hAnsi="楷体" w:eastAsia="楷体" w:cs="楷体"/>
          <w:color w:val="000000" w:themeColor="text1"/>
          <w:sz w:val="28"/>
          <w:szCs w:val="28"/>
          <w14:textFill>
            <w14:solidFill>
              <w14:schemeClr w14:val="tx1"/>
            </w14:solidFill>
          </w14:textFill>
        </w:rPr>
        <w:t>万元，2</w:t>
      </w:r>
      <w:r>
        <w:rPr>
          <w:rFonts w:ascii="楷体" w:hAnsi="楷体" w:eastAsia="楷体" w:cs="楷体"/>
          <w:color w:val="000000" w:themeColor="text1"/>
          <w:sz w:val="28"/>
          <w:szCs w:val="28"/>
          <w14:textFill>
            <w14:solidFill>
              <w14:schemeClr w14:val="tx1"/>
            </w14:solidFill>
          </w14:textFill>
        </w:rPr>
        <w:t>022</w:t>
      </w:r>
      <w:r>
        <w:rPr>
          <w:rFonts w:hint="eastAsia" w:ascii="楷体" w:hAnsi="楷体" w:eastAsia="楷体" w:cs="楷体"/>
          <w:color w:val="000000" w:themeColor="text1"/>
          <w:sz w:val="28"/>
          <w:szCs w:val="28"/>
          <w14:textFill>
            <w14:solidFill>
              <w14:schemeClr w14:val="tx1"/>
            </w14:solidFill>
          </w14:textFill>
        </w:rPr>
        <w:t>年已发行</w:t>
      </w:r>
      <w:r>
        <w:rPr>
          <w:rFonts w:ascii="楷体" w:hAnsi="楷体" w:eastAsia="楷体" w:cs="楷体"/>
          <w:color w:val="000000" w:themeColor="text1"/>
          <w:sz w:val="28"/>
          <w:szCs w:val="28"/>
          <w14:textFill>
            <w14:solidFill>
              <w14:schemeClr w14:val="tx1"/>
            </w14:solidFill>
          </w14:textFill>
        </w:rPr>
        <w:t>800.00</w:t>
      </w:r>
      <w:r>
        <w:rPr>
          <w:rFonts w:hint="eastAsia" w:ascii="楷体" w:hAnsi="楷体" w:eastAsia="楷体" w:cs="楷体"/>
          <w:color w:val="000000" w:themeColor="text1"/>
          <w:sz w:val="28"/>
          <w:szCs w:val="28"/>
          <w14:textFill>
            <w14:solidFill>
              <w14:schemeClr w14:val="tx1"/>
            </w14:solidFill>
          </w14:textFill>
        </w:rPr>
        <w:t>万元，2</w:t>
      </w:r>
      <w:r>
        <w:rPr>
          <w:rFonts w:ascii="楷体" w:hAnsi="楷体" w:eastAsia="楷体" w:cs="楷体"/>
          <w:color w:val="000000" w:themeColor="text1"/>
          <w:sz w:val="28"/>
          <w:szCs w:val="28"/>
          <w14:textFill>
            <w14:solidFill>
              <w14:schemeClr w14:val="tx1"/>
            </w14:solidFill>
          </w14:textFill>
        </w:rPr>
        <w:t>023</w:t>
      </w:r>
      <w:r>
        <w:rPr>
          <w:rFonts w:hint="eastAsia" w:ascii="楷体" w:hAnsi="楷体" w:eastAsia="楷体" w:cs="楷体"/>
          <w:color w:val="000000" w:themeColor="text1"/>
          <w:sz w:val="28"/>
          <w:szCs w:val="28"/>
          <w14:textFill>
            <w14:solidFill>
              <w14:schemeClr w14:val="tx1"/>
            </w14:solidFill>
          </w14:textFill>
        </w:rPr>
        <w:t xml:space="preserve">年已发行5200万元，2024年发行4000万元，期限7年。 </w:t>
      </w:r>
      <w:r>
        <w:rPr>
          <w:rFonts w:ascii="楷体" w:hAnsi="楷体" w:eastAsia="楷体" w:cs="楷体"/>
          <w:color w:val="000000" w:themeColor="text1"/>
          <w:sz w:val="28"/>
          <w:szCs w:val="28"/>
          <w14:textFill>
            <w14:solidFill>
              <w14:schemeClr w14:val="tx1"/>
            </w14:solidFill>
          </w14:textFill>
        </w:rPr>
        <w:t xml:space="preserve"> </w:t>
      </w:r>
    </w:p>
    <w:p w14:paraId="0A07CC01">
      <w:pPr>
        <w:pStyle w:val="20"/>
        <w:spacing w:before="0" w:beforeAutospacing="0" w:after="156" w:afterLines="50" w:afterAutospacing="0" w:line="360" w:lineRule="auto"/>
        <w:ind w:firstLine="560"/>
        <w:jc w:val="both"/>
        <w:rPr>
          <w:rFonts w:hint="eastAsia" w:ascii="楷体" w:hAnsi="楷体" w:eastAsia="楷体" w:cs="楷体"/>
          <w:color w:val="000000" w:themeColor="text1"/>
          <w:sz w:val="28"/>
          <w:szCs w:val="28"/>
          <w14:textFill>
            <w14:solidFill>
              <w14:schemeClr w14:val="tx1"/>
            </w14:solidFill>
          </w14:textFill>
        </w:rPr>
      </w:pPr>
      <w:r>
        <w:rPr>
          <w:rFonts w:hint="eastAsia" w:ascii="楷体" w:hAnsi="楷体" w:eastAsia="楷体" w:cs="楷体"/>
          <w:color w:val="000000" w:themeColor="text1"/>
          <w:sz w:val="28"/>
          <w:szCs w:val="28"/>
          <w14:textFill>
            <w14:solidFill>
              <w14:schemeClr w14:val="tx1"/>
            </w14:solidFill>
          </w14:textFill>
        </w:rPr>
        <w:t>项目实施过程中，将按照市场规则向投资者进行详细的项目信息披露，保障投资者权益，更好地发挥专项债券对地方稳增长、促改革、调结构、惠民生、防风险的支持作用。</w:t>
      </w:r>
    </w:p>
    <w:p w14:paraId="6829F7A3">
      <w:pPr>
        <w:pStyle w:val="20"/>
        <w:spacing w:before="0" w:beforeAutospacing="0" w:after="156" w:afterLines="50" w:afterAutospacing="0" w:line="360" w:lineRule="auto"/>
        <w:ind w:firstLine="560"/>
        <w:jc w:val="both"/>
        <w:rPr>
          <w:rFonts w:hint="eastAsia" w:ascii="楷体" w:hAnsi="楷体" w:eastAsia="楷体" w:cs="楷体"/>
          <w:color w:val="000000" w:themeColor="text1"/>
          <w:sz w:val="28"/>
          <w:szCs w:val="28"/>
          <w14:textFill>
            <w14:solidFill>
              <w14:schemeClr w14:val="tx1"/>
            </w14:solidFill>
          </w14:textFill>
        </w:rPr>
      </w:pPr>
    </w:p>
    <w:p w14:paraId="2D0E07AD">
      <w:pPr>
        <w:pStyle w:val="20"/>
        <w:spacing w:before="0" w:beforeAutospacing="0" w:after="156" w:afterLines="50" w:afterAutospacing="0" w:line="360" w:lineRule="auto"/>
        <w:ind w:firstLine="560"/>
        <w:jc w:val="both"/>
        <w:rPr>
          <w:rFonts w:hint="eastAsia" w:ascii="楷体" w:hAnsi="楷体" w:eastAsia="楷体" w:cs="楷体"/>
          <w:color w:val="000000" w:themeColor="text1"/>
          <w:sz w:val="28"/>
          <w:szCs w:val="28"/>
          <w14:textFill>
            <w14:solidFill>
              <w14:schemeClr w14:val="tx1"/>
            </w14:solidFill>
          </w14:textFill>
        </w:rPr>
      </w:pPr>
    </w:p>
    <w:p w14:paraId="0E493B10">
      <w:pPr>
        <w:ind w:firstLine="0" w:firstLineChars="0"/>
        <w:rPr>
          <w:rFonts w:ascii="楷体" w:hAnsi="楷体" w:eastAsia="楷体" w:cs="楷体"/>
          <w:color w:val="000000" w:themeColor="text1"/>
          <w:kern w:val="0"/>
          <w:sz w:val="28"/>
          <w:szCs w:val="28"/>
          <w14:textFill>
            <w14:solidFill>
              <w14:schemeClr w14:val="tx1"/>
            </w14:solidFill>
          </w14:textFill>
        </w:rPr>
      </w:pPr>
    </w:p>
    <w:p w14:paraId="687403D7">
      <w:pPr>
        <w:ind w:firstLine="0" w:firstLineChars="0"/>
        <w:rPr>
          <w:rFonts w:hint="eastAsia" w:ascii="楷体" w:hAnsi="楷体" w:eastAsia="楷体" w:cs="楷体"/>
          <w:color w:val="000000" w:themeColor="text1"/>
          <w:kern w:val="0"/>
          <w:sz w:val="28"/>
          <w:szCs w:val="28"/>
          <w14:textFill>
            <w14:solidFill>
              <w14:schemeClr w14:val="tx1"/>
            </w14:solidFill>
          </w14:textFill>
        </w:rPr>
      </w:pPr>
    </w:p>
    <w:p w14:paraId="4EC5CAFD">
      <w:pPr>
        <w:pStyle w:val="2"/>
        <w:numPr>
          <w:numId w:val="0"/>
        </w:numPr>
        <w:spacing w:line="360" w:lineRule="auto"/>
        <w:jc w:val="both"/>
        <w:rPr>
          <w:rFonts w:hint="eastAsia"/>
          <w:b/>
          <w:bCs/>
        </w:rPr>
      </w:pPr>
      <w:r>
        <w:rPr>
          <w:rFonts w:hint="eastAsia"/>
          <w:b/>
          <w:bCs/>
          <w:lang w:val="en-US" w:eastAsia="zh-CN"/>
        </w:rPr>
        <w:t>一、</w:t>
      </w:r>
      <w:r>
        <w:rPr>
          <w:rFonts w:hint="eastAsia"/>
          <w:b/>
          <w:bCs/>
        </w:rPr>
        <w:t>项目概况</w:t>
      </w:r>
    </w:p>
    <w:p w14:paraId="15092DEB">
      <w:pPr>
        <w:pStyle w:val="4"/>
        <w:numPr>
          <w:numId w:val="0"/>
        </w:numPr>
        <w:kinsoku/>
        <w:wordWrap/>
        <w:overflowPunct/>
        <w:topLinePunct w:val="0"/>
        <w:autoSpaceDE/>
        <w:autoSpaceDN/>
        <w:bidi w:val="0"/>
        <w:spacing w:line="580" w:lineRule="exact"/>
        <w:ind w:left="482" w:leftChars="0"/>
        <w:textAlignment w:val="auto"/>
        <w:rPr>
          <w:rFonts w:hint="eastAsia" w:cs="楷体"/>
          <w:sz w:val="28"/>
          <w:szCs w:val="28"/>
        </w:rPr>
      </w:pPr>
      <w:bookmarkStart w:id="0" w:name="_Toc67918932"/>
      <w:r>
        <w:rPr>
          <w:rFonts w:hint="eastAsia" w:cs="楷体"/>
          <w:sz w:val="28"/>
          <w:szCs w:val="28"/>
        </w:rPr>
        <w:t>（一）项目所在地基本情况</w:t>
      </w:r>
    </w:p>
    <w:p w14:paraId="1C335A54">
      <w:pPr>
        <w:pStyle w:val="4"/>
        <w:numPr>
          <w:numId w:val="0"/>
        </w:numPr>
        <w:kinsoku/>
        <w:wordWrap/>
        <w:overflowPunct/>
        <w:topLinePunct w:val="0"/>
        <w:autoSpaceDE/>
        <w:autoSpaceDN/>
        <w:bidi w:val="0"/>
        <w:spacing w:line="580" w:lineRule="exact"/>
        <w:ind w:firstLine="560" w:firstLineChars="200"/>
        <w:textAlignment w:val="auto"/>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1、所在地基本情况</w:t>
      </w:r>
    </w:p>
    <w:p w14:paraId="791D06B4">
      <w:pPr>
        <w:pStyle w:val="4"/>
        <w:numPr>
          <w:numId w:val="0"/>
        </w:numPr>
        <w:kinsoku/>
        <w:wordWrap/>
        <w:overflowPunct/>
        <w:topLinePunct w:val="0"/>
        <w:autoSpaceDE/>
        <w:autoSpaceDN/>
        <w:bidi w:val="0"/>
        <w:spacing w:line="580" w:lineRule="exact"/>
        <w:ind w:firstLine="560" w:firstLineChars="200"/>
        <w:textAlignment w:val="auto"/>
        <w:rPr>
          <w:rFonts w:hint="eastAsia" w:asciiTheme="minorEastAsia" w:hAnsiTheme="minorEastAsia" w:eastAsiaTheme="minorEastAsia" w:cstheme="minorEastAsia"/>
          <w:b w:val="0"/>
          <w:bCs/>
          <w:sz w:val="28"/>
          <w:szCs w:val="28"/>
        </w:rPr>
      </w:pPr>
      <w:r>
        <w:rPr>
          <w:rFonts w:hint="eastAsia" w:cs="仿宋" w:asciiTheme="minorEastAsia" w:hAnsiTheme="minorEastAsia" w:eastAsiaTheme="minorEastAsia"/>
          <w:b w:val="0"/>
          <w:color w:val="auto"/>
          <w:sz w:val="28"/>
          <w:szCs w:val="28"/>
        </w:rPr>
        <w:t>南昌九龙湖，靠近赣江西南岸，是南昌红谷滩区的重要组成部分，与红谷滩中心区、红角洲、凤凰洲、生米构成五大片区。是红谷滩区向南延伸扩展的重要区域，是集商贸物流、文化体育、生态科技等功能为一体的现代化新城。南昌九龙湖位于南昌市新建区西南部。南昌九龙湖目前正在完善交通路网建设，其中南昌地铁二号线就起始于该区。南昌西站于2013年9月26日完工并投入使用，该站是国家高铁路网重要铁路枢纽站，是沪昆高铁（350km）、京深高铁（350km）、昌赣城际铁路（250km）、向莆铁路（250km）、南昌铁路西环线的重要客运枢纽站。为进一步奠定和巩固南昌国家铁路枢纽地位打下基础。九龙湖大道的建设将打造未来南昌市区内最主要的一条南北向干道，将进一步完善南昌市的主干路网结构，有效缓解市区交通压力，拓宽城市建设的框架、快速提升城市形象，促进赣江西岸红角洲片区的开发建设，对策应鄱阳湖生态经济区建设和山江湖综合开发利用等都具有十分重要的意义。本项目位于南昌九龙湖核心地带。九龙湖靠近赣江西南岸，是南昌红谷滩区的重要组成部分，与红谷滩中心区、红角洲、凤凰洲、生米构成五大片区。是红谷滩区向南延伸扩展的重要区域，是集商贸物流、文化体育、生态科技等功能为一体的现代化新城。</w:t>
      </w:r>
    </w:p>
    <w:p w14:paraId="69971E73">
      <w:pPr>
        <w:kinsoku/>
        <w:wordWrap/>
        <w:overflowPunct/>
        <w:topLinePunct w:val="0"/>
        <w:autoSpaceDE/>
        <w:autoSpaceDN/>
        <w:bidi w:val="0"/>
        <w:spacing w:line="580" w:lineRule="exact"/>
        <w:ind w:firstLine="480"/>
        <w:textAlignment w:val="auto"/>
        <w:rPr>
          <w:rFonts w:hint="eastAsia" w:cs="楷体" w:asciiTheme="minorEastAsia" w:hAnsiTheme="minorEastAsia"/>
          <w:sz w:val="28"/>
          <w:szCs w:val="28"/>
        </w:rPr>
      </w:pPr>
      <w:r>
        <w:rPr>
          <w:rFonts w:hint="eastAsia" w:cs="楷体" w:asciiTheme="minorEastAsia" w:hAnsiTheme="minorEastAsia"/>
          <w:sz w:val="28"/>
          <w:szCs w:val="28"/>
        </w:rPr>
        <w:t>2、财政收支情况</w:t>
      </w:r>
    </w:p>
    <w:p w14:paraId="657813BE">
      <w:pPr>
        <w:kinsoku/>
        <w:wordWrap/>
        <w:overflowPunct/>
        <w:topLinePunct w:val="0"/>
        <w:autoSpaceDE/>
        <w:autoSpaceDN/>
        <w:bidi w:val="0"/>
        <w:spacing w:line="580" w:lineRule="exact"/>
        <w:ind w:firstLine="480"/>
        <w:textAlignment w:val="auto"/>
        <w:rPr>
          <w:rFonts w:hint="eastAsia" w:ascii="宋体" w:hAnsi="宋体" w:cs="宋体"/>
          <w:sz w:val="28"/>
          <w:szCs w:val="28"/>
        </w:rPr>
      </w:pPr>
      <w:bookmarkStart w:id="1" w:name="_Toc26695"/>
      <w:bookmarkStart w:id="2" w:name="_Toc11791"/>
      <w:bookmarkStart w:id="3" w:name="_Toc9716"/>
      <w:r>
        <w:rPr>
          <w:rFonts w:hint="eastAsia" w:ascii="宋体" w:hAnsi="宋体" w:cs="宋体"/>
          <w:sz w:val="28"/>
          <w:szCs w:val="28"/>
        </w:rPr>
        <w:t>南昌市经济发展迅速，在全球发展最快的20个城市中名列第15名，是中国乃至全球未来最具发展潜力的城市之一。南昌市设有三个国家级开发区（南昌高新技术产业开发区、南昌经济技术开发区和南昌小蓝经济技术开发区）和红谷滩区、临空经济区、综合保税区。</w:t>
      </w:r>
    </w:p>
    <w:p w14:paraId="4A9A446D">
      <w:pPr>
        <w:kinsoku/>
        <w:wordWrap/>
        <w:overflowPunct/>
        <w:topLinePunct w:val="0"/>
        <w:autoSpaceDE/>
        <w:autoSpaceDN/>
        <w:bidi w:val="0"/>
        <w:spacing w:line="580" w:lineRule="exact"/>
        <w:ind w:firstLine="480"/>
        <w:textAlignment w:val="auto"/>
        <w:rPr>
          <w:rFonts w:hint="eastAsia" w:ascii="宋体" w:hAnsi="宋体" w:cs="宋体"/>
          <w:sz w:val="28"/>
          <w:szCs w:val="28"/>
        </w:rPr>
      </w:pPr>
      <w:r>
        <w:rPr>
          <w:rFonts w:hint="eastAsia" w:ascii="宋体" w:hAnsi="宋体" w:cs="宋体"/>
          <w:sz w:val="28"/>
          <w:szCs w:val="28"/>
        </w:rPr>
        <w:t>2020-2023年，南昌市分别实现地区生产总值5745.51亿元、6650.53亿元和7203.5亿元，三年增速分别为3.6%、8.7%和4.1%。 三次产业结构从2020年的4.1∶46.59∶49.3调整为2023年的 3.5:48.2:48.3。</w:t>
      </w:r>
    </w:p>
    <w:p w14:paraId="1B3FF2BA">
      <w:pPr>
        <w:kinsoku/>
        <w:wordWrap/>
        <w:overflowPunct/>
        <w:topLinePunct w:val="0"/>
        <w:autoSpaceDE/>
        <w:autoSpaceDN/>
        <w:bidi w:val="0"/>
        <w:spacing w:line="580" w:lineRule="exact"/>
        <w:ind w:firstLine="480"/>
        <w:textAlignment w:val="auto"/>
        <w:rPr>
          <w:rFonts w:hint="eastAsia" w:ascii="宋体" w:hAnsi="宋体" w:cs="宋体"/>
          <w:sz w:val="28"/>
          <w:szCs w:val="28"/>
        </w:rPr>
      </w:pPr>
      <w:r>
        <w:rPr>
          <w:rFonts w:hint="eastAsia" w:ascii="宋体" w:hAnsi="宋体" w:cs="宋体"/>
          <w:sz w:val="28"/>
          <w:szCs w:val="28"/>
        </w:rPr>
        <w:t>全年城镇新增就业6.15万人，城镇登记失业率2.93%；安置“4050”等困难群体0.68万人:新增转移农村劳动力4.18万人。全年实现财政总收入912.01亿元，比上年增长1.0%。其中，地方一般公共预算收入483.86亿元，增长1.4%。地方一般公共预算收入中，增值税135.67亿元，下降11.8%；企业所得税61.95亿元，下降1.4%；个人所得税14.71亿元，增长9.9%。全年地方一般公共预算支出838.07亿元，增长0.5%。其中，城乡社区支出155.21亿元，下降32.5 %；教育支出135.52亿元，增长7.2%；卫生健康支出93.32亿元，增长16.3%；一般公共服务支出76.82亿元，下降3.5%；农林水事务支出62.22亿元，增长31.9%；社会保障和就业支出62.20亿元，下降7.5%；公共安全支出50.33亿元，下降1.0%。</w:t>
      </w:r>
      <w:bookmarkEnd w:id="1"/>
      <w:bookmarkEnd w:id="2"/>
      <w:bookmarkEnd w:id="3"/>
    </w:p>
    <w:p w14:paraId="3B47E058">
      <w:pPr>
        <w:pStyle w:val="4"/>
        <w:numPr>
          <w:ilvl w:val="0"/>
          <w:numId w:val="2"/>
        </w:numPr>
        <w:kinsoku/>
        <w:wordWrap/>
        <w:overflowPunct/>
        <w:topLinePunct w:val="0"/>
        <w:autoSpaceDE/>
        <w:autoSpaceDN/>
        <w:bidi w:val="0"/>
        <w:spacing w:line="580" w:lineRule="exact"/>
        <w:ind w:left="482" w:leftChars="0"/>
        <w:textAlignment w:val="auto"/>
        <w:rPr>
          <w:rFonts w:hint="eastAsia" w:ascii="黑体" w:hAnsi="黑体" w:eastAsia="黑体" w:cs="黑体"/>
          <w:sz w:val="28"/>
          <w:szCs w:val="28"/>
        </w:rPr>
      </w:pPr>
      <w:r>
        <w:rPr>
          <w:rFonts w:hint="eastAsia" w:ascii="黑体" w:hAnsi="黑体" w:eastAsia="黑体" w:cs="黑体"/>
          <w:sz w:val="28"/>
          <w:szCs w:val="28"/>
        </w:rPr>
        <w:t>项目实施背景</w:t>
      </w:r>
      <w:bookmarkEnd w:id="0"/>
      <w:bookmarkStart w:id="4" w:name="_Toc67918933"/>
    </w:p>
    <w:p w14:paraId="225644B4">
      <w:pPr>
        <w:pStyle w:val="4"/>
        <w:numPr>
          <w:numId w:val="0"/>
        </w:numPr>
        <w:kinsoku/>
        <w:wordWrap/>
        <w:overflowPunct/>
        <w:topLinePunct w:val="0"/>
        <w:autoSpaceDE/>
        <w:autoSpaceDN/>
        <w:bidi w:val="0"/>
        <w:spacing w:line="580" w:lineRule="exact"/>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项目背景</w:t>
      </w:r>
      <w:bookmarkEnd w:id="4"/>
      <w:bookmarkStart w:id="5" w:name="_Toc29679"/>
      <w:bookmarkStart w:id="6" w:name="_Toc67918934"/>
    </w:p>
    <w:p w14:paraId="1E3C163B">
      <w:pPr>
        <w:pStyle w:val="4"/>
        <w:numPr>
          <w:numId w:val="0"/>
        </w:numPr>
        <w:kinsoku/>
        <w:wordWrap/>
        <w:overflowPunct/>
        <w:topLinePunct w:val="0"/>
        <w:autoSpaceDE/>
        <w:autoSpaceDN/>
        <w:bidi w:val="0"/>
        <w:spacing w:line="580" w:lineRule="exact"/>
        <w:ind w:firstLine="560" w:firstLineChars="200"/>
        <w:textAlignment w:val="auto"/>
        <w:rPr>
          <w:rFonts w:hint="eastAsia" w:cs="仿宋" w:asciiTheme="minorEastAsia" w:hAnsiTheme="minorEastAsia" w:eastAsiaTheme="minorEastAsia"/>
          <w:bCs/>
          <w:sz w:val="28"/>
          <w:szCs w:val="28"/>
        </w:rPr>
      </w:pPr>
      <w:r>
        <w:rPr>
          <w:rFonts w:hint="eastAsia" w:cs="仿宋" w:asciiTheme="minorEastAsia" w:hAnsiTheme="minorEastAsia" w:eastAsiaTheme="minorEastAsia"/>
          <w:color w:val="auto"/>
          <w:sz w:val="28"/>
          <w:szCs w:val="28"/>
        </w:rPr>
        <w:t>目前，我国已进入全面建设小康社会、加快推进社会主义现代化的新阶段。建设部提出全面小康社会居住总体目标为：到202</w:t>
      </w:r>
      <w:r>
        <w:rPr>
          <w:rFonts w:cs="仿宋" w:asciiTheme="minorEastAsia" w:hAnsiTheme="minorEastAsia" w:eastAsiaTheme="minorEastAsia"/>
          <w:color w:val="auto"/>
          <w:sz w:val="28"/>
          <w:szCs w:val="28"/>
        </w:rPr>
        <w:t>1</w:t>
      </w:r>
      <w:r>
        <w:rPr>
          <w:rFonts w:hint="eastAsia" w:cs="仿宋" w:asciiTheme="minorEastAsia" w:hAnsiTheme="minorEastAsia" w:eastAsiaTheme="minorEastAsia"/>
          <w:color w:val="auto"/>
          <w:sz w:val="28"/>
          <w:szCs w:val="28"/>
        </w:rPr>
        <w:t>年，居住数量与质量全面提高，彻底解决建筑质量通病，居住区规划布局合理、文化特色突出，配套设施齐全、现代，居住条件舒适、方便、安全，居住区内外环境清洁、优美、安静，住区服务质量优异，社区公共服务便利，实现以人为本、充分满足发展需要的小康居住目标。到2023年，城乡居民的居住条件将得到全面提升，城镇人均住宅建筑面积达到35平方米、农村人均住宅建筑面积达到40平方米，最终实现以人为本的发展目标。</w:t>
      </w:r>
    </w:p>
    <w:p w14:paraId="022D8C49">
      <w:pPr>
        <w:kinsoku/>
        <w:wordWrap/>
        <w:overflowPunct/>
        <w:topLinePunct w:val="0"/>
        <w:autoSpaceDE/>
        <w:autoSpaceDN/>
        <w:bidi w:val="0"/>
        <w:spacing w:line="580" w:lineRule="exact"/>
        <w:ind w:firstLine="480"/>
        <w:textAlignment w:val="auto"/>
        <w:rPr>
          <w:rFonts w:hint="eastAsia" w:cs="仿宋" w:asciiTheme="minorEastAsia" w:hAnsiTheme="minorEastAsia"/>
          <w:sz w:val="28"/>
          <w:szCs w:val="28"/>
        </w:rPr>
      </w:pPr>
      <w:r>
        <w:rPr>
          <w:rFonts w:hint="eastAsia" w:cs="仿宋" w:asciiTheme="minorEastAsia" w:hAnsiTheme="minorEastAsia"/>
          <w:sz w:val="28"/>
          <w:szCs w:val="28"/>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w:t>
      </w:r>
    </w:p>
    <w:p w14:paraId="286B7E80">
      <w:pPr>
        <w:pStyle w:val="4"/>
        <w:numPr>
          <w:numId w:val="0"/>
        </w:numPr>
        <w:kinsoku/>
        <w:wordWrap/>
        <w:overflowPunct/>
        <w:topLinePunct w:val="0"/>
        <w:autoSpaceDE/>
        <w:autoSpaceDN/>
        <w:bidi w:val="0"/>
        <w:spacing w:after="0" w:line="580" w:lineRule="exact"/>
        <w:ind w:firstLine="560" w:firstLineChars="200"/>
        <w:textAlignment w:val="auto"/>
        <w:rPr>
          <w:rFonts w:ascii="Times New Roman" w:hAnsi="Times New Roman" w:eastAsia="仿宋_GB2312" w:cs="Times New Roman"/>
          <w:b w:val="0"/>
          <w:sz w:val="28"/>
          <w:szCs w:val="28"/>
        </w:rPr>
      </w:pPr>
      <w:r>
        <w:rPr>
          <w:rFonts w:hint="eastAsia" w:ascii="Times New Roman" w:hAnsi="Times New Roman" w:eastAsia="仿宋_GB2312" w:cs="Times New Roman"/>
          <w:b w:val="0"/>
          <w:sz w:val="28"/>
          <w:szCs w:val="28"/>
        </w:rPr>
        <w:t>2、项目建设的必要性</w:t>
      </w:r>
      <w:bookmarkEnd w:id="5"/>
    </w:p>
    <w:p w14:paraId="3EE0ADE6">
      <w:pPr>
        <w:kinsoku/>
        <w:wordWrap/>
        <w:overflowPunct/>
        <w:topLinePunct w:val="0"/>
        <w:autoSpaceDE/>
        <w:autoSpaceDN/>
        <w:bidi w:val="0"/>
        <w:spacing w:line="580" w:lineRule="exact"/>
        <w:ind w:firstLine="480"/>
        <w:textAlignment w:val="auto"/>
        <w:rPr>
          <w:rFonts w:hint="eastAsia" w:cs="仿宋" w:asciiTheme="minorEastAsia" w:hAnsiTheme="minorEastAsia"/>
          <w:sz w:val="28"/>
          <w:szCs w:val="28"/>
        </w:rPr>
      </w:pPr>
      <w:r>
        <w:rPr>
          <w:rFonts w:hint="eastAsia" w:cs="仿宋" w:asciiTheme="minorEastAsia" w:hAnsiTheme="minorEastAsia"/>
          <w:sz w:val="28"/>
          <w:szCs w:val="28"/>
        </w:rPr>
        <w:t>《江西省国民经济和社会发展第十三个五年规划纲要》提到“完善保障性住房体系，加大廉租住房、经济适用住房、公共租赁住房和限价商品住房等保障性住房建设力度，稳步提高保障性住房在住房供应总量中的比例。完成棚户区改造，加快城中村改造，加大农村危房改造力度，加快推进农村安居工程建设，改善城乡困难群众住房条件。完善住房体制机制和政策体系，加强土地、财税、金融政策调节”。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4C7C2047">
      <w:pPr>
        <w:kinsoku/>
        <w:wordWrap/>
        <w:overflowPunct/>
        <w:topLinePunct w:val="0"/>
        <w:autoSpaceDE/>
        <w:autoSpaceDN/>
        <w:bidi w:val="0"/>
        <w:spacing w:line="580" w:lineRule="exact"/>
        <w:ind w:firstLine="480"/>
        <w:textAlignment w:val="auto"/>
        <w:rPr>
          <w:rFonts w:hint="eastAsia" w:cs="仿宋" w:asciiTheme="minorEastAsia" w:hAnsiTheme="minorEastAsia"/>
          <w:sz w:val="28"/>
          <w:szCs w:val="28"/>
        </w:rPr>
      </w:pPr>
      <w:r>
        <w:rPr>
          <w:rFonts w:hint="eastAsia" w:cs="仿宋" w:asciiTheme="minorEastAsia" w:hAnsiTheme="minorEastAsia"/>
          <w:sz w:val="28"/>
          <w:szCs w:val="28"/>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50EF27D2">
      <w:pPr>
        <w:kinsoku/>
        <w:wordWrap/>
        <w:overflowPunct/>
        <w:topLinePunct w:val="0"/>
        <w:autoSpaceDE/>
        <w:autoSpaceDN/>
        <w:bidi w:val="0"/>
        <w:spacing w:line="580" w:lineRule="exact"/>
        <w:ind w:firstLine="480"/>
        <w:textAlignment w:val="auto"/>
        <w:rPr>
          <w:rFonts w:hint="eastAsia" w:cs="仿宋" w:asciiTheme="minorEastAsia" w:hAnsiTheme="minorEastAsia"/>
          <w:sz w:val="28"/>
          <w:szCs w:val="28"/>
        </w:rPr>
      </w:pPr>
      <w:r>
        <w:rPr>
          <w:rFonts w:hint="eastAsia" w:cs="仿宋" w:asciiTheme="minorEastAsia" w:hAnsiTheme="minorEastAsia"/>
          <w:sz w:val="28"/>
          <w:szCs w:val="28"/>
        </w:rPr>
        <w:t>综上所述，本项目的实施符合国家及地方的社会经济发展方向，是落实党和国家政策的重要基础。项目的建设是贯彻落实党中央、国务院关于改善低收入家庭住房困难的具体行动，是解决和改善人民群众最直接、最现实问题的重要举措，有利于推进南昌市现代化进程，满足人民群众日益增长的住房需求，促进和谐社会的建立，同时还提升了本项目地区的经济地位和整体环境，提高项目建设单位的实力，具有良好的社会效益、环境效益和国民经济效益。由此可见，本项目的建设是非常迫切和必要的。</w:t>
      </w:r>
    </w:p>
    <w:p w14:paraId="01D78FF0">
      <w:pPr>
        <w:pStyle w:val="4"/>
        <w:numPr>
          <w:numId w:val="0"/>
        </w:numPr>
        <w:kinsoku/>
        <w:wordWrap/>
        <w:overflowPunct/>
        <w:topLinePunct w:val="0"/>
        <w:autoSpaceDE/>
        <w:autoSpaceDN/>
        <w:bidi w:val="0"/>
        <w:spacing w:line="580" w:lineRule="exact"/>
        <w:ind w:left="520" w:leftChars="0"/>
        <w:textAlignment w:val="auto"/>
        <w:rPr>
          <w:rFonts w:hint="eastAsia" w:cs="楷体"/>
          <w:sz w:val="28"/>
          <w:szCs w:val="28"/>
        </w:rPr>
      </w:pPr>
      <w:r>
        <w:rPr>
          <w:rFonts w:hint="eastAsia" w:cs="楷体"/>
          <w:sz w:val="28"/>
          <w:szCs w:val="28"/>
        </w:rPr>
        <w:t>（三）项目基本情况</w:t>
      </w:r>
      <w:bookmarkEnd w:id="6"/>
    </w:p>
    <w:p w14:paraId="45B9AC33">
      <w:pPr>
        <w:pStyle w:val="5"/>
        <w:kinsoku/>
        <w:wordWrap/>
        <w:overflowPunct/>
        <w:topLinePunct w:val="0"/>
        <w:autoSpaceDE/>
        <w:autoSpaceDN/>
        <w:bidi w:val="0"/>
        <w:spacing w:line="580" w:lineRule="exact"/>
        <w:ind w:firstLine="480"/>
        <w:textAlignment w:val="auto"/>
        <w:rPr>
          <w:rFonts w:hint="eastAsia" w:asciiTheme="minorEastAsia" w:hAnsiTheme="minorEastAsia" w:eastAsiaTheme="minorEastAsia"/>
          <w:sz w:val="28"/>
          <w:szCs w:val="28"/>
        </w:rPr>
      </w:pPr>
      <w:bookmarkStart w:id="7" w:name="_Toc67918935"/>
      <w:r>
        <w:rPr>
          <w:rFonts w:hint="eastAsia" w:asciiTheme="minorEastAsia" w:hAnsiTheme="minorEastAsia" w:eastAsiaTheme="minorEastAsia" w:cstheme="minorEastAsia"/>
          <w:sz w:val="28"/>
          <w:szCs w:val="28"/>
        </w:rPr>
        <w:t>1、项目名称：</w:t>
      </w:r>
      <w:bookmarkEnd w:id="7"/>
      <w:bookmarkStart w:id="8" w:name="_Toc67918936"/>
      <w:r>
        <w:rPr>
          <w:rFonts w:hint="eastAsia" w:asciiTheme="minorEastAsia" w:hAnsiTheme="minorEastAsia" w:eastAsiaTheme="minorEastAsia"/>
          <w:sz w:val="28"/>
          <w:szCs w:val="28"/>
        </w:rPr>
        <w:t>红谷滩生米镇南路村拆迁安置小区建设项目（南路村棚户区改造）</w:t>
      </w:r>
    </w:p>
    <w:p w14:paraId="7F0FFB57">
      <w:pPr>
        <w:pStyle w:val="5"/>
        <w:kinsoku/>
        <w:wordWrap/>
        <w:overflowPunct/>
        <w:topLinePunct w:val="0"/>
        <w:autoSpaceDE/>
        <w:autoSpaceDN/>
        <w:bidi w:val="0"/>
        <w:spacing w:line="58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sz w:val="28"/>
          <w:szCs w:val="28"/>
        </w:rPr>
        <w:t>2、项目单位：</w:t>
      </w:r>
      <w:bookmarkEnd w:id="8"/>
      <w:bookmarkStart w:id="9" w:name="_Toc67918938"/>
      <w:r>
        <w:rPr>
          <w:rFonts w:hint="eastAsia" w:asciiTheme="minorEastAsia" w:hAnsiTheme="minorEastAsia" w:eastAsiaTheme="minorEastAsia" w:cstheme="minorEastAsia"/>
          <w:color w:val="auto"/>
          <w:sz w:val="28"/>
          <w:szCs w:val="28"/>
        </w:rPr>
        <w:t>南昌红江实业发展有限公司</w:t>
      </w:r>
    </w:p>
    <w:p w14:paraId="232A2F25">
      <w:pPr>
        <w:pStyle w:val="5"/>
        <w:kinsoku/>
        <w:wordWrap/>
        <w:overflowPunct/>
        <w:topLinePunct w:val="0"/>
        <w:autoSpaceDE/>
        <w:autoSpaceDN/>
        <w:bidi w:val="0"/>
        <w:spacing w:line="580" w:lineRule="exact"/>
        <w:ind w:firstLine="48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3、项目建设单位：</w:t>
      </w:r>
      <w:r>
        <w:rPr>
          <w:rFonts w:hint="eastAsia" w:asciiTheme="minorEastAsia" w:hAnsiTheme="minorEastAsia" w:eastAsiaTheme="minorEastAsia"/>
          <w:sz w:val="28"/>
          <w:szCs w:val="28"/>
        </w:rPr>
        <w:t>南昌红江实业发展有限公司</w:t>
      </w:r>
    </w:p>
    <w:p w14:paraId="245F5FB5">
      <w:pPr>
        <w:pStyle w:val="5"/>
        <w:kinsoku/>
        <w:wordWrap/>
        <w:overflowPunct/>
        <w:topLinePunct w:val="0"/>
        <w:autoSpaceDE/>
        <w:autoSpaceDN/>
        <w:bidi w:val="0"/>
        <w:spacing w:line="580" w:lineRule="exact"/>
        <w:ind w:firstLine="480"/>
        <w:textAlignment w:val="auto"/>
        <w:rPr>
          <w:rFonts w:hint="eastAsia" w:cs="仿宋" w:asciiTheme="minorEastAsia" w:hAnsiTheme="minorEastAsia" w:eastAsiaTheme="minorEastAsia"/>
          <w:color w:val="auto"/>
          <w:sz w:val="28"/>
          <w:szCs w:val="28"/>
        </w:rPr>
      </w:pPr>
      <w:r>
        <w:rPr>
          <w:rFonts w:hint="eastAsia" w:asciiTheme="minorEastAsia" w:hAnsiTheme="minorEastAsia" w:eastAsiaTheme="minorEastAsia" w:cstheme="minorEastAsia"/>
          <w:sz w:val="28"/>
          <w:szCs w:val="28"/>
        </w:rPr>
        <w:t>4、项目建设地址：</w:t>
      </w:r>
      <w:bookmarkEnd w:id="9"/>
      <w:bookmarkStart w:id="10" w:name="_Toc67918939"/>
      <w:r>
        <w:rPr>
          <w:rFonts w:hint="eastAsia" w:cs="仿宋" w:asciiTheme="minorEastAsia" w:hAnsiTheme="minorEastAsia" w:eastAsiaTheme="minorEastAsia"/>
          <w:color w:val="auto"/>
          <w:sz w:val="28"/>
          <w:szCs w:val="28"/>
        </w:rPr>
        <w:t>本项目位于江西省南昌市九龙湖片区，南昌市九龙湖大道以西，潼溪大道以北，兴岗路以东JLH1503-C02地块内。</w:t>
      </w:r>
    </w:p>
    <w:p w14:paraId="79E75E3E">
      <w:pPr>
        <w:pStyle w:val="5"/>
        <w:kinsoku/>
        <w:wordWrap/>
        <w:overflowPunct/>
        <w:topLinePunct w:val="0"/>
        <w:autoSpaceDE/>
        <w:autoSpaceDN/>
        <w:bidi w:val="0"/>
        <w:spacing w:line="580" w:lineRule="exact"/>
        <w:ind w:firstLine="480"/>
        <w:textAlignment w:val="auto"/>
        <w:rPr>
          <w:rFonts w:hint="eastAsia" w:cs="宋体" w:asciiTheme="minorEastAsia" w:hAnsiTheme="minorEastAsia" w:eastAsiaTheme="minorEastAsia"/>
          <w:color w:val="auto"/>
          <w:sz w:val="28"/>
          <w:szCs w:val="28"/>
          <w:lang w:val="zh-CN"/>
        </w:rPr>
      </w:pPr>
      <w:r>
        <w:rPr>
          <w:rFonts w:hint="eastAsia" w:asciiTheme="minorEastAsia" w:hAnsiTheme="minorEastAsia" w:eastAsiaTheme="minorEastAsia" w:cstheme="minorEastAsia"/>
          <w:sz w:val="28"/>
          <w:szCs w:val="28"/>
        </w:rPr>
        <w:t>5、项目建设内容</w:t>
      </w:r>
      <w:bookmarkEnd w:id="10"/>
      <w:r>
        <w:rPr>
          <w:rFonts w:hint="eastAsia" w:asciiTheme="minorEastAsia" w:hAnsiTheme="minorEastAsia" w:eastAsiaTheme="minorEastAsia" w:cstheme="minorEastAsia"/>
          <w:sz w:val="28"/>
          <w:szCs w:val="28"/>
        </w:rPr>
        <w:t>：</w:t>
      </w:r>
      <w:bookmarkStart w:id="11" w:name="_Toc67918941"/>
      <w:r>
        <w:rPr>
          <w:rFonts w:hint="eastAsia" w:cs="宋体" w:asciiTheme="minorEastAsia" w:hAnsiTheme="minorEastAsia" w:eastAsiaTheme="minorEastAsia"/>
          <w:color w:val="auto"/>
          <w:sz w:val="28"/>
          <w:szCs w:val="28"/>
          <w:lang w:val="zh-CN"/>
        </w:rPr>
        <w:t>该项目主要建设内容包括建筑、结构、道路、给排水、电气、暖通、燃气、消防等工程。</w:t>
      </w:r>
    </w:p>
    <w:p w14:paraId="3C177945">
      <w:pPr>
        <w:pStyle w:val="5"/>
        <w:kinsoku/>
        <w:wordWrap/>
        <w:overflowPunct/>
        <w:topLinePunct w:val="0"/>
        <w:autoSpaceDE/>
        <w:autoSpaceDN/>
        <w:bidi w:val="0"/>
        <w:spacing w:line="580" w:lineRule="exact"/>
        <w:ind w:firstLine="48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6、项目总投</w:t>
      </w:r>
      <w:bookmarkEnd w:id="11"/>
      <w:r>
        <w:rPr>
          <w:rFonts w:hint="eastAsia" w:asciiTheme="minorEastAsia" w:hAnsiTheme="minorEastAsia" w:eastAsiaTheme="minorEastAsia" w:cstheme="minorEastAsia"/>
          <w:sz w:val="28"/>
          <w:szCs w:val="28"/>
        </w:rPr>
        <w:t>资：</w:t>
      </w:r>
      <w:bookmarkStart w:id="12" w:name="_Toc67918942"/>
      <w:r>
        <w:rPr>
          <w:rFonts w:hint="eastAsia" w:cs="仿宋" w:asciiTheme="minorEastAsia" w:hAnsiTheme="minorEastAsia" w:eastAsiaTheme="minorEastAsia"/>
          <w:sz w:val="28"/>
          <w:szCs w:val="28"/>
        </w:rPr>
        <w:t>本项目估算总投资为</w:t>
      </w:r>
      <w:r>
        <w:rPr>
          <w:rFonts w:cs="仿宋" w:asciiTheme="minorEastAsia" w:hAnsiTheme="minorEastAsia" w:eastAsiaTheme="minorEastAsia"/>
          <w:sz w:val="28"/>
          <w:szCs w:val="28"/>
        </w:rPr>
        <w:t>58309.68</w:t>
      </w:r>
      <w:r>
        <w:rPr>
          <w:rFonts w:hint="eastAsia" w:cs="仿宋" w:asciiTheme="minorEastAsia" w:hAnsiTheme="minorEastAsia" w:eastAsiaTheme="minorEastAsia"/>
          <w:sz w:val="28"/>
          <w:szCs w:val="28"/>
        </w:rPr>
        <w:t>万元</w:t>
      </w:r>
    </w:p>
    <w:p w14:paraId="6B941292">
      <w:pPr>
        <w:numPr>
          <w:ilvl w:val="0"/>
          <w:numId w:val="3"/>
        </w:numPr>
        <w:kinsoku/>
        <w:wordWrap/>
        <w:overflowPunct/>
        <w:topLinePunct w:val="0"/>
        <w:autoSpaceDE/>
        <w:autoSpaceDN/>
        <w:bidi w:val="0"/>
        <w:spacing w:line="580" w:lineRule="exact"/>
        <w:ind w:firstLine="480"/>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项目建设期限：批复建设周期约为3</w:t>
      </w:r>
      <w:r>
        <w:rPr>
          <w:rFonts w:asciiTheme="minorEastAsia" w:hAnsiTheme="minorEastAsia" w:cstheme="minorEastAsia"/>
          <w:sz w:val="28"/>
          <w:szCs w:val="28"/>
        </w:rPr>
        <w:t>0</w:t>
      </w:r>
      <w:r>
        <w:rPr>
          <w:rFonts w:hint="eastAsia" w:asciiTheme="minorEastAsia" w:hAnsiTheme="minorEastAsia" w:cstheme="minorEastAsia"/>
          <w:sz w:val="28"/>
          <w:szCs w:val="28"/>
        </w:rPr>
        <w:t>个月。</w:t>
      </w:r>
    </w:p>
    <w:p w14:paraId="5A43E03D">
      <w:pPr>
        <w:pStyle w:val="2"/>
        <w:numPr>
          <w:ilvl w:val="0"/>
          <w:numId w:val="4"/>
        </w:numPr>
        <w:kinsoku/>
        <w:wordWrap/>
        <w:overflowPunct/>
        <w:topLinePunct w:val="0"/>
        <w:autoSpaceDE/>
        <w:autoSpaceDN/>
        <w:bidi w:val="0"/>
        <w:spacing w:line="580" w:lineRule="exact"/>
        <w:jc w:val="both"/>
        <w:textAlignment w:val="auto"/>
        <w:rPr>
          <w:rFonts w:hint="eastAsia" w:ascii="仿宋" w:hAnsi="仿宋" w:eastAsia="仿宋" w:cs="仿宋"/>
          <w:sz w:val="28"/>
          <w:szCs w:val="28"/>
        </w:rPr>
      </w:pPr>
      <w:r>
        <w:rPr>
          <w:rFonts w:hint="eastAsia"/>
          <w:b/>
          <w:bCs/>
          <w:sz w:val="28"/>
          <w:szCs w:val="28"/>
        </w:rPr>
        <w:t>项目投资估算及资金筹措方案</w:t>
      </w:r>
      <w:bookmarkEnd w:id="12"/>
      <w:bookmarkStart w:id="13" w:name="_Toc67918943"/>
      <w:r>
        <w:rPr>
          <w:rFonts w:hint="eastAsia" w:ascii="仿宋" w:hAnsi="仿宋" w:eastAsia="仿宋" w:cs="仿宋"/>
          <w:sz w:val="28"/>
          <w:szCs w:val="28"/>
        </w:rPr>
        <w:t>（一）投资估算</w:t>
      </w:r>
      <w:bookmarkEnd w:id="13"/>
    </w:p>
    <w:p w14:paraId="78FE64D1">
      <w:pPr>
        <w:pStyle w:val="5"/>
        <w:kinsoku/>
        <w:wordWrap/>
        <w:overflowPunct/>
        <w:topLinePunct w:val="0"/>
        <w:autoSpaceDE/>
        <w:autoSpaceDN/>
        <w:bidi w:val="0"/>
        <w:spacing w:line="580" w:lineRule="exact"/>
        <w:ind w:firstLine="480"/>
        <w:textAlignment w:val="auto"/>
        <w:rPr>
          <w:rFonts w:hint="eastAsia" w:ascii="仿宋" w:hAnsi="仿宋" w:eastAsia="仿宋" w:cs="仿宋"/>
          <w:sz w:val="28"/>
          <w:szCs w:val="28"/>
        </w:rPr>
      </w:pPr>
      <w:bookmarkStart w:id="14" w:name="_Toc28161735"/>
      <w:bookmarkStart w:id="15" w:name="_Toc67918944"/>
      <w:r>
        <w:rPr>
          <w:rFonts w:hint="eastAsia" w:ascii="仿宋" w:hAnsi="仿宋" w:eastAsia="仿宋" w:cs="仿宋"/>
          <w:sz w:val="28"/>
          <w:szCs w:val="28"/>
        </w:rPr>
        <w:t>1</w:t>
      </w:r>
      <w:bookmarkEnd w:id="14"/>
      <w:r>
        <w:rPr>
          <w:rFonts w:hint="eastAsia" w:ascii="仿宋" w:hAnsi="仿宋" w:eastAsia="仿宋" w:cs="仿宋"/>
          <w:sz w:val="28"/>
          <w:szCs w:val="28"/>
        </w:rPr>
        <w:t>、</w:t>
      </w:r>
      <w:r>
        <w:rPr>
          <w:rFonts w:hint="eastAsia" w:cs="仿宋" w:asciiTheme="minorEastAsia" w:hAnsiTheme="minorEastAsia" w:eastAsiaTheme="minorEastAsia"/>
          <w:sz w:val="28"/>
          <w:szCs w:val="28"/>
        </w:rPr>
        <w:t>估算编制依据</w:t>
      </w:r>
      <w:bookmarkEnd w:id="15"/>
    </w:p>
    <w:p w14:paraId="526E8BE7">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bookmarkStart w:id="16" w:name="_Toc28161736"/>
      <w:bookmarkStart w:id="17" w:name="_Toc67918945"/>
      <w:r>
        <w:rPr>
          <w:rFonts w:hint="eastAsia" w:cs="宋体" w:asciiTheme="minorEastAsia" w:hAnsiTheme="minorEastAsia"/>
          <w:sz w:val="28"/>
          <w:szCs w:val="28"/>
        </w:rPr>
        <w:t>土建工程费是根据《江西省建筑工程消耗量定额及统一基价表》（2017）、《江西省装饰装修工程消耗量定额及统一基价表》（2017）、《江西省建筑安装工程消耗量定额及统一基价表》（2017）、《江西省建筑安装工程费用定额》（2017）、《江西省建筑工程计价办法（试行）》、《江西省市政工程预算定额》（2017年）、《江西省市政工程费用定额》（2017年）、《建设项目投资估算编审规程(CECA-GC1-2017)》和同类工程指标值，结合现行材料价格综合估算确定。</w:t>
      </w:r>
    </w:p>
    <w:p w14:paraId="75F9FEFF">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建设项目前期工程咨询费《建设项目前期工作咨询收费暂行规定》国家计委计价格[1999]1283号；</w:t>
      </w:r>
    </w:p>
    <w:p w14:paraId="12B873ED">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建设单位管理费根据财政部财建［2016］504号文标准计算；</w:t>
      </w:r>
    </w:p>
    <w:p w14:paraId="4944052B">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工程勘察，设计费等依据《关于发布&lt;工程勘察设计收费管理规定&gt;的通知》（计价格〔2002〕10 号)的规定计取；</w:t>
      </w:r>
    </w:p>
    <w:p w14:paraId="518713B1">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工程监理费按照《建设工程监理与相关服务收费管理规定》(发改价格[2007]670号)的规定，采用直线内插法计算；</w:t>
      </w:r>
    </w:p>
    <w:p w14:paraId="460B5BAC">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招标代理费按照《招标代理服务收费标准管理暂行办法》（计价格[2002]1980号文）；</w:t>
      </w:r>
    </w:p>
    <w:p w14:paraId="3CC89E51">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施工图审查费按建筑工程施工图审查收费标准赣价房字[2006]273号计取；</w:t>
      </w:r>
    </w:p>
    <w:p w14:paraId="776E522E">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施工图预算编制费按设计费的10%计取；</w:t>
      </w:r>
    </w:p>
    <w:p w14:paraId="5E5396DC">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竣工图编制费按设计费的8%计取；</w:t>
      </w:r>
    </w:p>
    <w:p w14:paraId="47CF6258">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预备费按第一、第二部分费用合计的8%估算；</w:t>
      </w:r>
    </w:p>
    <w:p w14:paraId="79FC9D70">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《关于开发建设项目水土保持咨询服务费用计列的指导意见》 保监（2005）22号 ；</w:t>
      </w:r>
    </w:p>
    <w:p w14:paraId="6B30B8DD">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《关于规范环境影响咨询收费有关问题的通知》计价格[2002]125号计取；</w:t>
      </w:r>
    </w:p>
    <w:p w14:paraId="4730D4C5">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水保评价收费参照水利部保监(2005)22号《关于开发建设项目水土保持咨询服务费用计列的指导意见》；</w:t>
      </w:r>
    </w:p>
    <w:p w14:paraId="375F655B">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交评收费参照《城市规划设计计费指导意见》计取；</w:t>
      </w:r>
    </w:p>
    <w:p w14:paraId="61C01B17">
      <w:pPr>
        <w:widowControl/>
        <w:numPr>
          <w:ilvl w:val="0"/>
          <w:numId w:val="5"/>
        </w:numPr>
        <w:kinsoku/>
        <w:wordWrap/>
        <w:overflowPunct/>
        <w:topLinePunct w:val="0"/>
        <w:autoSpaceDE/>
        <w:autoSpaceDN/>
        <w:bidi w:val="0"/>
        <w:spacing w:after="0" w:line="580" w:lineRule="exact"/>
        <w:ind w:firstLineChars="0"/>
        <w:textAlignment w:val="auto"/>
        <w:rPr>
          <w:rFonts w:hint="eastAsia" w:cs="宋体" w:asciiTheme="minorEastAsia" w:hAnsiTheme="minorEastAsia"/>
          <w:sz w:val="28"/>
          <w:szCs w:val="28"/>
        </w:rPr>
      </w:pPr>
      <w:r>
        <w:rPr>
          <w:rFonts w:hint="eastAsia" w:cs="宋体" w:asciiTheme="minorEastAsia" w:hAnsiTheme="minorEastAsia"/>
          <w:sz w:val="28"/>
          <w:szCs w:val="28"/>
        </w:rPr>
        <w:t>《浙江省物价局关于规范民用建筑节能评估收费有关问题的通知》浙价服[2012]309号计取。</w:t>
      </w:r>
    </w:p>
    <w:p w14:paraId="21DC22B1">
      <w:pPr>
        <w:kinsoku/>
        <w:wordWrap/>
        <w:overflowPunct/>
        <w:topLinePunct w:val="0"/>
        <w:autoSpaceDE/>
        <w:autoSpaceDN/>
        <w:bidi w:val="0"/>
        <w:spacing w:line="580" w:lineRule="exact"/>
        <w:ind w:firstLine="480"/>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2</w:t>
      </w:r>
      <w:bookmarkEnd w:id="16"/>
      <w:r>
        <w:rPr>
          <w:rFonts w:hint="eastAsia" w:asciiTheme="minorEastAsia" w:hAnsiTheme="minorEastAsia" w:cstheme="minorEastAsia"/>
          <w:sz w:val="28"/>
          <w:szCs w:val="28"/>
        </w:rPr>
        <w:t>、费率及参数</w:t>
      </w:r>
      <w:bookmarkEnd w:id="17"/>
    </w:p>
    <w:p w14:paraId="152B91E8">
      <w:pPr>
        <w:kinsoku/>
        <w:wordWrap/>
        <w:overflowPunct/>
        <w:topLinePunct w:val="0"/>
        <w:autoSpaceDE/>
        <w:autoSpaceDN/>
        <w:bidi w:val="0"/>
        <w:spacing w:line="580" w:lineRule="exact"/>
        <w:ind w:firstLine="480"/>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发行费0.1%。</w:t>
      </w:r>
    </w:p>
    <w:p w14:paraId="43892E33">
      <w:pPr>
        <w:pStyle w:val="5"/>
        <w:kinsoku/>
        <w:wordWrap/>
        <w:overflowPunct/>
        <w:topLinePunct w:val="0"/>
        <w:autoSpaceDE/>
        <w:autoSpaceDN/>
        <w:bidi w:val="0"/>
        <w:spacing w:line="580" w:lineRule="exact"/>
        <w:ind w:firstLine="480"/>
        <w:textAlignment w:val="auto"/>
        <w:rPr>
          <w:rFonts w:hint="eastAsia" w:asciiTheme="minorEastAsia" w:hAnsiTheme="minorEastAsia" w:eastAsiaTheme="minorEastAsia" w:cstheme="minorEastAsia"/>
          <w:sz w:val="28"/>
          <w:szCs w:val="28"/>
        </w:rPr>
      </w:pPr>
      <w:bookmarkStart w:id="18" w:name="_Toc28161737"/>
      <w:bookmarkStart w:id="19" w:name="_Toc67918946"/>
      <w:r>
        <w:rPr>
          <w:rFonts w:hint="eastAsia" w:asciiTheme="minorEastAsia" w:hAnsiTheme="minorEastAsia" w:eastAsiaTheme="minorEastAsia" w:cstheme="minorEastAsia"/>
          <w:sz w:val="28"/>
          <w:szCs w:val="28"/>
        </w:rPr>
        <w:t>3</w:t>
      </w:r>
      <w:bookmarkEnd w:id="18"/>
      <w:r>
        <w:rPr>
          <w:rFonts w:hint="eastAsia" w:asciiTheme="minorEastAsia" w:hAnsiTheme="minorEastAsia" w:eastAsiaTheme="minorEastAsia" w:cstheme="minorEastAsia"/>
          <w:sz w:val="28"/>
          <w:szCs w:val="28"/>
        </w:rPr>
        <w:t>、估算总额</w:t>
      </w:r>
      <w:bookmarkEnd w:id="19"/>
    </w:p>
    <w:p w14:paraId="00BE27DC">
      <w:pPr>
        <w:kinsoku/>
        <w:wordWrap/>
        <w:overflowPunct/>
        <w:topLinePunct w:val="0"/>
        <w:autoSpaceDE/>
        <w:autoSpaceDN/>
        <w:bidi w:val="0"/>
        <w:spacing w:line="580" w:lineRule="exact"/>
        <w:ind w:firstLine="480"/>
        <w:textAlignment w:val="auto"/>
        <w:rPr>
          <w:rFonts w:hint="eastAsia" w:cs="宋体" w:asciiTheme="minorEastAsia" w:hAnsiTheme="minorEastAsia"/>
          <w:sz w:val="28"/>
          <w:szCs w:val="28"/>
        </w:rPr>
      </w:pPr>
      <w:bookmarkStart w:id="20" w:name="_Toc28161738"/>
      <w:r>
        <w:rPr>
          <w:rFonts w:hint="eastAsia" w:cs="宋体" w:asciiTheme="minorEastAsia" w:hAnsiTheme="minorEastAsia"/>
          <w:sz w:val="28"/>
          <w:szCs w:val="28"/>
        </w:rPr>
        <w:t>项目估算总投资58309.68万元，其中建筑工程费用50092.93万元，工程建设其它费用3898.39万元，预备费4318.36万元。</w:t>
      </w:r>
      <w:r>
        <w:rPr>
          <w:rFonts w:hint="eastAsia" w:asciiTheme="minorEastAsia" w:hAnsiTheme="minorEastAsia" w:cstheme="minorEastAsia"/>
          <w:color w:val="000000"/>
          <w:kern w:val="0"/>
          <w:sz w:val="28"/>
          <w:szCs w:val="28"/>
        </w:rPr>
        <w:t>详见表格：</w:t>
      </w:r>
    </w:p>
    <w:p w14:paraId="1A0BC16C">
      <w:pPr>
        <w:pStyle w:val="20"/>
        <w:spacing w:after="156" w:afterLines="50" w:line="360" w:lineRule="exact"/>
        <w:ind w:firstLine="422"/>
        <w:jc w:val="center"/>
        <w:rPr>
          <w:rFonts w:hint="eastAsia"/>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表1-</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项目静态总投资估算表</w:t>
      </w:r>
    </w:p>
    <w:p w14:paraId="5007FCF0">
      <w:pPr>
        <w:pStyle w:val="20"/>
        <w:spacing w:after="156" w:afterLines="50" w:line="360" w:lineRule="exact"/>
        <w:ind w:firstLine="360"/>
        <w:jc w:val="right"/>
        <w:rPr>
          <w:rFonts w:hint="eastAsia"/>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2091"/>
        <w:gridCol w:w="3732"/>
        <w:gridCol w:w="2897"/>
      </w:tblGrid>
      <w:tr w14:paraId="0CA477C7">
        <w:trPr>
          <w:trHeight w:val="285" w:hRule="atLeast"/>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5D7F6B13">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序号 </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7C3B9F00">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项目名称 </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164FC0CF">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合计 </w:t>
            </w:r>
          </w:p>
        </w:tc>
      </w:tr>
      <w:tr w14:paraId="73BE5681">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1C93D813">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140" w:type="pct"/>
            <w:tcBorders>
              <w:top w:val="nil"/>
              <w:left w:val="nil"/>
              <w:bottom w:val="single" w:color="auto" w:sz="8" w:space="0"/>
              <w:right w:val="single" w:color="auto" w:sz="8" w:space="0"/>
            </w:tcBorders>
            <w:shd w:val="clear" w:color="auto" w:fill="auto"/>
            <w:vAlign w:val="center"/>
          </w:tcPr>
          <w:p w14:paraId="6ED50F04">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工程费用</w:t>
            </w:r>
          </w:p>
        </w:tc>
        <w:tc>
          <w:tcPr>
            <w:tcW w:w="1661" w:type="pct"/>
            <w:tcBorders>
              <w:top w:val="nil"/>
              <w:left w:val="nil"/>
              <w:bottom w:val="single" w:color="auto" w:sz="8" w:space="0"/>
              <w:right w:val="single" w:color="auto" w:sz="8" w:space="0"/>
            </w:tcBorders>
            <w:shd w:val="clear" w:color="auto" w:fill="auto"/>
          </w:tcPr>
          <w:p w14:paraId="7EADFC8B">
            <w:pPr>
              <w:widowControl/>
              <w:spacing w:after="0" w:line="240" w:lineRule="auto"/>
              <w:ind w:firstLine="360"/>
              <w:jc w:val="right"/>
              <w:rPr>
                <w:rFonts w:hint="eastAsia" w:ascii="宋体" w:hAnsi="宋体" w:cs="宋体"/>
                <w:color w:val="000000"/>
                <w:kern w:val="0"/>
                <w:sz w:val="18"/>
                <w:szCs w:val="18"/>
              </w:rPr>
            </w:pPr>
            <w:r>
              <w:rPr>
                <w:rFonts w:ascii="宋体" w:hAnsi="宋体" w:cs="宋体"/>
                <w:color w:val="000000"/>
                <w:kern w:val="0"/>
                <w:sz w:val="18"/>
                <w:szCs w:val="18"/>
              </w:rPr>
              <w:t xml:space="preserve"> 50,092.93 </w:t>
            </w:r>
          </w:p>
        </w:tc>
      </w:tr>
      <w:tr w14:paraId="5BA995BE">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6809965C">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140" w:type="pct"/>
            <w:tcBorders>
              <w:top w:val="nil"/>
              <w:left w:val="nil"/>
              <w:bottom w:val="single" w:color="auto" w:sz="8" w:space="0"/>
              <w:right w:val="single" w:color="auto" w:sz="8" w:space="0"/>
            </w:tcBorders>
            <w:shd w:val="clear" w:color="auto" w:fill="auto"/>
            <w:vAlign w:val="center"/>
          </w:tcPr>
          <w:p w14:paraId="52DA3F3B">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 工程建设其他费用</w:t>
            </w:r>
          </w:p>
        </w:tc>
        <w:tc>
          <w:tcPr>
            <w:tcW w:w="1661" w:type="pct"/>
            <w:tcBorders>
              <w:top w:val="nil"/>
              <w:left w:val="nil"/>
              <w:bottom w:val="single" w:color="auto" w:sz="8" w:space="0"/>
              <w:right w:val="single" w:color="auto" w:sz="8" w:space="0"/>
            </w:tcBorders>
            <w:shd w:val="clear" w:color="auto" w:fill="auto"/>
          </w:tcPr>
          <w:p w14:paraId="19B8A549">
            <w:pPr>
              <w:widowControl/>
              <w:spacing w:after="0" w:line="240" w:lineRule="auto"/>
              <w:ind w:firstLine="360"/>
              <w:jc w:val="right"/>
              <w:rPr>
                <w:rFonts w:hint="eastAsia" w:ascii="宋体" w:hAnsi="宋体" w:cs="宋体"/>
                <w:color w:val="000000"/>
                <w:kern w:val="0"/>
                <w:sz w:val="18"/>
                <w:szCs w:val="18"/>
              </w:rPr>
            </w:pPr>
            <w:r>
              <w:rPr>
                <w:rFonts w:ascii="宋体" w:hAnsi="宋体" w:cs="宋体"/>
                <w:color w:val="000000"/>
                <w:kern w:val="0"/>
                <w:sz w:val="18"/>
                <w:szCs w:val="18"/>
              </w:rPr>
              <w:t xml:space="preserve"> 3,898.39 </w:t>
            </w:r>
          </w:p>
        </w:tc>
      </w:tr>
      <w:tr w14:paraId="7A61F5B8">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13E28B05">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140" w:type="pct"/>
            <w:tcBorders>
              <w:top w:val="nil"/>
              <w:left w:val="nil"/>
              <w:bottom w:val="single" w:color="auto" w:sz="8" w:space="0"/>
              <w:right w:val="single" w:color="auto" w:sz="8" w:space="0"/>
            </w:tcBorders>
            <w:shd w:val="clear" w:color="auto" w:fill="auto"/>
            <w:vAlign w:val="center"/>
          </w:tcPr>
          <w:p w14:paraId="74FBEEFE">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预备费</w:t>
            </w:r>
          </w:p>
        </w:tc>
        <w:tc>
          <w:tcPr>
            <w:tcW w:w="1661" w:type="pct"/>
            <w:tcBorders>
              <w:top w:val="nil"/>
              <w:left w:val="nil"/>
              <w:bottom w:val="single" w:color="auto" w:sz="8" w:space="0"/>
              <w:right w:val="single" w:color="auto" w:sz="8" w:space="0"/>
            </w:tcBorders>
            <w:shd w:val="clear" w:color="auto" w:fill="auto"/>
          </w:tcPr>
          <w:p w14:paraId="000C7E9D">
            <w:pPr>
              <w:widowControl/>
              <w:spacing w:after="0" w:line="240" w:lineRule="auto"/>
              <w:ind w:firstLine="360"/>
              <w:jc w:val="right"/>
              <w:rPr>
                <w:rFonts w:hint="eastAsia" w:ascii="宋体" w:hAnsi="宋体" w:cs="宋体"/>
                <w:color w:val="000000"/>
                <w:kern w:val="0"/>
                <w:sz w:val="18"/>
                <w:szCs w:val="18"/>
              </w:rPr>
            </w:pPr>
            <w:r>
              <w:rPr>
                <w:rFonts w:ascii="宋体" w:hAnsi="宋体" w:cs="宋体"/>
                <w:color w:val="000000"/>
                <w:kern w:val="0"/>
                <w:sz w:val="18"/>
                <w:szCs w:val="18"/>
              </w:rPr>
              <w:t xml:space="preserve"> 4,318.36 </w:t>
            </w:r>
          </w:p>
        </w:tc>
      </w:tr>
      <w:tr w14:paraId="019A612B">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1B1C85E3">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项目静态总投资 </w:t>
            </w:r>
          </w:p>
        </w:tc>
        <w:tc>
          <w:tcPr>
            <w:tcW w:w="1661" w:type="pct"/>
            <w:tcBorders>
              <w:top w:val="nil"/>
              <w:left w:val="nil"/>
              <w:bottom w:val="single" w:color="auto" w:sz="8" w:space="0"/>
              <w:right w:val="single" w:color="auto" w:sz="8" w:space="0"/>
            </w:tcBorders>
            <w:shd w:val="clear" w:color="auto" w:fill="auto"/>
            <w:vAlign w:val="center"/>
          </w:tcPr>
          <w:p w14:paraId="30492843">
            <w:pPr>
              <w:widowControl/>
              <w:spacing w:after="0" w:line="240" w:lineRule="auto"/>
              <w:ind w:firstLine="361"/>
              <w:jc w:val="right"/>
              <w:rPr>
                <w:rFonts w:hint="eastAsia" w:ascii="宋体" w:hAnsi="宋体" w:cs="宋体"/>
                <w:b/>
                <w:color w:val="000000"/>
                <w:kern w:val="0"/>
                <w:sz w:val="18"/>
                <w:szCs w:val="18"/>
              </w:rPr>
            </w:pPr>
            <w:r>
              <w:rPr>
                <w:rFonts w:ascii="宋体" w:hAnsi="宋体" w:cs="宋体"/>
                <w:b/>
                <w:color w:val="000000"/>
                <w:kern w:val="0"/>
                <w:sz w:val="18"/>
                <w:szCs w:val="18"/>
              </w:rPr>
              <w:t>58,309.68</w:t>
            </w:r>
          </w:p>
        </w:tc>
      </w:tr>
    </w:tbl>
    <w:p w14:paraId="1A8E6565">
      <w:pPr>
        <w:widowControl/>
        <w:spacing w:line="240" w:lineRule="auto"/>
        <w:ind w:firstLine="0" w:firstLineChars="0"/>
        <w:jc w:val="left"/>
        <w:rPr>
          <w:rFonts w:hint="eastAsia" w:ascii="仿宋" w:hAnsi="仿宋" w:eastAsia="仿宋" w:cs="仿宋"/>
          <w:color w:val="000000" w:themeColor="text1"/>
          <w:szCs w:val="24"/>
          <w14:textFill>
            <w14:solidFill>
              <w14:schemeClr w14:val="tx1"/>
            </w14:solidFill>
          </w14:textFill>
        </w:rPr>
      </w:pPr>
    </w:p>
    <w:p w14:paraId="63D4A510">
      <w:pPr>
        <w:pStyle w:val="5"/>
        <w:ind w:firstLine="480"/>
        <w:rPr>
          <w:rFonts w:hint="eastAsia" w:ascii="仿宋" w:hAnsi="仿宋" w:eastAsia="仿宋" w:cs="仿宋"/>
          <w:szCs w:val="24"/>
        </w:rPr>
      </w:pPr>
      <w:bookmarkStart w:id="21" w:name="_Toc44794515"/>
      <w:bookmarkStart w:id="22" w:name="_Toc67918947"/>
      <w:r>
        <w:rPr>
          <w:rFonts w:hint="eastAsia" w:ascii="仿宋" w:hAnsi="仿宋" w:eastAsia="仿宋" w:cs="仿宋"/>
          <w:sz w:val="24"/>
          <w:szCs w:val="24"/>
        </w:rPr>
        <w:t>4</w:t>
      </w:r>
      <w:bookmarkEnd w:id="21"/>
      <w:r>
        <w:rPr>
          <w:rFonts w:hint="eastAsia" w:ascii="仿宋" w:hAnsi="仿宋" w:eastAsia="仿宋" w:cs="仿宋"/>
          <w:sz w:val="24"/>
          <w:szCs w:val="24"/>
        </w:rPr>
        <w:t>、</w:t>
      </w:r>
      <w:r>
        <w:rPr>
          <w:rFonts w:hint="eastAsia" w:cs="仿宋" w:asciiTheme="minorEastAsia" w:hAnsiTheme="minorEastAsia" w:eastAsiaTheme="minorEastAsia"/>
          <w:sz w:val="24"/>
          <w:szCs w:val="24"/>
        </w:rPr>
        <w:t>项目分年度投资计划表</w:t>
      </w:r>
      <w:bookmarkEnd w:id="22"/>
    </w:p>
    <w:tbl>
      <w:tblPr>
        <w:tblStyle w:val="24"/>
        <w:tblW w:w="5000" w:type="pct"/>
        <w:tblInd w:w="0" w:type="dxa"/>
        <w:tblLayout w:type="autofit"/>
        <w:tblCellMar>
          <w:top w:w="0" w:type="dxa"/>
          <w:left w:w="108" w:type="dxa"/>
          <w:bottom w:w="0" w:type="dxa"/>
          <w:right w:w="108" w:type="dxa"/>
        </w:tblCellMar>
      </w:tblPr>
      <w:tblGrid>
        <w:gridCol w:w="646"/>
        <w:gridCol w:w="1828"/>
        <w:gridCol w:w="1329"/>
        <w:gridCol w:w="1235"/>
        <w:gridCol w:w="1230"/>
        <w:gridCol w:w="1226"/>
        <w:gridCol w:w="1226"/>
      </w:tblGrid>
      <w:tr w14:paraId="725EC401">
        <w:trPr>
          <w:trHeight w:val="285" w:hRule="atLeast"/>
        </w:trPr>
        <w:tc>
          <w:tcPr>
            <w:tcW w:w="371" w:type="pct"/>
            <w:tcBorders>
              <w:top w:val="single" w:color="auto" w:sz="8" w:space="0"/>
              <w:left w:val="single" w:color="auto" w:sz="8" w:space="0"/>
              <w:bottom w:val="single" w:color="auto" w:sz="8" w:space="0"/>
              <w:right w:val="single" w:color="auto" w:sz="8" w:space="0"/>
            </w:tcBorders>
            <w:shd w:val="clear" w:color="auto" w:fill="auto"/>
            <w:vAlign w:val="center"/>
          </w:tcPr>
          <w:p w14:paraId="6FCD4631">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1048" w:type="pct"/>
            <w:tcBorders>
              <w:top w:val="single" w:color="auto" w:sz="8" w:space="0"/>
              <w:left w:val="nil"/>
              <w:bottom w:val="single" w:color="auto" w:sz="8" w:space="0"/>
              <w:right w:val="single" w:color="auto" w:sz="8" w:space="0"/>
            </w:tcBorders>
            <w:shd w:val="clear" w:color="auto" w:fill="auto"/>
            <w:vAlign w:val="center"/>
          </w:tcPr>
          <w:p w14:paraId="310AB333">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费用类型</w:t>
            </w:r>
          </w:p>
        </w:tc>
        <w:tc>
          <w:tcPr>
            <w:tcW w:w="762" w:type="pct"/>
            <w:tcBorders>
              <w:top w:val="single" w:color="auto" w:sz="8" w:space="0"/>
              <w:left w:val="nil"/>
              <w:bottom w:val="single" w:color="auto" w:sz="8" w:space="0"/>
              <w:right w:val="single" w:color="auto" w:sz="8" w:space="0"/>
            </w:tcBorders>
            <w:shd w:val="clear" w:color="auto" w:fill="auto"/>
            <w:vAlign w:val="center"/>
          </w:tcPr>
          <w:p w14:paraId="02896680">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小计</w:t>
            </w:r>
          </w:p>
        </w:tc>
        <w:tc>
          <w:tcPr>
            <w:tcW w:w="708" w:type="pct"/>
            <w:tcBorders>
              <w:top w:val="single" w:color="auto" w:sz="8" w:space="0"/>
              <w:left w:val="nil"/>
              <w:bottom w:val="single" w:color="auto" w:sz="8" w:space="0"/>
              <w:right w:val="single" w:color="auto" w:sz="8" w:space="0"/>
            </w:tcBorders>
            <w:shd w:val="clear" w:color="auto" w:fill="auto"/>
          </w:tcPr>
          <w:p w14:paraId="6C2DEE1A">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 xml:space="preserve"> 2021年 </w:t>
            </w:r>
          </w:p>
        </w:tc>
        <w:tc>
          <w:tcPr>
            <w:tcW w:w="705" w:type="pct"/>
            <w:tcBorders>
              <w:top w:val="single" w:color="auto" w:sz="8" w:space="0"/>
              <w:left w:val="nil"/>
              <w:bottom w:val="single" w:color="auto" w:sz="8" w:space="0"/>
              <w:right w:val="single" w:color="auto" w:sz="8" w:space="0"/>
            </w:tcBorders>
            <w:shd w:val="clear" w:color="auto" w:fill="auto"/>
          </w:tcPr>
          <w:p w14:paraId="39143EBA">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 xml:space="preserve"> 2022年 </w:t>
            </w:r>
          </w:p>
        </w:tc>
        <w:tc>
          <w:tcPr>
            <w:tcW w:w="703" w:type="pct"/>
            <w:tcBorders>
              <w:top w:val="single" w:color="auto" w:sz="8" w:space="0"/>
              <w:left w:val="nil"/>
              <w:bottom w:val="single" w:color="auto" w:sz="8" w:space="0"/>
              <w:right w:val="single" w:color="auto" w:sz="8" w:space="0"/>
            </w:tcBorders>
          </w:tcPr>
          <w:p w14:paraId="58B749E6">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 xml:space="preserve"> 2023年 </w:t>
            </w:r>
          </w:p>
        </w:tc>
        <w:tc>
          <w:tcPr>
            <w:tcW w:w="703" w:type="pct"/>
            <w:tcBorders>
              <w:top w:val="single" w:color="auto" w:sz="8" w:space="0"/>
              <w:left w:val="nil"/>
              <w:bottom w:val="single" w:color="auto" w:sz="8" w:space="0"/>
              <w:right w:val="single" w:color="auto" w:sz="8" w:space="0"/>
            </w:tcBorders>
          </w:tcPr>
          <w:p w14:paraId="0A9ADEB7">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w:t>
            </w:r>
            <w:r>
              <w:rPr>
                <w:rFonts w:ascii="宋体" w:hAnsi="宋体" w:eastAsia="宋体" w:cs="宋体"/>
                <w:b/>
                <w:color w:val="000000"/>
                <w:kern w:val="0"/>
                <w:sz w:val="18"/>
                <w:szCs w:val="18"/>
              </w:rPr>
              <w:t>024</w:t>
            </w:r>
            <w:r>
              <w:rPr>
                <w:rFonts w:hint="eastAsia" w:ascii="宋体" w:hAnsi="宋体" w:eastAsia="宋体" w:cs="宋体"/>
                <w:b/>
                <w:color w:val="000000"/>
                <w:kern w:val="0"/>
                <w:sz w:val="18"/>
                <w:szCs w:val="18"/>
              </w:rPr>
              <w:t>年</w:t>
            </w:r>
          </w:p>
        </w:tc>
      </w:tr>
      <w:tr w14:paraId="59B5F50A">
        <w:trPr>
          <w:trHeight w:val="285" w:hRule="atLeast"/>
        </w:trPr>
        <w:tc>
          <w:tcPr>
            <w:tcW w:w="371" w:type="pct"/>
            <w:tcBorders>
              <w:top w:val="nil"/>
              <w:left w:val="single" w:color="auto" w:sz="8" w:space="0"/>
              <w:bottom w:val="single" w:color="auto" w:sz="8" w:space="0"/>
              <w:right w:val="single" w:color="auto" w:sz="8" w:space="0"/>
            </w:tcBorders>
            <w:shd w:val="clear" w:color="auto" w:fill="auto"/>
            <w:vAlign w:val="center"/>
          </w:tcPr>
          <w:p w14:paraId="38925D0A">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1</w:t>
            </w:r>
          </w:p>
        </w:tc>
        <w:tc>
          <w:tcPr>
            <w:tcW w:w="1048" w:type="pct"/>
            <w:tcBorders>
              <w:top w:val="nil"/>
              <w:left w:val="nil"/>
              <w:bottom w:val="single" w:color="auto" w:sz="8" w:space="0"/>
              <w:right w:val="single" w:color="auto" w:sz="8" w:space="0"/>
            </w:tcBorders>
            <w:shd w:val="clear" w:color="auto" w:fill="auto"/>
            <w:vAlign w:val="center"/>
          </w:tcPr>
          <w:p w14:paraId="62081A14">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工程费用</w:t>
            </w:r>
          </w:p>
        </w:tc>
        <w:tc>
          <w:tcPr>
            <w:tcW w:w="762" w:type="pct"/>
            <w:tcBorders>
              <w:top w:val="single" w:color="auto" w:sz="4" w:space="0"/>
              <w:left w:val="single" w:color="auto" w:sz="4" w:space="0"/>
              <w:bottom w:val="single" w:color="auto" w:sz="4" w:space="0"/>
              <w:right w:val="single" w:color="auto" w:sz="4" w:space="0"/>
            </w:tcBorders>
            <w:shd w:val="clear" w:color="auto" w:fill="auto"/>
            <w:noWrap/>
          </w:tcPr>
          <w:p w14:paraId="6BDD5C1C">
            <w:pPr>
              <w:widowControl/>
              <w:spacing w:after="0" w:line="240" w:lineRule="auto"/>
              <w:ind w:firstLine="0" w:firstLineChars="0"/>
              <w:jc w:val="right"/>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50,092.93 </w:t>
            </w:r>
          </w:p>
        </w:tc>
        <w:tc>
          <w:tcPr>
            <w:tcW w:w="708" w:type="pct"/>
            <w:tcBorders>
              <w:top w:val="single" w:color="auto" w:sz="4" w:space="0"/>
              <w:left w:val="nil"/>
              <w:bottom w:val="single" w:color="auto" w:sz="4" w:space="0"/>
              <w:right w:val="single" w:color="auto" w:sz="4" w:space="0"/>
            </w:tcBorders>
            <w:shd w:val="clear" w:color="auto" w:fill="auto"/>
            <w:noWrap/>
          </w:tcPr>
          <w:p w14:paraId="26239F20">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3,566.67</w:t>
            </w:r>
          </w:p>
        </w:tc>
        <w:tc>
          <w:tcPr>
            <w:tcW w:w="705" w:type="pct"/>
            <w:tcBorders>
              <w:top w:val="single" w:color="auto" w:sz="4" w:space="0"/>
              <w:left w:val="nil"/>
              <w:bottom w:val="single" w:color="auto" w:sz="4" w:space="0"/>
              <w:right w:val="single" w:color="auto" w:sz="4" w:space="0"/>
            </w:tcBorders>
            <w:shd w:val="clear" w:color="auto" w:fill="auto"/>
            <w:noWrap/>
          </w:tcPr>
          <w:p w14:paraId="3F9C5954">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8,000.00</w:t>
            </w:r>
          </w:p>
        </w:tc>
        <w:tc>
          <w:tcPr>
            <w:tcW w:w="703" w:type="pct"/>
            <w:tcBorders>
              <w:top w:val="single" w:color="auto" w:sz="4" w:space="0"/>
              <w:left w:val="nil"/>
              <w:bottom w:val="single" w:color="auto" w:sz="4" w:space="0"/>
              <w:right w:val="single" w:color="auto" w:sz="4" w:space="0"/>
            </w:tcBorders>
          </w:tcPr>
          <w:p w14:paraId="6C1BC906">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20,000.00</w:t>
            </w:r>
          </w:p>
        </w:tc>
        <w:tc>
          <w:tcPr>
            <w:tcW w:w="703" w:type="pct"/>
            <w:tcBorders>
              <w:top w:val="single" w:color="auto" w:sz="4" w:space="0"/>
              <w:left w:val="nil"/>
              <w:bottom w:val="single" w:color="auto" w:sz="4" w:space="0"/>
              <w:right w:val="single" w:color="auto" w:sz="4" w:space="0"/>
            </w:tcBorders>
          </w:tcPr>
          <w:p w14:paraId="00FBDF66">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18,526.26</w:t>
            </w:r>
          </w:p>
        </w:tc>
      </w:tr>
      <w:tr w14:paraId="73FC64E3">
        <w:trPr>
          <w:trHeight w:val="285" w:hRule="atLeast"/>
        </w:trPr>
        <w:tc>
          <w:tcPr>
            <w:tcW w:w="371" w:type="pct"/>
            <w:tcBorders>
              <w:top w:val="nil"/>
              <w:left w:val="single" w:color="auto" w:sz="8" w:space="0"/>
              <w:bottom w:val="single" w:color="auto" w:sz="8" w:space="0"/>
              <w:right w:val="single" w:color="auto" w:sz="8" w:space="0"/>
            </w:tcBorders>
            <w:shd w:val="clear" w:color="auto" w:fill="auto"/>
            <w:vAlign w:val="center"/>
          </w:tcPr>
          <w:p w14:paraId="34866830">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p>
        </w:tc>
        <w:tc>
          <w:tcPr>
            <w:tcW w:w="1048" w:type="pct"/>
            <w:tcBorders>
              <w:top w:val="nil"/>
              <w:left w:val="nil"/>
              <w:bottom w:val="single" w:color="auto" w:sz="8" w:space="0"/>
              <w:right w:val="single" w:color="auto" w:sz="8" w:space="0"/>
            </w:tcBorders>
            <w:shd w:val="clear" w:color="auto" w:fill="auto"/>
            <w:vAlign w:val="center"/>
          </w:tcPr>
          <w:p w14:paraId="2357B96E">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工程建设其他费用</w:t>
            </w:r>
          </w:p>
        </w:tc>
        <w:tc>
          <w:tcPr>
            <w:tcW w:w="762" w:type="pct"/>
            <w:tcBorders>
              <w:top w:val="nil"/>
              <w:left w:val="single" w:color="auto" w:sz="4" w:space="0"/>
              <w:bottom w:val="single" w:color="auto" w:sz="4" w:space="0"/>
              <w:right w:val="single" w:color="auto" w:sz="4" w:space="0"/>
            </w:tcBorders>
            <w:shd w:val="clear" w:color="auto" w:fill="auto"/>
            <w:noWrap/>
          </w:tcPr>
          <w:p w14:paraId="77716914">
            <w:pPr>
              <w:widowControl/>
              <w:spacing w:after="0" w:line="240" w:lineRule="auto"/>
              <w:ind w:firstLine="0" w:firstLineChars="0"/>
              <w:jc w:val="right"/>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3,898.39 </w:t>
            </w:r>
          </w:p>
        </w:tc>
        <w:tc>
          <w:tcPr>
            <w:tcW w:w="708" w:type="pct"/>
            <w:tcBorders>
              <w:top w:val="nil"/>
              <w:left w:val="nil"/>
              <w:bottom w:val="single" w:color="auto" w:sz="4" w:space="0"/>
              <w:right w:val="single" w:color="auto" w:sz="4" w:space="0"/>
            </w:tcBorders>
            <w:shd w:val="clear" w:color="auto" w:fill="auto"/>
            <w:noWrap/>
          </w:tcPr>
          <w:p w14:paraId="54D92657">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1,075.15</w:t>
            </w:r>
          </w:p>
        </w:tc>
        <w:tc>
          <w:tcPr>
            <w:tcW w:w="705" w:type="pct"/>
            <w:tcBorders>
              <w:top w:val="nil"/>
              <w:left w:val="nil"/>
              <w:bottom w:val="single" w:color="auto" w:sz="4" w:space="0"/>
              <w:right w:val="single" w:color="auto" w:sz="4" w:space="0"/>
            </w:tcBorders>
            <w:shd w:val="clear" w:color="auto" w:fill="auto"/>
            <w:noWrap/>
          </w:tcPr>
          <w:p w14:paraId="29A0BE09">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1,000.00</w:t>
            </w:r>
          </w:p>
        </w:tc>
        <w:tc>
          <w:tcPr>
            <w:tcW w:w="703" w:type="pct"/>
            <w:tcBorders>
              <w:top w:val="nil"/>
              <w:left w:val="nil"/>
              <w:bottom w:val="single" w:color="auto" w:sz="4" w:space="0"/>
              <w:right w:val="single" w:color="auto" w:sz="4" w:space="0"/>
            </w:tcBorders>
          </w:tcPr>
          <w:p w14:paraId="16A71E5D">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1,000.00</w:t>
            </w:r>
          </w:p>
        </w:tc>
        <w:tc>
          <w:tcPr>
            <w:tcW w:w="703" w:type="pct"/>
            <w:tcBorders>
              <w:top w:val="nil"/>
              <w:left w:val="nil"/>
              <w:bottom w:val="single" w:color="auto" w:sz="4" w:space="0"/>
              <w:right w:val="single" w:color="auto" w:sz="4" w:space="0"/>
            </w:tcBorders>
          </w:tcPr>
          <w:p w14:paraId="24448704">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823.24</w:t>
            </w:r>
          </w:p>
        </w:tc>
      </w:tr>
      <w:tr w14:paraId="2CCA9B06">
        <w:trPr>
          <w:trHeight w:val="285" w:hRule="atLeast"/>
        </w:trPr>
        <w:tc>
          <w:tcPr>
            <w:tcW w:w="371" w:type="pct"/>
            <w:tcBorders>
              <w:top w:val="nil"/>
              <w:left w:val="single" w:color="auto" w:sz="8" w:space="0"/>
              <w:bottom w:val="single" w:color="auto" w:sz="8" w:space="0"/>
              <w:right w:val="single" w:color="auto" w:sz="8" w:space="0"/>
            </w:tcBorders>
            <w:shd w:val="clear" w:color="auto" w:fill="auto"/>
            <w:vAlign w:val="center"/>
          </w:tcPr>
          <w:p w14:paraId="34B760C3">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3</w:t>
            </w:r>
          </w:p>
        </w:tc>
        <w:tc>
          <w:tcPr>
            <w:tcW w:w="1048" w:type="pct"/>
            <w:tcBorders>
              <w:top w:val="nil"/>
              <w:left w:val="nil"/>
              <w:bottom w:val="single" w:color="auto" w:sz="8" w:space="0"/>
              <w:right w:val="single" w:color="auto" w:sz="8" w:space="0"/>
            </w:tcBorders>
            <w:shd w:val="clear" w:color="auto" w:fill="auto"/>
            <w:vAlign w:val="center"/>
          </w:tcPr>
          <w:p w14:paraId="7A07DBE6">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预备费</w:t>
            </w:r>
          </w:p>
        </w:tc>
        <w:tc>
          <w:tcPr>
            <w:tcW w:w="762" w:type="pct"/>
            <w:tcBorders>
              <w:top w:val="nil"/>
              <w:left w:val="single" w:color="auto" w:sz="4" w:space="0"/>
              <w:bottom w:val="single" w:color="auto" w:sz="4" w:space="0"/>
              <w:right w:val="single" w:color="auto" w:sz="4" w:space="0"/>
            </w:tcBorders>
            <w:shd w:val="clear" w:color="auto" w:fill="auto"/>
            <w:noWrap/>
          </w:tcPr>
          <w:p w14:paraId="1A8BF633">
            <w:pPr>
              <w:widowControl/>
              <w:spacing w:after="0" w:line="240" w:lineRule="auto"/>
              <w:ind w:firstLine="0" w:firstLineChars="0"/>
              <w:jc w:val="right"/>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4,318.36 </w:t>
            </w:r>
          </w:p>
        </w:tc>
        <w:tc>
          <w:tcPr>
            <w:tcW w:w="708" w:type="pct"/>
            <w:tcBorders>
              <w:top w:val="single" w:color="auto" w:sz="4" w:space="0"/>
              <w:left w:val="nil"/>
              <w:bottom w:val="single" w:color="auto" w:sz="8" w:space="0"/>
              <w:right w:val="single" w:color="auto" w:sz="4" w:space="0"/>
            </w:tcBorders>
            <w:shd w:val="clear" w:color="auto" w:fill="auto"/>
            <w:noWrap/>
          </w:tcPr>
          <w:p w14:paraId="0670CEE2">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381.70</w:t>
            </w:r>
          </w:p>
        </w:tc>
        <w:tc>
          <w:tcPr>
            <w:tcW w:w="705" w:type="pct"/>
            <w:tcBorders>
              <w:top w:val="single" w:color="auto" w:sz="4" w:space="0"/>
              <w:left w:val="nil"/>
              <w:bottom w:val="single" w:color="auto" w:sz="8" w:space="0"/>
              <w:right w:val="single" w:color="auto" w:sz="4" w:space="0"/>
            </w:tcBorders>
            <w:shd w:val="clear" w:color="auto" w:fill="auto"/>
            <w:noWrap/>
          </w:tcPr>
          <w:p w14:paraId="30BD6B1A">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2,621.96</w:t>
            </w:r>
          </w:p>
        </w:tc>
        <w:tc>
          <w:tcPr>
            <w:tcW w:w="703" w:type="pct"/>
            <w:tcBorders>
              <w:top w:val="single" w:color="auto" w:sz="4" w:space="0"/>
              <w:left w:val="nil"/>
              <w:bottom w:val="single" w:color="auto" w:sz="8" w:space="0"/>
              <w:right w:val="single" w:color="auto" w:sz="4" w:space="0"/>
            </w:tcBorders>
          </w:tcPr>
          <w:p w14:paraId="6DC2845B">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1,000.00</w:t>
            </w:r>
          </w:p>
        </w:tc>
        <w:tc>
          <w:tcPr>
            <w:tcW w:w="703" w:type="pct"/>
            <w:tcBorders>
              <w:top w:val="single" w:color="auto" w:sz="4" w:space="0"/>
              <w:left w:val="nil"/>
              <w:bottom w:val="single" w:color="auto" w:sz="8" w:space="0"/>
              <w:right w:val="single" w:color="auto" w:sz="4" w:space="0"/>
            </w:tcBorders>
          </w:tcPr>
          <w:p w14:paraId="5A5C94F0">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314.70</w:t>
            </w:r>
          </w:p>
        </w:tc>
      </w:tr>
      <w:tr w14:paraId="28927133">
        <w:trPr>
          <w:trHeight w:val="285" w:hRule="atLeast"/>
        </w:trPr>
        <w:tc>
          <w:tcPr>
            <w:tcW w:w="1419"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73A9F4DE">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本次建设项目支出总计</w:t>
            </w:r>
          </w:p>
        </w:tc>
        <w:tc>
          <w:tcPr>
            <w:tcW w:w="762" w:type="pct"/>
            <w:tcBorders>
              <w:top w:val="single" w:color="auto" w:sz="8" w:space="0"/>
              <w:left w:val="nil"/>
              <w:bottom w:val="single" w:color="auto" w:sz="8" w:space="0"/>
              <w:right w:val="single" w:color="auto" w:sz="8" w:space="0"/>
            </w:tcBorders>
            <w:shd w:val="clear" w:color="auto" w:fill="auto"/>
          </w:tcPr>
          <w:p w14:paraId="5A23D19F">
            <w:pPr>
              <w:widowControl/>
              <w:spacing w:after="0" w:line="240" w:lineRule="auto"/>
              <w:ind w:firstLine="0" w:firstLineChars="0"/>
              <w:jc w:val="right"/>
              <w:rPr>
                <w:rFonts w:hint="eastAsia" w:ascii="宋体" w:hAnsi="宋体" w:eastAsia="宋体" w:cs="宋体"/>
                <w:b/>
                <w:color w:val="000000"/>
                <w:kern w:val="0"/>
                <w:sz w:val="18"/>
                <w:szCs w:val="18"/>
              </w:rPr>
            </w:pPr>
            <w:r>
              <w:rPr>
                <w:rFonts w:ascii="宋体" w:hAnsi="宋体" w:eastAsia="宋体" w:cs="宋体"/>
                <w:b/>
                <w:color w:val="000000"/>
                <w:kern w:val="0"/>
                <w:sz w:val="18"/>
                <w:szCs w:val="18"/>
              </w:rPr>
              <w:t xml:space="preserve">58,309.68  </w:t>
            </w:r>
          </w:p>
        </w:tc>
        <w:tc>
          <w:tcPr>
            <w:tcW w:w="708" w:type="pct"/>
            <w:tcBorders>
              <w:top w:val="single" w:color="auto" w:sz="8" w:space="0"/>
              <w:left w:val="nil"/>
              <w:bottom w:val="single" w:color="auto" w:sz="8" w:space="0"/>
              <w:right w:val="single" w:color="auto" w:sz="8" w:space="0"/>
            </w:tcBorders>
            <w:shd w:val="clear" w:color="auto" w:fill="auto"/>
          </w:tcPr>
          <w:p w14:paraId="2B2DAD09">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5,023.52</w:t>
            </w:r>
          </w:p>
        </w:tc>
        <w:tc>
          <w:tcPr>
            <w:tcW w:w="705" w:type="pct"/>
            <w:tcBorders>
              <w:top w:val="single" w:color="auto" w:sz="8" w:space="0"/>
              <w:left w:val="nil"/>
              <w:bottom w:val="single" w:color="auto" w:sz="8" w:space="0"/>
              <w:right w:val="single" w:color="auto" w:sz="8" w:space="0"/>
            </w:tcBorders>
            <w:shd w:val="clear" w:color="auto" w:fill="auto"/>
          </w:tcPr>
          <w:p w14:paraId="1253F7CE">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11,621.96</w:t>
            </w:r>
          </w:p>
        </w:tc>
        <w:tc>
          <w:tcPr>
            <w:tcW w:w="703" w:type="pct"/>
            <w:tcBorders>
              <w:top w:val="single" w:color="auto" w:sz="8" w:space="0"/>
              <w:left w:val="nil"/>
              <w:bottom w:val="single" w:color="auto" w:sz="8" w:space="0"/>
              <w:right w:val="single" w:color="auto" w:sz="8" w:space="0"/>
            </w:tcBorders>
          </w:tcPr>
          <w:p w14:paraId="3A5662E4">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22,000.00</w:t>
            </w:r>
          </w:p>
        </w:tc>
        <w:tc>
          <w:tcPr>
            <w:tcW w:w="703" w:type="pct"/>
            <w:tcBorders>
              <w:top w:val="single" w:color="auto" w:sz="8" w:space="0"/>
              <w:left w:val="nil"/>
              <w:bottom w:val="single" w:color="auto" w:sz="8" w:space="0"/>
              <w:right w:val="single" w:color="auto" w:sz="8" w:space="0"/>
            </w:tcBorders>
          </w:tcPr>
          <w:p w14:paraId="1F1CA27E">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19,664.20</w:t>
            </w:r>
          </w:p>
        </w:tc>
      </w:tr>
    </w:tbl>
    <w:p w14:paraId="150D7890">
      <w:pPr>
        <w:pStyle w:val="20"/>
        <w:spacing w:before="0" w:beforeAutospacing="0" w:after="156" w:afterLines="50" w:afterAutospacing="0" w:line="360" w:lineRule="exact"/>
        <w:ind w:firstLine="360"/>
        <w:jc w:val="both"/>
        <w:rPr>
          <w:rFonts w:hint="eastAsia" w:ascii="仿宋" w:hAnsi="仿宋" w:eastAsia="仿宋" w:cs="仿宋"/>
        </w:rPr>
      </w:pPr>
      <w:r>
        <w:rPr>
          <w:rFonts w:hint="eastAsia"/>
          <w:color w:val="000000" w:themeColor="text1"/>
          <w:sz w:val="18"/>
          <w:szCs w:val="18"/>
          <w14:textFill>
            <w14:solidFill>
              <w14:schemeClr w14:val="tx1"/>
            </w14:solidFill>
          </w14:textFill>
        </w:rPr>
        <w:t>注：项目建设期为4年。</w:t>
      </w:r>
    </w:p>
    <w:bookmarkEnd w:id="20"/>
    <w:p w14:paraId="40D6E748">
      <w:pPr>
        <w:pStyle w:val="4"/>
        <w:ind w:firstLine="0" w:firstLineChars="0"/>
        <w:rPr>
          <w:rFonts w:hint="eastAsia" w:ascii="仿宋" w:hAnsi="仿宋" w:eastAsia="仿宋" w:cs="仿宋"/>
          <w:sz w:val="24"/>
          <w:szCs w:val="24"/>
        </w:rPr>
      </w:pPr>
      <w:bookmarkStart w:id="23" w:name="_Toc67918948"/>
      <w:r>
        <w:rPr>
          <w:rFonts w:hint="eastAsia" w:ascii="仿宋" w:hAnsi="仿宋" w:eastAsia="仿宋" w:cs="仿宋"/>
          <w:sz w:val="24"/>
          <w:szCs w:val="24"/>
        </w:rPr>
        <w:t>（二）资金筹措方案</w:t>
      </w:r>
      <w:bookmarkEnd w:id="23"/>
    </w:p>
    <w:p w14:paraId="0F738D20">
      <w:pPr>
        <w:pStyle w:val="5"/>
        <w:ind w:firstLine="480"/>
        <w:rPr>
          <w:rFonts w:hint="eastAsia" w:asciiTheme="minorEastAsia" w:hAnsiTheme="minorEastAsia" w:eastAsiaTheme="minorEastAsia" w:cstheme="minorEastAsia"/>
          <w:sz w:val="24"/>
          <w:szCs w:val="24"/>
        </w:rPr>
      </w:pPr>
      <w:bookmarkStart w:id="24" w:name="_Toc28161739"/>
      <w:bookmarkStart w:id="25" w:name="_Toc67918949"/>
      <w:r>
        <w:rPr>
          <w:rFonts w:hint="eastAsia" w:asciiTheme="minorEastAsia" w:hAnsiTheme="minorEastAsia" w:eastAsiaTheme="minorEastAsia" w:cstheme="minorEastAsia"/>
          <w:sz w:val="24"/>
          <w:szCs w:val="24"/>
        </w:rPr>
        <w:t>1</w:t>
      </w:r>
      <w:bookmarkEnd w:id="24"/>
      <w:r>
        <w:rPr>
          <w:rFonts w:hint="eastAsia" w:asciiTheme="minorEastAsia" w:hAnsiTheme="minorEastAsia" w:eastAsiaTheme="minorEastAsia" w:cstheme="minorEastAsia"/>
          <w:sz w:val="24"/>
          <w:szCs w:val="24"/>
        </w:rPr>
        <w:t>、资金筹措原则</w:t>
      </w:r>
      <w:bookmarkEnd w:id="25"/>
    </w:p>
    <w:p w14:paraId="5EF9C18A">
      <w:pPr>
        <w:ind w:firstLine="480"/>
        <w:rPr>
          <w:rFonts w:hint="eastAsia" w:asciiTheme="minorEastAsia" w:hAnsiTheme="minorEastAsia" w:cstheme="minorEastAsia"/>
          <w:szCs w:val="24"/>
        </w:rPr>
      </w:pPr>
      <w:r>
        <w:rPr>
          <w:rFonts w:hint="eastAsia" w:asciiTheme="minorEastAsia" w:hAnsiTheme="minorEastAsia" w:cstheme="minorEastAsia"/>
          <w:szCs w:val="24"/>
        </w:rPr>
        <w:t>本次资金筹措遵循以下原则：（1）项目投入一定资本金，保证项目顺利开工及后续融资的可能。（2）发行地方政府专项债券进行融资。</w:t>
      </w:r>
    </w:p>
    <w:p w14:paraId="2E82BED3">
      <w:pPr>
        <w:pStyle w:val="5"/>
        <w:numPr>
          <w:ilvl w:val="0"/>
          <w:numId w:val="6"/>
        </w:numPr>
        <w:ind w:firstLine="480"/>
        <w:rPr>
          <w:rFonts w:hint="eastAsia" w:asciiTheme="minorEastAsia" w:hAnsiTheme="minorEastAsia" w:eastAsiaTheme="minorEastAsia" w:cstheme="minorEastAsia"/>
          <w:sz w:val="24"/>
          <w:szCs w:val="24"/>
        </w:rPr>
      </w:pPr>
      <w:bookmarkStart w:id="26" w:name="_Toc67918950"/>
      <w:r>
        <w:rPr>
          <w:rFonts w:hint="eastAsia" w:asciiTheme="minorEastAsia" w:hAnsiTheme="minorEastAsia" w:eastAsiaTheme="minorEastAsia" w:cstheme="minorEastAsia"/>
          <w:sz w:val="24"/>
          <w:szCs w:val="24"/>
        </w:rPr>
        <w:t>资金来源</w:t>
      </w:r>
      <w:bookmarkEnd w:id="26"/>
      <w:r>
        <w:rPr>
          <w:rFonts w:asciiTheme="minorEastAsia" w:hAnsiTheme="minorEastAsia" w:eastAsiaTheme="minorEastAsia" w:cstheme="minorEastAsia"/>
          <w:sz w:val="24"/>
          <w:szCs w:val="24"/>
        </w:rPr>
        <w:t xml:space="preserve"> </w:t>
      </w:r>
    </w:p>
    <w:p w14:paraId="68DF6982">
      <w:pPr>
        <w:autoSpaceDE w:val="0"/>
        <w:autoSpaceDN w:val="0"/>
        <w:adjustRightInd w:val="0"/>
        <w:spacing w:after="0" w:line="400" w:lineRule="exact"/>
        <w:ind w:firstLine="480" w:firstLineChars="0"/>
        <w:rPr>
          <w:rFonts w:ascii="Calibri" w:hAnsi="Calibri" w:eastAsia="宋体" w:cs="Times New Roman"/>
          <w:color w:val="000000"/>
          <w:szCs w:val="24"/>
        </w:rPr>
      </w:pPr>
      <w:bookmarkStart w:id="27" w:name="_Toc67918951"/>
      <w:r>
        <w:rPr>
          <w:rFonts w:hint="eastAsia" w:ascii="宋体" w:hAnsi="宋体" w:eastAsia="宋体" w:cs="Times New Roman"/>
          <w:color w:val="000000"/>
          <w:szCs w:val="24"/>
        </w:rPr>
        <w:t>202</w:t>
      </w:r>
      <w:r>
        <w:rPr>
          <w:rFonts w:ascii="宋体" w:hAnsi="宋体" w:eastAsia="宋体" w:cs="Times New Roman"/>
          <w:color w:val="000000"/>
          <w:szCs w:val="24"/>
        </w:rPr>
        <w:t>4</w:t>
      </w:r>
      <w:r>
        <w:rPr>
          <w:rFonts w:hint="eastAsia" w:ascii="宋体" w:hAnsi="宋体" w:eastAsia="宋体" w:cs="Times New Roman"/>
          <w:color w:val="000000"/>
          <w:szCs w:val="24"/>
        </w:rPr>
        <w:t>年江</w:t>
      </w:r>
      <w:r>
        <w:rPr>
          <w:rFonts w:hint="eastAsia" w:ascii="Calibri" w:hAnsi="Calibri" w:eastAsia="宋体" w:cs="Times New Roman"/>
          <w:color w:val="000000"/>
          <w:szCs w:val="24"/>
        </w:rPr>
        <w:t>西省南昌市红谷滩生米镇南路村拆迁安置小区建设项目（南路村棚户区改造）为新建项目，根据红谷滩新区经开局《关于红谷滩生米镇南路村拆迁安置小区建设项目（南路村棚户区改造）</w:t>
      </w:r>
      <w:r>
        <w:rPr>
          <w:rFonts w:hint="eastAsia" w:ascii="宋体" w:hAnsi="宋体" w:eastAsia="宋体" w:cs="Times New Roman"/>
          <w:color w:val="000000"/>
          <w:szCs w:val="24"/>
        </w:rPr>
        <w:t>可行性研究报告的批复》（洪新经发[20</w:t>
      </w:r>
      <w:r>
        <w:rPr>
          <w:rFonts w:ascii="宋体" w:hAnsi="宋体" w:eastAsia="宋体" w:cs="Times New Roman"/>
          <w:color w:val="000000"/>
          <w:szCs w:val="24"/>
        </w:rPr>
        <w:t>20</w:t>
      </w:r>
      <w:r>
        <w:rPr>
          <w:rFonts w:hint="eastAsia" w:ascii="宋体" w:hAnsi="宋体" w:eastAsia="宋体" w:cs="Times New Roman"/>
          <w:color w:val="000000"/>
          <w:szCs w:val="24"/>
        </w:rPr>
        <w:t>]</w:t>
      </w:r>
      <w:r>
        <w:rPr>
          <w:rFonts w:ascii="宋体" w:hAnsi="宋体" w:eastAsia="宋体" w:cs="Times New Roman"/>
          <w:color w:val="000000"/>
          <w:szCs w:val="24"/>
        </w:rPr>
        <w:t>78</w:t>
      </w:r>
      <w:r>
        <w:rPr>
          <w:rFonts w:hint="eastAsia" w:ascii="宋体" w:hAnsi="宋体" w:eastAsia="宋体" w:cs="Times New Roman"/>
          <w:color w:val="000000"/>
          <w:szCs w:val="24"/>
        </w:rPr>
        <w:t>号）批复总投资额</w:t>
      </w:r>
      <w:r>
        <w:rPr>
          <w:rFonts w:ascii="宋体" w:hAnsi="宋体" w:eastAsia="宋体" w:cs="Times New Roman"/>
          <w:color w:val="000000"/>
          <w:szCs w:val="24"/>
        </w:rPr>
        <w:t>58,309.68</w:t>
      </w:r>
      <w:r>
        <w:rPr>
          <w:rFonts w:hint="eastAsia" w:ascii="宋体" w:hAnsi="宋体" w:eastAsia="宋体" w:cs="Times New Roman"/>
          <w:color w:val="000000"/>
          <w:szCs w:val="24"/>
        </w:rPr>
        <w:t>万元。主要包括工程费用、工程建设其他费用及基本预备费等。因预计支付的债券利息与可行性研究报告的建设期利息存在差异，我们按照预计建设期利息及债券发行费用估算总投资额，详细见下表：</w:t>
      </w:r>
    </w:p>
    <w:p w14:paraId="5DDF9DA8">
      <w:pPr>
        <w:pStyle w:val="20"/>
        <w:keepNext/>
        <w:spacing w:before="0" w:beforeAutospacing="0" w:after="0" w:afterAutospacing="0" w:line="360" w:lineRule="exact"/>
        <w:ind w:firstLine="360"/>
        <w:jc w:val="right"/>
        <w:rPr>
          <w:rFonts w:hint="eastAsia"/>
          <w:color w:val="000000" w:themeColor="text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jc w:val="center"/>
        <w:tblLayout w:type="autofit"/>
        <w:tblCellMar>
          <w:top w:w="0" w:type="dxa"/>
          <w:left w:w="108" w:type="dxa"/>
          <w:bottom w:w="0" w:type="dxa"/>
          <w:right w:w="108" w:type="dxa"/>
        </w:tblCellMar>
      </w:tblPr>
      <w:tblGrid>
        <w:gridCol w:w="1299"/>
        <w:gridCol w:w="1972"/>
        <w:gridCol w:w="2646"/>
        <w:gridCol w:w="2803"/>
      </w:tblGrid>
      <w:tr w14:paraId="2B214B85">
        <w:trPr>
          <w:trHeight w:val="285" w:hRule="atLeast"/>
          <w:jc w:val="center"/>
        </w:trPr>
        <w:tc>
          <w:tcPr>
            <w:tcW w:w="745" w:type="pct"/>
            <w:tcBorders>
              <w:top w:val="single" w:color="auto" w:sz="8" w:space="0"/>
              <w:left w:val="single" w:color="auto" w:sz="8" w:space="0"/>
              <w:bottom w:val="single" w:color="auto" w:sz="8" w:space="0"/>
              <w:right w:val="single" w:color="auto" w:sz="8" w:space="0"/>
            </w:tcBorders>
            <w:shd w:val="clear" w:color="auto" w:fill="auto"/>
            <w:noWrap/>
            <w:vAlign w:val="center"/>
          </w:tcPr>
          <w:p w14:paraId="1B864AE0">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131" w:type="pct"/>
            <w:tcBorders>
              <w:top w:val="single" w:color="auto" w:sz="8" w:space="0"/>
              <w:left w:val="nil"/>
              <w:bottom w:val="single" w:color="auto" w:sz="8" w:space="0"/>
              <w:right w:val="single" w:color="auto" w:sz="8" w:space="0"/>
            </w:tcBorders>
            <w:shd w:val="clear" w:color="auto" w:fill="auto"/>
            <w:noWrap/>
            <w:vAlign w:val="center"/>
          </w:tcPr>
          <w:p w14:paraId="09F3438D">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1517" w:type="pct"/>
            <w:tcBorders>
              <w:top w:val="single" w:color="auto" w:sz="8" w:space="0"/>
              <w:left w:val="nil"/>
              <w:bottom w:val="single" w:color="auto" w:sz="8" w:space="0"/>
              <w:right w:val="single" w:color="auto" w:sz="8" w:space="0"/>
            </w:tcBorders>
            <w:shd w:val="clear" w:color="auto" w:fill="auto"/>
            <w:noWrap/>
            <w:vAlign w:val="center"/>
          </w:tcPr>
          <w:p w14:paraId="54733956">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1607" w:type="pct"/>
            <w:tcBorders>
              <w:top w:val="single" w:color="auto" w:sz="8" w:space="0"/>
              <w:left w:val="nil"/>
              <w:bottom w:val="single" w:color="auto" w:sz="8" w:space="0"/>
              <w:right w:val="single" w:color="auto" w:sz="8" w:space="0"/>
            </w:tcBorders>
            <w:shd w:val="clear" w:color="auto" w:fill="auto"/>
            <w:noWrap/>
            <w:vAlign w:val="center"/>
          </w:tcPr>
          <w:p w14:paraId="636B6C29">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静态总投资额</w:t>
            </w:r>
          </w:p>
        </w:tc>
      </w:tr>
      <w:tr w14:paraId="3383F018">
        <w:trPr>
          <w:trHeight w:val="750" w:hRule="atLeast"/>
          <w:jc w:val="center"/>
        </w:trPr>
        <w:tc>
          <w:tcPr>
            <w:tcW w:w="745" w:type="pct"/>
            <w:tcBorders>
              <w:top w:val="nil"/>
              <w:left w:val="single" w:color="auto" w:sz="8" w:space="0"/>
              <w:bottom w:val="single" w:color="auto" w:sz="8" w:space="0"/>
              <w:right w:val="single" w:color="auto" w:sz="8" w:space="0"/>
            </w:tcBorders>
            <w:shd w:val="clear" w:color="auto" w:fill="auto"/>
            <w:noWrap/>
            <w:vAlign w:val="center"/>
          </w:tcPr>
          <w:p w14:paraId="375AF300">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1131" w:type="pct"/>
            <w:tcBorders>
              <w:top w:val="nil"/>
              <w:left w:val="nil"/>
              <w:bottom w:val="single" w:color="auto" w:sz="8" w:space="0"/>
              <w:right w:val="single" w:color="auto" w:sz="8" w:space="0"/>
            </w:tcBorders>
            <w:shd w:val="clear" w:color="auto" w:fill="auto"/>
            <w:vAlign w:val="center"/>
          </w:tcPr>
          <w:p w14:paraId="37291DFE">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南昌红江实业发展有限公司</w:t>
            </w:r>
          </w:p>
        </w:tc>
        <w:tc>
          <w:tcPr>
            <w:tcW w:w="1517" w:type="pct"/>
            <w:tcBorders>
              <w:top w:val="nil"/>
              <w:left w:val="nil"/>
              <w:bottom w:val="single" w:color="auto" w:sz="8" w:space="0"/>
              <w:right w:val="single" w:color="auto" w:sz="8" w:space="0"/>
            </w:tcBorders>
            <w:shd w:val="clear" w:color="auto" w:fill="auto"/>
            <w:vAlign w:val="center"/>
          </w:tcPr>
          <w:p w14:paraId="3F706EB1">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南昌市红谷滩生米镇南路村拆迁安置小区建设项目（南路村棚户区改造）</w:t>
            </w:r>
          </w:p>
        </w:tc>
        <w:tc>
          <w:tcPr>
            <w:tcW w:w="1607" w:type="pct"/>
            <w:tcBorders>
              <w:top w:val="nil"/>
              <w:left w:val="nil"/>
              <w:bottom w:val="single" w:color="auto" w:sz="8" w:space="0"/>
              <w:right w:val="single" w:color="auto" w:sz="8" w:space="0"/>
            </w:tcBorders>
            <w:shd w:val="clear" w:color="auto" w:fill="auto"/>
            <w:noWrap/>
            <w:vAlign w:val="center"/>
          </w:tcPr>
          <w:p w14:paraId="575358D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58,309.68</w:t>
            </w:r>
          </w:p>
        </w:tc>
      </w:tr>
    </w:tbl>
    <w:p w14:paraId="2D7B8447">
      <w:pPr>
        <w:pStyle w:val="20"/>
        <w:spacing w:before="0" w:beforeAutospacing="0" w:after="156" w:afterLines="50" w:afterAutospacing="0" w:line="360" w:lineRule="exact"/>
        <w:ind w:firstLine="480"/>
        <w:jc w:val="both"/>
        <w:rPr>
          <w:rFonts w:ascii="Calibri" w:hAnsi="Calibri"/>
          <w:color w:val="000000" w:themeColor="text1"/>
          <w:kern w:val="2"/>
          <w14:textFill>
            <w14:solidFill>
              <w14:schemeClr w14:val="tx1"/>
            </w14:solidFill>
          </w14:textFill>
        </w:rPr>
      </w:pPr>
      <w:r>
        <w:rPr>
          <w:rFonts w:hint="eastAsia"/>
          <w:color w:val="000000"/>
        </w:rPr>
        <w:t>为了保障以上建设项目合理的融资需求，更</w:t>
      </w:r>
      <w:r>
        <w:rPr>
          <w:rFonts w:hint="eastAsia" w:ascii="Calibri" w:hAnsi="Calibri"/>
          <w:color w:val="000000"/>
          <w:kern w:val="2"/>
        </w:rPr>
        <w:t>好地发挥专项债券对</w:t>
      </w:r>
      <w:r>
        <w:rPr>
          <w:rFonts w:ascii="Calibri" w:hAnsi="Calibri"/>
          <w:color w:val="000000"/>
          <w:kern w:val="2"/>
        </w:rPr>
        <w:t>南昌市</w:t>
      </w:r>
      <w:r>
        <w:rPr>
          <w:rFonts w:hint="eastAsia" w:ascii="Calibri" w:hAnsi="Calibri"/>
          <w:color w:val="000000"/>
          <w:kern w:val="2"/>
        </w:rPr>
        <w:t>红谷滩生米镇南路村拆迁安置小区建设项目（南路村棚户区改造）支持作用，本次项目计划通过自筹资金及发行项目收益与融资自求平衡专项债券的方式完成项目建设。南昌红江实业发展有限公司申请地方政府专项债券的明细情况见下表：</w:t>
      </w:r>
    </w:p>
    <w:tbl>
      <w:tblPr>
        <w:tblStyle w:val="24"/>
        <w:tblW w:w="5000" w:type="pct"/>
        <w:jc w:val="center"/>
        <w:tblLayout w:type="autofit"/>
        <w:tblCellMar>
          <w:top w:w="0" w:type="dxa"/>
          <w:left w:w="108" w:type="dxa"/>
          <w:bottom w:w="0" w:type="dxa"/>
          <w:right w:w="108" w:type="dxa"/>
        </w:tblCellMar>
      </w:tblPr>
      <w:tblGrid>
        <w:gridCol w:w="666"/>
        <w:gridCol w:w="1127"/>
        <w:gridCol w:w="1027"/>
        <w:gridCol w:w="1011"/>
        <w:gridCol w:w="1617"/>
        <w:gridCol w:w="1634"/>
        <w:gridCol w:w="1638"/>
      </w:tblGrid>
      <w:tr w14:paraId="3E8FF2BF">
        <w:trPr>
          <w:trHeight w:val="300" w:hRule="atLeast"/>
          <w:jc w:val="center"/>
        </w:trPr>
        <w:tc>
          <w:tcPr>
            <w:tcW w:w="334" w:type="pct"/>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1B69072D">
            <w:pPr>
              <w:widowControl/>
              <w:spacing w:after="0"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4" w:type="pct"/>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2745084A">
            <w:pPr>
              <w:widowControl/>
              <w:spacing w:after="0"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597" w:type="pct"/>
            <w:vMerge w:val="restart"/>
            <w:tcBorders>
              <w:top w:val="single" w:color="auto" w:sz="8" w:space="0"/>
              <w:left w:val="single" w:color="auto" w:sz="8" w:space="0"/>
              <w:bottom w:val="single" w:color="auto" w:sz="8" w:space="0"/>
              <w:right w:val="single" w:color="000000" w:sz="8" w:space="0"/>
            </w:tcBorders>
            <w:shd w:val="clear" w:color="auto" w:fill="auto"/>
            <w:vAlign w:val="center"/>
          </w:tcPr>
          <w:p w14:paraId="1E5BC88A">
            <w:pPr>
              <w:widowControl/>
              <w:spacing w:after="0"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41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291ED0">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88BB063">
        <w:trPr>
          <w:trHeight w:val="290" w:hRule="atLeast"/>
          <w:jc w:val="center"/>
        </w:trPr>
        <w:tc>
          <w:tcPr>
            <w:tcW w:w="334" w:type="pct"/>
            <w:vMerge w:val="continue"/>
            <w:tcBorders>
              <w:top w:val="single" w:color="auto" w:sz="8" w:space="0"/>
              <w:left w:val="single" w:color="auto" w:sz="8" w:space="0"/>
              <w:bottom w:val="single" w:color="000000" w:sz="8" w:space="0"/>
              <w:right w:val="single" w:color="auto" w:sz="8" w:space="0"/>
            </w:tcBorders>
            <w:vAlign w:val="center"/>
          </w:tcPr>
          <w:p w14:paraId="3360536B">
            <w:pPr>
              <w:widowControl/>
              <w:spacing w:after="0" w:line="240" w:lineRule="auto"/>
              <w:ind w:firstLine="361"/>
              <w:jc w:val="left"/>
              <w:rPr>
                <w:rFonts w:hint="eastAsia" w:ascii="宋体" w:hAnsi="宋体" w:cs="宋体"/>
                <w:b/>
                <w:bCs/>
                <w:color w:val="000000"/>
                <w:kern w:val="0"/>
                <w:sz w:val="18"/>
                <w:szCs w:val="18"/>
              </w:rPr>
            </w:pPr>
          </w:p>
        </w:tc>
        <w:tc>
          <w:tcPr>
            <w:tcW w:w="654" w:type="pct"/>
            <w:vMerge w:val="continue"/>
            <w:tcBorders>
              <w:top w:val="single" w:color="auto" w:sz="8" w:space="0"/>
              <w:left w:val="single" w:color="auto" w:sz="8" w:space="0"/>
              <w:bottom w:val="single" w:color="000000" w:sz="8" w:space="0"/>
              <w:right w:val="single" w:color="auto" w:sz="8" w:space="0"/>
            </w:tcBorders>
            <w:vAlign w:val="center"/>
          </w:tcPr>
          <w:p w14:paraId="116CF508">
            <w:pPr>
              <w:widowControl/>
              <w:spacing w:after="0" w:line="240" w:lineRule="auto"/>
              <w:ind w:firstLine="361"/>
              <w:jc w:val="left"/>
              <w:rPr>
                <w:rFonts w:hint="eastAsia" w:ascii="宋体" w:hAnsi="宋体" w:cs="宋体"/>
                <w:b/>
                <w:bCs/>
                <w:color w:val="000000"/>
                <w:kern w:val="0"/>
                <w:sz w:val="18"/>
                <w:szCs w:val="18"/>
              </w:rPr>
            </w:pPr>
          </w:p>
        </w:tc>
        <w:tc>
          <w:tcPr>
            <w:tcW w:w="597" w:type="pct"/>
            <w:vMerge w:val="continue"/>
            <w:tcBorders>
              <w:top w:val="single" w:color="auto" w:sz="8" w:space="0"/>
              <w:left w:val="single" w:color="auto" w:sz="8" w:space="0"/>
              <w:bottom w:val="single" w:color="auto" w:sz="8" w:space="0"/>
              <w:right w:val="single" w:color="000000" w:sz="8" w:space="0"/>
            </w:tcBorders>
            <w:vAlign w:val="center"/>
          </w:tcPr>
          <w:p w14:paraId="1C01007C">
            <w:pPr>
              <w:widowControl/>
              <w:spacing w:after="0" w:line="240" w:lineRule="auto"/>
              <w:ind w:firstLine="361"/>
              <w:jc w:val="left"/>
              <w:rPr>
                <w:rFonts w:hint="eastAsia" w:ascii="宋体" w:hAnsi="宋体" w:cs="宋体"/>
                <w:b/>
                <w:bCs/>
                <w:color w:val="000000"/>
                <w:kern w:val="0"/>
                <w:sz w:val="18"/>
                <w:szCs w:val="18"/>
              </w:rPr>
            </w:pPr>
          </w:p>
        </w:tc>
        <w:tc>
          <w:tcPr>
            <w:tcW w:w="588" w:type="pct"/>
            <w:tcBorders>
              <w:top w:val="nil"/>
              <w:left w:val="nil"/>
              <w:bottom w:val="single" w:color="auto" w:sz="8" w:space="0"/>
              <w:right w:val="single" w:color="auto" w:sz="8" w:space="0"/>
            </w:tcBorders>
            <w:shd w:val="clear" w:color="auto" w:fill="auto"/>
            <w:vAlign w:val="center"/>
          </w:tcPr>
          <w:p w14:paraId="6D7C60F2">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935" w:type="pct"/>
            <w:tcBorders>
              <w:top w:val="nil"/>
              <w:left w:val="nil"/>
              <w:bottom w:val="single" w:color="auto" w:sz="8" w:space="0"/>
              <w:right w:val="single" w:color="auto" w:sz="8" w:space="0"/>
            </w:tcBorders>
            <w:vAlign w:val="center"/>
          </w:tcPr>
          <w:p w14:paraId="57A02431">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022</w:t>
            </w:r>
            <w:r>
              <w:rPr>
                <w:rFonts w:hint="eastAsia" w:ascii="宋体" w:hAnsi="宋体" w:cs="宋体"/>
                <w:b/>
                <w:bCs/>
                <w:color w:val="000000"/>
                <w:kern w:val="0"/>
                <w:sz w:val="18"/>
                <w:szCs w:val="18"/>
              </w:rPr>
              <w:t>年已发行</w:t>
            </w:r>
          </w:p>
        </w:tc>
        <w:tc>
          <w:tcPr>
            <w:tcW w:w="945" w:type="pct"/>
            <w:tcBorders>
              <w:top w:val="nil"/>
              <w:left w:val="nil"/>
              <w:bottom w:val="single" w:color="auto" w:sz="8" w:space="0"/>
              <w:right w:val="single" w:color="auto" w:sz="8" w:space="0"/>
            </w:tcBorders>
            <w:vAlign w:val="center"/>
          </w:tcPr>
          <w:p w14:paraId="35994471">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年已发行</w:t>
            </w:r>
          </w:p>
        </w:tc>
        <w:tc>
          <w:tcPr>
            <w:tcW w:w="947" w:type="pct"/>
            <w:tcBorders>
              <w:top w:val="nil"/>
              <w:left w:val="nil"/>
              <w:bottom w:val="single" w:color="auto" w:sz="8" w:space="0"/>
              <w:right w:val="single" w:color="auto" w:sz="8" w:space="0"/>
            </w:tcBorders>
            <w:vAlign w:val="center"/>
          </w:tcPr>
          <w:p w14:paraId="53E37851">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年本期发行</w:t>
            </w:r>
          </w:p>
        </w:tc>
      </w:tr>
      <w:tr w14:paraId="1F3024B2">
        <w:trPr>
          <w:trHeight w:val="436" w:hRule="atLeast"/>
          <w:jc w:val="center"/>
        </w:trPr>
        <w:tc>
          <w:tcPr>
            <w:tcW w:w="334" w:type="pct"/>
            <w:tcBorders>
              <w:top w:val="nil"/>
              <w:left w:val="single" w:color="auto" w:sz="8" w:space="0"/>
              <w:bottom w:val="single" w:color="auto" w:sz="8" w:space="0"/>
              <w:right w:val="single" w:color="auto" w:sz="8" w:space="0"/>
            </w:tcBorders>
            <w:shd w:val="clear" w:color="auto" w:fill="auto"/>
            <w:noWrap/>
            <w:vAlign w:val="center"/>
          </w:tcPr>
          <w:p w14:paraId="01FAB490">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54" w:type="pct"/>
            <w:tcBorders>
              <w:top w:val="nil"/>
              <w:left w:val="nil"/>
              <w:bottom w:val="single" w:color="auto" w:sz="8" w:space="0"/>
              <w:right w:val="single" w:color="auto" w:sz="8" w:space="0"/>
            </w:tcBorders>
            <w:shd w:val="clear" w:color="auto" w:fill="auto"/>
            <w:noWrap/>
            <w:vAlign w:val="center"/>
          </w:tcPr>
          <w:p w14:paraId="09EDAFB0">
            <w:pPr>
              <w:widowControl/>
              <w:spacing w:after="0" w:line="240" w:lineRule="auto"/>
              <w:ind w:firstLine="0" w:firstLineChars="0"/>
              <w:rPr>
                <w:rFonts w:hint="eastAsia" w:ascii="宋体" w:hAnsi="宋体" w:cs="宋体"/>
                <w:color w:val="000000"/>
                <w:kern w:val="0"/>
                <w:sz w:val="18"/>
                <w:szCs w:val="18"/>
              </w:rPr>
            </w:pPr>
            <w:r>
              <w:rPr>
                <w:rFonts w:ascii="宋体" w:hAnsi="宋体" w:cs="宋体"/>
                <w:color w:val="000000"/>
                <w:kern w:val="0"/>
                <w:sz w:val="18"/>
                <w:szCs w:val="18"/>
              </w:rPr>
              <w:t>58,309.68</w:t>
            </w:r>
          </w:p>
        </w:tc>
        <w:tc>
          <w:tcPr>
            <w:tcW w:w="597" w:type="pct"/>
            <w:tcBorders>
              <w:top w:val="nil"/>
              <w:left w:val="nil"/>
              <w:bottom w:val="single" w:color="auto" w:sz="8" w:space="0"/>
              <w:right w:val="single" w:color="auto" w:sz="8" w:space="0"/>
            </w:tcBorders>
            <w:shd w:val="clear" w:color="auto" w:fill="auto"/>
            <w:noWrap/>
            <w:vAlign w:val="center"/>
          </w:tcPr>
          <w:p w14:paraId="7E79AF54">
            <w:pPr>
              <w:ind w:firstLine="0" w:firstLineChars="0"/>
              <w:rPr>
                <w:rFonts w:hint="eastAsia" w:ascii="宋体" w:hAnsi="宋体" w:cs="宋体"/>
                <w:color w:val="000000"/>
                <w:kern w:val="0"/>
                <w:sz w:val="18"/>
                <w:szCs w:val="18"/>
              </w:rPr>
            </w:pPr>
            <w:r>
              <w:rPr>
                <w:rFonts w:ascii="宋体" w:hAnsi="宋体" w:cs="宋体"/>
                <w:color w:val="000000"/>
                <w:kern w:val="0"/>
                <w:sz w:val="18"/>
                <w:szCs w:val="18"/>
              </w:rPr>
              <w:t>48,309.68</w:t>
            </w:r>
          </w:p>
        </w:tc>
        <w:tc>
          <w:tcPr>
            <w:tcW w:w="588" w:type="pct"/>
            <w:tcBorders>
              <w:top w:val="nil"/>
              <w:left w:val="nil"/>
              <w:bottom w:val="single" w:color="auto" w:sz="8" w:space="0"/>
              <w:right w:val="single" w:color="auto" w:sz="8" w:space="0"/>
            </w:tcBorders>
            <w:shd w:val="clear" w:color="auto" w:fill="auto"/>
            <w:vAlign w:val="center"/>
          </w:tcPr>
          <w:p w14:paraId="1D4829C9">
            <w:pPr>
              <w:ind w:firstLine="0" w:firstLineChars="0"/>
              <w:rPr>
                <w:rFonts w:hint="eastAsia" w:ascii="宋体" w:hAnsi="宋体" w:cs="宋体"/>
                <w:color w:val="000000"/>
                <w:kern w:val="0"/>
                <w:sz w:val="18"/>
                <w:szCs w:val="18"/>
              </w:rPr>
            </w:pPr>
            <w:r>
              <w:rPr>
                <w:rFonts w:ascii="宋体" w:hAnsi="宋体" w:cs="宋体"/>
                <w:color w:val="000000"/>
                <w:kern w:val="0"/>
                <w:sz w:val="18"/>
                <w:szCs w:val="18"/>
              </w:rPr>
              <w:t>10,000.00</w:t>
            </w:r>
          </w:p>
        </w:tc>
        <w:tc>
          <w:tcPr>
            <w:tcW w:w="935" w:type="pct"/>
            <w:tcBorders>
              <w:top w:val="nil"/>
              <w:left w:val="nil"/>
              <w:bottom w:val="single" w:color="auto" w:sz="8" w:space="0"/>
              <w:right w:val="single" w:color="auto" w:sz="8" w:space="0"/>
            </w:tcBorders>
            <w:vAlign w:val="center"/>
          </w:tcPr>
          <w:p w14:paraId="7477CD85">
            <w:pPr>
              <w:widowControl/>
              <w:spacing w:after="0"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800.00</w:t>
            </w:r>
          </w:p>
        </w:tc>
        <w:tc>
          <w:tcPr>
            <w:tcW w:w="945" w:type="pct"/>
            <w:tcBorders>
              <w:top w:val="nil"/>
              <w:left w:val="nil"/>
              <w:bottom w:val="single" w:color="auto" w:sz="8" w:space="0"/>
              <w:right w:val="single" w:color="auto" w:sz="8" w:space="0"/>
            </w:tcBorders>
            <w:vAlign w:val="center"/>
          </w:tcPr>
          <w:p w14:paraId="33146ECA">
            <w:pPr>
              <w:widowControl/>
              <w:spacing w:after="0"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5,200.00</w:t>
            </w:r>
          </w:p>
        </w:tc>
        <w:tc>
          <w:tcPr>
            <w:tcW w:w="947" w:type="pct"/>
            <w:tcBorders>
              <w:top w:val="nil"/>
              <w:left w:val="nil"/>
              <w:bottom w:val="single" w:color="auto" w:sz="8" w:space="0"/>
              <w:right w:val="single" w:color="auto" w:sz="8" w:space="0"/>
            </w:tcBorders>
            <w:vAlign w:val="center"/>
          </w:tcPr>
          <w:p w14:paraId="31EAFE72">
            <w:pPr>
              <w:widowControl/>
              <w:spacing w:after="0"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4,000.00</w:t>
            </w:r>
          </w:p>
        </w:tc>
      </w:tr>
    </w:tbl>
    <w:p w14:paraId="072E1313">
      <w:pPr>
        <w:widowControl/>
        <w:spacing w:after="156" w:afterLines="50" w:line="360" w:lineRule="exact"/>
        <w:ind w:firstLine="480"/>
        <w:rPr>
          <w:rFonts w:hint="eastAsia" w:ascii="宋体" w:hAnsi="宋体" w:eastAsia="宋体" w:cs="宋体"/>
          <w:color w:val="000000"/>
          <w:kern w:val="0"/>
          <w:szCs w:val="24"/>
        </w:rPr>
      </w:pPr>
      <w:r>
        <w:rPr>
          <w:rFonts w:hint="eastAsia" w:ascii="宋体" w:hAnsi="宋体" w:eastAsia="宋体" w:cs="宋体"/>
          <w:color w:val="000000"/>
          <w:kern w:val="0"/>
          <w:szCs w:val="24"/>
        </w:rPr>
        <w:t>按照发行方案及筹资计划，本次拟发行项目的总投资为</w:t>
      </w:r>
      <w:r>
        <w:rPr>
          <w:rFonts w:ascii="宋体" w:hAnsi="宋体" w:eastAsia="宋体" w:cs="宋体"/>
          <w:color w:val="000000"/>
          <w:kern w:val="0"/>
          <w:szCs w:val="24"/>
        </w:rPr>
        <w:t>58,309.68</w:t>
      </w:r>
      <w:r>
        <w:rPr>
          <w:rFonts w:hint="eastAsia" w:ascii="宋体" w:hAnsi="宋体" w:eastAsia="宋体" w:cs="宋体"/>
          <w:color w:val="000000"/>
          <w:kern w:val="0"/>
          <w:szCs w:val="24"/>
        </w:rPr>
        <w:t>万元，通过自筹资金、申请专项债券解决，其一，自筹资金</w:t>
      </w:r>
      <w:r>
        <w:rPr>
          <w:rFonts w:ascii="宋体" w:hAnsi="宋体" w:eastAsia="宋体" w:cs="宋体"/>
          <w:color w:val="000000"/>
          <w:kern w:val="0"/>
          <w:szCs w:val="24"/>
        </w:rPr>
        <w:t>48,309.68</w:t>
      </w:r>
      <w:r>
        <w:rPr>
          <w:rFonts w:hint="eastAsia" w:ascii="宋体" w:hAnsi="宋体" w:eastAsia="宋体" w:cs="宋体"/>
          <w:color w:val="000000"/>
          <w:kern w:val="0"/>
          <w:szCs w:val="24"/>
        </w:rPr>
        <w:t>万元，其二，拟发行专项债券</w:t>
      </w:r>
      <w:r>
        <w:rPr>
          <w:rFonts w:ascii="宋体" w:hAnsi="宋体" w:eastAsia="宋体" w:cs="宋体"/>
          <w:color w:val="000000"/>
          <w:kern w:val="0"/>
          <w:szCs w:val="24"/>
        </w:rPr>
        <w:t>10,000.00</w:t>
      </w:r>
      <w:r>
        <w:rPr>
          <w:rFonts w:hint="eastAsia" w:ascii="宋体" w:hAnsi="宋体" w:eastAsia="宋体" w:cs="宋体"/>
          <w:color w:val="000000"/>
          <w:kern w:val="0"/>
          <w:szCs w:val="24"/>
        </w:rPr>
        <w:t>万元，2</w:t>
      </w:r>
      <w:r>
        <w:rPr>
          <w:rFonts w:ascii="宋体" w:hAnsi="宋体" w:eastAsia="宋体" w:cs="宋体"/>
          <w:color w:val="000000"/>
          <w:kern w:val="0"/>
          <w:szCs w:val="24"/>
        </w:rPr>
        <w:t>022</w:t>
      </w:r>
      <w:r>
        <w:rPr>
          <w:rFonts w:hint="eastAsia" w:ascii="宋体" w:hAnsi="宋体" w:eastAsia="宋体" w:cs="宋体"/>
          <w:color w:val="000000"/>
          <w:kern w:val="0"/>
          <w:szCs w:val="24"/>
        </w:rPr>
        <w:t>年已发行</w:t>
      </w:r>
      <w:r>
        <w:rPr>
          <w:rFonts w:ascii="宋体" w:hAnsi="宋体" w:eastAsia="宋体" w:cs="宋体"/>
          <w:color w:val="000000"/>
          <w:kern w:val="0"/>
          <w:szCs w:val="24"/>
        </w:rPr>
        <w:t>800.00</w:t>
      </w:r>
      <w:r>
        <w:rPr>
          <w:rFonts w:hint="eastAsia" w:ascii="宋体" w:hAnsi="宋体" w:eastAsia="宋体" w:cs="宋体"/>
          <w:color w:val="000000"/>
          <w:kern w:val="0"/>
          <w:szCs w:val="24"/>
        </w:rPr>
        <w:t>万元，发行期限为</w:t>
      </w:r>
      <w:r>
        <w:rPr>
          <w:rFonts w:ascii="宋体" w:hAnsi="宋体" w:eastAsia="宋体" w:cs="宋体"/>
          <w:color w:val="000000"/>
          <w:kern w:val="0"/>
          <w:szCs w:val="24"/>
        </w:rPr>
        <w:t>7年</w:t>
      </w:r>
      <w:r>
        <w:rPr>
          <w:rFonts w:hint="eastAsia" w:ascii="宋体" w:hAnsi="宋体" w:eastAsia="宋体" w:cs="宋体"/>
          <w:color w:val="000000"/>
          <w:kern w:val="0"/>
          <w:szCs w:val="24"/>
        </w:rPr>
        <w:t>；2</w:t>
      </w:r>
      <w:r>
        <w:rPr>
          <w:rFonts w:ascii="宋体" w:hAnsi="宋体" w:eastAsia="宋体" w:cs="宋体"/>
          <w:color w:val="000000"/>
          <w:kern w:val="0"/>
          <w:szCs w:val="24"/>
        </w:rPr>
        <w:t>023</w:t>
      </w:r>
      <w:r>
        <w:rPr>
          <w:rFonts w:hint="eastAsia" w:ascii="宋体" w:hAnsi="宋体" w:eastAsia="宋体" w:cs="宋体"/>
          <w:color w:val="000000"/>
          <w:kern w:val="0"/>
          <w:szCs w:val="24"/>
        </w:rPr>
        <w:t>年已发行</w:t>
      </w:r>
      <w:r>
        <w:rPr>
          <w:rFonts w:ascii="宋体" w:hAnsi="宋体" w:eastAsia="宋体" w:cs="宋体"/>
          <w:color w:val="000000"/>
          <w:kern w:val="0"/>
          <w:szCs w:val="24"/>
        </w:rPr>
        <w:t>5,200.00</w:t>
      </w:r>
      <w:r>
        <w:rPr>
          <w:rFonts w:hint="eastAsia" w:ascii="宋体" w:hAnsi="宋体" w:eastAsia="宋体" w:cs="宋体"/>
          <w:color w:val="000000"/>
          <w:kern w:val="0"/>
          <w:szCs w:val="24"/>
        </w:rPr>
        <w:t>万元，2</w:t>
      </w:r>
      <w:r>
        <w:rPr>
          <w:rFonts w:ascii="宋体" w:hAnsi="宋体" w:eastAsia="宋体" w:cs="宋体"/>
          <w:color w:val="000000"/>
          <w:kern w:val="0"/>
          <w:szCs w:val="24"/>
        </w:rPr>
        <w:t>024</w:t>
      </w:r>
      <w:r>
        <w:rPr>
          <w:rFonts w:hint="eastAsia" w:ascii="宋体" w:hAnsi="宋体" w:eastAsia="宋体" w:cs="宋体"/>
          <w:color w:val="000000"/>
          <w:kern w:val="0"/>
          <w:szCs w:val="24"/>
        </w:rPr>
        <w:t>年本期发行</w:t>
      </w:r>
      <w:r>
        <w:rPr>
          <w:rFonts w:ascii="宋体" w:hAnsi="宋体" w:eastAsia="宋体" w:cs="宋体"/>
          <w:color w:val="000000"/>
          <w:kern w:val="0"/>
          <w:szCs w:val="24"/>
        </w:rPr>
        <w:t>4,000.00</w:t>
      </w:r>
      <w:r>
        <w:rPr>
          <w:rFonts w:hint="eastAsia" w:ascii="宋体" w:hAnsi="宋体" w:eastAsia="宋体" w:cs="宋体"/>
          <w:color w:val="000000"/>
          <w:kern w:val="0"/>
          <w:szCs w:val="24"/>
        </w:rPr>
        <w:t>万元，期限7年。</w:t>
      </w:r>
    </w:p>
    <w:p w14:paraId="66B78217">
      <w:pPr>
        <w:widowControl/>
        <w:spacing w:after="156" w:afterLines="50" w:line="360" w:lineRule="exact"/>
        <w:ind w:firstLine="480"/>
        <w:rPr>
          <w:rFonts w:hint="eastAsia" w:ascii="宋体" w:hAnsi="宋体" w:eastAsia="宋体" w:cs="宋体"/>
          <w:color w:val="000000"/>
          <w:kern w:val="0"/>
          <w:szCs w:val="24"/>
        </w:rPr>
      </w:pPr>
    </w:p>
    <w:p w14:paraId="290689DE">
      <w:pPr>
        <w:pStyle w:val="20"/>
        <w:spacing w:before="0" w:beforeAutospacing="0" w:after="156" w:afterLines="50" w:afterAutospacing="0" w:line="360" w:lineRule="exact"/>
        <w:ind w:firstLine="280" w:firstLineChars="100"/>
        <w:jc w:val="both"/>
        <w:rPr>
          <w:rFonts w:hint="eastAsia" w:ascii="黑体" w:hAnsi="黑体" w:eastAsia="黑体" w:cs="黑体"/>
          <w:b/>
          <w:bCs/>
          <w:sz w:val="28"/>
          <w:szCs w:val="28"/>
        </w:rPr>
      </w:pPr>
    </w:p>
    <w:p w14:paraId="7AE3D77F">
      <w:pPr>
        <w:pStyle w:val="20"/>
        <w:spacing w:before="0" w:beforeAutospacing="0" w:after="156" w:afterLines="50" w:afterAutospacing="0" w:line="360" w:lineRule="exact"/>
        <w:ind w:firstLine="280" w:firstLineChars="100"/>
        <w:jc w:val="both"/>
        <w:rPr>
          <w:rFonts w:hint="eastAsia" w:ascii="黑体" w:hAnsi="黑体" w:eastAsia="黑体" w:cs="黑体"/>
          <w:b/>
          <w:bCs/>
          <w:sz w:val="28"/>
          <w:szCs w:val="28"/>
        </w:rPr>
      </w:pPr>
      <w:r>
        <w:rPr>
          <w:rFonts w:hint="eastAsia" w:ascii="黑体" w:hAnsi="黑体" w:eastAsia="黑体" w:cs="黑体"/>
          <w:b/>
          <w:bCs/>
          <w:sz w:val="28"/>
          <w:szCs w:val="28"/>
        </w:rPr>
        <w:t>三、项目预期收益、成本及融资平衡情况</w:t>
      </w:r>
      <w:bookmarkEnd w:id="27"/>
    </w:p>
    <w:p w14:paraId="11CF18C7">
      <w:pPr>
        <w:pStyle w:val="4"/>
        <w:ind w:firstLine="482"/>
        <w:rPr>
          <w:rFonts w:hint="eastAsia" w:ascii="仿宋" w:hAnsi="仿宋" w:eastAsia="仿宋" w:cs="仿宋"/>
          <w:sz w:val="24"/>
          <w:szCs w:val="24"/>
        </w:rPr>
      </w:pPr>
      <w:bookmarkStart w:id="28" w:name="_Toc67918952"/>
      <w:r>
        <w:rPr>
          <w:rFonts w:hint="eastAsia" w:ascii="仿宋" w:hAnsi="仿宋" w:eastAsia="仿宋" w:cs="仿宋"/>
          <w:sz w:val="24"/>
          <w:szCs w:val="24"/>
        </w:rPr>
        <w:t>（一）</w:t>
      </w:r>
      <w:bookmarkEnd w:id="28"/>
      <w:r>
        <w:rPr>
          <w:rFonts w:hint="eastAsia" w:ascii="仿宋" w:hAnsi="仿宋" w:eastAsia="仿宋" w:cs="仿宋"/>
          <w:sz w:val="24"/>
          <w:szCs w:val="24"/>
        </w:rPr>
        <w:t>项目运营收入测算</w:t>
      </w:r>
    </w:p>
    <w:p w14:paraId="50F644A9">
      <w:pPr>
        <w:widowControl/>
        <w:spacing w:after="156" w:afterLines="50" w:line="360" w:lineRule="exact"/>
        <w:ind w:firstLine="480"/>
        <w:rPr>
          <w:rFonts w:hint="eastAsia" w:asciiTheme="minorEastAsia" w:hAnsiTheme="minorEastAsia"/>
          <w:color w:val="000000"/>
        </w:rPr>
      </w:pPr>
      <w:bookmarkStart w:id="29" w:name="P10AC41"/>
      <w:bookmarkEnd w:id="29"/>
      <w:bookmarkStart w:id="30" w:name="_Toc67918953"/>
      <w:r>
        <w:rPr>
          <w:rFonts w:hint="eastAsia" w:ascii="宋体" w:hAnsi="宋体" w:eastAsia="宋体" w:cs="宋体"/>
          <w:color w:val="000000"/>
          <w:kern w:val="0"/>
          <w:szCs w:val="24"/>
        </w:rPr>
        <w:t>本次申请发行的202</w:t>
      </w:r>
      <w:r>
        <w:rPr>
          <w:rFonts w:ascii="宋体" w:hAnsi="宋体" w:eastAsia="宋体" w:cs="宋体"/>
          <w:color w:val="000000"/>
          <w:kern w:val="0"/>
          <w:szCs w:val="24"/>
        </w:rPr>
        <w:t>4</w:t>
      </w:r>
      <w:r>
        <w:rPr>
          <w:rFonts w:hint="eastAsia" w:ascii="宋体" w:hAnsi="宋体" w:eastAsia="宋体" w:cs="宋体"/>
          <w:color w:val="000000"/>
          <w:kern w:val="0"/>
          <w:szCs w:val="24"/>
        </w:rPr>
        <w:t>年江西省南昌市红谷滩生米镇南路村拆迁安置小区建设项目（南路村棚户区改造）专项债券项目，预计业务活动现金流入合计</w:t>
      </w:r>
      <w:r>
        <w:rPr>
          <w:rFonts w:ascii="宋体" w:hAnsi="宋体" w:eastAsia="宋体" w:cs="宋体"/>
          <w:color w:val="000000"/>
          <w:kern w:val="0"/>
          <w:szCs w:val="24"/>
        </w:rPr>
        <w:t>29,767.48</w:t>
      </w:r>
      <w:r>
        <w:rPr>
          <w:rFonts w:hint="eastAsia" w:ascii="宋体" w:hAnsi="宋体" w:eastAsia="宋体" w:cs="宋体"/>
          <w:color w:val="000000"/>
          <w:kern w:val="0"/>
          <w:szCs w:val="24"/>
        </w:rPr>
        <w:t>万元，其中：土地出让收入</w:t>
      </w:r>
      <w:r>
        <w:rPr>
          <w:rFonts w:ascii="宋体" w:hAnsi="宋体" w:eastAsia="宋体" w:cs="宋体"/>
          <w:color w:val="000000"/>
          <w:kern w:val="0"/>
          <w:szCs w:val="24"/>
        </w:rPr>
        <w:t>29,767.48</w:t>
      </w:r>
      <w:r>
        <w:rPr>
          <w:rFonts w:hint="eastAsia" w:ascii="宋体" w:hAnsi="宋体" w:eastAsia="宋体" w:cs="宋体"/>
          <w:color w:val="000000"/>
          <w:kern w:val="0"/>
          <w:szCs w:val="24"/>
        </w:rPr>
        <w:t>万元</w:t>
      </w:r>
      <w:r>
        <w:rPr>
          <w:rFonts w:ascii="宋体" w:hAnsi="宋体" w:eastAsia="宋体" w:cs="宋体"/>
          <w:color w:val="000000"/>
          <w:kern w:val="0"/>
          <w:szCs w:val="24"/>
        </w:rPr>
        <w:t>。</w:t>
      </w:r>
      <w:r>
        <w:rPr>
          <w:rFonts w:hint="eastAsia" w:ascii="宋体" w:hAnsi="宋体" w:eastAsia="宋体" w:cs="宋体"/>
          <w:color w:val="000000"/>
          <w:kern w:val="0"/>
          <w:szCs w:val="24"/>
        </w:rPr>
        <w:t>项目自运营期（202</w:t>
      </w:r>
      <w:r>
        <w:rPr>
          <w:rFonts w:ascii="宋体" w:hAnsi="宋体" w:eastAsia="宋体" w:cs="宋体"/>
          <w:color w:val="000000"/>
          <w:kern w:val="0"/>
          <w:szCs w:val="24"/>
        </w:rPr>
        <w:t>4年</w:t>
      </w:r>
      <w:r>
        <w:rPr>
          <w:rFonts w:hint="eastAsia" w:ascii="宋体" w:hAnsi="宋体" w:eastAsia="宋体" w:cs="宋体"/>
          <w:color w:val="000000"/>
          <w:kern w:val="0"/>
          <w:szCs w:val="24"/>
        </w:rPr>
        <w:t>）开始至债券到期的项目收益年度分布情况如下：</w:t>
      </w:r>
    </w:p>
    <w:p w14:paraId="12B4F458">
      <w:pPr>
        <w:keepNext/>
        <w:widowControl/>
        <w:spacing w:after="0" w:line="360" w:lineRule="exact"/>
        <w:ind w:firstLine="0" w:firstLineChars="0"/>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表3-</w:t>
      </w:r>
      <w:r>
        <w:rPr>
          <w:rFonts w:ascii="宋体" w:hAnsi="宋体" w:eastAsia="宋体" w:cs="宋体"/>
          <w:b/>
          <w:color w:val="000000"/>
          <w:kern w:val="0"/>
          <w:sz w:val="21"/>
          <w:szCs w:val="21"/>
        </w:rPr>
        <w:t>1</w:t>
      </w:r>
      <w:r>
        <w:rPr>
          <w:rFonts w:hint="eastAsia" w:ascii="宋体" w:hAnsi="宋体" w:eastAsia="宋体" w:cs="宋体"/>
          <w:b/>
          <w:color w:val="000000"/>
          <w:kern w:val="0"/>
          <w:sz w:val="21"/>
          <w:szCs w:val="21"/>
        </w:rPr>
        <w:t>项目收益年度分布情况分析</w:t>
      </w:r>
    </w:p>
    <w:p w14:paraId="430E8B7E">
      <w:pPr>
        <w:keepNext/>
        <w:widowControl/>
        <w:spacing w:after="0" w:line="360" w:lineRule="exact"/>
        <w:ind w:right="54" w:rightChars="26" w:firstLine="360"/>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3962"/>
        <w:gridCol w:w="3347"/>
      </w:tblGrid>
      <w:tr w14:paraId="74DD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trPr>
        <w:tc>
          <w:tcPr>
            <w:tcW w:w="809" w:type="pct"/>
            <w:shd w:val="clear" w:color="auto" w:fill="auto"/>
            <w:noWrap/>
            <w:vAlign w:val="center"/>
          </w:tcPr>
          <w:p w14:paraId="200A2B1B">
            <w:pPr>
              <w:widowControl/>
              <w:spacing w:after="0" w:line="240" w:lineRule="auto"/>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年份</w:t>
            </w:r>
          </w:p>
        </w:tc>
        <w:tc>
          <w:tcPr>
            <w:tcW w:w="2272" w:type="pct"/>
            <w:shd w:val="clear" w:color="auto" w:fill="auto"/>
            <w:noWrap/>
          </w:tcPr>
          <w:p w14:paraId="4124657A">
            <w:pPr>
              <w:widowControl/>
              <w:spacing w:after="0" w:line="240" w:lineRule="auto"/>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土地出让收入</w:t>
            </w:r>
          </w:p>
        </w:tc>
        <w:tc>
          <w:tcPr>
            <w:tcW w:w="1919" w:type="pct"/>
            <w:shd w:val="clear" w:color="auto" w:fill="auto"/>
            <w:noWrap/>
            <w:vAlign w:val="center"/>
          </w:tcPr>
          <w:p w14:paraId="2C55DBC7">
            <w:pPr>
              <w:widowControl/>
              <w:spacing w:after="0" w:line="240" w:lineRule="auto"/>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合计</w:t>
            </w:r>
          </w:p>
        </w:tc>
      </w:tr>
      <w:tr w14:paraId="64B0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809" w:type="pct"/>
            <w:shd w:val="clear" w:color="auto" w:fill="auto"/>
            <w:noWrap/>
          </w:tcPr>
          <w:p w14:paraId="64552E7D">
            <w:pPr>
              <w:widowControl/>
              <w:spacing w:after="0" w:line="240" w:lineRule="auto"/>
              <w:ind w:firstLine="0" w:firstLineChars="0"/>
              <w:jc w:val="center"/>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2024</w:t>
            </w:r>
          </w:p>
        </w:tc>
        <w:tc>
          <w:tcPr>
            <w:tcW w:w="2272" w:type="pct"/>
            <w:shd w:val="clear" w:color="auto" w:fill="auto"/>
            <w:noWrap/>
          </w:tcPr>
          <w:p w14:paraId="32E56AB8">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c>
          <w:tcPr>
            <w:tcW w:w="1919" w:type="pct"/>
            <w:shd w:val="clear" w:color="auto" w:fill="auto"/>
            <w:noWrap/>
          </w:tcPr>
          <w:p w14:paraId="263BF19B">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r>
      <w:tr w14:paraId="77A6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809" w:type="pct"/>
            <w:shd w:val="clear" w:color="auto" w:fill="auto"/>
            <w:noWrap/>
          </w:tcPr>
          <w:p w14:paraId="66654903">
            <w:pPr>
              <w:widowControl/>
              <w:spacing w:after="0" w:line="240" w:lineRule="auto"/>
              <w:ind w:firstLine="0" w:firstLineChars="0"/>
              <w:jc w:val="center"/>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2025</w:t>
            </w:r>
          </w:p>
        </w:tc>
        <w:tc>
          <w:tcPr>
            <w:tcW w:w="2272" w:type="pct"/>
            <w:shd w:val="clear" w:color="auto" w:fill="auto"/>
            <w:noWrap/>
          </w:tcPr>
          <w:p w14:paraId="56AED4ED">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c>
          <w:tcPr>
            <w:tcW w:w="1919" w:type="pct"/>
            <w:shd w:val="clear" w:color="auto" w:fill="auto"/>
            <w:noWrap/>
          </w:tcPr>
          <w:p w14:paraId="0C2B63F7">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r>
      <w:tr w14:paraId="215A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809" w:type="pct"/>
            <w:shd w:val="clear" w:color="auto" w:fill="auto"/>
            <w:noWrap/>
          </w:tcPr>
          <w:p w14:paraId="4EAFCD5C">
            <w:pPr>
              <w:widowControl/>
              <w:spacing w:after="0" w:line="240" w:lineRule="auto"/>
              <w:ind w:firstLine="0" w:firstLineChars="0"/>
              <w:jc w:val="center"/>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2026</w:t>
            </w:r>
          </w:p>
        </w:tc>
        <w:tc>
          <w:tcPr>
            <w:tcW w:w="2272" w:type="pct"/>
            <w:shd w:val="clear" w:color="auto" w:fill="auto"/>
            <w:noWrap/>
          </w:tcPr>
          <w:p w14:paraId="49661AC3">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c>
          <w:tcPr>
            <w:tcW w:w="1919" w:type="pct"/>
            <w:shd w:val="clear" w:color="auto" w:fill="auto"/>
            <w:noWrap/>
          </w:tcPr>
          <w:p w14:paraId="6D1D8A99">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r>
      <w:tr w14:paraId="463E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809" w:type="pct"/>
            <w:shd w:val="clear" w:color="auto" w:fill="auto"/>
            <w:noWrap/>
          </w:tcPr>
          <w:p w14:paraId="3882DCEE">
            <w:pPr>
              <w:widowControl/>
              <w:spacing w:after="0" w:line="240" w:lineRule="auto"/>
              <w:ind w:firstLine="0" w:firstLineChars="0"/>
              <w:jc w:val="center"/>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2027</w:t>
            </w:r>
          </w:p>
        </w:tc>
        <w:tc>
          <w:tcPr>
            <w:tcW w:w="2272" w:type="pct"/>
            <w:shd w:val="clear" w:color="auto" w:fill="auto"/>
            <w:noWrap/>
          </w:tcPr>
          <w:p w14:paraId="0F6262E4">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c>
          <w:tcPr>
            <w:tcW w:w="1919" w:type="pct"/>
            <w:shd w:val="clear" w:color="auto" w:fill="auto"/>
            <w:noWrap/>
          </w:tcPr>
          <w:p w14:paraId="4C7882CB">
            <w:pPr>
              <w:widowControl/>
              <w:spacing w:after="0" w:line="240" w:lineRule="auto"/>
              <w:ind w:firstLine="0" w:firstLineChars="0"/>
              <w:jc w:val="right"/>
              <w:rPr>
                <w:rFonts w:hint="eastAsia" w:ascii="宋体" w:hAnsi="宋体" w:eastAsia="宋体" w:cs="Times New Roman"/>
                <w:color w:val="000000"/>
                <w:kern w:val="0"/>
                <w:sz w:val="18"/>
                <w:szCs w:val="18"/>
                <w:lang w:bidi="ar"/>
              </w:rPr>
            </w:pPr>
            <w:r>
              <w:rPr>
                <w:rFonts w:ascii="宋体" w:hAnsi="宋体" w:eastAsia="宋体" w:cs="Times New Roman"/>
                <w:color w:val="000000"/>
                <w:kern w:val="0"/>
                <w:sz w:val="18"/>
                <w:szCs w:val="18"/>
                <w:lang w:bidi="ar"/>
              </w:rPr>
              <w:t>7</w:t>
            </w:r>
            <w:r>
              <w:rPr>
                <w:rFonts w:hint="eastAsia" w:ascii="宋体" w:hAnsi="宋体" w:eastAsia="宋体" w:cs="Times New Roman"/>
                <w:color w:val="000000"/>
                <w:kern w:val="0"/>
                <w:sz w:val="18"/>
                <w:szCs w:val="18"/>
                <w:lang w:bidi="ar"/>
              </w:rPr>
              <w:t>,</w:t>
            </w:r>
            <w:r>
              <w:rPr>
                <w:rFonts w:ascii="宋体" w:hAnsi="宋体" w:eastAsia="宋体" w:cs="Times New Roman"/>
                <w:color w:val="000000"/>
                <w:kern w:val="0"/>
                <w:sz w:val="18"/>
                <w:szCs w:val="18"/>
                <w:lang w:bidi="ar"/>
              </w:rPr>
              <w:t>441.87</w:t>
            </w:r>
          </w:p>
        </w:tc>
      </w:tr>
      <w:tr w14:paraId="4C2D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809" w:type="pct"/>
            <w:shd w:val="clear" w:color="auto" w:fill="auto"/>
            <w:noWrap/>
            <w:vAlign w:val="center"/>
          </w:tcPr>
          <w:p w14:paraId="67F080CF">
            <w:pPr>
              <w:widowControl/>
              <w:spacing w:after="0" w:line="240" w:lineRule="auto"/>
              <w:ind w:firstLine="0" w:firstLineChars="0"/>
              <w:jc w:val="center"/>
              <w:rPr>
                <w:rFonts w:hint="eastAsia" w:ascii="宋体" w:hAnsi="宋体" w:eastAsia="宋体" w:cs="Times New Roman"/>
                <w:b/>
                <w:color w:val="000000"/>
                <w:kern w:val="0"/>
                <w:sz w:val="18"/>
                <w:szCs w:val="18"/>
                <w:lang w:bidi="ar"/>
              </w:rPr>
            </w:pPr>
            <w:r>
              <w:rPr>
                <w:rFonts w:hint="eastAsia" w:ascii="宋体" w:hAnsi="宋体" w:eastAsia="宋体" w:cs="Times New Roman"/>
                <w:b/>
                <w:color w:val="000000"/>
                <w:kern w:val="0"/>
                <w:sz w:val="18"/>
                <w:szCs w:val="18"/>
                <w:lang w:bidi="ar"/>
              </w:rPr>
              <w:t>合计</w:t>
            </w:r>
          </w:p>
        </w:tc>
        <w:tc>
          <w:tcPr>
            <w:tcW w:w="2272" w:type="pct"/>
            <w:shd w:val="clear" w:color="auto" w:fill="auto"/>
            <w:noWrap/>
          </w:tcPr>
          <w:p w14:paraId="108A6184">
            <w:pPr>
              <w:widowControl/>
              <w:spacing w:after="0" w:line="240" w:lineRule="auto"/>
              <w:ind w:firstLine="0" w:firstLineChars="0"/>
              <w:jc w:val="right"/>
              <w:rPr>
                <w:rFonts w:hint="eastAsia" w:ascii="宋体" w:hAnsi="宋体" w:eastAsia="宋体" w:cs="Times New Roman"/>
                <w:b/>
                <w:color w:val="000000"/>
                <w:kern w:val="0"/>
                <w:sz w:val="18"/>
                <w:szCs w:val="18"/>
                <w:lang w:bidi="ar"/>
              </w:rPr>
            </w:pPr>
            <w:r>
              <w:rPr>
                <w:rFonts w:ascii="宋体" w:hAnsi="宋体" w:eastAsia="宋体" w:cs="Times New Roman"/>
                <w:b/>
                <w:color w:val="000000"/>
                <w:kern w:val="0"/>
                <w:sz w:val="18"/>
                <w:szCs w:val="18"/>
                <w:lang w:bidi="ar"/>
              </w:rPr>
              <w:t xml:space="preserve"> 29,767.48 </w:t>
            </w:r>
          </w:p>
        </w:tc>
        <w:tc>
          <w:tcPr>
            <w:tcW w:w="1919" w:type="pct"/>
            <w:shd w:val="clear" w:color="auto" w:fill="auto"/>
            <w:noWrap/>
          </w:tcPr>
          <w:p w14:paraId="27CBB00A">
            <w:pPr>
              <w:widowControl/>
              <w:spacing w:after="0" w:line="240" w:lineRule="auto"/>
              <w:ind w:firstLine="0" w:firstLineChars="0"/>
              <w:jc w:val="right"/>
              <w:rPr>
                <w:rFonts w:hint="eastAsia" w:ascii="宋体" w:hAnsi="宋体" w:eastAsia="宋体" w:cs="Times New Roman"/>
                <w:b/>
                <w:color w:val="000000"/>
                <w:kern w:val="0"/>
                <w:sz w:val="18"/>
                <w:szCs w:val="18"/>
                <w:lang w:bidi="ar"/>
              </w:rPr>
            </w:pPr>
            <w:r>
              <w:rPr>
                <w:rFonts w:ascii="宋体" w:hAnsi="宋体" w:eastAsia="宋体" w:cs="Times New Roman"/>
                <w:b/>
                <w:color w:val="000000"/>
                <w:kern w:val="0"/>
                <w:sz w:val="18"/>
                <w:szCs w:val="18"/>
                <w:lang w:bidi="ar"/>
              </w:rPr>
              <w:t xml:space="preserve"> 29,767.48 </w:t>
            </w:r>
          </w:p>
        </w:tc>
      </w:tr>
    </w:tbl>
    <w:p w14:paraId="7D353D7C">
      <w:pPr>
        <w:pStyle w:val="20"/>
        <w:spacing w:before="0" w:beforeAutospacing="0" w:after="156" w:afterLines="50" w:afterAutospacing="0" w:line="360" w:lineRule="exact"/>
        <w:ind w:firstLine="420"/>
        <w:jc w:val="both"/>
        <w:rPr>
          <w:rFonts w:hint="eastAsia" w:eastAsia="宋体"/>
          <w:color w:val="000000"/>
          <w:sz w:val="21"/>
          <w:szCs w:val="21"/>
        </w:rPr>
      </w:pPr>
      <w:r>
        <w:rPr>
          <w:rFonts w:hint="eastAsia" w:eastAsia="宋体"/>
          <w:color w:val="000000"/>
          <w:sz w:val="21"/>
          <w:szCs w:val="21"/>
        </w:rPr>
        <w:t>本项目经营收入的估算依据如下：</w:t>
      </w:r>
    </w:p>
    <w:p w14:paraId="7E84AF09">
      <w:pPr>
        <w:widowControl/>
        <w:spacing w:before="100" w:beforeAutospacing="1" w:after="156" w:afterLines="50" w:afterAutospacing="1" w:line="360" w:lineRule="exact"/>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Cs w:val="24"/>
        </w:rPr>
        <w:t>（1）土地出让收入</w:t>
      </w:r>
    </w:p>
    <w:p w14:paraId="433BE92D">
      <w:pPr>
        <w:widowControl/>
        <w:spacing w:before="100" w:beforeAutospacing="1" w:after="156" w:afterLines="50" w:afterAutospacing="1" w:line="360" w:lineRule="exact"/>
        <w:ind w:firstLine="480"/>
        <w:jc w:val="left"/>
        <w:rPr>
          <w:rFonts w:hint="eastAsia" w:cs="宋体" w:asciiTheme="minorEastAsia" w:hAnsiTheme="minorEastAsia"/>
          <w:color w:val="000000"/>
          <w:kern w:val="0"/>
          <w:szCs w:val="24"/>
        </w:rPr>
      </w:pPr>
      <w:r>
        <w:rPr>
          <w:rFonts w:hint="eastAsia" w:cs="宋体" w:asciiTheme="minorEastAsia" w:hAnsiTheme="minorEastAsia"/>
          <w:color w:val="000000"/>
          <w:kern w:val="0"/>
          <w:szCs w:val="24"/>
        </w:rPr>
        <w:t>项目采用住宅用地土地单价作为参考，结合时间因素，配套因素和地块的区位因素，并考虑地理位置及土地性质、使用年限等确定权重值。红谷滩生米镇南路村拆迁安置小区建设项目（南路村棚户区改造）可置换出土地75亩，土地性质为住宅用地，参考红谷滩区，吉安街JLH1503-AO4出让价格数据540万元/亩。</w:t>
      </w:r>
    </w:p>
    <w:p w14:paraId="6C6D3564">
      <w:pPr>
        <w:widowControl/>
        <w:spacing w:after="156" w:afterLines="50" w:line="360" w:lineRule="exact"/>
        <w:ind w:firstLine="480"/>
        <w:rPr>
          <w:rFonts w:hint="eastAsia" w:cs="宋体" w:asciiTheme="minorEastAsia" w:hAnsiTheme="minorEastAsia"/>
          <w:color w:val="000000"/>
          <w:kern w:val="0"/>
          <w:szCs w:val="24"/>
        </w:rPr>
      </w:pPr>
      <w:r>
        <w:rPr>
          <w:rFonts w:hint="eastAsia" w:cs="宋体" w:asciiTheme="minorEastAsia" w:hAnsiTheme="minorEastAsia"/>
          <w:color w:val="000000"/>
          <w:kern w:val="0"/>
          <w:szCs w:val="24"/>
        </w:rPr>
        <w:t>综合考虑以上案例，并结合住宅用地出让现状是房价平稳，再加上土地的稀缺性，本项目可出让的75亩用地，拟计划第4年出让25%，第5年出让25%，第6年出让25%，第7年出让25%。考虑出让受国家政策、时间、价格等多种因素的影响，按照谨慎的原则，项目选取540万元/亩作为第4-7年年土地出让单价，以此为基数，土地出让单价取基数的75%，即405万元/亩。</w:t>
      </w:r>
    </w:p>
    <w:p w14:paraId="34A6398F">
      <w:pPr>
        <w:widowControl/>
        <w:spacing w:after="156" w:afterLines="50" w:line="360" w:lineRule="exact"/>
        <w:ind w:firstLine="480"/>
        <w:rPr>
          <w:rFonts w:hint="eastAsia" w:cs="宋体" w:asciiTheme="minorEastAsia" w:hAnsiTheme="minorEastAsia"/>
          <w:color w:val="000000"/>
          <w:kern w:val="0"/>
          <w:szCs w:val="24"/>
        </w:rPr>
      </w:pPr>
      <w:r>
        <w:rPr>
          <w:rFonts w:hint="eastAsia" w:cs="宋体" w:asciiTheme="minorEastAsia" w:hAnsiTheme="minorEastAsia"/>
          <w:color w:val="000000"/>
          <w:kern w:val="0"/>
          <w:szCs w:val="24"/>
        </w:rPr>
        <w:t>南昌红江实业发展有限公司在以往年度收支基础上综合考虑，合理预测了202</w:t>
      </w:r>
      <w:r>
        <w:rPr>
          <w:rFonts w:cs="宋体" w:asciiTheme="minorEastAsia" w:hAnsiTheme="minorEastAsia"/>
          <w:color w:val="000000"/>
          <w:kern w:val="0"/>
          <w:szCs w:val="24"/>
        </w:rPr>
        <w:t>4-2027</w:t>
      </w:r>
      <w:r>
        <w:rPr>
          <w:rFonts w:hint="eastAsia" w:cs="宋体" w:asciiTheme="minorEastAsia" w:hAnsiTheme="minorEastAsia"/>
          <w:color w:val="000000"/>
          <w:kern w:val="0"/>
          <w:szCs w:val="24"/>
        </w:rPr>
        <w:t>年的收入、支出，各年现金流入及现金流出均保持了稳定的增长，且保持了各年现金结余的总体增长。</w:t>
      </w:r>
    </w:p>
    <w:p w14:paraId="67FB0315">
      <w:pPr>
        <w:pStyle w:val="20"/>
        <w:spacing w:before="0" w:beforeAutospacing="0" w:after="156" w:afterLines="50" w:afterAutospacing="0" w:line="360" w:lineRule="exact"/>
        <w:ind w:firstLine="562"/>
        <w:jc w:val="both"/>
        <w:rPr>
          <w:rFonts w:hint="eastAsia" w:asciiTheme="minorEastAsia" w:hAnsiTheme="minorEastAsia" w:cstheme="minorEastAsia"/>
          <w:b/>
          <w:bCs/>
          <w:sz w:val="28"/>
          <w:szCs w:val="28"/>
        </w:rPr>
      </w:pPr>
    </w:p>
    <w:p w14:paraId="23B21831">
      <w:pPr>
        <w:pStyle w:val="20"/>
        <w:spacing w:before="0" w:beforeAutospacing="0" w:after="156" w:afterLines="50" w:afterAutospacing="0" w:line="360" w:lineRule="exact"/>
        <w:ind w:firstLine="562"/>
        <w:jc w:val="both"/>
        <w:rPr>
          <w:rFonts w:hint="eastAsia" w:ascii="仿宋" w:hAnsi="仿宋" w:eastAsia="仿宋" w:cs="仿宋"/>
          <w:b/>
          <w:bCs/>
        </w:rPr>
      </w:pPr>
      <w:r>
        <w:rPr>
          <w:rFonts w:hint="eastAsia" w:asciiTheme="minorEastAsia" w:hAnsiTheme="minorEastAsia" w:cstheme="minorEastAsia"/>
          <w:b/>
          <w:bCs/>
          <w:sz w:val="28"/>
          <w:szCs w:val="28"/>
        </w:rPr>
        <w:t>（二）项目运营成本测算</w:t>
      </w:r>
      <w:bookmarkEnd w:id="30"/>
    </w:p>
    <w:p w14:paraId="0256E84C">
      <w:pPr>
        <w:widowControl/>
        <w:spacing w:after="156" w:afterLines="50" w:line="360" w:lineRule="exact"/>
        <w:ind w:firstLine="48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1.债券还本付息分析</w:t>
      </w:r>
    </w:p>
    <w:p w14:paraId="7E531AC6">
      <w:pPr>
        <w:pStyle w:val="20"/>
        <w:spacing w:before="0" w:beforeAutospacing="0" w:after="156" w:afterLines="50" w:afterAutospacing="0" w:line="360" w:lineRule="exact"/>
        <w:ind w:firstLine="480"/>
        <w:jc w:val="both"/>
        <w:rPr>
          <w:rFonts w:eastAsia="宋体"/>
          <w:color w:val="000000"/>
        </w:rPr>
      </w:pPr>
      <w:bookmarkStart w:id="31" w:name="AE10AQ41"/>
      <w:bookmarkEnd w:id="31"/>
      <w:r>
        <w:rPr>
          <w:rFonts w:hint="eastAsia" w:eastAsia="宋体"/>
          <w:color w:val="000000"/>
        </w:rPr>
        <w:t>本次南昌红江实业发展有限公司组织申报发行南昌市红谷滩生米镇南路村拆迁安置小区建设项目（南路村棚户区改造）专项债券项目的总投资额58,309.68万元。计划发行专项债券金额10,000.00万元，其中：2022年已发行800.00万元，实际利率2.85%；2023年已发行5,200.00万元，实际利率2.79%；2024年本期计划发行4,000.00万元。根据目前7年期国债利率2.8450%,从客观、谨慎角度出发，2024年本批次债券年利率取3.90%,发行费率暂按照0.10%测算，据此预计专项债券利息合计为2,267.16万元，预计发行费用为10.00万元。</w:t>
      </w:r>
    </w:p>
    <w:p w14:paraId="1AF8A09D">
      <w:pPr>
        <w:pStyle w:val="20"/>
        <w:spacing w:before="0" w:beforeAutospacing="0" w:after="156" w:afterLines="50" w:afterAutospacing="0" w:line="360" w:lineRule="exact"/>
        <w:ind w:firstLine="480"/>
        <w:jc w:val="both"/>
        <w:rPr>
          <w:rFonts w:hint="eastAsia" w:eastAsia="宋体"/>
          <w:color w:val="000000"/>
        </w:rPr>
      </w:pPr>
      <w:r>
        <w:rPr>
          <w:rFonts w:hint="eastAsia"/>
          <w:color w:val="000000" w:themeColor="text1"/>
          <w14:textFill>
            <w14:solidFill>
              <w14:schemeClr w14:val="tx1"/>
            </w14:solidFill>
          </w14:textFill>
        </w:rPr>
        <w:t>按照该</w:t>
      </w:r>
      <w:r>
        <w:rPr>
          <w:color w:val="000000" w:themeColor="text1"/>
          <w14:textFill>
            <w14:solidFill>
              <w14:schemeClr w14:val="tx1"/>
            </w14:solidFill>
          </w14:textFill>
        </w:rPr>
        <w:t>项目</w:t>
      </w:r>
      <w:r>
        <w:rPr>
          <w:rFonts w:hint="eastAsia"/>
          <w:color w:val="000000" w:themeColor="text1"/>
          <w14:textFill>
            <w14:solidFill>
              <w14:schemeClr w14:val="tx1"/>
            </w14:solidFill>
          </w14:textFill>
        </w:rPr>
        <w:t>专项债券发行计划</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年期以202</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年债券年利率取</w:t>
      </w:r>
      <w:r>
        <w:rPr>
          <w:color w:val="000000" w:themeColor="text1"/>
          <w14:textFill>
            <w14:solidFill>
              <w14:schemeClr w14:val="tx1"/>
            </w14:solidFill>
          </w14:textFill>
        </w:rPr>
        <w:t>3.90</w:t>
      </w:r>
      <w:r>
        <w:rPr>
          <w:rFonts w:hint="eastAsia"/>
          <w:color w:val="000000" w:themeColor="text1"/>
          <w14:textFill>
            <w14:solidFill>
              <w14:schemeClr w14:val="tx1"/>
            </w14:solidFill>
          </w14:textFill>
        </w:rPr>
        <w:t>%,每年支付一次利息，到期一次还本，本项目专项债券还本付息情况如下表所示：</w:t>
      </w:r>
    </w:p>
    <w:p w14:paraId="4F365F28">
      <w:pPr>
        <w:ind w:firstLine="482"/>
        <w:jc w:val="center"/>
        <w:rPr>
          <w:rFonts w:hint="eastAsia"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w:t>
      </w:r>
      <w:r>
        <w:rPr>
          <w:rFonts w:hint="eastAsia" w:ascii="宋体" w:hAnsi="宋体"/>
          <w:b/>
          <w:color w:val="000000" w:themeColor="text1"/>
          <w:szCs w:val="24"/>
          <w14:textFill>
            <w14:solidFill>
              <w14:schemeClr w14:val="tx1"/>
            </w14:solidFill>
          </w14:textFill>
        </w:rPr>
        <w:t xml:space="preserve"> </w:t>
      </w:r>
      <w:r>
        <w:rPr>
          <w:rFonts w:ascii="宋体" w:hAnsi="宋体"/>
          <w:b/>
          <w:color w:val="000000" w:themeColor="text1"/>
          <w:szCs w:val="24"/>
          <w14:textFill>
            <w14:solidFill>
              <w14:schemeClr w14:val="tx1"/>
            </w14:solidFill>
          </w14:textFill>
        </w:rPr>
        <w:t xml:space="preserve"> 2022</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2030</w:t>
      </w:r>
      <w:r>
        <w:rPr>
          <w:rFonts w:hint="eastAsia" w:ascii="宋体" w:hAnsi="宋体" w:cs="仿宋"/>
          <w:b/>
          <w:color w:val="000000" w:themeColor="text1"/>
          <w:szCs w:val="24"/>
          <w14:textFill>
            <w14:solidFill>
              <w14:schemeClr w14:val="tx1"/>
            </w14:solidFill>
          </w14:textFill>
        </w:rPr>
        <w:t>年专项债券还本付息情况预测表</w:t>
      </w:r>
    </w:p>
    <w:p w14:paraId="73ED5D3E">
      <w:pPr>
        <w:ind w:firstLine="360"/>
        <w:jc w:val="right"/>
        <w:rPr>
          <w:rFonts w:hint="eastAsia" w:ascii="宋体" w:hAnsi="宋体" w:cs="仿宋"/>
          <w:color w:val="000000" w:themeColor="text1"/>
          <w:sz w:val="18"/>
          <w:szCs w:val="18"/>
          <w14:textFill>
            <w14:solidFill>
              <w14:schemeClr w14:val="tx1"/>
            </w14:solidFill>
          </w14:textFill>
        </w:rPr>
      </w:pPr>
      <w:r>
        <w:rPr>
          <w:rFonts w:hint="eastAsia" w:ascii="宋体" w:hAnsi="宋体" w:cs="仿宋"/>
          <w:color w:val="000000" w:themeColor="text1"/>
          <w:sz w:val="18"/>
          <w:szCs w:val="18"/>
          <w14:textFill>
            <w14:solidFill>
              <w14:schemeClr w14:val="tx1"/>
            </w14:solidFill>
          </w14:textFill>
        </w:rPr>
        <w:t>单位：万元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345"/>
        <w:gridCol w:w="1418"/>
        <w:gridCol w:w="1036"/>
        <w:gridCol w:w="1198"/>
        <w:gridCol w:w="1277"/>
        <w:gridCol w:w="1448"/>
      </w:tblGrid>
      <w:tr w14:paraId="04FD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573" w:type="pct"/>
            <w:shd w:val="clear" w:color="auto" w:fill="auto"/>
            <w:vAlign w:val="center"/>
          </w:tcPr>
          <w:p w14:paraId="741EF9F3">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年 份</w:t>
            </w:r>
          </w:p>
        </w:tc>
        <w:tc>
          <w:tcPr>
            <w:tcW w:w="771" w:type="pct"/>
            <w:shd w:val="clear" w:color="auto" w:fill="auto"/>
            <w:vAlign w:val="center"/>
          </w:tcPr>
          <w:p w14:paraId="6367C4CE">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期初债券余额</w:t>
            </w:r>
          </w:p>
        </w:tc>
        <w:tc>
          <w:tcPr>
            <w:tcW w:w="813" w:type="pct"/>
            <w:shd w:val="clear" w:color="auto" w:fill="auto"/>
            <w:vAlign w:val="center"/>
          </w:tcPr>
          <w:p w14:paraId="1EF5F179">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本期发行</w:t>
            </w:r>
          </w:p>
        </w:tc>
        <w:tc>
          <w:tcPr>
            <w:tcW w:w="594" w:type="pct"/>
            <w:shd w:val="clear" w:color="auto" w:fill="auto"/>
            <w:vAlign w:val="center"/>
          </w:tcPr>
          <w:p w14:paraId="5C3D723E">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发行费用</w:t>
            </w:r>
          </w:p>
        </w:tc>
        <w:tc>
          <w:tcPr>
            <w:tcW w:w="687" w:type="pct"/>
            <w:shd w:val="clear" w:color="auto" w:fill="auto"/>
            <w:vAlign w:val="center"/>
          </w:tcPr>
          <w:p w14:paraId="3C5492B5">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本期付息</w:t>
            </w:r>
          </w:p>
        </w:tc>
        <w:tc>
          <w:tcPr>
            <w:tcW w:w="732" w:type="pct"/>
            <w:shd w:val="clear" w:color="auto" w:fill="auto"/>
            <w:vAlign w:val="center"/>
          </w:tcPr>
          <w:p w14:paraId="138D0FF6">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本期还本</w:t>
            </w:r>
          </w:p>
        </w:tc>
        <w:tc>
          <w:tcPr>
            <w:tcW w:w="830" w:type="pct"/>
            <w:shd w:val="clear" w:color="auto" w:fill="auto"/>
            <w:vAlign w:val="center"/>
          </w:tcPr>
          <w:p w14:paraId="25A9FA8E">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期末债券余额</w:t>
            </w:r>
          </w:p>
        </w:tc>
      </w:tr>
      <w:tr w14:paraId="3884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573" w:type="pct"/>
            <w:shd w:val="clear" w:color="auto" w:fill="auto"/>
            <w:vAlign w:val="center"/>
          </w:tcPr>
          <w:p w14:paraId="1934BF07">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w:t>
            </w:r>
            <w:r>
              <w:rPr>
                <w:rFonts w:ascii="宋体" w:hAnsi="宋体" w:eastAsia="宋体" w:cs="宋体"/>
                <w:bCs/>
                <w:color w:val="000000"/>
                <w:kern w:val="0"/>
                <w:sz w:val="18"/>
                <w:szCs w:val="18"/>
              </w:rPr>
              <w:t>022</w:t>
            </w:r>
            <w:r>
              <w:rPr>
                <w:rFonts w:hint="eastAsia" w:ascii="宋体" w:hAnsi="宋体" w:eastAsia="宋体" w:cs="宋体"/>
                <w:bCs/>
                <w:color w:val="000000"/>
                <w:kern w:val="0"/>
                <w:sz w:val="18"/>
                <w:szCs w:val="18"/>
              </w:rPr>
              <w:t>年</w:t>
            </w:r>
          </w:p>
        </w:tc>
        <w:tc>
          <w:tcPr>
            <w:tcW w:w="771" w:type="pct"/>
            <w:shd w:val="clear" w:color="auto" w:fill="auto"/>
          </w:tcPr>
          <w:p w14:paraId="179135AE">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   </w:t>
            </w:r>
          </w:p>
        </w:tc>
        <w:tc>
          <w:tcPr>
            <w:tcW w:w="813" w:type="pct"/>
            <w:shd w:val="clear" w:color="auto" w:fill="auto"/>
          </w:tcPr>
          <w:p w14:paraId="38C50849">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800.00 </w:t>
            </w:r>
          </w:p>
        </w:tc>
        <w:tc>
          <w:tcPr>
            <w:tcW w:w="594" w:type="pct"/>
            <w:shd w:val="clear" w:color="auto" w:fill="auto"/>
          </w:tcPr>
          <w:p w14:paraId="79DBBB92">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0.80 </w:t>
            </w:r>
          </w:p>
        </w:tc>
        <w:tc>
          <w:tcPr>
            <w:tcW w:w="687" w:type="pct"/>
            <w:shd w:val="clear" w:color="auto" w:fill="auto"/>
          </w:tcPr>
          <w:p w14:paraId="7DB7D52F">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732" w:type="pct"/>
            <w:shd w:val="clear" w:color="auto" w:fill="auto"/>
          </w:tcPr>
          <w:p w14:paraId="107A63BD">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42510048">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800.00 </w:t>
            </w:r>
          </w:p>
        </w:tc>
      </w:tr>
      <w:tr w14:paraId="0DC7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55F883C3">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2023年</w:t>
            </w:r>
          </w:p>
        </w:tc>
        <w:tc>
          <w:tcPr>
            <w:tcW w:w="771" w:type="pct"/>
            <w:shd w:val="clear" w:color="auto" w:fill="auto"/>
          </w:tcPr>
          <w:p w14:paraId="39E3ADCD">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800.00 </w:t>
            </w:r>
          </w:p>
        </w:tc>
        <w:tc>
          <w:tcPr>
            <w:tcW w:w="813" w:type="pct"/>
            <w:shd w:val="clear" w:color="auto" w:fill="auto"/>
          </w:tcPr>
          <w:p w14:paraId="6E8F62C4">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5,200.00 </w:t>
            </w:r>
          </w:p>
        </w:tc>
        <w:tc>
          <w:tcPr>
            <w:tcW w:w="594" w:type="pct"/>
            <w:shd w:val="clear" w:color="auto" w:fill="auto"/>
          </w:tcPr>
          <w:p w14:paraId="0DCCFC7B">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5.20 </w:t>
            </w:r>
          </w:p>
        </w:tc>
        <w:tc>
          <w:tcPr>
            <w:tcW w:w="687" w:type="pct"/>
            <w:shd w:val="clear" w:color="auto" w:fill="auto"/>
          </w:tcPr>
          <w:p w14:paraId="0BFEB727">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22.80 </w:t>
            </w:r>
          </w:p>
        </w:tc>
        <w:tc>
          <w:tcPr>
            <w:tcW w:w="732" w:type="pct"/>
            <w:shd w:val="clear" w:color="auto" w:fill="auto"/>
          </w:tcPr>
          <w:p w14:paraId="45C51D0C">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35F832F2">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6,000.00 </w:t>
            </w:r>
          </w:p>
        </w:tc>
      </w:tr>
      <w:tr w14:paraId="2DB2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057F174">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2024年</w:t>
            </w:r>
          </w:p>
        </w:tc>
        <w:tc>
          <w:tcPr>
            <w:tcW w:w="771" w:type="pct"/>
            <w:shd w:val="clear" w:color="auto" w:fill="auto"/>
          </w:tcPr>
          <w:p w14:paraId="38D6A9BC">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6,000.00 </w:t>
            </w:r>
          </w:p>
        </w:tc>
        <w:tc>
          <w:tcPr>
            <w:tcW w:w="813" w:type="pct"/>
            <w:shd w:val="clear" w:color="auto" w:fill="auto"/>
          </w:tcPr>
          <w:p w14:paraId="1E3A6CC9">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4,000.00 </w:t>
            </w:r>
          </w:p>
        </w:tc>
        <w:tc>
          <w:tcPr>
            <w:tcW w:w="594" w:type="pct"/>
            <w:shd w:val="clear" w:color="auto" w:fill="auto"/>
          </w:tcPr>
          <w:p w14:paraId="426C2C8B">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4.00 </w:t>
            </w:r>
          </w:p>
        </w:tc>
        <w:tc>
          <w:tcPr>
            <w:tcW w:w="687" w:type="pct"/>
            <w:shd w:val="clear" w:color="auto" w:fill="auto"/>
          </w:tcPr>
          <w:p w14:paraId="4AF59BF3">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167.88 </w:t>
            </w:r>
          </w:p>
        </w:tc>
        <w:tc>
          <w:tcPr>
            <w:tcW w:w="732" w:type="pct"/>
            <w:shd w:val="clear" w:color="auto" w:fill="auto"/>
          </w:tcPr>
          <w:p w14:paraId="4B6C8FBF">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1ED35D64">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r>
      <w:tr w14:paraId="4A3B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78B7210">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2025年</w:t>
            </w:r>
          </w:p>
        </w:tc>
        <w:tc>
          <w:tcPr>
            <w:tcW w:w="771" w:type="pct"/>
            <w:shd w:val="clear" w:color="auto" w:fill="auto"/>
          </w:tcPr>
          <w:p w14:paraId="7BA3A095">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c>
          <w:tcPr>
            <w:tcW w:w="813" w:type="pct"/>
            <w:shd w:val="clear" w:color="auto" w:fill="auto"/>
          </w:tcPr>
          <w:p w14:paraId="4F546CFD">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74E5FF4C">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367FFB33">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323.88 </w:t>
            </w:r>
          </w:p>
        </w:tc>
        <w:tc>
          <w:tcPr>
            <w:tcW w:w="732" w:type="pct"/>
            <w:shd w:val="clear" w:color="auto" w:fill="auto"/>
          </w:tcPr>
          <w:p w14:paraId="66D49F47">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05EF5923">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r>
      <w:tr w14:paraId="4FCA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60352850">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2026年</w:t>
            </w:r>
          </w:p>
        </w:tc>
        <w:tc>
          <w:tcPr>
            <w:tcW w:w="771" w:type="pct"/>
            <w:shd w:val="clear" w:color="auto" w:fill="auto"/>
          </w:tcPr>
          <w:p w14:paraId="72588111">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c>
          <w:tcPr>
            <w:tcW w:w="813" w:type="pct"/>
            <w:shd w:val="clear" w:color="auto" w:fill="auto"/>
          </w:tcPr>
          <w:p w14:paraId="485C5A9E">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1A0D398A">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08652A52">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323.88 </w:t>
            </w:r>
          </w:p>
        </w:tc>
        <w:tc>
          <w:tcPr>
            <w:tcW w:w="732" w:type="pct"/>
            <w:shd w:val="clear" w:color="auto" w:fill="auto"/>
          </w:tcPr>
          <w:p w14:paraId="2C152E55">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439F429A">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r>
      <w:tr w14:paraId="2D73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7B1CA1B">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2027年</w:t>
            </w:r>
          </w:p>
        </w:tc>
        <w:tc>
          <w:tcPr>
            <w:tcW w:w="771" w:type="pct"/>
            <w:shd w:val="clear" w:color="auto" w:fill="auto"/>
          </w:tcPr>
          <w:p w14:paraId="3AA32FD2">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c>
          <w:tcPr>
            <w:tcW w:w="813" w:type="pct"/>
            <w:shd w:val="clear" w:color="auto" w:fill="auto"/>
          </w:tcPr>
          <w:p w14:paraId="216E661B">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234FD2FB">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485DB15D">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323.88 </w:t>
            </w:r>
          </w:p>
        </w:tc>
        <w:tc>
          <w:tcPr>
            <w:tcW w:w="732" w:type="pct"/>
            <w:shd w:val="clear" w:color="auto" w:fill="auto"/>
          </w:tcPr>
          <w:p w14:paraId="4D6A0FE1">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78F0156F">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r>
      <w:tr w14:paraId="10E9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7F87A8D">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2028年</w:t>
            </w:r>
          </w:p>
        </w:tc>
        <w:tc>
          <w:tcPr>
            <w:tcW w:w="771" w:type="pct"/>
            <w:shd w:val="clear" w:color="auto" w:fill="auto"/>
          </w:tcPr>
          <w:p w14:paraId="52824FFC">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c>
          <w:tcPr>
            <w:tcW w:w="813" w:type="pct"/>
            <w:shd w:val="clear" w:color="auto" w:fill="auto"/>
          </w:tcPr>
          <w:p w14:paraId="6C434B70">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6CB2002B">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03BD74D3">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323.88 </w:t>
            </w:r>
          </w:p>
        </w:tc>
        <w:tc>
          <w:tcPr>
            <w:tcW w:w="732" w:type="pct"/>
            <w:shd w:val="clear" w:color="auto" w:fill="auto"/>
          </w:tcPr>
          <w:p w14:paraId="1637783B">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30" w:type="pct"/>
            <w:shd w:val="clear" w:color="auto" w:fill="auto"/>
          </w:tcPr>
          <w:p w14:paraId="690C1E09">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r>
      <w:tr w14:paraId="22B9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5F1817EC">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2029年</w:t>
            </w:r>
          </w:p>
        </w:tc>
        <w:tc>
          <w:tcPr>
            <w:tcW w:w="771" w:type="pct"/>
            <w:shd w:val="clear" w:color="auto" w:fill="auto"/>
          </w:tcPr>
          <w:p w14:paraId="3A5A94F9">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10,000.00 </w:t>
            </w:r>
          </w:p>
        </w:tc>
        <w:tc>
          <w:tcPr>
            <w:tcW w:w="813" w:type="pct"/>
            <w:shd w:val="clear" w:color="auto" w:fill="auto"/>
          </w:tcPr>
          <w:p w14:paraId="4011DEF0">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08A265CC">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5927F6F5">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323.88 </w:t>
            </w:r>
          </w:p>
        </w:tc>
        <w:tc>
          <w:tcPr>
            <w:tcW w:w="732" w:type="pct"/>
            <w:shd w:val="clear" w:color="auto" w:fill="auto"/>
          </w:tcPr>
          <w:p w14:paraId="6D3A0984">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800.00 </w:t>
            </w:r>
          </w:p>
        </w:tc>
        <w:tc>
          <w:tcPr>
            <w:tcW w:w="830" w:type="pct"/>
            <w:shd w:val="clear" w:color="auto" w:fill="auto"/>
          </w:tcPr>
          <w:p w14:paraId="668BF819">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9,200.00 </w:t>
            </w:r>
          </w:p>
        </w:tc>
      </w:tr>
      <w:tr w14:paraId="16CB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4D14EDBF">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w:t>
            </w:r>
            <w:r>
              <w:rPr>
                <w:rFonts w:ascii="宋体" w:hAnsi="宋体" w:eastAsia="宋体" w:cs="宋体"/>
                <w:bCs/>
                <w:color w:val="000000"/>
                <w:kern w:val="0"/>
                <w:sz w:val="18"/>
                <w:szCs w:val="18"/>
              </w:rPr>
              <w:t>030</w:t>
            </w:r>
            <w:r>
              <w:rPr>
                <w:rFonts w:hint="eastAsia" w:ascii="宋体" w:hAnsi="宋体" w:eastAsia="宋体" w:cs="宋体"/>
                <w:bCs/>
                <w:color w:val="000000"/>
                <w:kern w:val="0"/>
                <w:sz w:val="18"/>
                <w:szCs w:val="18"/>
              </w:rPr>
              <w:t>年</w:t>
            </w:r>
          </w:p>
        </w:tc>
        <w:tc>
          <w:tcPr>
            <w:tcW w:w="771" w:type="pct"/>
            <w:shd w:val="clear" w:color="auto" w:fill="auto"/>
          </w:tcPr>
          <w:p w14:paraId="36F18830">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9,200.00 </w:t>
            </w:r>
          </w:p>
        </w:tc>
        <w:tc>
          <w:tcPr>
            <w:tcW w:w="813" w:type="pct"/>
            <w:shd w:val="clear" w:color="auto" w:fill="auto"/>
          </w:tcPr>
          <w:p w14:paraId="6B025E12">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54DFC110">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26FE6BA4">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301.08 </w:t>
            </w:r>
          </w:p>
        </w:tc>
        <w:tc>
          <w:tcPr>
            <w:tcW w:w="732" w:type="pct"/>
            <w:shd w:val="clear" w:color="auto" w:fill="auto"/>
          </w:tcPr>
          <w:p w14:paraId="09742A7A">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5,200.00 </w:t>
            </w:r>
          </w:p>
        </w:tc>
        <w:tc>
          <w:tcPr>
            <w:tcW w:w="830" w:type="pct"/>
            <w:shd w:val="clear" w:color="auto" w:fill="auto"/>
          </w:tcPr>
          <w:p w14:paraId="488E5121">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4,000.00 </w:t>
            </w:r>
          </w:p>
        </w:tc>
      </w:tr>
      <w:tr w14:paraId="208B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0B4D65D7">
            <w:pPr>
              <w:widowControl/>
              <w:spacing w:after="0" w:line="240" w:lineRule="auto"/>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w:t>
            </w:r>
            <w:r>
              <w:rPr>
                <w:rFonts w:ascii="宋体" w:hAnsi="宋体" w:eastAsia="宋体" w:cs="宋体"/>
                <w:bCs/>
                <w:color w:val="000000"/>
                <w:kern w:val="0"/>
                <w:sz w:val="18"/>
                <w:szCs w:val="18"/>
              </w:rPr>
              <w:t>031</w:t>
            </w:r>
            <w:r>
              <w:rPr>
                <w:rFonts w:hint="eastAsia" w:ascii="宋体" w:hAnsi="宋体" w:eastAsia="宋体" w:cs="宋体"/>
                <w:bCs/>
                <w:color w:val="000000"/>
                <w:kern w:val="0"/>
                <w:sz w:val="18"/>
                <w:szCs w:val="18"/>
              </w:rPr>
              <w:t>年</w:t>
            </w:r>
          </w:p>
        </w:tc>
        <w:tc>
          <w:tcPr>
            <w:tcW w:w="771" w:type="pct"/>
            <w:shd w:val="clear" w:color="auto" w:fill="auto"/>
          </w:tcPr>
          <w:p w14:paraId="3348A4E6">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4,000.00 </w:t>
            </w:r>
          </w:p>
        </w:tc>
        <w:tc>
          <w:tcPr>
            <w:tcW w:w="813" w:type="pct"/>
            <w:shd w:val="clear" w:color="auto" w:fill="auto"/>
          </w:tcPr>
          <w:p w14:paraId="04EAE373">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594" w:type="pct"/>
            <w:shd w:val="clear" w:color="auto" w:fill="auto"/>
          </w:tcPr>
          <w:p w14:paraId="422468BA">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687" w:type="pct"/>
            <w:shd w:val="clear" w:color="auto" w:fill="auto"/>
          </w:tcPr>
          <w:p w14:paraId="09D27905">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156.00 </w:t>
            </w:r>
          </w:p>
        </w:tc>
        <w:tc>
          <w:tcPr>
            <w:tcW w:w="732" w:type="pct"/>
            <w:shd w:val="clear" w:color="auto" w:fill="auto"/>
          </w:tcPr>
          <w:p w14:paraId="6A79794C">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4,000.00 </w:t>
            </w:r>
          </w:p>
        </w:tc>
        <w:tc>
          <w:tcPr>
            <w:tcW w:w="830" w:type="pct"/>
            <w:shd w:val="clear" w:color="auto" w:fill="auto"/>
          </w:tcPr>
          <w:p w14:paraId="512F598F">
            <w:pPr>
              <w:widowControl/>
              <w:spacing w:after="0" w:line="240" w:lineRule="auto"/>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 xml:space="preserve"> -   </w:t>
            </w:r>
          </w:p>
        </w:tc>
      </w:tr>
      <w:tr w14:paraId="191F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2A82FB18">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771" w:type="pct"/>
            <w:shd w:val="clear" w:color="auto" w:fill="auto"/>
          </w:tcPr>
          <w:p w14:paraId="7DE799B0">
            <w:pPr>
              <w:widowControl/>
              <w:spacing w:after="0" w:line="240" w:lineRule="auto"/>
              <w:ind w:firstLine="0" w:firstLineChars="0"/>
              <w:jc w:val="center"/>
              <w:rPr>
                <w:rFonts w:hint="eastAsia" w:ascii="宋体" w:hAnsi="宋体" w:eastAsia="宋体" w:cs="宋体"/>
                <w:bCs/>
                <w:color w:val="000000"/>
                <w:kern w:val="0"/>
                <w:sz w:val="18"/>
                <w:szCs w:val="18"/>
              </w:rPr>
            </w:pPr>
          </w:p>
        </w:tc>
        <w:tc>
          <w:tcPr>
            <w:tcW w:w="813" w:type="pct"/>
            <w:shd w:val="clear" w:color="auto" w:fill="auto"/>
          </w:tcPr>
          <w:p w14:paraId="38FFEA33">
            <w:pPr>
              <w:widowControl/>
              <w:spacing w:after="0" w:line="240" w:lineRule="auto"/>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 xml:space="preserve"> 10,000.00 </w:t>
            </w:r>
          </w:p>
        </w:tc>
        <w:tc>
          <w:tcPr>
            <w:tcW w:w="594" w:type="pct"/>
            <w:shd w:val="clear" w:color="auto" w:fill="auto"/>
          </w:tcPr>
          <w:p w14:paraId="4CC88AB5">
            <w:pPr>
              <w:widowControl/>
              <w:spacing w:after="0" w:line="240" w:lineRule="auto"/>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 xml:space="preserve"> 10.00 </w:t>
            </w:r>
          </w:p>
        </w:tc>
        <w:tc>
          <w:tcPr>
            <w:tcW w:w="687" w:type="pct"/>
            <w:shd w:val="clear" w:color="auto" w:fill="auto"/>
          </w:tcPr>
          <w:p w14:paraId="447E15F9">
            <w:pPr>
              <w:widowControl/>
              <w:spacing w:after="0" w:line="240" w:lineRule="auto"/>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 xml:space="preserve"> 2,267.16 </w:t>
            </w:r>
          </w:p>
        </w:tc>
        <w:tc>
          <w:tcPr>
            <w:tcW w:w="732" w:type="pct"/>
            <w:shd w:val="clear" w:color="auto" w:fill="auto"/>
          </w:tcPr>
          <w:p w14:paraId="341DD197">
            <w:pPr>
              <w:widowControl/>
              <w:spacing w:after="0" w:line="240" w:lineRule="auto"/>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 xml:space="preserve"> 10,000.00 </w:t>
            </w:r>
          </w:p>
        </w:tc>
        <w:tc>
          <w:tcPr>
            <w:tcW w:w="830" w:type="pct"/>
            <w:shd w:val="clear" w:color="auto" w:fill="auto"/>
          </w:tcPr>
          <w:p w14:paraId="76FE696A">
            <w:pPr>
              <w:widowControl/>
              <w:spacing w:after="0" w:line="240" w:lineRule="auto"/>
              <w:ind w:firstLine="0" w:firstLineChars="0"/>
              <w:jc w:val="center"/>
              <w:rPr>
                <w:rFonts w:hint="eastAsia" w:ascii="宋体" w:hAnsi="宋体" w:eastAsia="宋体" w:cs="宋体"/>
                <w:bCs/>
                <w:color w:val="000000"/>
                <w:kern w:val="0"/>
                <w:sz w:val="18"/>
                <w:szCs w:val="18"/>
              </w:rPr>
            </w:pPr>
          </w:p>
        </w:tc>
      </w:tr>
    </w:tbl>
    <w:p w14:paraId="5643E531">
      <w:pPr>
        <w:pStyle w:val="20"/>
        <w:spacing w:before="0" w:beforeAutospacing="0" w:after="156" w:afterLines="50" w:afterAutospacing="0" w:line="360" w:lineRule="exact"/>
        <w:ind w:firstLine="360"/>
        <w:jc w:val="both"/>
        <w:rPr>
          <w:rFonts w:hint="eastAsia"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7年</w:t>
      </w:r>
      <w:r>
        <w:rPr>
          <w:rFonts w:hint="eastAsia"/>
          <w:color w:val="000000" w:themeColor="text1"/>
          <w:sz w:val="18"/>
          <w:szCs w:val="18"/>
          <w14:textFill>
            <w14:solidFill>
              <w14:schemeClr w14:val="tx1"/>
            </w14:solidFill>
          </w14:textFill>
        </w:rPr>
        <w:t>期债券分别从债券发行年份（2</w:t>
      </w:r>
      <w:r>
        <w:rPr>
          <w:color w:val="000000" w:themeColor="text1"/>
          <w:sz w:val="18"/>
          <w:szCs w:val="18"/>
          <w14:textFill>
            <w14:solidFill>
              <w14:schemeClr w14:val="tx1"/>
            </w14:solidFill>
          </w14:textFill>
        </w:rPr>
        <w:t>022</w:t>
      </w:r>
      <w:r>
        <w:rPr>
          <w:rFonts w:hint="eastAsia"/>
          <w:color w:val="000000" w:themeColor="text1"/>
          <w:sz w:val="18"/>
          <w:szCs w:val="18"/>
          <w14:textFill>
            <w14:solidFill>
              <w14:schemeClr w14:val="tx1"/>
            </w14:solidFill>
          </w14:textFill>
        </w:rPr>
        <w:t>年）的次年起按照每年支付一次债券利息</w:t>
      </w:r>
      <w:r>
        <w:rPr>
          <w:rFonts w:hint="eastAsia" w:cs="Times New Roman"/>
          <w:color w:val="000000" w:themeColor="text1"/>
          <w:sz w:val="18"/>
          <w:szCs w:val="18"/>
          <w14:textFill>
            <w14:solidFill>
              <w14:schemeClr w14:val="tx1"/>
            </w14:solidFill>
          </w14:textFill>
        </w:rPr>
        <w:t>。</w:t>
      </w:r>
    </w:p>
    <w:p w14:paraId="05BC669D">
      <w:pPr>
        <w:pStyle w:val="4"/>
        <w:numPr>
          <w:ilvl w:val="0"/>
          <w:numId w:val="7"/>
        </w:numPr>
        <w:ind w:firstLine="482" w:firstLineChars="0"/>
        <w:rPr>
          <w:rFonts w:hint="eastAsia" w:cs="仿宋" w:asciiTheme="minorEastAsia" w:hAnsiTheme="minorEastAsia" w:eastAsiaTheme="minorEastAsia"/>
        </w:rPr>
      </w:pPr>
      <w:r>
        <w:rPr>
          <w:rFonts w:hint="eastAsia" w:cs="仿宋" w:asciiTheme="minorEastAsia" w:hAnsiTheme="minorEastAsia" w:eastAsiaTheme="minorEastAsia"/>
        </w:rPr>
        <w:t>用于资金平衡的现金净流入</w:t>
      </w:r>
    </w:p>
    <w:p w14:paraId="27B95866">
      <w:pPr>
        <w:spacing w:line="360" w:lineRule="auto"/>
        <w:ind w:left="-236" w:leftChars="-472" w:hanging="755" w:hangingChars="472"/>
        <w:jc w:val="center"/>
        <w:rPr>
          <w:rFonts w:hint="eastAsia" w:ascii="仿宋" w:hAnsi="仿宋" w:eastAsia="仿宋" w:cs="仿宋"/>
          <w:sz w:val="16"/>
          <w:szCs w:val="16"/>
        </w:rPr>
      </w:pPr>
    </w:p>
    <w:p w14:paraId="152114FF">
      <w:pPr>
        <w:spacing w:after="156" w:afterLines="50" w:line="360" w:lineRule="exact"/>
        <w:ind w:firstLine="480"/>
        <w:rPr>
          <w:color w:val="000000"/>
          <w:szCs w:val="24"/>
        </w:rPr>
        <w:sectPr>
          <w:headerReference r:id="rId5" w:type="first"/>
          <w:footerReference r:id="rId8" w:type="first"/>
          <w:headerReference r:id="rId3" w:type="default"/>
          <w:footerReference r:id="rId6" w:type="default"/>
          <w:headerReference r:id="rId4" w:type="even"/>
          <w:footerReference r:id="rId7" w:type="even"/>
          <w:pgSz w:w="11906" w:h="16838"/>
          <w:pgMar w:top="1531" w:right="1701" w:bottom="1418" w:left="1701" w:header="851" w:footer="992" w:gutter="0"/>
          <w:cols w:space="425" w:num="1"/>
          <w:docGrid w:type="linesAndChars" w:linePitch="312" w:charSpace="0"/>
        </w:sectPr>
      </w:pPr>
      <w:r>
        <w:rPr>
          <w:rFonts w:hint="eastAsia" w:ascii="宋体" w:hAnsi="宋体" w:eastAsia="宋体" w:cs="宋体"/>
          <w:color w:val="000000"/>
          <w:kern w:val="0"/>
          <w:szCs w:val="24"/>
        </w:rPr>
        <w:t>202</w:t>
      </w:r>
      <w:r>
        <w:rPr>
          <w:rFonts w:ascii="宋体" w:hAnsi="宋体" w:eastAsia="宋体" w:cs="宋体"/>
          <w:color w:val="000000"/>
          <w:kern w:val="0"/>
          <w:szCs w:val="24"/>
        </w:rPr>
        <w:t>4</w:t>
      </w:r>
      <w:r>
        <w:rPr>
          <w:rFonts w:hint="eastAsia" w:ascii="宋体" w:hAnsi="宋体" w:eastAsia="宋体" w:cs="宋体"/>
          <w:color w:val="000000"/>
          <w:kern w:val="0"/>
          <w:szCs w:val="24"/>
        </w:rPr>
        <w:t>年江西省南昌市红谷滩生米镇南路村拆迁安置小区建设项目（南路村棚户区改造）专项债券项目实施方案资金充足性分析情况具体如下表3</w:t>
      </w:r>
      <w:r>
        <w:rPr>
          <w:rFonts w:ascii="宋体" w:hAnsi="宋体" w:eastAsia="宋体" w:cs="宋体"/>
          <w:color w:val="000000"/>
          <w:kern w:val="0"/>
          <w:szCs w:val="24"/>
        </w:rPr>
        <w:t>-4</w:t>
      </w:r>
      <w:r>
        <w:rPr>
          <w:rFonts w:hint="eastAsia" w:ascii="宋体" w:hAnsi="宋体" w:eastAsia="宋体" w:cs="宋体"/>
          <w:color w:val="000000"/>
          <w:kern w:val="0"/>
          <w:szCs w:val="24"/>
        </w:rPr>
        <w:t>及图3-</w:t>
      </w:r>
      <w:r>
        <w:rPr>
          <w:rFonts w:ascii="宋体" w:hAnsi="宋体" w:eastAsia="宋体" w:cs="宋体"/>
          <w:color w:val="000000"/>
          <w:kern w:val="0"/>
          <w:szCs w:val="24"/>
        </w:rPr>
        <w:t>1</w:t>
      </w:r>
      <w:r>
        <w:rPr>
          <w:rFonts w:hint="eastAsia" w:ascii="宋体" w:hAnsi="宋体" w:eastAsia="宋体" w:cs="宋体"/>
          <w:color w:val="000000"/>
          <w:kern w:val="0"/>
          <w:szCs w:val="24"/>
        </w:rPr>
        <w:t>所示：</w:t>
      </w:r>
    </w:p>
    <w:p w14:paraId="4BE3E38D">
      <w:pPr>
        <w:ind w:firstLine="0" w:firstLineChars="0"/>
        <w:rPr>
          <w:rFonts w:hint="eastAsia" w:ascii="仿宋" w:hAnsi="仿宋" w:eastAsia="仿宋" w:cs="仿宋"/>
          <w:szCs w:val="24"/>
        </w:rPr>
      </w:pPr>
    </w:p>
    <w:p w14:paraId="009D6926">
      <w:pPr>
        <w:pStyle w:val="20"/>
        <w:spacing w:after="156" w:afterLines="50" w:afterAutospacing="0" w:line="360" w:lineRule="exact"/>
        <w:ind w:firstLine="482"/>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表3-</w:t>
      </w:r>
      <w:r>
        <w:rPr>
          <w:b/>
          <w:color w:val="000000" w:themeColor="text1"/>
          <w14:textFill>
            <w14:solidFill>
              <w14:schemeClr w14:val="tx1"/>
            </w14:solidFill>
          </w14:textFill>
        </w:rPr>
        <w:t xml:space="preserve">4  </w:t>
      </w:r>
      <w:r>
        <w:rPr>
          <w:rFonts w:hint="eastAsia"/>
          <w:b/>
          <w:color w:val="000000" w:themeColor="text1"/>
          <w14:textFill>
            <w14:solidFill>
              <w14:schemeClr w14:val="tx1"/>
            </w14:solidFill>
          </w14:textFill>
        </w:rPr>
        <w:t>202</w:t>
      </w: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年江西省南昌市红谷滩生米镇南路村拆迁安置小区建设项目（南路村棚户区改造）项目专项债券项目实施方案资金充足性分析情况表</w:t>
      </w:r>
    </w:p>
    <w:p w14:paraId="31D790E0">
      <w:pPr>
        <w:pStyle w:val="20"/>
        <w:spacing w:after="156" w:afterLines="50" w:afterAutospacing="0" w:line="360" w:lineRule="exact"/>
        <w:ind w:firstLine="360"/>
        <w:jc w:val="center"/>
        <w:rPr>
          <w:rFonts w:hint="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单位：万元</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464"/>
        <w:gridCol w:w="1012"/>
        <w:gridCol w:w="922"/>
        <w:gridCol w:w="1012"/>
        <w:gridCol w:w="1012"/>
        <w:gridCol w:w="1012"/>
        <w:gridCol w:w="1012"/>
        <w:gridCol w:w="1012"/>
        <w:gridCol w:w="1012"/>
        <w:gridCol w:w="1013"/>
        <w:gridCol w:w="1022"/>
        <w:gridCol w:w="1022"/>
        <w:gridCol w:w="1022"/>
      </w:tblGrid>
      <w:tr w14:paraId="4F0F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0" w:type="auto"/>
            <w:shd w:val="clear" w:color="auto" w:fill="auto"/>
            <w:vAlign w:val="center"/>
          </w:tcPr>
          <w:p w14:paraId="35DDB273">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0" w:type="auto"/>
            <w:shd w:val="clear" w:color="auto" w:fill="auto"/>
            <w:vAlign w:val="center"/>
          </w:tcPr>
          <w:p w14:paraId="1513B94A">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年份</w:t>
            </w:r>
          </w:p>
        </w:tc>
        <w:tc>
          <w:tcPr>
            <w:tcW w:w="0" w:type="auto"/>
            <w:shd w:val="clear" w:color="auto" w:fill="auto"/>
            <w:vAlign w:val="center"/>
          </w:tcPr>
          <w:p w14:paraId="30B7FD09">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合计</w:t>
            </w:r>
          </w:p>
        </w:tc>
        <w:tc>
          <w:tcPr>
            <w:tcW w:w="0" w:type="auto"/>
            <w:shd w:val="clear" w:color="auto" w:fill="auto"/>
            <w:vAlign w:val="center"/>
          </w:tcPr>
          <w:p w14:paraId="1D73221B">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2021年</w:t>
            </w:r>
          </w:p>
        </w:tc>
        <w:tc>
          <w:tcPr>
            <w:tcW w:w="0" w:type="auto"/>
            <w:shd w:val="clear" w:color="auto" w:fill="auto"/>
            <w:vAlign w:val="center"/>
          </w:tcPr>
          <w:p w14:paraId="64F0257F">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2022年</w:t>
            </w:r>
          </w:p>
        </w:tc>
        <w:tc>
          <w:tcPr>
            <w:tcW w:w="0" w:type="auto"/>
            <w:shd w:val="clear" w:color="auto" w:fill="auto"/>
            <w:vAlign w:val="center"/>
          </w:tcPr>
          <w:p w14:paraId="6BDB621C">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2023年</w:t>
            </w:r>
          </w:p>
        </w:tc>
        <w:tc>
          <w:tcPr>
            <w:tcW w:w="0" w:type="auto"/>
            <w:shd w:val="clear" w:color="auto" w:fill="auto"/>
            <w:vAlign w:val="center"/>
          </w:tcPr>
          <w:p w14:paraId="5A4FB85E">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2024年</w:t>
            </w:r>
          </w:p>
        </w:tc>
        <w:tc>
          <w:tcPr>
            <w:tcW w:w="0" w:type="auto"/>
            <w:shd w:val="clear" w:color="auto" w:fill="auto"/>
            <w:vAlign w:val="center"/>
          </w:tcPr>
          <w:p w14:paraId="3F60D314">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2025年</w:t>
            </w:r>
          </w:p>
        </w:tc>
        <w:tc>
          <w:tcPr>
            <w:tcW w:w="0" w:type="auto"/>
            <w:vAlign w:val="center"/>
          </w:tcPr>
          <w:p w14:paraId="008E7372">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2026年</w:t>
            </w:r>
          </w:p>
        </w:tc>
        <w:tc>
          <w:tcPr>
            <w:tcW w:w="0" w:type="auto"/>
            <w:vAlign w:val="center"/>
          </w:tcPr>
          <w:p w14:paraId="73EF9355">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2027年</w:t>
            </w:r>
          </w:p>
        </w:tc>
        <w:tc>
          <w:tcPr>
            <w:tcW w:w="0" w:type="auto"/>
            <w:vAlign w:val="center"/>
          </w:tcPr>
          <w:p w14:paraId="48F4298D">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w:t>
            </w:r>
            <w:r>
              <w:rPr>
                <w:rFonts w:ascii="宋体" w:hAnsi="宋体" w:eastAsia="宋体" w:cs="宋体"/>
                <w:b/>
                <w:color w:val="000000"/>
                <w:kern w:val="0"/>
                <w:sz w:val="18"/>
                <w:szCs w:val="18"/>
              </w:rPr>
              <w:t>028</w:t>
            </w:r>
            <w:r>
              <w:rPr>
                <w:rFonts w:hint="eastAsia" w:ascii="宋体" w:hAnsi="宋体" w:eastAsia="宋体" w:cs="宋体"/>
                <w:b/>
                <w:color w:val="000000"/>
                <w:kern w:val="0"/>
                <w:sz w:val="18"/>
                <w:szCs w:val="18"/>
              </w:rPr>
              <w:t>年</w:t>
            </w:r>
          </w:p>
        </w:tc>
        <w:tc>
          <w:tcPr>
            <w:tcW w:w="0" w:type="auto"/>
            <w:vAlign w:val="center"/>
          </w:tcPr>
          <w:p w14:paraId="59EAED66">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w:t>
            </w:r>
            <w:r>
              <w:rPr>
                <w:rFonts w:ascii="宋体" w:hAnsi="宋体" w:eastAsia="宋体" w:cs="宋体"/>
                <w:b/>
                <w:color w:val="000000"/>
                <w:kern w:val="0"/>
                <w:sz w:val="18"/>
                <w:szCs w:val="18"/>
              </w:rPr>
              <w:t>029</w:t>
            </w:r>
            <w:r>
              <w:rPr>
                <w:rFonts w:hint="eastAsia" w:ascii="宋体" w:hAnsi="宋体" w:eastAsia="宋体" w:cs="宋体"/>
                <w:b/>
                <w:color w:val="000000"/>
                <w:kern w:val="0"/>
                <w:sz w:val="18"/>
                <w:szCs w:val="18"/>
              </w:rPr>
              <w:t>年</w:t>
            </w:r>
          </w:p>
        </w:tc>
        <w:tc>
          <w:tcPr>
            <w:tcW w:w="0" w:type="auto"/>
            <w:vAlign w:val="center"/>
          </w:tcPr>
          <w:p w14:paraId="24A24077">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w:t>
            </w:r>
            <w:r>
              <w:rPr>
                <w:rFonts w:ascii="宋体" w:hAnsi="宋体" w:eastAsia="宋体" w:cs="宋体"/>
                <w:b/>
                <w:color w:val="000000"/>
                <w:kern w:val="0"/>
                <w:sz w:val="18"/>
                <w:szCs w:val="18"/>
              </w:rPr>
              <w:t>030</w:t>
            </w:r>
            <w:r>
              <w:rPr>
                <w:rFonts w:hint="eastAsia" w:ascii="宋体" w:hAnsi="宋体" w:eastAsia="宋体" w:cs="宋体"/>
                <w:b/>
                <w:color w:val="000000"/>
                <w:kern w:val="0"/>
                <w:sz w:val="18"/>
                <w:szCs w:val="18"/>
              </w:rPr>
              <w:t>年</w:t>
            </w:r>
          </w:p>
        </w:tc>
        <w:tc>
          <w:tcPr>
            <w:tcW w:w="0" w:type="auto"/>
            <w:vAlign w:val="center"/>
          </w:tcPr>
          <w:p w14:paraId="7F8FE9F9">
            <w:pPr>
              <w:widowControl/>
              <w:spacing w:after="0" w:line="240"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2</w:t>
            </w:r>
            <w:r>
              <w:rPr>
                <w:rFonts w:ascii="宋体" w:hAnsi="宋体" w:eastAsia="宋体" w:cs="宋体"/>
                <w:b/>
                <w:color w:val="000000"/>
                <w:kern w:val="0"/>
                <w:sz w:val="18"/>
                <w:szCs w:val="18"/>
              </w:rPr>
              <w:t>031</w:t>
            </w:r>
            <w:r>
              <w:rPr>
                <w:rFonts w:hint="eastAsia" w:ascii="宋体" w:hAnsi="宋体" w:eastAsia="宋体" w:cs="宋体"/>
                <w:b/>
                <w:color w:val="000000"/>
                <w:kern w:val="0"/>
                <w:sz w:val="18"/>
                <w:szCs w:val="18"/>
              </w:rPr>
              <w:t>年</w:t>
            </w:r>
          </w:p>
        </w:tc>
      </w:tr>
      <w:tr w14:paraId="3464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2F116B98">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w:t>
            </w:r>
          </w:p>
        </w:tc>
        <w:tc>
          <w:tcPr>
            <w:tcW w:w="0" w:type="auto"/>
            <w:shd w:val="clear" w:color="auto" w:fill="auto"/>
            <w:vAlign w:val="center"/>
          </w:tcPr>
          <w:p w14:paraId="4A5968E8">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现金流入</w:t>
            </w:r>
          </w:p>
        </w:tc>
        <w:tc>
          <w:tcPr>
            <w:tcW w:w="0" w:type="auto"/>
            <w:shd w:val="clear" w:color="auto" w:fill="auto"/>
            <w:vAlign w:val="center"/>
          </w:tcPr>
          <w:p w14:paraId="631A591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88,601.72 </w:t>
            </w:r>
          </w:p>
        </w:tc>
        <w:tc>
          <w:tcPr>
            <w:tcW w:w="0" w:type="auto"/>
            <w:shd w:val="clear" w:color="auto" w:fill="auto"/>
            <w:vAlign w:val="center"/>
          </w:tcPr>
          <w:p w14:paraId="04D85B7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5,023.52 </w:t>
            </w:r>
          </w:p>
        </w:tc>
        <w:tc>
          <w:tcPr>
            <w:tcW w:w="0" w:type="auto"/>
            <w:shd w:val="clear" w:color="auto" w:fill="auto"/>
            <w:vAlign w:val="center"/>
          </w:tcPr>
          <w:p w14:paraId="7B38A53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11,645.56 </w:t>
            </w:r>
          </w:p>
        </w:tc>
        <w:tc>
          <w:tcPr>
            <w:tcW w:w="0" w:type="auto"/>
            <w:shd w:val="clear" w:color="auto" w:fill="auto"/>
            <w:vAlign w:val="center"/>
          </w:tcPr>
          <w:p w14:paraId="4727EEE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22,173.08 </w:t>
            </w:r>
          </w:p>
        </w:tc>
        <w:tc>
          <w:tcPr>
            <w:tcW w:w="0" w:type="auto"/>
            <w:shd w:val="clear" w:color="auto" w:fill="auto"/>
            <w:vAlign w:val="center"/>
          </w:tcPr>
          <w:p w14:paraId="6205C4F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27,433.95 </w:t>
            </w:r>
          </w:p>
        </w:tc>
        <w:tc>
          <w:tcPr>
            <w:tcW w:w="0" w:type="auto"/>
            <w:shd w:val="clear" w:color="auto" w:fill="auto"/>
            <w:vAlign w:val="center"/>
          </w:tcPr>
          <w:p w14:paraId="126189B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42ED6A2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290F36B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47B3A3D6">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1A124E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E119BC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4928778">
            <w:pPr>
              <w:widowControl/>
              <w:spacing w:after="0" w:line="240" w:lineRule="auto"/>
              <w:ind w:firstLine="0" w:firstLineChars="0"/>
              <w:jc w:val="center"/>
              <w:rPr>
                <w:rFonts w:hint="eastAsia" w:ascii="宋体" w:hAnsi="宋体" w:eastAsia="宋体" w:cs="宋体"/>
                <w:color w:val="000000"/>
                <w:kern w:val="0"/>
                <w:sz w:val="18"/>
                <w:szCs w:val="18"/>
              </w:rPr>
            </w:pPr>
          </w:p>
        </w:tc>
      </w:tr>
      <w:tr w14:paraId="4E19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7C6591DA">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0" w:type="auto"/>
            <w:shd w:val="clear" w:color="auto" w:fill="auto"/>
            <w:vAlign w:val="center"/>
          </w:tcPr>
          <w:p w14:paraId="5F995EEA">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业务活动现金流入</w:t>
            </w:r>
          </w:p>
        </w:tc>
        <w:tc>
          <w:tcPr>
            <w:tcW w:w="0" w:type="auto"/>
            <w:shd w:val="clear" w:color="auto" w:fill="auto"/>
            <w:vAlign w:val="center"/>
          </w:tcPr>
          <w:p w14:paraId="19DB27A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29,767.48 </w:t>
            </w:r>
          </w:p>
        </w:tc>
        <w:tc>
          <w:tcPr>
            <w:tcW w:w="0" w:type="auto"/>
            <w:shd w:val="clear" w:color="auto" w:fill="auto"/>
            <w:vAlign w:val="center"/>
          </w:tcPr>
          <w:p w14:paraId="078BFF3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0C9BB0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618557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1E941F0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shd w:val="clear" w:color="auto" w:fill="auto"/>
            <w:vAlign w:val="center"/>
          </w:tcPr>
          <w:p w14:paraId="33775D8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054C0C4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517F48B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1B15A7A4">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8CD0E8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DB3239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3C6A1E52">
            <w:pPr>
              <w:widowControl/>
              <w:spacing w:after="0" w:line="240" w:lineRule="auto"/>
              <w:ind w:firstLine="0" w:firstLineChars="0"/>
              <w:jc w:val="center"/>
              <w:rPr>
                <w:rFonts w:hint="eastAsia" w:ascii="宋体" w:hAnsi="宋体" w:eastAsia="宋体" w:cs="宋体"/>
                <w:color w:val="000000"/>
                <w:kern w:val="0"/>
                <w:sz w:val="18"/>
                <w:szCs w:val="18"/>
              </w:rPr>
            </w:pPr>
          </w:p>
        </w:tc>
      </w:tr>
      <w:tr w14:paraId="1352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54893E58">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0" w:type="auto"/>
            <w:shd w:val="clear" w:color="auto" w:fill="auto"/>
            <w:vAlign w:val="center"/>
          </w:tcPr>
          <w:p w14:paraId="3029A46A">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财政补贴收入</w:t>
            </w:r>
          </w:p>
        </w:tc>
        <w:tc>
          <w:tcPr>
            <w:tcW w:w="0" w:type="auto"/>
            <w:shd w:val="clear" w:color="auto" w:fill="auto"/>
            <w:vAlign w:val="center"/>
          </w:tcPr>
          <w:p w14:paraId="4895464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1B70956">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5EDEA68">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13465A2C">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CFDFAEA">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68FADF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1109C3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546B804">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50E1B7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941606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C1D2385">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4E86AB2">
            <w:pPr>
              <w:widowControl/>
              <w:spacing w:after="0" w:line="240" w:lineRule="auto"/>
              <w:ind w:firstLine="0" w:firstLineChars="0"/>
              <w:jc w:val="center"/>
              <w:rPr>
                <w:rFonts w:hint="eastAsia" w:ascii="宋体" w:hAnsi="宋体" w:eastAsia="宋体" w:cs="宋体"/>
                <w:color w:val="000000"/>
                <w:kern w:val="0"/>
                <w:sz w:val="18"/>
                <w:szCs w:val="18"/>
              </w:rPr>
            </w:pPr>
          </w:p>
        </w:tc>
      </w:tr>
      <w:tr w14:paraId="3A2A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5401FF34">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0" w:type="auto"/>
            <w:shd w:val="clear" w:color="auto" w:fill="auto"/>
            <w:vAlign w:val="center"/>
          </w:tcPr>
          <w:p w14:paraId="6BA84FE5">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经营收入</w:t>
            </w:r>
          </w:p>
        </w:tc>
        <w:tc>
          <w:tcPr>
            <w:tcW w:w="0" w:type="auto"/>
            <w:shd w:val="clear" w:color="auto" w:fill="auto"/>
            <w:vAlign w:val="center"/>
          </w:tcPr>
          <w:p w14:paraId="330DF48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29,767.48 </w:t>
            </w:r>
          </w:p>
        </w:tc>
        <w:tc>
          <w:tcPr>
            <w:tcW w:w="0" w:type="auto"/>
            <w:shd w:val="clear" w:color="auto" w:fill="auto"/>
            <w:vAlign w:val="center"/>
          </w:tcPr>
          <w:p w14:paraId="396A03D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3322C03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5735387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noWrap/>
            <w:vAlign w:val="center"/>
          </w:tcPr>
          <w:p w14:paraId="2FC47E2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shd w:val="clear" w:color="auto" w:fill="auto"/>
            <w:noWrap/>
            <w:vAlign w:val="center"/>
          </w:tcPr>
          <w:p w14:paraId="2027A1B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2B73A84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0F0B412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7,441.87 </w:t>
            </w:r>
          </w:p>
        </w:tc>
        <w:tc>
          <w:tcPr>
            <w:tcW w:w="0" w:type="auto"/>
            <w:vAlign w:val="center"/>
          </w:tcPr>
          <w:p w14:paraId="3DCF1FBA">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4E01030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7DD0E7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67FA6B2">
            <w:pPr>
              <w:widowControl/>
              <w:spacing w:after="0" w:line="240" w:lineRule="auto"/>
              <w:ind w:firstLine="0" w:firstLineChars="0"/>
              <w:jc w:val="center"/>
              <w:rPr>
                <w:rFonts w:hint="eastAsia" w:ascii="宋体" w:hAnsi="宋体" w:eastAsia="宋体" w:cs="宋体"/>
                <w:color w:val="000000"/>
                <w:kern w:val="0"/>
                <w:sz w:val="18"/>
                <w:szCs w:val="18"/>
              </w:rPr>
            </w:pPr>
          </w:p>
        </w:tc>
      </w:tr>
      <w:tr w14:paraId="23BE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159AA7E5">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0" w:type="auto"/>
            <w:shd w:val="clear" w:color="auto" w:fill="auto"/>
            <w:vAlign w:val="center"/>
          </w:tcPr>
          <w:p w14:paraId="6927BDFA">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融资活动现金流入</w:t>
            </w:r>
          </w:p>
        </w:tc>
        <w:tc>
          <w:tcPr>
            <w:tcW w:w="0" w:type="auto"/>
            <w:shd w:val="clear" w:color="auto" w:fill="auto"/>
            <w:vAlign w:val="center"/>
          </w:tcPr>
          <w:p w14:paraId="34B00C1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10,000.00 </w:t>
            </w:r>
          </w:p>
        </w:tc>
        <w:tc>
          <w:tcPr>
            <w:tcW w:w="0" w:type="auto"/>
            <w:shd w:val="clear" w:color="auto" w:fill="auto"/>
            <w:vAlign w:val="center"/>
          </w:tcPr>
          <w:p w14:paraId="60CCBA4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91218A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800.00 </w:t>
            </w:r>
          </w:p>
        </w:tc>
        <w:tc>
          <w:tcPr>
            <w:tcW w:w="0" w:type="auto"/>
            <w:shd w:val="clear" w:color="auto" w:fill="auto"/>
            <w:vAlign w:val="center"/>
          </w:tcPr>
          <w:p w14:paraId="364935C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5,200.00 </w:t>
            </w:r>
          </w:p>
        </w:tc>
        <w:tc>
          <w:tcPr>
            <w:tcW w:w="0" w:type="auto"/>
            <w:shd w:val="clear" w:color="auto" w:fill="auto"/>
            <w:vAlign w:val="center"/>
          </w:tcPr>
          <w:p w14:paraId="31A1157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4,000.00 </w:t>
            </w:r>
          </w:p>
        </w:tc>
        <w:tc>
          <w:tcPr>
            <w:tcW w:w="0" w:type="auto"/>
            <w:shd w:val="clear" w:color="auto" w:fill="auto"/>
            <w:vAlign w:val="center"/>
          </w:tcPr>
          <w:p w14:paraId="0BC07D7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72995FB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00FAFA5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3763322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386D0E3">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60882E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F92F497">
            <w:pPr>
              <w:widowControl/>
              <w:spacing w:after="0" w:line="240" w:lineRule="auto"/>
              <w:ind w:firstLine="0" w:firstLineChars="0"/>
              <w:jc w:val="center"/>
              <w:rPr>
                <w:rFonts w:hint="eastAsia" w:ascii="宋体" w:hAnsi="宋体" w:eastAsia="宋体" w:cs="宋体"/>
                <w:color w:val="000000"/>
                <w:kern w:val="0"/>
                <w:sz w:val="18"/>
                <w:szCs w:val="18"/>
              </w:rPr>
            </w:pPr>
          </w:p>
        </w:tc>
      </w:tr>
      <w:tr w14:paraId="7EA7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54554EAA">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0" w:type="auto"/>
            <w:shd w:val="clear" w:color="auto" w:fill="auto"/>
            <w:vAlign w:val="center"/>
          </w:tcPr>
          <w:p w14:paraId="67B7B941">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债券融资款</w:t>
            </w:r>
          </w:p>
        </w:tc>
        <w:tc>
          <w:tcPr>
            <w:tcW w:w="0" w:type="auto"/>
            <w:shd w:val="clear" w:color="auto" w:fill="auto"/>
            <w:vAlign w:val="center"/>
          </w:tcPr>
          <w:p w14:paraId="0E4AE93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10,000.00 </w:t>
            </w:r>
          </w:p>
        </w:tc>
        <w:tc>
          <w:tcPr>
            <w:tcW w:w="0" w:type="auto"/>
            <w:shd w:val="clear" w:color="auto" w:fill="auto"/>
            <w:vAlign w:val="center"/>
          </w:tcPr>
          <w:p w14:paraId="6AE21E2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FAB8DF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800.00 </w:t>
            </w:r>
          </w:p>
        </w:tc>
        <w:tc>
          <w:tcPr>
            <w:tcW w:w="0" w:type="auto"/>
            <w:shd w:val="clear" w:color="auto" w:fill="auto"/>
            <w:vAlign w:val="center"/>
          </w:tcPr>
          <w:p w14:paraId="737227C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5,200.00 </w:t>
            </w:r>
          </w:p>
        </w:tc>
        <w:tc>
          <w:tcPr>
            <w:tcW w:w="0" w:type="auto"/>
            <w:shd w:val="clear" w:color="auto" w:fill="auto"/>
            <w:vAlign w:val="center"/>
          </w:tcPr>
          <w:p w14:paraId="7D6DD30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4,000.00 </w:t>
            </w:r>
          </w:p>
        </w:tc>
        <w:tc>
          <w:tcPr>
            <w:tcW w:w="0" w:type="auto"/>
            <w:shd w:val="clear" w:color="auto" w:fill="auto"/>
            <w:vAlign w:val="center"/>
          </w:tcPr>
          <w:p w14:paraId="7946124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03914E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8E492CC">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3E09FF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B66546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FC09C6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4B3D02F8">
            <w:pPr>
              <w:widowControl/>
              <w:spacing w:after="0" w:line="240" w:lineRule="auto"/>
              <w:ind w:firstLine="0" w:firstLineChars="0"/>
              <w:jc w:val="center"/>
              <w:rPr>
                <w:rFonts w:hint="eastAsia" w:ascii="宋体" w:hAnsi="宋体" w:eastAsia="宋体" w:cs="宋体"/>
                <w:color w:val="000000"/>
                <w:kern w:val="0"/>
                <w:sz w:val="18"/>
                <w:szCs w:val="18"/>
              </w:rPr>
            </w:pPr>
          </w:p>
        </w:tc>
      </w:tr>
      <w:tr w14:paraId="6093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045C496E">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0" w:type="auto"/>
            <w:shd w:val="clear" w:color="auto" w:fill="auto"/>
            <w:vAlign w:val="center"/>
          </w:tcPr>
          <w:p w14:paraId="6379BEED">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其他融资款</w:t>
            </w:r>
          </w:p>
        </w:tc>
        <w:tc>
          <w:tcPr>
            <w:tcW w:w="0" w:type="auto"/>
            <w:shd w:val="clear" w:color="auto" w:fill="auto"/>
            <w:vAlign w:val="center"/>
          </w:tcPr>
          <w:p w14:paraId="509E6C4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68ABD18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2911E2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343F75C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196D79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12D9BCCF">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462D1BD4">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4B91760F">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66AFE1C">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1A337C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D9FFC0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D946280">
            <w:pPr>
              <w:widowControl/>
              <w:spacing w:after="0" w:line="240" w:lineRule="auto"/>
              <w:ind w:firstLine="0" w:firstLineChars="0"/>
              <w:jc w:val="center"/>
              <w:rPr>
                <w:rFonts w:hint="eastAsia" w:ascii="宋体" w:hAnsi="宋体" w:eastAsia="宋体" w:cs="宋体"/>
                <w:color w:val="000000"/>
                <w:kern w:val="0"/>
                <w:sz w:val="18"/>
                <w:szCs w:val="18"/>
              </w:rPr>
            </w:pPr>
          </w:p>
        </w:tc>
      </w:tr>
      <w:tr w14:paraId="2500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16A30500">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0" w:type="auto"/>
            <w:shd w:val="clear" w:color="auto" w:fill="auto"/>
            <w:vAlign w:val="center"/>
          </w:tcPr>
          <w:p w14:paraId="07039C88">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资本金投入</w:t>
            </w:r>
          </w:p>
        </w:tc>
        <w:tc>
          <w:tcPr>
            <w:tcW w:w="0" w:type="auto"/>
            <w:shd w:val="clear" w:color="auto" w:fill="auto"/>
            <w:vAlign w:val="center"/>
          </w:tcPr>
          <w:p w14:paraId="3098C47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48,834.24 </w:t>
            </w:r>
          </w:p>
        </w:tc>
        <w:tc>
          <w:tcPr>
            <w:tcW w:w="0" w:type="auto"/>
            <w:shd w:val="clear" w:color="auto" w:fill="auto"/>
            <w:vAlign w:val="center"/>
          </w:tcPr>
          <w:p w14:paraId="6FB6699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5,023.52 </w:t>
            </w:r>
          </w:p>
        </w:tc>
        <w:tc>
          <w:tcPr>
            <w:tcW w:w="0" w:type="auto"/>
            <w:shd w:val="clear" w:color="auto" w:fill="auto"/>
            <w:vAlign w:val="center"/>
          </w:tcPr>
          <w:p w14:paraId="43FCB31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10,845.56 </w:t>
            </w:r>
          </w:p>
        </w:tc>
        <w:tc>
          <w:tcPr>
            <w:tcW w:w="0" w:type="auto"/>
            <w:shd w:val="clear" w:color="auto" w:fill="auto"/>
            <w:vAlign w:val="center"/>
          </w:tcPr>
          <w:p w14:paraId="506E99D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16,973.08 </w:t>
            </w:r>
          </w:p>
        </w:tc>
        <w:tc>
          <w:tcPr>
            <w:tcW w:w="0" w:type="auto"/>
            <w:shd w:val="clear" w:color="auto" w:fill="auto"/>
            <w:vAlign w:val="center"/>
          </w:tcPr>
          <w:p w14:paraId="3E0FF6C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15,992.08 </w:t>
            </w:r>
          </w:p>
        </w:tc>
        <w:tc>
          <w:tcPr>
            <w:tcW w:w="0" w:type="auto"/>
            <w:shd w:val="clear" w:color="auto" w:fill="auto"/>
            <w:vAlign w:val="center"/>
          </w:tcPr>
          <w:p w14:paraId="057B73A3">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C0FD5E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368F01A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73E1BD6">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4BEA9E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187B4A3">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E29CF3E">
            <w:pPr>
              <w:widowControl/>
              <w:spacing w:after="0" w:line="240" w:lineRule="auto"/>
              <w:ind w:firstLine="0" w:firstLineChars="0"/>
              <w:jc w:val="center"/>
              <w:rPr>
                <w:rFonts w:hint="eastAsia" w:ascii="宋体" w:hAnsi="宋体" w:eastAsia="宋体" w:cs="宋体"/>
                <w:color w:val="000000"/>
                <w:kern w:val="0"/>
                <w:sz w:val="18"/>
                <w:szCs w:val="18"/>
              </w:rPr>
            </w:pPr>
          </w:p>
        </w:tc>
      </w:tr>
      <w:tr w14:paraId="7C07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1C26B9E0">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p>
        </w:tc>
        <w:tc>
          <w:tcPr>
            <w:tcW w:w="0" w:type="auto"/>
            <w:shd w:val="clear" w:color="auto" w:fill="auto"/>
            <w:vAlign w:val="center"/>
          </w:tcPr>
          <w:p w14:paraId="14B58877">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现金流出</w:t>
            </w:r>
          </w:p>
        </w:tc>
        <w:tc>
          <w:tcPr>
            <w:tcW w:w="0" w:type="auto"/>
            <w:shd w:val="clear" w:color="auto" w:fill="auto"/>
            <w:vAlign w:val="center"/>
          </w:tcPr>
          <w:p w14:paraId="1340F8A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70,582.84 </w:t>
            </w:r>
          </w:p>
        </w:tc>
        <w:tc>
          <w:tcPr>
            <w:tcW w:w="0" w:type="auto"/>
            <w:shd w:val="clear" w:color="auto" w:fill="auto"/>
            <w:vAlign w:val="center"/>
          </w:tcPr>
          <w:p w14:paraId="3E8FD3B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5,023.52 </w:t>
            </w:r>
          </w:p>
        </w:tc>
        <w:tc>
          <w:tcPr>
            <w:tcW w:w="0" w:type="auto"/>
            <w:shd w:val="clear" w:color="auto" w:fill="auto"/>
            <w:vAlign w:val="center"/>
          </w:tcPr>
          <w:p w14:paraId="2EBA046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11,622.76 </w:t>
            </w:r>
          </w:p>
        </w:tc>
        <w:tc>
          <w:tcPr>
            <w:tcW w:w="0" w:type="auto"/>
            <w:shd w:val="clear" w:color="auto" w:fill="auto"/>
            <w:vAlign w:val="center"/>
          </w:tcPr>
          <w:p w14:paraId="31478CA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22,028.00 </w:t>
            </w:r>
          </w:p>
        </w:tc>
        <w:tc>
          <w:tcPr>
            <w:tcW w:w="0" w:type="auto"/>
            <w:shd w:val="clear" w:color="auto" w:fill="auto"/>
            <w:vAlign w:val="center"/>
          </w:tcPr>
          <w:p w14:paraId="20EAD29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19,832.08 </w:t>
            </w:r>
          </w:p>
        </w:tc>
        <w:tc>
          <w:tcPr>
            <w:tcW w:w="0" w:type="auto"/>
            <w:shd w:val="clear" w:color="auto" w:fill="auto"/>
            <w:vAlign w:val="center"/>
          </w:tcPr>
          <w:p w14:paraId="6B9D6CA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115E2A4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6489612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0561E4B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178F695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1,123.88 </w:t>
            </w:r>
          </w:p>
        </w:tc>
        <w:tc>
          <w:tcPr>
            <w:tcW w:w="0" w:type="auto"/>
            <w:vAlign w:val="center"/>
          </w:tcPr>
          <w:p w14:paraId="73C8FEE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5,501.08 </w:t>
            </w:r>
          </w:p>
        </w:tc>
        <w:tc>
          <w:tcPr>
            <w:tcW w:w="0" w:type="auto"/>
            <w:vAlign w:val="center"/>
          </w:tcPr>
          <w:p w14:paraId="00E8BF8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4,156.00 </w:t>
            </w:r>
          </w:p>
        </w:tc>
      </w:tr>
      <w:tr w14:paraId="14D9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52D08BF2">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0" w:type="auto"/>
            <w:shd w:val="clear" w:color="auto" w:fill="auto"/>
            <w:vAlign w:val="center"/>
          </w:tcPr>
          <w:p w14:paraId="2595AF56">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业务活动现金流出</w:t>
            </w:r>
          </w:p>
        </w:tc>
        <w:tc>
          <w:tcPr>
            <w:tcW w:w="0" w:type="auto"/>
            <w:shd w:val="clear" w:color="auto" w:fill="auto"/>
            <w:vAlign w:val="center"/>
          </w:tcPr>
          <w:p w14:paraId="7A7449B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5A3CB24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6590C5B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DFE72A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5810A5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62779DA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21E8D46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7C297C7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5E989D2C">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FD286D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A8AADA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533F20C">
            <w:pPr>
              <w:widowControl/>
              <w:spacing w:after="0" w:line="240" w:lineRule="auto"/>
              <w:ind w:firstLine="0" w:firstLineChars="0"/>
              <w:jc w:val="center"/>
              <w:rPr>
                <w:rFonts w:hint="eastAsia" w:ascii="宋体" w:hAnsi="宋体" w:eastAsia="宋体" w:cs="宋体"/>
                <w:color w:val="000000"/>
                <w:kern w:val="0"/>
                <w:sz w:val="18"/>
                <w:szCs w:val="18"/>
              </w:rPr>
            </w:pPr>
          </w:p>
        </w:tc>
      </w:tr>
      <w:tr w14:paraId="2692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7AFC14FF">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0" w:type="auto"/>
            <w:shd w:val="clear" w:color="auto" w:fill="auto"/>
            <w:vAlign w:val="center"/>
          </w:tcPr>
          <w:p w14:paraId="33BE6F60">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运营成本</w:t>
            </w:r>
          </w:p>
        </w:tc>
        <w:tc>
          <w:tcPr>
            <w:tcW w:w="0" w:type="auto"/>
            <w:shd w:val="clear" w:color="auto" w:fill="auto"/>
            <w:vAlign w:val="center"/>
          </w:tcPr>
          <w:p w14:paraId="2BC38FB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86D312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60037E8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11B022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noWrap/>
            <w:vAlign w:val="center"/>
          </w:tcPr>
          <w:p w14:paraId="042F441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noWrap/>
            <w:vAlign w:val="center"/>
          </w:tcPr>
          <w:p w14:paraId="2454656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54C3CC9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768D7E8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2D3D1C1A">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C6BD78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0374355">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31EFB0F">
            <w:pPr>
              <w:widowControl/>
              <w:spacing w:after="0" w:line="240" w:lineRule="auto"/>
              <w:ind w:firstLine="0" w:firstLineChars="0"/>
              <w:jc w:val="center"/>
              <w:rPr>
                <w:rFonts w:hint="eastAsia" w:ascii="宋体" w:hAnsi="宋体" w:eastAsia="宋体" w:cs="宋体"/>
                <w:color w:val="000000"/>
                <w:kern w:val="0"/>
                <w:sz w:val="18"/>
                <w:szCs w:val="18"/>
              </w:rPr>
            </w:pPr>
          </w:p>
        </w:tc>
      </w:tr>
      <w:tr w14:paraId="7C38A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4FDE8AC0">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0" w:type="auto"/>
            <w:shd w:val="clear" w:color="auto" w:fill="auto"/>
            <w:vAlign w:val="center"/>
          </w:tcPr>
          <w:p w14:paraId="277DCE2E">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税金支出</w:t>
            </w:r>
          </w:p>
        </w:tc>
        <w:tc>
          <w:tcPr>
            <w:tcW w:w="0" w:type="auto"/>
            <w:shd w:val="clear" w:color="auto" w:fill="auto"/>
            <w:vAlign w:val="center"/>
          </w:tcPr>
          <w:p w14:paraId="205B79C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05C851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8699D9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6D071F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noWrap/>
            <w:vAlign w:val="center"/>
          </w:tcPr>
          <w:p w14:paraId="35B0FA1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0.00</w:t>
            </w:r>
          </w:p>
        </w:tc>
        <w:tc>
          <w:tcPr>
            <w:tcW w:w="0" w:type="auto"/>
            <w:shd w:val="clear" w:color="auto" w:fill="auto"/>
            <w:noWrap/>
            <w:vAlign w:val="center"/>
          </w:tcPr>
          <w:p w14:paraId="6176BA1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0.00</w:t>
            </w:r>
          </w:p>
        </w:tc>
        <w:tc>
          <w:tcPr>
            <w:tcW w:w="0" w:type="auto"/>
            <w:vAlign w:val="center"/>
          </w:tcPr>
          <w:p w14:paraId="22CDE29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0.00</w:t>
            </w:r>
          </w:p>
        </w:tc>
        <w:tc>
          <w:tcPr>
            <w:tcW w:w="0" w:type="auto"/>
            <w:vAlign w:val="center"/>
          </w:tcPr>
          <w:p w14:paraId="4F7B8E3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0.00</w:t>
            </w:r>
          </w:p>
        </w:tc>
        <w:tc>
          <w:tcPr>
            <w:tcW w:w="0" w:type="auto"/>
            <w:vAlign w:val="center"/>
          </w:tcPr>
          <w:p w14:paraId="520B53A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7961E8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51E764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CACCCC6">
            <w:pPr>
              <w:widowControl/>
              <w:spacing w:after="0" w:line="240" w:lineRule="auto"/>
              <w:ind w:firstLine="0" w:firstLineChars="0"/>
              <w:jc w:val="center"/>
              <w:rPr>
                <w:rFonts w:hint="eastAsia" w:ascii="宋体" w:hAnsi="宋体" w:eastAsia="宋体" w:cs="宋体"/>
                <w:color w:val="000000"/>
                <w:kern w:val="0"/>
                <w:sz w:val="18"/>
                <w:szCs w:val="18"/>
              </w:rPr>
            </w:pPr>
          </w:p>
        </w:tc>
      </w:tr>
      <w:tr w14:paraId="50AC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24048FD8">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0" w:type="auto"/>
            <w:shd w:val="clear" w:color="auto" w:fill="auto"/>
            <w:vAlign w:val="center"/>
          </w:tcPr>
          <w:p w14:paraId="5E0F11D5">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建设投资现金流出</w:t>
            </w:r>
          </w:p>
        </w:tc>
        <w:tc>
          <w:tcPr>
            <w:tcW w:w="0" w:type="auto"/>
            <w:shd w:val="clear" w:color="auto" w:fill="auto"/>
            <w:vAlign w:val="center"/>
          </w:tcPr>
          <w:p w14:paraId="032BF35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58,309.68 </w:t>
            </w:r>
          </w:p>
        </w:tc>
        <w:tc>
          <w:tcPr>
            <w:tcW w:w="0" w:type="auto"/>
            <w:shd w:val="clear" w:color="auto" w:fill="auto"/>
            <w:vAlign w:val="center"/>
          </w:tcPr>
          <w:p w14:paraId="48233E1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5,023.52 </w:t>
            </w:r>
          </w:p>
        </w:tc>
        <w:tc>
          <w:tcPr>
            <w:tcW w:w="0" w:type="auto"/>
            <w:shd w:val="clear" w:color="auto" w:fill="auto"/>
            <w:vAlign w:val="center"/>
          </w:tcPr>
          <w:p w14:paraId="0B11473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11,621.96 </w:t>
            </w:r>
          </w:p>
        </w:tc>
        <w:tc>
          <w:tcPr>
            <w:tcW w:w="0" w:type="auto"/>
            <w:shd w:val="clear" w:color="auto" w:fill="auto"/>
            <w:vAlign w:val="center"/>
          </w:tcPr>
          <w:p w14:paraId="30E580B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22,000.00 </w:t>
            </w:r>
          </w:p>
        </w:tc>
        <w:tc>
          <w:tcPr>
            <w:tcW w:w="0" w:type="auto"/>
            <w:shd w:val="clear" w:color="auto" w:fill="auto"/>
            <w:vAlign w:val="center"/>
          </w:tcPr>
          <w:p w14:paraId="6F88AD3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19,664.20 </w:t>
            </w:r>
          </w:p>
        </w:tc>
        <w:tc>
          <w:tcPr>
            <w:tcW w:w="0" w:type="auto"/>
            <w:shd w:val="clear" w:color="auto" w:fill="auto"/>
            <w:vAlign w:val="center"/>
          </w:tcPr>
          <w:p w14:paraId="696B3AE0">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1BEA048">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917BC2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3E990CE3">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0904492">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9A3624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BFE9523">
            <w:pPr>
              <w:widowControl/>
              <w:spacing w:after="0" w:line="240" w:lineRule="auto"/>
              <w:ind w:firstLine="0" w:firstLineChars="0"/>
              <w:jc w:val="center"/>
              <w:rPr>
                <w:rFonts w:hint="eastAsia" w:ascii="宋体" w:hAnsi="宋体" w:eastAsia="宋体" w:cs="宋体"/>
                <w:color w:val="000000"/>
                <w:kern w:val="0"/>
                <w:sz w:val="18"/>
                <w:szCs w:val="18"/>
              </w:rPr>
            </w:pPr>
          </w:p>
        </w:tc>
      </w:tr>
      <w:tr w14:paraId="4DD2C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7A5C8BED">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0" w:type="auto"/>
            <w:shd w:val="clear" w:color="auto" w:fill="auto"/>
            <w:vAlign w:val="center"/>
          </w:tcPr>
          <w:p w14:paraId="4B710566">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融资活动现金流出</w:t>
            </w:r>
          </w:p>
        </w:tc>
        <w:tc>
          <w:tcPr>
            <w:tcW w:w="0" w:type="auto"/>
            <w:shd w:val="clear" w:color="auto" w:fill="auto"/>
            <w:vAlign w:val="center"/>
          </w:tcPr>
          <w:p w14:paraId="49E8EF1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12,273.16 </w:t>
            </w:r>
          </w:p>
        </w:tc>
        <w:tc>
          <w:tcPr>
            <w:tcW w:w="0" w:type="auto"/>
            <w:shd w:val="clear" w:color="auto" w:fill="auto"/>
            <w:vAlign w:val="center"/>
          </w:tcPr>
          <w:p w14:paraId="0829722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390CA3A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0.80 </w:t>
            </w:r>
          </w:p>
        </w:tc>
        <w:tc>
          <w:tcPr>
            <w:tcW w:w="0" w:type="auto"/>
            <w:shd w:val="clear" w:color="auto" w:fill="auto"/>
            <w:vAlign w:val="center"/>
          </w:tcPr>
          <w:p w14:paraId="34EFDA1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28.00 </w:t>
            </w:r>
          </w:p>
        </w:tc>
        <w:tc>
          <w:tcPr>
            <w:tcW w:w="0" w:type="auto"/>
            <w:shd w:val="clear" w:color="auto" w:fill="auto"/>
            <w:vAlign w:val="center"/>
          </w:tcPr>
          <w:p w14:paraId="708EB80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167.88 </w:t>
            </w:r>
          </w:p>
        </w:tc>
        <w:tc>
          <w:tcPr>
            <w:tcW w:w="0" w:type="auto"/>
            <w:shd w:val="clear" w:color="auto" w:fill="auto"/>
            <w:vAlign w:val="center"/>
          </w:tcPr>
          <w:p w14:paraId="2E3731F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1685DFE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28EA5EDB">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4245C02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08E9E57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1,123.88 </w:t>
            </w:r>
          </w:p>
        </w:tc>
        <w:tc>
          <w:tcPr>
            <w:tcW w:w="0" w:type="auto"/>
            <w:vAlign w:val="center"/>
          </w:tcPr>
          <w:p w14:paraId="1015211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5,501.08 </w:t>
            </w:r>
          </w:p>
        </w:tc>
        <w:tc>
          <w:tcPr>
            <w:tcW w:w="0" w:type="auto"/>
            <w:vAlign w:val="center"/>
          </w:tcPr>
          <w:p w14:paraId="15A3F3F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4,156.00 </w:t>
            </w:r>
          </w:p>
        </w:tc>
      </w:tr>
      <w:tr w14:paraId="3810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2B399BF4">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0" w:type="auto"/>
            <w:shd w:val="clear" w:color="auto" w:fill="auto"/>
            <w:vAlign w:val="center"/>
          </w:tcPr>
          <w:p w14:paraId="5C20B7AE">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0" w:type="auto"/>
            <w:shd w:val="clear" w:color="auto" w:fill="auto"/>
            <w:vAlign w:val="center"/>
          </w:tcPr>
          <w:p w14:paraId="6E33787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6.00 </w:t>
            </w:r>
          </w:p>
        </w:tc>
        <w:tc>
          <w:tcPr>
            <w:tcW w:w="0" w:type="auto"/>
            <w:shd w:val="clear" w:color="auto" w:fill="auto"/>
            <w:vAlign w:val="center"/>
          </w:tcPr>
          <w:p w14:paraId="47A1101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8F26E3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0.80 </w:t>
            </w:r>
          </w:p>
        </w:tc>
        <w:tc>
          <w:tcPr>
            <w:tcW w:w="0" w:type="auto"/>
            <w:shd w:val="clear" w:color="auto" w:fill="auto"/>
            <w:vAlign w:val="center"/>
          </w:tcPr>
          <w:p w14:paraId="577AE82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5.20 </w:t>
            </w:r>
          </w:p>
        </w:tc>
        <w:tc>
          <w:tcPr>
            <w:tcW w:w="0" w:type="auto"/>
            <w:shd w:val="clear" w:color="auto" w:fill="auto"/>
            <w:vAlign w:val="center"/>
          </w:tcPr>
          <w:p w14:paraId="21282404">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1BFA61C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F84FAB5">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5B92EA8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E3C827B">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6266740F">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F7F595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3922130">
            <w:pPr>
              <w:widowControl/>
              <w:spacing w:after="0" w:line="240" w:lineRule="auto"/>
              <w:ind w:firstLine="0" w:firstLineChars="0"/>
              <w:jc w:val="center"/>
              <w:rPr>
                <w:rFonts w:hint="eastAsia" w:ascii="宋体" w:hAnsi="宋体" w:eastAsia="宋体" w:cs="宋体"/>
                <w:color w:val="000000"/>
                <w:kern w:val="0"/>
                <w:sz w:val="18"/>
                <w:szCs w:val="18"/>
              </w:rPr>
            </w:pPr>
          </w:p>
        </w:tc>
      </w:tr>
      <w:tr w14:paraId="4EFE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590669E1">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0" w:type="auto"/>
            <w:shd w:val="clear" w:color="auto" w:fill="auto"/>
            <w:vAlign w:val="center"/>
          </w:tcPr>
          <w:p w14:paraId="6618C21D">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偿还债券本金</w:t>
            </w:r>
          </w:p>
        </w:tc>
        <w:tc>
          <w:tcPr>
            <w:tcW w:w="0" w:type="auto"/>
            <w:shd w:val="clear" w:color="auto" w:fill="auto"/>
            <w:vAlign w:val="center"/>
          </w:tcPr>
          <w:p w14:paraId="5EDBC98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10,000.00 </w:t>
            </w:r>
          </w:p>
        </w:tc>
        <w:tc>
          <w:tcPr>
            <w:tcW w:w="0" w:type="auto"/>
            <w:shd w:val="clear" w:color="auto" w:fill="auto"/>
            <w:vAlign w:val="center"/>
          </w:tcPr>
          <w:p w14:paraId="30CEDE3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B30ABB8">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65387859">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426DEB9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DF4B47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FBCD9B3">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AF8B45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022C5C3C">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ADB145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800.00 </w:t>
            </w:r>
          </w:p>
        </w:tc>
        <w:tc>
          <w:tcPr>
            <w:tcW w:w="0" w:type="auto"/>
            <w:vAlign w:val="center"/>
          </w:tcPr>
          <w:p w14:paraId="41A8C77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5,200.00 </w:t>
            </w:r>
          </w:p>
        </w:tc>
        <w:tc>
          <w:tcPr>
            <w:tcW w:w="0" w:type="auto"/>
            <w:vAlign w:val="center"/>
          </w:tcPr>
          <w:p w14:paraId="02FA14D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4,000.00 </w:t>
            </w:r>
          </w:p>
        </w:tc>
      </w:tr>
      <w:tr w14:paraId="1359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1B6B3E60">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0" w:type="auto"/>
            <w:shd w:val="clear" w:color="auto" w:fill="auto"/>
            <w:vAlign w:val="center"/>
          </w:tcPr>
          <w:p w14:paraId="7C44A231">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支付债券利息</w:t>
            </w:r>
          </w:p>
        </w:tc>
        <w:tc>
          <w:tcPr>
            <w:tcW w:w="0" w:type="auto"/>
            <w:shd w:val="clear" w:color="auto" w:fill="auto"/>
            <w:vAlign w:val="center"/>
          </w:tcPr>
          <w:p w14:paraId="700F3047">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2,267.16 </w:t>
            </w:r>
          </w:p>
        </w:tc>
        <w:tc>
          <w:tcPr>
            <w:tcW w:w="0" w:type="auto"/>
            <w:shd w:val="clear" w:color="auto" w:fill="auto"/>
            <w:vAlign w:val="center"/>
          </w:tcPr>
          <w:p w14:paraId="11BC050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7519093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5C84A8D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22.80 </w:t>
            </w:r>
          </w:p>
        </w:tc>
        <w:tc>
          <w:tcPr>
            <w:tcW w:w="0" w:type="auto"/>
            <w:shd w:val="clear" w:color="auto" w:fill="auto"/>
            <w:vAlign w:val="center"/>
          </w:tcPr>
          <w:p w14:paraId="684D991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167.88 </w:t>
            </w:r>
          </w:p>
        </w:tc>
        <w:tc>
          <w:tcPr>
            <w:tcW w:w="0" w:type="auto"/>
            <w:shd w:val="clear" w:color="auto" w:fill="auto"/>
            <w:vAlign w:val="center"/>
          </w:tcPr>
          <w:p w14:paraId="03F6090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10C521F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75B3F09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1320D899">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6E222B0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2FDA071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301.08 </w:t>
            </w:r>
          </w:p>
        </w:tc>
        <w:tc>
          <w:tcPr>
            <w:tcW w:w="0" w:type="auto"/>
            <w:vAlign w:val="center"/>
          </w:tcPr>
          <w:p w14:paraId="5A4E928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156.00 </w:t>
            </w:r>
          </w:p>
        </w:tc>
      </w:tr>
      <w:tr w14:paraId="4DEE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66F68948">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0" w:type="auto"/>
            <w:shd w:val="clear" w:color="auto" w:fill="auto"/>
            <w:vAlign w:val="center"/>
          </w:tcPr>
          <w:p w14:paraId="1AFD85D8">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偿还其他融资本金</w:t>
            </w:r>
          </w:p>
        </w:tc>
        <w:tc>
          <w:tcPr>
            <w:tcW w:w="0" w:type="auto"/>
            <w:shd w:val="clear" w:color="auto" w:fill="auto"/>
            <w:vAlign w:val="center"/>
          </w:tcPr>
          <w:p w14:paraId="0B047E86">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46767FF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4B191EA5">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1DB984F2">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712E0C0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shd w:val="clear" w:color="auto" w:fill="auto"/>
            <w:vAlign w:val="center"/>
          </w:tcPr>
          <w:p w14:paraId="0E91749E">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D338AD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3D634CB4">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25825827">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47CA3F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CAA0AE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7270014C">
            <w:pPr>
              <w:widowControl/>
              <w:spacing w:after="0" w:line="240" w:lineRule="auto"/>
              <w:ind w:firstLine="0" w:firstLineChars="0"/>
              <w:jc w:val="center"/>
              <w:rPr>
                <w:rFonts w:hint="eastAsia" w:ascii="宋体" w:hAnsi="宋体" w:eastAsia="宋体" w:cs="宋体"/>
                <w:color w:val="000000"/>
                <w:kern w:val="0"/>
                <w:sz w:val="18"/>
                <w:szCs w:val="18"/>
              </w:rPr>
            </w:pPr>
          </w:p>
        </w:tc>
      </w:tr>
      <w:tr w14:paraId="1FCE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0" w:type="auto"/>
            <w:shd w:val="clear" w:color="auto" w:fill="auto"/>
            <w:vAlign w:val="center"/>
          </w:tcPr>
          <w:p w14:paraId="5ADDC384">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0" w:type="auto"/>
            <w:shd w:val="clear" w:color="auto" w:fill="auto"/>
            <w:vAlign w:val="center"/>
          </w:tcPr>
          <w:p w14:paraId="08A2854F">
            <w:pPr>
              <w:widowControl/>
              <w:spacing w:after="0" w:line="240" w:lineRule="auto"/>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支付其他融资利息</w:t>
            </w:r>
          </w:p>
        </w:tc>
        <w:tc>
          <w:tcPr>
            <w:tcW w:w="0" w:type="auto"/>
            <w:shd w:val="clear" w:color="auto" w:fill="auto"/>
            <w:vAlign w:val="center"/>
          </w:tcPr>
          <w:p w14:paraId="5DE0DFD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16F7570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9D1816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655F180C">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C2A825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55D61DDD">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12448938">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6A50EC54">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vAlign w:val="center"/>
          </w:tcPr>
          <w:p w14:paraId="3D873B3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7F69721">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1A1075AD">
            <w:pPr>
              <w:widowControl/>
              <w:spacing w:after="0" w:line="240" w:lineRule="auto"/>
              <w:ind w:firstLine="0" w:firstLineChars="0"/>
              <w:jc w:val="center"/>
              <w:rPr>
                <w:rFonts w:hint="eastAsia" w:ascii="宋体" w:hAnsi="宋体" w:eastAsia="宋体" w:cs="宋体"/>
                <w:color w:val="000000"/>
                <w:kern w:val="0"/>
                <w:sz w:val="18"/>
                <w:szCs w:val="18"/>
              </w:rPr>
            </w:pPr>
          </w:p>
        </w:tc>
        <w:tc>
          <w:tcPr>
            <w:tcW w:w="0" w:type="auto"/>
            <w:vAlign w:val="center"/>
          </w:tcPr>
          <w:p w14:paraId="047F3987">
            <w:pPr>
              <w:widowControl/>
              <w:spacing w:after="0" w:line="240" w:lineRule="auto"/>
              <w:ind w:firstLine="0" w:firstLineChars="0"/>
              <w:jc w:val="center"/>
              <w:rPr>
                <w:rFonts w:hint="eastAsia" w:ascii="宋体" w:hAnsi="宋体" w:eastAsia="宋体" w:cs="宋体"/>
                <w:color w:val="000000"/>
                <w:kern w:val="0"/>
                <w:sz w:val="18"/>
                <w:szCs w:val="18"/>
              </w:rPr>
            </w:pPr>
          </w:p>
        </w:tc>
      </w:tr>
      <w:tr w14:paraId="78B9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580498BA">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p>
        </w:tc>
        <w:tc>
          <w:tcPr>
            <w:tcW w:w="0" w:type="auto"/>
            <w:shd w:val="clear" w:color="auto" w:fill="auto"/>
            <w:vAlign w:val="center"/>
          </w:tcPr>
          <w:p w14:paraId="4363EBB7">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当期现金结余</w:t>
            </w:r>
          </w:p>
        </w:tc>
        <w:tc>
          <w:tcPr>
            <w:tcW w:w="0" w:type="auto"/>
            <w:shd w:val="clear" w:color="auto" w:fill="auto"/>
            <w:vAlign w:val="center"/>
          </w:tcPr>
          <w:p w14:paraId="6B56A4A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18,018.88 </w:t>
            </w:r>
          </w:p>
        </w:tc>
        <w:tc>
          <w:tcPr>
            <w:tcW w:w="0" w:type="auto"/>
            <w:shd w:val="clear" w:color="auto" w:fill="auto"/>
            <w:vAlign w:val="center"/>
          </w:tcPr>
          <w:p w14:paraId="75F72D9F">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69E2B5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22.80 </w:t>
            </w:r>
          </w:p>
        </w:tc>
        <w:tc>
          <w:tcPr>
            <w:tcW w:w="0" w:type="auto"/>
            <w:shd w:val="clear" w:color="auto" w:fill="auto"/>
            <w:vAlign w:val="center"/>
          </w:tcPr>
          <w:p w14:paraId="1CF09453">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145.08 </w:t>
            </w:r>
          </w:p>
        </w:tc>
        <w:tc>
          <w:tcPr>
            <w:tcW w:w="0" w:type="auto"/>
            <w:shd w:val="clear" w:color="auto" w:fill="auto"/>
            <w:vAlign w:val="center"/>
          </w:tcPr>
          <w:p w14:paraId="5476FC15">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7,601.87 </w:t>
            </w:r>
          </w:p>
        </w:tc>
        <w:tc>
          <w:tcPr>
            <w:tcW w:w="0" w:type="auto"/>
            <w:shd w:val="clear" w:color="auto" w:fill="auto"/>
            <w:vAlign w:val="center"/>
          </w:tcPr>
          <w:p w14:paraId="73B199D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7,117.99 </w:t>
            </w:r>
          </w:p>
        </w:tc>
        <w:tc>
          <w:tcPr>
            <w:tcW w:w="0" w:type="auto"/>
            <w:vAlign w:val="center"/>
          </w:tcPr>
          <w:p w14:paraId="7F68336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7,117.99 </w:t>
            </w:r>
          </w:p>
        </w:tc>
        <w:tc>
          <w:tcPr>
            <w:tcW w:w="0" w:type="auto"/>
            <w:vAlign w:val="center"/>
          </w:tcPr>
          <w:p w14:paraId="5B8A114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7,117.99 </w:t>
            </w:r>
          </w:p>
        </w:tc>
        <w:tc>
          <w:tcPr>
            <w:tcW w:w="0" w:type="auto"/>
            <w:vAlign w:val="center"/>
          </w:tcPr>
          <w:p w14:paraId="5AC49BB1">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-323.88 </w:t>
            </w:r>
          </w:p>
        </w:tc>
        <w:tc>
          <w:tcPr>
            <w:tcW w:w="0" w:type="auto"/>
            <w:vAlign w:val="center"/>
          </w:tcPr>
          <w:p w14:paraId="4395AE2A">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-1,123.88 </w:t>
            </w:r>
          </w:p>
        </w:tc>
        <w:tc>
          <w:tcPr>
            <w:tcW w:w="0" w:type="auto"/>
            <w:vAlign w:val="center"/>
          </w:tcPr>
          <w:p w14:paraId="60476B6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-5,501.08 </w:t>
            </w:r>
          </w:p>
        </w:tc>
        <w:tc>
          <w:tcPr>
            <w:tcW w:w="0" w:type="auto"/>
            <w:vAlign w:val="center"/>
          </w:tcPr>
          <w:p w14:paraId="2EF14390">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-4,156.00 </w:t>
            </w:r>
          </w:p>
        </w:tc>
      </w:tr>
      <w:tr w14:paraId="2EFE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0754D74C">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四</w:t>
            </w:r>
          </w:p>
        </w:tc>
        <w:tc>
          <w:tcPr>
            <w:tcW w:w="0" w:type="auto"/>
            <w:shd w:val="clear" w:color="auto" w:fill="auto"/>
            <w:vAlign w:val="center"/>
          </w:tcPr>
          <w:p w14:paraId="5CD423B3">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期初现金</w:t>
            </w:r>
          </w:p>
        </w:tc>
        <w:tc>
          <w:tcPr>
            <w:tcW w:w="0" w:type="auto"/>
            <w:shd w:val="clear" w:color="auto" w:fill="auto"/>
            <w:vAlign w:val="center"/>
          </w:tcPr>
          <w:p w14:paraId="516A607E">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w:t>
            </w:r>
          </w:p>
        </w:tc>
        <w:tc>
          <w:tcPr>
            <w:tcW w:w="0" w:type="auto"/>
            <w:shd w:val="clear" w:color="auto" w:fill="auto"/>
            <w:vAlign w:val="center"/>
          </w:tcPr>
          <w:p w14:paraId="7904B323">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44593F19">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2ED685D0">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22.80 </w:t>
            </w:r>
          </w:p>
        </w:tc>
        <w:tc>
          <w:tcPr>
            <w:tcW w:w="0" w:type="auto"/>
            <w:shd w:val="clear" w:color="auto" w:fill="auto"/>
            <w:vAlign w:val="center"/>
          </w:tcPr>
          <w:p w14:paraId="76D84D55">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167.88 </w:t>
            </w:r>
          </w:p>
        </w:tc>
        <w:tc>
          <w:tcPr>
            <w:tcW w:w="0" w:type="auto"/>
            <w:shd w:val="clear" w:color="auto" w:fill="auto"/>
            <w:vAlign w:val="center"/>
          </w:tcPr>
          <w:p w14:paraId="631BAEBD">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7,769.75 </w:t>
            </w:r>
          </w:p>
        </w:tc>
        <w:tc>
          <w:tcPr>
            <w:tcW w:w="0" w:type="auto"/>
            <w:vAlign w:val="center"/>
          </w:tcPr>
          <w:p w14:paraId="380B620D">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14,887.74 </w:t>
            </w:r>
          </w:p>
        </w:tc>
        <w:tc>
          <w:tcPr>
            <w:tcW w:w="0" w:type="auto"/>
            <w:vAlign w:val="center"/>
          </w:tcPr>
          <w:p w14:paraId="27BD5AF3">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22,005.73 </w:t>
            </w:r>
          </w:p>
        </w:tc>
        <w:tc>
          <w:tcPr>
            <w:tcW w:w="0" w:type="auto"/>
            <w:vAlign w:val="center"/>
          </w:tcPr>
          <w:p w14:paraId="2656E808">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29,123.72 </w:t>
            </w:r>
          </w:p>
        </w:tc>
        <w:tc>
          <w:tcPr>
            <w:tcW w:w="0" w:type="auto"/>
            <w:vAlign w:val="center"/>
          </w:tcPr>
          <w:p w14:paraId="6F1046E2">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28,799.84 </w:t>
            </w:r>
          </w:p>
        </w:tc>
        <w:tc>
          <w:tcPr>
            <w:tcW w:w="0" w:type="auto"/>
            <w:vAlign w:val="center"/>
          </w:tcPr>
          <w:p w14:paraId="5E7C2CFB">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27,675.96 </w:t>
            </w:r>
          </w:p>
        </w:tc>
        <w:tc>
          <w:tcPr>
            <w:tcW w:w="0" w:type="auto"/>
            <w:vAlign w:val="center"/>
          </w:tcPr>
          <w:p w14:paraId="5CD69424">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22,174.88 </w:t>
            </w:r>
          </w:p>
        </w:tc>
      </w:tr>
      <w:tr w14:paraId="620D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vAlign w:val="center"/>
          </w:tcPr>
          <w:p w14:paraId="622D1E42">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五</w:t>
            </w:r>
          </w:p>
        </w:tc>
        <w:tc>
          <w:tcPr>
            <w:tcW w:w="0" w:type="auto"/>
            <w:shd w:val="clear" w:color="auto" w:fill="auto"/>
            <w:vAlign w:val="center"/>
          </w:tcPr>
          <w:p w14:paraId="77EEA456">
            <w:pPr>
              <w:widowControl/>
              <w:spacing w:after="0" w:line="240" w:lineRule="auto"/>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期末现金</w:t>
            </w:r>
          </w:p>
        </w:tc>
        <w:tc>
          <w:tcPr>
            <w:tcW w:w="0" w:type="auto"/>
            <w:shd w:val="clear" w:color="auto" w:fill="auto"/>
            <w:vAlign w:val="center"/>
          </w:tcPr>
          <w:p w14:paraId="192379B2">
            <w:pPr>
              <w:widowControl/>
              <w:spacing w:after="0" w:line="240"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w:t>
            </w:r>
          </w:p>
        </w:tc>
        <w:tc>
          <w:tcPr>
            <w:tcW w:w="0" w:type="auto"/>
            <w:shd w:val="clear" w:color="auto" w:fill="auto"/>
            <w:vAlign w:val="center"/>
          </w:tcPr>
          <w:p w14:paraId="01005E49">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   </w:t>
            </w:r>
          </w:p>
        </w:tc>
        <w:tc>
          <w:tcPr>
            <w:tcW w:w="0" w:type="auto"/>
            <w:shd w:val="clear" w:color="auto" w:fill="auto"/>
            <w:vAlign w:val="center"/>
          </w:tcPr>
          <w:p w14:paraId="062DC7FA">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22.80 </w:t>
            </w:r>
          </w:p>
        </w:tc>
        <w:tc>
          <w:tcPr>
            <w:tcW w:w="0" w:type="auto"/>
            <w:shd w:val="clear" w:color="auto" w:fill="auto"/>
            <w:vAlign w:val="center"/>
          </w:tcPr>
          <w:p w14:paraId="255D70CE">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167.88 </w:t>
            </w:r>
          </w:p>
        </w:tc>
        <w:tc>
          <w:tcPr>
            <w:tcW w:w="0" w:type="auto"/>
            <w:shd w:val="clear" w:color="auto" w:fill="auto"/>
            <w:vAlign w:val="center"/>
          </w:tcPr>
          <w:p w14:paraId="0CBD498B">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7,769.75 </w:t>
            </w:r>
          </w:p>
        </w:tc>
        <w:tc>
          <w:tcPr>
            <w:tcW w:w="0" w:type="auto"/>
            <w:shd w:val="clear" w:color="auto" w:fill="auto"/>
            <w:vAlign w:val="center"/>
          </w:tcPr>
          <w:p w14:paraId="54BAFE3F">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14,887.74 </w:t>
            </w:r>
          </w:p>
        </w:tc>
        <w:tc>
          <w:tcPr>
            <w:tcW w:w="0" w:type="auto"/>
            <w:vAlign w:val="center"/>
          </w:tcPr>
          <w:p w14:paraId="24B8A78B">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22,005.73 </w:t>
            </w:r>
          </w:p>
        </w:tc>
        <w:tc>
          <w:tcPr>
            <w:tcW w:w="0" w:type="auto"/>
            <w:vAlign w:val="center"/>
          </w:tcPr>
          <w:p w14:paraId="5B0049D3">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29,123.72 </w:t>
            </w:r>
          </w:p>
        </w:tc>
        <w:tc>
          <w:tcPr>
            <w:tcW w:w="0" w:type="auto"/>
            <w:vAlign w:val="center"/>
          </w:tcPr>
          <w:p w14:paraId="351D04AF">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28,799.84 </w:t>
            </w:r>
          </w:p>
        </w:tc>
        <w:tc>
          <w:tcPr>
            <w:tcW w:w="0" w:type="auto"/>
            <w:vAlign w:val="center"/>
          </w:tcPr>
          <w:p w14:paraId="35499008">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27,675.96 </w:t>
            </w:r>
          </w:p>
        </w:tc>
        <w:tc>
          <w:tcPr>
            <w:tcW w:w="0" w:type="auto"/>
            <w:vAlign w:val="center"/>
          </w:tcPr>
          <w:p w14:paraId="6227504E">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22,174.88 </w:t>
            </w:r>
          </w:p>
        </w:tc>
        <w:tc>
          <w:tcPr>
            <w:tcW w:w="0" w:type="auto"/>
            <w:vAlign w:val="center"/>
          </w:tcPr>
          <w:p w14:paraId="1940B288">
            <w:pPr>
              <w:spacing w:line="259" w:lineRule="auto"/>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 xml:space="preserve"> 18,018.88 </w:t>
            </w:r>
          </w:p>
        </w:tc>
      </w:tr>
      <w:tr w14:paraId="3A6B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 w:hRule="atLeast"/>
          <w:jc w:val="center"/>
        </w:trPr>
        <w:tc>
          <w:tcPr>
            <w:tcW w:w="0" w:type="auto"/>
            <w:gridSpan w:val="7"/>
            <w:shd w:val="clear" w:color="auto" w:fill="auto"/>
            <w:vAlign w:val="center"/>
          </w:tcPr>
          <w:p w14:paraId="435841AC">
            <w:pPr>
              <w:spacing w:line="259" w:lineRule="auto"/>
              <w:ind w:firstLine="0" w:firstLineChars="0"/>
              <w:jc w:val="center"/>
              <w:rPr>
                <w:rFonts w:hint="eastAsia" w:ascii="宋体" w:hAnsi="宋体" w:eastAsia="宋体" w:cs="宋体"/>
                <w:b/>
                <w:color w:val="000000"/>
                <w:kern w:val="0"/>
                <w:sz w:val="18"/>
                <w:szCs w:val="18"/>
              </w:rPr>
            </w:pPr>
            <w:r>
              <w:rPr>
                <w:rFonts w:hint="eastAsia" w:ascii="宋体" w:hAnsi="宋体" w:eastAsia="宋体" w:cs="宋体"/>
                <w:b/>
                <w:color w:val="000000"/>
                <w:kern w:val="0"/>
                <w:sz w:val="18"/>
                <w:szCs w:val="18"/>
              </w:rPr>
              <w:t>债券覆盖倍数</w:t>
            </w:r>
          </w:p>
        </w:tc>
        <w:tc>
          <w:tcPr>
            <w:tcW w:w="0" w:type="auto"/>
            <w:gridSpan w:val="7"/>
            <w:shd w:val="clear" w:color="auto" w:fill="auto"/>
            <w:vAlign w:val="center"/>
          </w:tcPr>
          <w:p w14:paraId="2BDC3861">
            <w:pPr>
              <w:spacing w:line="259" w:lineRule="auto"/>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2.43</w:t>
            </w:r>
          </w:p>
        </w:tc>
      </w:tr>
    </w:tbl>
    <w:p w14:paraId="0A7C51D2">
      <w:pPr>
        <w:pStyle w:val="20"/>
        <w:spacing w:before="0" w:beforeAutospacing="0" w:after="156" w:afterLines="50" w:afterAutospacing="0" w:line="360" w:lineRule="exact"/>
        <w:ind w:firstLine="360"/>
        <w:rPr>
          <w:rFonts w:hint="eastAsia"/>
          <w:color w:val="000000" w:themeColor="text1"/>
          <w:sz w:val="18"/>
          <w:szCs w:val="18"/>
          <w14:textFill>
            <w14:solidFill>
              <w14:schemeClr w14:val="tx1"/>
            </w14:solidFill>
          </w14:textFill>
        </w:rPr>
        <w:sectPr>
          <w:headerReference r:id="rId11" w:type="first"/>
          <w:footerReference r:id="rId14" w:type="first"/>
          <w:headerReference r:id="rId9" w:type="default"/>
          <w:footerReference r:id="rId12" w:type="default"/>
          <w:headerReference r:id="rId10" w:type="even"/>
          <w:footerReference r:id="rId13" w:type="even"/>
          <w:pgSz w:w="16838" w:h="11906" w:orient="landscape"/>
          <w:pgMar w:top="1701" w:right="1531" w:bottom="1701" w:left="1418" w:header="851" w:footer="992" w:gutter="0"/>
          <w:cols w:space="425" w:num="1"/>
          <w:docGrid w:type="linesAndChars" w:linePitch="312" w:charSpace="0"/>
        </w:sectPr>
      </w:pPr>
      <w:r>
        <w:rPr>
          <w:rFonts w:hint="eastAsia"/>
          <w:color w:val="000000" w:themeColor="text1"/>
          <w:sz w:val="18"/>
          <w:szCs w:val="18"/>
          <w14:textFill>
            <w14:solidFill>
              <w14:schemeClr w14:val="tx1"/>
            </w14:solidFill>
          </w14:textFill>
        </w:rPr>
        <w:t>注：按照在存续期内预期收入和预期支出测算，该项目在存续期间能够产生持续稳定的净现金流。按照预计条件的资金测算平衡结果，项目存续期内可达到的债券资金覆盖率为2.43倍，还本付息资金有充分保障。</w:t>
      </w:r>
    </w:p>
    <w:p w14:paraId="571F98D6">
      <w:pPr>
        <w:widowControl/>
        <w:spacing w:after="0" w:line="360" w:lineRule="exact"/>
        <w:ind w:firstLine="480"/>
        <w:jc w:val="right"/>
        <w:rPr>
          <w:color w:val="000000" w:themeColor="text1"/>
          <w:szCs w:val="24"/>
          <w14:textFill>
            <w14:solidFill>
              <w14:schemeClr w14:val="tx1"/>
            </w14:solidFill>
          </w14:textFill>
        </w:rPr>
      </w:pPr>
      <w:r>
        <w:rPr>
          <w:rFonts w:hint="eastAsia"/>
          <w:color w:val="000000"/>
          <w:szCs w:val="24"/>
        </w:rPr>
        <w:t>本次发行专项债券各项目预期业务活动现金流入合计</w:t>
      </w:r>
      <w:r>
        <w:rPr>
          <w:color w:val="000000"/>
          <w:szCs w:val="24"/>
        </w:rPr>
        <w:t>29,767.48</w:t>
      </w:r>
      <w:r>
        <w:rPr>
          <w:rFonts w:hint="eastAsia"/>
          <w:color w:val="000000"/>
          <w:szCs w:val="24"/>
        </w:rPr>
        <w:t>万元，债券到期年份（</w:t>
      </w:r>
      <w:r>
        <w:rPr>
          <w:color w:val="000000"/>
          <w:szCs w:val="24"/>
        </w:rPr>
        <w:t>2030</w:t>
      </w:r>
      <w:r>
        <w:rPr>
          <w:rFonts w:hint="eastAsia"/>
          <w:color w:val="000000"/>
          <w:szCs w:val="24"/>
        </w:rPr>
        <w:t>年）的期末现金仍有17490.32万元，偿还完债券存续期内债券本金与利息合计</w:t>
      </w:r>
      <w:r>
        <w:rPr>
          <w:color w:val="000000"/>
          <w:szCs w:val="24"/>
        </w:rPr>
        <w:t>12,267.16</w:t>
      </w:r>
      <w:r>
        <w:rPr>
          <w:rFonts w:hint="eastAsia"/>
          <w:color w:val="000000"/>
          <w:szCs w:val="24"/>
        </w:rPr>
        <w:t>万元，项目存续期内偿债资金覆盖倍数为</w:t>
      </w:r>
      <w:r>
        <w:rPr>
          <w:color w:val="000000"/>
          <w:szCs w:val="24"/>
        </w:rPr>
        <w:t>2.43</w:t>
      </w:r>
      <w:r>
        <w:rPr>
          <w:rFonts w:hint="eastAsia"/>
          <w:color w:val="000000"/>
          <w:szCs w:val="24"/>
        </w:rPr>
        <w:t>倍，还本付息资金有充分保障，项目实施方案资金计划能够满足发行专项债券资金充足性要求。债券存续期间整体资金流入、流出情况及期末现金如下图所示</w:t>
      </w:r>
      <w:r>
        <w:rPr>
          <w:rFonts w:hint="eastAsia"/>
          <w:color w:val="000000" w:themeColor="text1"/>
          <w:szCs w:val="24"/>
          <w14:textFill>
            <w14:solidFill>
              <w14:schemeClr w14:val="tx1"/>
            </w14:solidFill>
          </w14:textFill>
        </w:rPr>
        <w:t>：</w:t>
      </w:r>
    </w:p>
    <w:p w14:paraId="72373E1A">
      <w:pPr>
        <w:widowControl/>
        <w:spacing w:after="0" w:line="360" w:lineRule="exact"/>
        <w:ind w:firstLine="480"/>
        <w:jc w:val="right"/>
        <w:rPr>
          <w:rFonts w:hint="eastAsia" w:ascii="宋体" w:hAnsi="宋体" w:eastAsia="宋体" w:cs="宋体"/>
          <w:color w:val="000000"/>
          <w:kern w:val="0"/>
          <w:sz w:val="18"/>
          <w:szCs w:val="18"/>
        </w:rPr>
      </w:pPr>
      <w:r>
        <w:rPr>
          <w:rFonts w:ascii="宋体" w:hAnsi="宋体" w:eastAsia="宋体" w:cs="宋体"/>
          <w:color w:val="000000"/>
          <w:kern w:val="0"/>
          <w:szCs w:val="24"/>
        </w:rPr>
        <w:t xml:space="preserve"> </w:t>
      </w:r>
      <w:r>
        <w:rPr>
          <w:rFonts w:hint="eastAsia" w:ascii="宋体" w:hAnsi="宋体" w:eastAsia="宋体" w:cs="宋体"/>
          <w:color w:val="000000"/>
          <w:kern w:val="0"/>
          <w:sz w:val="18"/>
          <w:szCs w:val="18"/>
        </w:rPr>
        <w:t>单位：万元</w:t>
      </w:r>
    </w:p>
    <w:p w14:paraId="4C566F05">
      <w:pPr>
        <w:pStyle w:val="20"/>
        <w:spacing w:before="0" w:beforeAutospacing="0" w:after="156" w:afterLines="50" w:afterAutospacing="0" w:line="360" w:lineRule="exact"/>
        <w:ind w:firstLine="480"/>
        <w:jc w:val="both"/>
        <w:rPr>
          <w:rFonts w:hint="eastAsia"/>
          <w:color w:val="000000" w:themeColor="text1"/>
          <w14:textFill>
            <w14:solidFill>
              <w14:schemeClr w14:val="tx1"/>
            </w14:solidFill>
          </w14:textFill>
        </w:rPr>
      </w:pPr>
    </w:p>
    <w:p w14:paraId="2AEDEB29">
      <w:pPr>
        <w:pStyle w:val="20"/>
        <w:spacing w:before="0" w:beforeAutospacing="0" w:after="156" w:afterLines="50" w:afterAutospacing="0" w:line="360" w:lineRule="exact"/>
        <w:ind w:firstLine="480"/>
        <w:jc w:val="both"/>
        <w:rPr>
          <w:rFonts w:hint="eastAsia"/>
          <w:color w:val="000000" w:themeColor="text1"/>
          <w14:textFill>
            <w14:solidFill>
              <w14:schemeClr w14:val="tx1"/>
            </w14:solidFill>
          </w14:textFill>
        </w:rPr>
      </w:pPr>
      <w:r>
        <w:drawing>
          <wp:anchor distT="0" distB="0" distL="114300" distR="114300" simplePos="0" relativeHeight="251665408" behindDoc="0" locked="0" layoutInCell="1" allowOverlap="1">
            <wp:simplePos x="0" y="0"/>
            <wp:positionH relativeFrom="margin">
              <wp:posOffset>-635</wp:posOffset>
            </wp:positionH>
            <wp:positionV relativeFrom="paragraph">
              <wp:posOffset>243205</wp:posOffset>
            </wp:positionV>
            <wp:extent cx="5403850" cy="2940050"/>
            <wp:effectExtent l="4445" t="4445" r="20955" b="825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14:paraId="04633D4B">
      <w:pPr>
        <w:widowControl/>
        <w:spacing w:after="156" w:afterLines="50" w:line="360" w:lineRule="exact"/>
        <w:ind w:firstLine="42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图3-</w:t>
      </w:r>
      <w:r>
        <w:rPr>
          <w:rFonts w:ascii="宋体" w:hAnsi="宋体" w:eastAsia="宋体" w:cs="宋体"/>
          <w:color w:val="000000"/>
          <w:kern w:val="0"/>
          <w:sz w:val="21"/>
          <w:szCs w:val="21"/>
        </w:rPr>
        <w:t xml:space="preserve">1  </w:t>
      </w:r>
      <w:r>
        <w:rPr>
          <w:rFonts w:hint="eastAsia" w:ascii="宋体" w:hAnsi="宋体" w:eastAsia="宋体" w:cs="宋体"/>
          <w:color w:val="000000"/>
          <w:kern w:val="0"/>
          <w:sz w:val="21"/>
          <w:szCs w:val="21"/>
        </w:rPr>
        <w:t>债券存续期间现金流情况图</w:t>
      </w:r>
    </w:p>
    <w:p w14:paraId="6E331EF7">
      <w:pPr>
        <w:pStyle w:val="20"/>
        <w:spacing w:before="0" w:beforeAutospacing="0" w:after="0" w:afterAutospacing="0" w:line="360" w:lineRule="exact"/>
        <w:ind w:firstLine="360"/>
        <w:jc w:val="right"/>
        <w:rPr>
          <w:rFonts w:hint="eastAsia"/>
          <w:color w:val="000000" w:themeColor="text1"/>
          <w:sz w:val="18"/>
          <w:szCs w:val="18"/>
          <w14:textFill>
            <w14:solidFill>
              <w14:schemeClr w14:val="tx1"/>
            </w14:solidFill>
          </w14:textFill>
        </w:rPr>
      </w:pPr>
    </w:p>
    <w:p w14:paraId="3A37D6D4">
      <w:pPr>
        <w:pStyle w:val="20"/>
        <w:spacing w:before="0" w:beforeAutospacing="0" w:after="156" w:afterLines="50" w:afterAutospacing="0" w:line="360" w:lineRule="exact"/>
        <w:ind w:firstLine="420"/>
        <w:jc w:val="center"/>
        <w:rPr>
          <w:rFonts w:hint="eastAsia"/>
          <w:color w:val="000000" w:themeColor="text1"/>
          <w:sz w:val="21"/>
          <w:szCs w:val="21"/>
          <w14:textFill>
            <w14:solidFill>
              <w14:schemeClr w14:val="tx1"/>
            </w14:solidFill>
          </w14:textFill>
        </w:rPr>
      </w:pPr>
    </w:p>
    <w:p w14:paraId="0B39487A">
      <w:pPr>
        <w:pStyle w:val="20"/>
        <w:spacing w:before="312" w:beforeLines="100" w:beforeAutospacing="0" w:after="312" w:afterLines="100" w:afterAutospacing="0" w:line="360" w:lineRule="exact"/>
        <w:ind w:firstLine="562"/>
        <w:jc w:val="both"/>
        <w:outlineLvl w:val="0"/>
        <w:rPr>
          <w:rFonts w:hint="eastAsia" w:ascii="黑体" w:hAnsi="黑体" w:eastAsia="黑体"/>
          <w:b/>
          <w:color w:val="000000" w:themeColor="text1"/>
          <w14:textFill>
            <w14:solidFill>
              <w14:schemeClr w14:val="tx1"/>
            </w14:solidFill>
          </w14:textFill>
        </w:rPr>
      </w:pPr>
      <w:r>
        <w:rPr>
          <w:rFonts w:hint="eastAsia" w:ascii="黑体" w:hAnsi="黑体" w:eastAsia="黑体"/>
          <w:b/>
          <w:color w:val="000000" w:themeColor="text1"/>
          <w:sz w:val="28"/>
          <w:szCs w:val="28"/>
          <w14:textFill>
            <w14:solidFill>
              <w14:schemeClr w14:val="tx1"/>
            </w14:solidFill>
          </w14:textFill>
        </w:rPr>
        <w:t>四、项目风险评估及控制措施</w:t>
      </w:r>
    </w:p>
    <w:p w14:paraId="2F9E3269">
      <w:pPr>
        <w:pStyle w:val="20"/>
        <w:spacing w:before="0" w:beforeAutospacing="0" w:after="156" w:afterLines="50" w:afterAutospacing="0" w:line="360" w:lineRule="exact"/>
        <w:ind w:firstLine="422"/>
        <w:jc w:val="both"/>
        <w:outlineLvl w:val="1"/>
        <w:rPr>
          <w:rFonts w:hint="eastAsia"/>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（一）项目主要风险及防范措施</w:t>
      </w:r>
    </w:p>
    <w:p w14:paraId="6300A190">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1.工期变化产生的风险及应对措施</w:t>
      </w:r>
    </w:p>
    <w:p w14:paraId="2A42ECBA">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拖延项目工期的因素非常多，如勘测资料的详细程度、设计方案的稳定、项目业主的组织管理水平、资金到位情况、承建商的施工技术及管理水平等，从国内已建工程的实际情况来看，要实现项目预定的工期目标有一定的难度。项目建设期每年的利息额较大，如果工期拖延，工程投资将增加，并且工期拖延将影响项目的现金流入，使项目净收益减少。</w:t>
      </w:r>
    </w:p>
    <w:p w14:paraId="6480661F">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单位应通过深化各阶段设计方案，强化地质勘探工作，减少工程设计方案的变更，避免因设计方案的变更而拖延工期。</w:t>
      </w:r>
    </w:p>
    <w:p w14:paraId="2CDAA933">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2.工程事故产生的风险及应对措施</w:t>
      </w:r>
    </w:p>
    <w:p w14:paraId="5B99DF9E">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工程事故是由施工阶段中一些难以预测的地质情况或施工不当、管理不善引起的，国内建设项目在施工中发生的事故都造成了较大的影响和损失，应当在工程事故防范上引起足够的重视。事故会引起工程延期、人员伤亡、投资增加等，使项目净收益减少。</w:t>
      </w:r>
    </w:p>
    <w:p w14:paraId="3924A54A">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将选择有较高施工技术与管理水平，经济实力雄厚并拥有先进施工设备的施工队伍，确保工程的质量与进度；通过选择资信好、技术可靠的设计、施工承包商，签订规范的合同（包括在承包商不能履行合同时确定损失额的条款），切实做好合同管理的工作，可以达到抵御风险的目的。</w:t>
      </w:r>
    </w:p>
    <w:p w14:paraId="4DE5C925">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asciiTheme="minorEastAsia" w:hAnsiTheme="minorEastAsia"/>
          <w:color w:val="000000" w:themeColor="text1"/>
          <w14:textFill>
            <w14:solidFill>
              <w14:schemeClr w14:val="tx1"/>
            </w14:solidFill>
          </w14:textFill>
        </w:rPr>
        <w:t>3</w:t>
      </w:r>
      <w:r>
        <w:rPr>
          <w:rFonts w:hint="eastAsia" w:asciiTheme="minorEastAsia" w:hAnsiTheme="minorEastAsia"/>
          <w:color w:val="000000" w:themeColor="text1"/>
          <w14:textFill>
            <w14:solidFill>
              <w14:schemeClr w14:val="tx1"/>
            </w14:solidFill>
          </w14:textFill>
        </w:rPr>
        <w:t>.收入变动风险及应对措施</w:t>
      </w:r>
    </w:p>
    <w:p w14:paraId="0362724D">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收入变动风险是指各单位完成年度预测收入的不确定性带来的风险。本项目收入变动风险主要是土地出让价格带来的，影响单位年度收入规模，偿债能力减弱。</w:t>
      </w:r>
    </w:p>
    <w:p w14:paraId="72C7AFFD">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单位将按照债券发行期限和额度，在单位年度预算中编列债券还本准备金专项预算，逐年提取还本资金，减少年度收入不确定性对债务还本造成的影响。</w:t>
      </w:r>
    </w:p>
    <w:p w14:paraId="71B769B4">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asciiTheme="minorEastAsia" w:hAnsiTheme="minorEastAsia"/>
          <w:color w:val="000000" w:themeColor="text1"/>
          <w14:textFill>
            <w14:solidFill>
              <w14:schemeClr w14:val="tx1"/>
            </w14:solidFill>
          </w14:textFill>
        </w:rPr>
        <w:t>4</w:t>
      </w:r>
      <w:r>
        <w:rPr>
          <w:rFonts w:hint="eastAsia" w:asciiTheme="minorEastAsia" w:hAnsiTheme="minorEastAsia"/>
          <w:color w:val="000000" w:themeColor="text1"/>
          <w14:textFill>
            <w14:solidFill>
              <w14:schemeClr w14:val="tx1"/>
            </w14:solidFill>
          </w14:textFill>
        </w:rPr>
        <w:t>.支出变动风险及应对措施</w:t>
      </w:r>
    </w:p>
    <w:p w14:paraId="245F14B4">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支出变动风险是指各单位年度实际支出的不确定性带来的风险。本项目支出变动风险主要是单位出现支出规模扩张过快，单位年度资金结余较预测大幅减少等，影响还本付息。</w:t>
      </w:r>
    </w:p>
    <w:p w14:paraId="6EAA1009">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单位将加强对经费的管理，坚决压缩不合理支出，减少资金浪费，保证还本付息资金。</w:t>
      </w:r>
    </w:p>
    <w:p w14:paraId="0D361086">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asciiTheme="minorEastAsia" w:hAnsiTheme="minorEastAsia"/>
          <w:color w:val="000000" w:themeColor="text1"/>
          <w14:textFill>
            <w14:solidFill>
              <w14:schemeClr w14:val="tx1"/>
            </w14:solidFill>
          </w14:textFill>
        </w:rPr>
        <w:t>5</w:t>
      </w:r>
      <w:r>
        <w:rPr>
          <w:rFonts w:hint="eastAsia" w:asciiTheme="minorEastAsia" w:hAnsiTheme="minorEastAsia"/>
          <w:color w:val="000000" w:themeColor="text1"/>
          <w14:textFill>
            <w14:solidFill>
              <w14:schemeClr w14:val="tx1"/>
            </w14:solidFill>
          </w14:textFill>
        </w:rPr>
        <w:t>.利率变动风险及应对措施</w:t>
      </w:r>
    </w:p>
    <w:p w14:paraId="6E24A3D7">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2024年申请发行的专项债券年利率按照</w:t>
      </w:r>
      <w:r>
        <w:rPr>
          <w:rFonts w:asciiTheme="minorEastAsia" w:hAnsiTheme="minorEastAsia"/>
          <w:color w:val="000000" w:themeColor="text1"/>
          <w14:textFill>
            <w14:solidFill>
              <w14:schemeClr w14:val="tx1"/>
            </w14:solidFill>
          </w14:textFill>
        </w:rPr>
        <w:t>3.90</w:t>
      </w:r>
      <w:r>
        <w:rPr>
          <w:rFonts w:hint="eastAsia" w:asciiTheme="minorEastAsia" w:hAnsiTheme="minorEastAsia"/>
          <w:color w:val="000000" w:themeColor="text1"/>
          <w14:textFill>
            <w14:solidFill>
              <w14:schemeClr w14:val="tx1"/>
            </w14:solidFill>
          </w14:textFill>
        </w:rPr>
        <w:t>%估算，实际执行利率以各期债券票面利率为准。在专项债券存续期内，国际、国内宏观经济环境的变化，国家经济政策变动等因素会引起债券资本市场利率的波动，市场利率波动将会对本项目的财务成本产生一定影响，进而影响项目投资收益的平衡。</w:t>
      </w:r>
    </w:p>
    <w:p w14:paraId="0EAE7408">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将合理安排债券发行金额和债券期限，按照单位资金获取能力做好债券的期限配比、还款计划和资金准备。加强单位资金的绩效管理，充分盘活资金，提高资金使用效益，用资金使用效率提高的收益对冲利率波动可能造成的损失。</w:t>
      </w:r>
    </w:p>
    <w:p w14:paraId="55A6135F">
      <w:pPr>
        <w:pStyle w:val="20"/>
        <w:spacing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asciiTheme="minorEastAsia" w:hAnsiTheme="minorEastAsia"/>
          <w:color w:val="000000" w:themeColor="text1"/>
          <w14:textFill>
            <w14:solidFill>
              <w14:schemeClr w14:val="tx1"/>
            </w14:solidFill>
          </w14:textFill>
        </w:rPr>
        <w:t>6</w:t>
      </w:r>
      <w:r>
        <w:rPr>
          <w:rFonts w:hint="eastAsia" w:asciiTheme="minorEastAsia" w:hAnsiTheme="minorEastAsia"/>
          <w:color w:val="000000" w:themeColor="text1"/>
          <w14:textFill>
            <w14:solidFill>
              <w14:schemeClr w14:val="tx1"/>
            </w14:solidFill>
          </w14:textFill>
        </w:rPr>
        <w:t>.自然风险及应对措施自然风险是指由于自然因素的不确定性对公共配套建筑的建设过程和经营造成的影响，以及对其他建筑物产生的直接破坏，从而对经营者造成经济上的损失。主要包括火灾风险、洪水风险等。</w:t>
      </w:r>
    </w:p>
    <w:p w14:paraId="5F4213C1">
      <w:pPr>
        <w:pStyle w:val="20"/>
        <w:spacing w:before="0" w:beforeAutospacing="0" w:after="156" w:afterLines="50" w:afterAutospacing="0" w:line="360" w:lineRule="exact"/>
        <w:ind w:firstLine="480"/>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单位将通过加强风险预警及防范措施，提前做好预防。</w:t>
      </w:r>
    </w:p>
    <w:p w14:paraId="04FCB0B4">
      <w:pPr>
        <w:pStyle w:val="20"/>
        <w:spacing w:before="0" w:beforeAutospacing="0" w:after="156" w:afterLines="50" w:afterAutospacing="0" w:line="360" w:lineRule="exact"/>
        <w:ind w:firstLine="482"/>
        <w:jc w:val="both"/>
        <w:outlineLvl w:val="1"/>
        <w:rPr>
          <w:rFonts w:hint="eastAsia" w:asciiTheme="minorEastAsia" w:hAnsiTheme="minorEastAsia"/>
          <w:b/>
          <w:color w:val="000000" w:themeColor="text1"/>
          <w14:textFill>
            <w14:solidFill>
              <w14:schemeClr w14:val="tx1"/>
            </w14:solidFill>
          </w14:textFill>
        </w:rPr>
      </w:pPr>
      <w:r>
        <w:rPr>
          <w:rFonts w:hint="eastAsia" w:asciiTheme="minorEastAsia" w:hAnsiTheme="minorEastAsia"/>
          <w:b/>
          <w:color w:val="000000" w:themeColor="text1"/>
          <w14:textFill>
            <w14:solidFill>
              <w14:schemeClr w14:val="tx1"/>
            </w14:solidFill>
          </w14:textFill>
        </w:rPr>
        <w:t>（二）压力测试</w:t>
      </w:r>
    </w:p>
    <w:p w14:paraId="6D1397D8">
      <w:pPr>
        <w:pStyle w:val="20"/>
        <w:spacing w:before="0" w:beforeAutospacing="0" w:after="156" w:afterLines="50" w:afterAutospacing="0" w:line="360" w:lineRule="exact"/>
        <w:ind w:firstLine="480"/>
        <w:contextualSpacing/>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考虑项目收入变动、成本变动和债券利率变动因素，分析专项债券本金覆盖率和本息资金覆盖倍数，见下表4-</w:t>
      </w:r>
      <w:r>
        <w:rPr>
          <w:rFonts w:asciiTheme="minorEastAsia" w:hAnsiTheme="minorEastAsia"/>
          <w:color w:val="000000" w:themeColor="text1"/>
          <w14:textFill>
            <w14:solidFill>
              <w14:schemeClr w14:val="tx1"/>
            </w14:solidFill>
          </w14:textFill>
        </w:rPr>
        <w:t>1</w:t>
      </w:r>
      <w:r>
        <w:rPr>
          <w:rFonts w:hint="eastAsia" w:asciiTheme="minorEastAsia" w:hAnsiTheme="minorEastAsia"/>
          <w:color w:val="000000" w:themeColor="text1"/>
          <w14:textFill>
            <w14:solidFill>
              <w14:schemeClr w14:val="tx1"/>
            </w14:solidFill>
          </w14:textFill>
        </w:rPr>
        <w:t>：</w:t>
      </w:r>
    </w:p>
    <w:p w14:paraId="23B52AFD">
      <w:pPr>
        <w:pStyle w:val="20"/>
        <w:spacing w:before="0" w:beforeAutospacing="0" w:after="156" w:afterLines="50" w:afterAutospacing="0" w:line="360" w:lineRule="exact"/>
        <w:ind w:firstLine="482"/>
        <w:contextualSpacing/>
        <w:rPr>
          <w:rFonts w:hint="eastAsia" w:asciiTheme="minorEastAsia" w:hAnsiTheme="minorEastAsia"/>
          <w:b/>
          <w:color w:val="000000" w:themeColor="text1"/>
          <w14:textFill>
            <w14:solidFill>
              <w14:schemeClr w14:val="tx1"/>
            </w14:solidFill>
          </w14:textFill>
        </w:rPr>
      </w:pPr>
    </w:p>
    <w:p w14:paraId="783EE693">
      <w:pPr>
        <w:pStyle w:val="20"/>
        <w:spacing w:before="0" w:beforeAutospacing="0" w:after="156" w:afterLines="50" w:afterAutospacing="0" w:line="360" w:lineRule="exact"/>
        <w:ind w:firstLine="482"/>
        <w:contextualSpacing/>
        <w:jc w:val="center"/>
        <w:rPr>
          <w:rFonts w:hint="eastAsia" w:asciiTheme="minorEastAsia" w:hAnsiTheme="minorEastAsia"/>
          <w:b/>
          <w:color w:val="000000" w:themeColor="text1"/>
          <w14:textFill>
            <w14:solidFill>
              <w14:schemeClr w14:val="tx1"/>
            </w14:solidFill>
          </w14:textFill>
        </w:rPr>
      </w:pPr>
      <w:r>
        <w:rPr>
          <w:rFonts w:hint="eastAsia" w:asciiTheme="minorEastAsia" w:hAnsiTheme="minorEastAsia"/>
          <w:b/>
          <w:color w:val="000000" w:themeColor="text1"/>
          <w14:textFill>
            <w14:solidFill>
              <w14:schemeClr w14:val="tx1"/>
            </w14:solidFill>
          </w14:textFill>
        </w:rPr>
        <w:t>表4-</w:t>
      </w:r>
      <w:r>
        <w:rPr>
          <w:rFonts w:asciiTheme="minorEastAsia" w:hAnsiTheme="minorEastAsia"/>
          <w:b/>
          <w:color w:val="000000" w:themeColor="text1"/>
          <w14:textFill>
            <w14:solidFill>
              <w14:schemeClr w14:val="tx1"/>
            </w14:solidFill>
          </w14:textFill>
        </w:rPr>
        <w:t>1</w:t>
      </w:r>
      <w:r>
        <w:rPr>
          <w:rFonts w:hint="eastAsia" w:asciiTheme="minorEastAsia" w:hAnsiTheme="minorEastAsia"/>
          <w:b/>
          <w:color w:val="000000" w:themeColor="text1"/>
          <w14:textFill>
            <w14:solidFill>
              <w14:schemeClr w14:val="tx1"/>
            </w14:solidFill>
          </w14:textFill>
        </w:rPr>
        <w:t xml:space="preserve">      单因素变动压力测试表</w:t>
      </w:r>
    </w:p>
    <w:p w14:paraId="20209E39">
      <w:pPr>
        <w:pStyle w:val="20"/>
        <w:spacing w:before="0" w:beforeAutospacing="0" w:after="156" w:afterLines="50" w:afterAutospacing="0" w:line="360" w:lineRule="exact"/>
        <w:ind w:firstLine="480"/>
        <w:contextualSpacing/>
        <w:jc w:val="right"/>
        <w:rPr>
          <w:rFonts w:hint="eastAsia" w:asciiTheme="minorEastAsia" w:hAnsiTheme="minorEastAsia"/>
          <w:color w:val="000000" w:themeColor="text1"/>
          <w14:textFill>
            <w14:solidFill>
              <w14:schemeClr w14:val="tx1"/>
            </w14:solidFill>
          </w14:textFill>
        </w:rPr>
      </w:pPr>
    </w:p>
    <w:p w14:paraId="1E62BE43">
      <w:pPr>
        <w:pStyle w:val="20"/>
        <w:spacing w:before="0" w:beforeAutospacing="0" w:after="156" w:afterLines="50" w:afterAutospacing="0" w:line="360" w:lineRule="exact"/>
        <w:ind w:firstLine="480"/>
        <w:contextualSpacing/>
        <w:jc w:val="right"/>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单位：万元</w:t>
      </w:r>
    </w:p>
    <w:tbl>
      <w:tblPr>
        <w:tblStyle w:val="24"/>
        <w:tblW w:w="5000" w:type="pct"/>
        <w:jc w:val="center"/>
        <w:tblLayout w:type="autofit"/>
        <w:tblCellMar>
          <w:top w:w="0" w:type="dxa"/>
          <w:left w:w="108" w:type="dxa"/>
          <w:bottom w:w="0" w:type="dxa"/>
          <w:right w:w="108" w:type="dxa"/>
        </w:tblCellMar>
      </w:tblPr>
      <w:tblGrid>
        <w:gridCol w:w="2900"/>
        <w:gridCol w:w="1164"/>
        <w:gridCol w:w="1164"/>
        <w:gridCol w:w="1164"/>
        <w:gridCol w:w="1164"/>
        <w:gridCol w:w="1164"/>
      </w:tblGrid>
      <w:tr w14:paraId="723A73AF">
        <w:trPr>
          <w:trHeight w:val="270" w:hRule="atLeast"/>
          <w:jc w:val="center"/>
        </w:trPr>
        <w:tc>
          <w:tcPr>
            <w:tcW w:w="1717" w:type="pct"/>
            <w:tcBorders>
              <w:top w:val="single" w:color="auto" w:sz="4" w:space="0"/>
              <w:left w:val="single" w:color="auto" w:sz="4" w:space="0"/>
              <w:bottom w:val="single" w:color="auto" w:sz="4" w:space="0"/>
              <w:right w:val="single" w:color="auto" w:sz="4" w:space="0"/>
            </w:tcBorders>
            <w:shd w:val="clear" w:color="auto" w:fill="auto"/>
            <w:vAlign w:val="center"/>
          </w:tcPr>
          <w:p w14:paraId="4D29C3BD">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资金覆盖率-压力测试（单因素敏感性分析）</w:t>
            </w:r>
          </w:p>
        </w:tc>
        <w:tc>
          <w:tcPr>
            <w:tcW w:w="636" w:type="pct"/>
            <w:tcBorders>
              <w:top w:val="single" w:color="auto" w:sz="4" w:space="0"/>
              <w:left w:val="nil"/>
              <w:bottom w:val="single" w:color="auto" w:sz="4" w:space="0"/>
              <w:right w:val="single" w:color="auto" w:sz="4" w:space="0"/>
            </w:tcBorders>
            <w:shd w:val="clear" w:color="auto" w:fill="auto"/>
            <w:noWrap/>
            <w:vAlign w:val="center"/>
          </w:tcPr>
          <w:p w14:paraId="56471ABA">
            <w:pPr>
              <w:widowControl/>
              <w:spacing w:after="0"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-10%</w:t>
            </w:r>
          </w:p>
        </w:tc>
        <w:tc>
          <w:tcPr>
            <w:tcW w:w="636" w:type="pct"/>
            <w:tcBorders>
              <w:top w:val="single" w:color="auto" w:sz="4" w:space="0"/>
              <w:left w:val="single" w:color="auto" w:sz="4" w:space="0"/>
              <w:bottom w:val="single" w:color="auto" w:sz="4" w:space="0"/>
              <w:right w:val="single" w:color="auto" w:sz="4" w:space="0"/>
            </w:tcBorders>
            <w:vAlign w:val="center"/>
          </w:tcPr>
          <w:p w14:paraId="00D92F16">
            <w:pPr>
              <w:widowControl/>
              <w:spacing w:after="0"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-5%</w:t>
            </w:r>
          </w:p>
        </w:tc>
        <w:tc>
          <w:tcPr>
            <w:tcW w:w="6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F0067B">
            <w:pPr>
              <w:widowControl/>
              <w:spacing w:after="0"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0%</w:t>
            </w:r>
          </w:p>
        </w:tc>
        <w:tc>
          <w:tcPr>
            <w:tcW w:w="6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356BF5">
            <w:pPr>
              <w:widowControl/>
              <w:spacing w:after="0"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5%</w:t>
            </w:r>
          </w:p>
        </w:tc>
        <w:tc>
          <w:tcPr>
            <w:tcW w:w="635" w:type="pct"/>
            <w:tcBorders>
              <w:top w:val="single" w:color="auto" w:sz="4" w:space="0"/>
              <w:left w:val="single" w:color="auto" w:sz="4" w:space="0"/>
              <w:bottom w:val="single" w:color="auto" w:sz="4" w:space="0"/>
              <w:right w:val="single" w:color="auto" w:sz="4" w:space="0"/>
            </w:tcBorders>
            <w:vAlign w:val="center"/>
          </w:tcPr>
          <w:p w14:paraId="597B8216">
            <w:pPr>
              <w:widowControl/>
              <w:spacing w:after="0"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10%</w:t>
            </w:r>
          </w:p>
        </w:tc>
      </w:tr>
      <w:tr w14:paraId="4605A8D0">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4774FDC7">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业务活动现金流入变动后金额</w:t>
            </w:r>
          </w:p>
        </w:tc>
        <w:tc>
          <w:tcPr>
            <w:tcW w:w="636" w:type="pct"/>
            <w:tcBorders>
              <w:top w:val="single" w:color="auto" w:sz="4" w:space="0"/>
              <w:left w:val="nil"/>
              <w:bottom w:val="single" w:color="auto" w:sz="4" w:space="0"/>
              <w:right w:val="single" w:color="auto" w:sz="4" w:space="0"/>
            </w:tcBorders>
            <w:shd w:val="clear" w:color="auto" w:fill="auto"/>
            <w:noWrap/>
          </w:tcPr>
          <w:p w14:paraId="6E38A93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26,790.73</w:t>
            </w:r>
          </w:p>
        </w:tc>
        <w:tc>
          <w:tcPr>
            <w:tcW w:w="636" w:type="pct"/>
            <w:tcBorders>
              <w:top w:val="single" w:color="auto" w:sz="4" w:space="0"/>
              <w:left w:val="single" w:color="auto" w:sz="4" w:space="0"/>
              <w:bottom w:val="single" w:color="auto" w:sz="4" w:space="0"/>
              <w:right w:val="single" w:color="auto" w:sz="4" w:space="0"/>
            </w:tcBorders>
          </w:tcPr>
          <w:p w14:paraId="0EC0685E">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28,279.11</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0670996C">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29,767.48</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28BA6B59">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31,255.85</w:t>
            </w:r>
          </w:p>
        </w:tc>
        <w:tc>
          <w:tcPr>
            <w:tcW w:w="635" w:type="pct"/>
            <w:tcBorders>
              <w:top w:val="single" w:color="auto" w:sz="4" w:space="0"/>
              <w:left w:val="single" w:color="auto" w:sz="4" w:space="0"/>
              <w:bottom w:val="single" w:color="auto" w:sz="4" w:space="0"/>
              <w:right w:val="single" w:color="auto" w:sz="4" w:space="0"/>
            </w:tcBorders>
          </w:tcPr>
          <w:p w14:paraId="12B50822">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32,744.23</w:t>
            </w:r>
          </w:p>
        </w:tc>
      </w:tr>
      <w:tr w14:paraId="4B9D746D">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622A10B2">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业务活动现金流出成本变动后金额</w:t>
            </w:r>
          </w:p>
        </w:tc>
        <w:tc>
          <w:tcPr>
            <w:tcW w:w="636" w:type="pct"/>
            <w:tcBorders>
              <w:top w:val="single" w:color="auto" w:sz="4" w:space="0"/>
              <w:left w:val="nil"/>
              <w:bottom w:val="single" w:color="auto" w:sz="4" w:space="0"/>
              <w:right w:val="single" w:color="auto" w:sz="4" w:space="0"/>
            </w:tcBorders>
            <w:shd w:val="clear" w:color="auto" w:fill="auto"/>
            <w:noWrap/>
          </w:tcPr>
          <w:p w14:paraId="02CF7467">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636" w:type="pct"/>
            <w:tcBorders>
              <w:top w:val="single" w:color="auto" w:sz="4" w:space="0"/>
              <w:left w:val="single" w:color="auto" w:sz="4" w:space="0"/>
              <w:bottom w:val="single" w:color="auto" w:sz="4" w:space="0"/>
              <w:right w:val="single" w:color="auto" w:sz="4" w:space="0"/>
            </w:tcBorders>
          </w:tcPr>
          <w:p w14:paraId="6BB150EF">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0C7ABF8A">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5C12CC1A">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635" w:type="pct"/>
            <w:tcBorders>
              <w:top w:val="single" w:color="auto" w:sz="4" w:space="0"/>
              <w:left w:val="single" w:color="auto" w:sz="4" w:space="0"/>
              <w:bottom w:val="single" w:color="auto" w:sz="4" w:space="0"/>
              <w:right w:val="single" w:color="auto" w:sz="4" w:space="0"/>
            </w:tcBorders>
          </w:tcPr>
          <w:p w14:paraId="582CD969">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w:t>
            </w:r>
          </w:p>
        </w:tc>
      </w:tr>
      <w:tr w14:paraId="7787BBB3">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728846EC">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w:t>
            </w:r>
          </w:p>
        </w:tc>
        <w:tc>
          <w:tcPr>
            <w:tcW w:w="636" w:type="pct"/>
            <w:tcBorders>
              <w:top w:val="single" w:color="auto" w:sz="4" w:space="0"/>
              <w:left w:val="nil"/>
              <w:bottom w:val="single" w:color="auto" w:sz="4" w:space="0"/>
              <w:right w:val="single" w:color="auto" w:sz="4" w:space="0"/>
            </w:tcBorders>
            <w:shd w:val="clear" w:color="auto" w:fill="auto"/>
            <w:noWrap/>
          </w:tcPr>
          <w:p w14:paraId="7115B6F4">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3.51%</w:t>
            </w:r>
          </w:p>
        </w:tc>
        <w:tc>
          <w:tcPr>
            <w:tcW w:w="636" w:type="pct"/>
            <w:tcBorders>
              <w:top w:val="single" w:color="auto" w:sz="4" w:space="0"/>
              <w:left w:val="single" w:color="auto" w:sz="4" w:space="0"/>
              <w:bottom w:val="single" w:color="auto" w:sz="4" w:space="0"/>
              <w:right w:val="single" w:color="auto" w:sz="4" w:space="0"/>
            </w:tcBorders>
          </w:tcPr>
          <w:p w14:paraId="6918AC25">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3.71%</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7290EADE">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3.90%</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3C8F484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4.10%</w:t>
            </w:r>
          </w:p>
        </w:tc>
        <w:tc>
          <w:tcPr>
            <w:tcW w:w="635" w:type="pct"/>
            <w:tcBorders>
              <w:top w:val="single" w:color="auto" w:sz="4" w:space="0"/>
              <w:left w:val="single" w:color="auto" w:sz="4" w:space="0"/>
              <w:bottom w:val="single" w:color="auto" w:sz="4" w:space="0"/>
              <w:right w:val="single" w:color="auto" w:sz="4" w:space="0"/>
            </w:tcBorders>
          </w:tcPr>
          <w:p w14:paraId="5FD4888F">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4.29%</w:t>
            </w:r>
          </w:p>
        </w:tc>
      </w:tr>
      <w:tr w14:paraId="2D7398BB">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2D38B57E">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利率变动债券利息</w:t>
            </w:r>
          </w:p>
        </w:tc>
        <w:tc>
          <w:tcPr>
            <w:tcW w:w="636" w:type="pct"/>
            <w:tcBorders>
              <w:top w:val="single" w:color="auto" w:sz="4" w:space="0"/>
              <w:left w:val="nil"/>
              <w:bottom w:val="single" w:color="auto" w:sz="4" w:space="0"/>
              <w:right w:val="single" w:color="auto" w:sz="4" w:space="0"/>
            </w:tcBorders>
            <w:shd w:val="clear" w:color="auto" w:fill="auto"/>
            <w:noWrap/>
          </w:tcPr>
          <w:p w14:paraId="7397792A">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2,040.44</w:t>
            </w:r>
          </w:p>
        </w:tc>
        <w:tc>
          <w:tcPr>
            <w:tcW w:w="636" w:type="pct"/>
            <w:tcBorders>
              <w:top w:val="single" w:color="auto" w:sz="4" w:space="0"/>
              <w:left w:val="single" w:color="auto" w:sz="4" w:space="0"/>
              <w:bottom w:val="single" w:color="auto" w:sz="4" w:space="0"/>
              <w:right w:val="single" w:color="auto" w:sz="4" w:space="0"/>
            </w:tcBorders>
          </w:tcPr>
          <w:p w14:paraId="15102AA9">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2,153.80</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2841462D">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2,267.16</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6B2DE95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2,380.52</w:t>
            </w:r>
          </w:p>
        </w:tc>
        <w:tc>
          <w:tcPr>
            <w:tcW w:w="635" w:type="pct"/>
            <w:tcBorders>
              <w:top w:val="single" w:color="auto" w:sz="4" w:space="0"/>
              <w:left w:val="single" w:color="auto" w:sz="4" w:space="0"/>
              <w:bottom w:val="single" w:color="auto" w:sz="4" w:space="0"/>
              <w:right w:val="single" w:color="auto" w:sz="4" w:space="0"/>
            </w:tcBorders>
          </w:tcPr>
          <w:p w14:paraId="5B5D82E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2,493.88</w:t>
            </w:r>
          </w:p>
        </w:tc>
      </w:tr>
      <w:tr w14:paraId="53736426">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46B71C58">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1.收入变动敏感性分析</w:t>
            </w:r>
          </w:p>
        </w:tc>
        <w:tc>
          <w:tcPr>
            <w:tcW w:w="636" w:type="pct"/>
            <w:tcBorders>
              <w:top w:val="single" w:color="auto" w:sz="4" w:space="0"/>
              <w:left w:val="nil"/>
              <w:bottom w:val="single" w:color="auto" w:sz="4" w:space="0"/>
              <w:right w:val="single" w:color="auto" w:sz="4" w:space="0"/>
            </w:tcBorders>
            <w:shd w:val="clear" w:color="auto" w:fill="auto"/>
            <w:noWrap/>
          </w:tcPr>
          <w:p w14:paraId="79C730B6">
            <w:pPr>
              <w:ind w:firstLine="360"/>
              <w:jc w:val="center"/>
              <w:rPr>
                <w:rFonts w:hint="eastAsia" w:ascii="宋体" w:hAnsi="宋体" w:cs="宋体"/>
                <w:color w:val="000000"/>
                <w:kern w:val="0"/>
                <w:sz w:val="18"/>
                <w:szCs w:val="18"/>
              </w:rPr>
            </w:pPr>
          </w:p>
        </w:tc>
        <w:tc>
          <w:tcPr>
            <w:tcW w:w="636" w:type="pct"/>
            <w:tcBorders>
              <w:top w:val="single" w:color="auto" w:sz="4" w:space="0"/>
              <w:left w:val="single" w:color="auto" w:sz="4" w:space="0"/>
              <w:bottom w:val="single" w:color="auto" w:sz="4" w:space="0"/>
              <w:right w:val="single" w:color="auto" w:sz="4" w:space="0"/>
            </w:tcBorders>
          </w:tcPr>
          <w:p w14:paraId="69A4A0AA">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6BB47EFC">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0678729A">
            <w:pPr>
              <w:ind w:firstLine="360"/>
              <w:jc w:val="center"/>
              <w:rPr>
                <w:rFonts w:hint="eastAsia" w:ascii="宋体" w:hAnsi="宋体" w:cs="宋体"/>
                <w:color w:val="000000"/>
                <w:kern w:val="0"/>
                <w:sz w:val="18"/>
                <w:szCs w:val="18"/>
              </w:rPr>
            </w:pPr>
          </w:p>
        </w:tc>
        <w:tc>
          <w:tcPr>
            <w:tcW w:w="635" w:type="pct"/>
            <w:tcBorders>
              <w:top w:val="single" w:color="auto" w:sz="4" w:space="0"/>
              <w:left w:val="single" w:color="auto" w:sz="4" w:space="0"/>
              <w:bottom w:val="single" w:color="auto" w:sz="4" w:space="0"/>
              <w:right w:val="single" w:color="auto" w:sz="4" w:space="0"/>
            </w:tcBorders>
          </w:tcPr>
          <w:p w14:paraId="55D12488">
            <w:pPr>
              <w:ind w:firstLine="360"/>
              <w:jc w:val="center"/>
              <w:rPr>
                <w:rFonts w:hint="eastAsia" w:ascii="宋体" w:hAnsi="宋体" w:cs="宋体"/>
                <w:color w:val="000000"/>
                <w:kern w:val="0"/>
                <w:sz w:val="18"/>
                <w:szCs w:val="18"/>
              </w:rPr>
            </w:pPr>
          </w:p>
        </w:tc>
      </w:tr>
      <w:tr w14:paraId="4C6F941F">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0CD5F17B">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偿债资金覆盖倍数变化</w:t>
            </w:r>
          </w:p>
        </w:tc>
        <w:tc>
          <w:tcPr>
            <w:tcW w:w="636" w:type="pct"/>
            <w:tcBorders>
              <w:top w:val="single" w:color="auto" w:sz="4" w:space="0"/>
              <w:left w:val="nil"/>
              <w:bottom w:val="single" w:color="auto" w:sz="4" w:space="0"/>
              <w:right w:val="single" w:color="auto" w:sz="4" w:space="0"/>
            </w:tcBorders>
            <w:shd w:val="clear" w:color="auto" w:fill="auto"/>
            <w:noWrap/>
          </w:tcPr>
          <w:p w14:paraId="069DAFD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2.18</w:t>
            </w:r>
          </w:p>
        </w:tc>
        <w:tc>
          <w:tcPr>
            <w:tcW w:w="636" w:type="pct"/>
            <w:tcBorders>
              <w:top w:val="single" w:color="auto" w:sz="4" w:space="0"/>
              <w:left w:val="single" w:color="auto" w:sz="4" w:space="0"/>
              <w:bottom w:val="single" w:color="auto" w:sz="4" w:space="0"/>
              <w:right w:val="single" w:color="auto" w:sz="4" w:space="0"/>
            </w:tcBorders>
          </w:tcPr>
          <w:p w14:paraId="6A6F686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2.31</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4F051215">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1093813B">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2.55</w:t>
            </w:r>
          </w:p>
        </w:tc>
        <w:tc>
          <w:tcPr>
            <w:tcW w:w="635" w:type="pct"/>
            <w:tcBorders>
              <w:top w:val="single" w:color="auto" w:sz="4" w:space="0"/>
              <w:left w:val="single" w:color="auto" w:sz="4" w:space="0"/>
              <w:bottom w:val="single" w:color="auto" w:sz="4" w:space="0"/>
              <w:right w:val="single" w:color="auto" w:sz="4" w:space="0"/>
            </w:tcBorders>
          </w:tcPr>
          <w:p w14:paraId="05D1607F">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2.67</w:t>
            </w:r>
          </w:p>
        </w:tc>
      </w:tr>
      <w:tr w14:paraId="381EAF58">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6F9234A3">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2.成本变动敏感性分析</w:t>
            </w:r>
          </w:p>
        </w:tc>
        <w:tc>
          <w:tcPr>
            <w:tcW w:w="636" w:type="pct"/>
            <w:tcBorders>
              <w:top w:val="single" w:color="auto" w:sz="4" w:space="0"/>
              <w:left w:val="nil"/>
              <w:bottom w:val="single" w:color="auto" w:sz="4" w:space="0"/>
              <w:right w:val="single" w:color="auto" w:sz="4" w:space="0"/>
            </w:tcBorders>
            <w:shd w:val="clear" w:color="auto" w:fill="auto"/>
            <w:noWrap/>
          </w:tcPr>
          <w:p w14:paraId="56FA4713">
            <w:pPr>
              <w:ind w:firstLine="360"/>
              <w:jc w:val="center"/>
              <w:rPr>
                <w:rFonts w:hint="eastAsia" w:ascii="宋体" w:hAnsi="宋体" w:cs="宋体"/>
                <w:color w:val="000000"/>
                <w:kern w:val="0"/>
                <w:sz w:val="18"/>
                <w:szCs w:val="18"/>
              </w:rPr>
            </w:pPr>
          </w:p>
        </w:tc>
        <w:tc>
          <w:tcPr>
            <w:tcW w:w="636" w:type="pct"/>
            <w:tcBorders>
              <w:top w:val="single" w:color="auto" w:sz="4" w:space="0"/>
              <w:left w:val="single" w:color="auto" w:sz="4" w:space="0"/>
              <w:bottom w:val="single" w:color="auto" w:sz="4" w:space="0"/>
              <w:right w:val="single" w:color="auto" w:sz="4" w:space="0"/>
            </w:tcBorders>
          </w:tcPr>
          <w:p w14:paraId="5A859977">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525D43D8">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5F009899">
            <w:pPr>
              <w:ind w:firstLine="360"/>
              <w:jc w:val="center"/>
              <w:rPr>
                <w:rFonts w:hint="eastAsia" w:ascii="宋体" w:hAnsi="宋体" w:cs="宋体"/>
                <w:color w:val="000000"/>
                <w:kern w:val="0"/>
                <w:sz w:val="18"/>
                <w:szCs w:val="18"/>
              </w:rPr>
            </w:pPr>
          </w:p>
        </w:tc>
        <w:tc>
          <w:tcPr>
            <w:tcW w:w="635" w:type="pct"/>
            <w:tcBorders>
              <w:top w:val="single" w:color="auto" w:sz="4" w:space="0"/>
              <w:left w:val="single" w:color="auto" w:sz="4" w:space="0"/>
              <w:bottom w:val="single" w:color="auto" w:sz="4" w:space="0"/>
              <w:right w:val="single" w:color="auto" w:sz="4" w:space="0"/>
            </w:tcBorders>
          </w:tcPr>
          <w:p w14:paraId="34EB0B56">
            <w:pPr>
              <w:ind w:firstLine="360"/>
              <w:jc w:val="center"/>
              <w:rPr>
                <w:rFonts w:hint="eastAsia" w:ascii="宋体" w:hAnsi="宋体" w:cs="宋体"/>
                <w:color w:val="000000"/>
                <w:kern w:val="0"/>
                <w:sz w:val="18"/>
                <w:szCs w:val="18"/>
              </w:rPr>
            </w:pPr>
          </w:p>
        </w:tc>
      </w:tr>
      <w:tr w14:paraId="7F974146">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0C39994A">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偿债资金覆盖倍数变化</w:t>
            </w:r>
          </w:p>
        </w:tc>
        <w:tc>
          <w:tcPr>
            <w:tcW w:w="636" w:type="pct"/>
            <w:tcBorders>
              <w:top w:val="single" w:color="auto" w:sz="4" w:space="0"/>
              <w:left w:val="nil"/>
              <w:bottom w:val="single" w:color="auto" w:sz="4" w:space="0"/>
              <w:right w:val="single" w:color="auto" w:sz="4" w:space="0"/>
            </w:tcBorders>
            <w:shd w:val="clear" w:color="auto" w:fill="auto"/>
            <w:noWrap/>
          </w:tcPr>
          <w:p w14:paraId="18BA68F4">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36" w:type="pct"/>
            <w:tcBorders>
              <w:top w:val="single" w:color="auto" w:sz="4" w:space="0"/>
              <w:left w:val="single" w:color="auto" w:sz="4" w:space="0"/>
              <w:bottom w:val="single" w:color="auto" w:sz="4" w:space="0"/>
              <w:right w:val="single" w:color="auto" w:sz="4" w:space="0"/>
            </w:tcBorders>
          </w:tcPr>
          <w:p w14:paraId="42590D8A">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6D694A1C">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7B4D1259">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35" w:type="pct"/>
            <w:tcBorders>
              <w:top w:val="single" w:color="auto" w:sz="4" w:space="0"/>
              <w:left w:val="single" w:color="auto" w:sz="4" w:space="0"/>
              <w:bottom w:val="single" w:color="auto" w:sz="4" w:space="0"/>
              <w:right w:val="single" w:color="auto" w:sz="4" w:space="0"/>
            </w:tcBorders>
          </w:tcPr>
          <w:p w14:paraId="56C5DC0A">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2.55</w:t>
            </w:r>
          </w:p>
        </w:tc>
      </w:tr>
      <w:tr w14:paraId="42A7E973">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68B00BDE">
            <w:pPr>
              <w:widowControl/>
              <w:spacing w:after="0"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3.利率变动敏感性分析</w:t>
            </w:r>
          </w:p>
        </w:tc>
        <w:tc>
          <w:tcPr>
            <w:tcW w:w="636" w:type="pct"/>
            <w:tcBorders>
              <w:top w:val="single" w:color="auto" w:sz="4" w:space="0"/>
              <w:left w:val="nil"/>
              <w:bottom w:val="single" w:color="auto" w:sz="4" w:space="0"/>
              <w:right w:val="single" w:color="auto" w:sz="4" w:space="0"/>
            </w:tcBorders>
            <w:shd w:val="clear" w:color="auto" w:fill="auto"/>
            <w:noWrap/>
          </w:tcPr>
          <w:p w14:paraId="44C44427">
            <w:pPr>
              <w:ind w:firstLine="360"/>
              <w:jc w:val="center"/>
              <w:rPr>
                <w:rFonts w:hint="eastAsia" w:ascii="宋体" w:hAnsi="宋体" w:cs="宋体"/>
                <w:color w:val="000000"/>
                <w:kern w:val="0"/>
                <w:sz w:val="18"/>
                <w:szCs w:val="18"/>
              </w:rPr>
            </w:pPr>
          </w:p>
        </w:tc>
        <w:tc>
          <w:tcPr>
            <w:tcW w:w="636" w:type="pct"/>
            <w:tcBorders>
              <w:top w:val="single" w:color="auto" w:sz="4" w:space="0"/>
              <w:left w:val="single" w:color="auto" w:sz="4" w:space="0"/>
              <w:bottom w:val="single" w:color="auto" w:sz="4" w:space="0"/>
              <w:right w:val="single" w:color="auto" w:sz="4" w:space="0"/>
            </w:tcBorders>
          </w:tcPr>
          <w:p w14:paraId="3877535A">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54C56C99">
            <w:pPr>
              <w:ind w:firstLine="360"/>
              <w:jc w:val="center"/>
              <w:rPr>
                <w:rFonts w:hint="eastAsia" w:ascii="宋体" w:hAnsi="宋体" w:cs="宋体"/>
                <w:color w:val="000000"/>
                <w:kern w:val="0"/>
                <w:sz w:val="18"/>
                <w:szCs w:val="18"/>
              </w:rPr>
            </w:pP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34E41FAC">
            <w:pPr>
              <w:ind w:firstLine="360"/>
              <w:jc w:val="center"/>
              <w:rPr>
                <w:rFonts w:hint="eastAsia" w:ascii="宋体" w:hAnsi="宋体" w:cs="宋体"/>
                <w:color w:val="000000"/>
                <w:kern w:val="0"/>
                <w:sz w:val="18"/>
                <w:szCs w:val="18"/>
              </w:rPr>
            </w:pPr>
          </w:p>
        </w:tc>
        <w:tc>
          <w:tcPr>
            <w:tcW w:w="635" w:type="pct"/>
            <w:tcBorders>
              <w:top w:val="single" w:color="auto" w:sz="4" w:space="0"/>
              <w:left w:val="single" w:color="auto" w:sz="4" w:space="0"/>
              <w:bottom w:val="single" w:color="auto" w:sz="4" w:space="0"/>
              <w:right w:val="single" w:color="auto" w:sz="4" w:space="0"/>
            </w:tcBorders>
          </w:tcPr>
          <w:p w14:paraId="2E9FC727">
            <w:pPr>
              <w:ind w:firstLine="360"/>
              <w:jc w:val="center"/>
              <w:rPr>
                <w:rFonts w:hint="eastAsia" w:ascii="宋体" w:hAnsi="宋体" w:cs="宋体"/>
                <w:color w:val="000000"/>
                <w:kern w:val="0"/>
                <w:sz w:val="18"/>
                <w:szCs w:val="18"/>
              </w:rPr>
            </w:pPr>
          </w:p>
        </w:tc>
      </w:tr>
      <w:tr w14:paraId="74D03FA3">
        <w:trPr>
          <w:trHeight w:val="270" w:hRule="atLeast"/>
          <w:jc w:val="center"/>
        </w:trPr>
        <w:tc>
          <w:tcPr>
            <w:tcW w:w="1717" w:type="pct"/>
            <w:tcBorders>
              <w:top w:val="nil"/>
              <w:left w:val="single" w:color="auto" w:sz="4" w:space="0"/>
              <w:bottom w:val="single" w:color="auto" w:sz="4" w:space="0"/>
              <w:right w:val="single" w:color="auto" w:sz="4" w:space="0"/>
            </w:tcBorders>
            <w:shd w:val="clear" w:color="auto" w:fill="auto"/>
            <w:noWrap/>
            <w:vAlign w:val="center"/>
          </w:tcPr>
          <w:p w14:paraId="3EB3C927">
            <w:pPr>
              <w:widowControl/>
              <w:spacing w:after="0"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利率变动偿债资金本息覆盖率</w:t>
            </w:r>
          </w:p>
        </w:tc>
        <w:tc>
          <w:tcPr>
            <w:tcW w:w="636" w:type="pct"/>
            <w:tcBorders>
              <w:top w:val="single" w:color="auto" w:sz="4" w:space="0"/>
              <w:left w:val="nil"/>
              <w:bottom w:val="single" w:color="auto" w:sz="4" w:space="0"/>
              <w:right w:val="single" w:color="auto" w:sz="4" w:space="0"/>
            </w:tcBorders>
            <w:shd w:val="clear" w:color="auto" w:fill="auto"/>
            <w:noWrap/>
          </w:tcPr>
          <w:p w14:paraId="1238B7FC">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2.47</w:t>
            </w:r>
          </w:p>
        </w:tc>
        <w:tc>
          <w:tcPr>
            <w:tcW w:w="636" w:type="pct"/>
            <w:tcBorders>
              <w:top w:val="single" w:color="auto" w:sz="4" w:space="0"/>
              <w:left w:val="single" w:color="auto" w:sz="4" w:space="0"/>
              <w:bottom w:val="single" w:color="auto" w:sz="4" w:space="0"/>
              <w:right w:val="single" w:color="auto" w:sz="4" w:space="0"/>
            </w:tcBorders>
          </w:tcPr>
          <w:p w14:paraId="24F6F7B8">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2.45</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318A1806">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2.43</w:t>
            </w:r>
          </w:p>
        </w:tc>
        <w:tc>
          <w:tcPr>
            <w:tcW w:w="688" w:type="pct"/>
            <w:tcBorders>
              <w:top w:val="single" w:color="auto" w:sz="4" w:space="0"/>
              <w:left w:val="single" w:color="auto" w:sz="4" w:space="0"/>
              <w:bottom w:val="single" w:color="auto" w:sz="4" w:space="0"/>
              <w:right w:val="single" w:color="auto" w:sz="4" w:space="0"/>
            </w:tcBorders>
            <w:shd w:val="clear" w:color="auto" w:fill="auto"/>
            <w:noWrap/>
          </w:tcPr>
          <w:p w14:paraId="19C87147">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2.40</w:t>
            </w:r>
          </w:p>
        </w:tc>
        <w:tc>
          <w:tcPr>
            <w:tcW w:w="635" w:type="pct"/>
            <w:tcBorders>
              <w:top w:val="single" w:color="auto" w:sz="4" w:space="0"/>
              <w:left w:val="single" w:color="auto" w:sz="4" w:space="0"/>
              <w:bottom w:val="single" w:color="auto" w:sz="4" w:space="0"/>
              <w:right w:val="single" w:color="auto" w:sz="4" w:space="0"/>
            </w:tcBorders>
          </w:tcPr>
          <w:p w14:paraId="39AE7521">
            <w:pPr>
              <w:ind w:firstLine="360"/>
              <w:jc w:val="center"/>
              <w:rPr>
                <w:rFonts w:hint="eastAsia" w:ascii="宋体" w:hAnsi="宋体" w:cs="宋体"/>
                <w:color w:val="000000"/>
                <w:kern w:val="0"/>
                <w:sz w:val="18"/>
                <w:szCs w:val="18"/>
              </w:rPr>
            </w:pPr>
            <w:r>
              <w:rPr>
                <w:rFonts w:ascii="宋体" w:hAnsi="宋体" w:cs="宋体"/>
                <w:color w:val="000000"/>
                <w:kern w:val="0"/>
                <w:sz w:val="18"/>
                <w:szCs w:val="18"/>
              </w:rPr>
              <w:t>2.38</w:t>
            </w:r>
          </w:p>
        </w:tc>
      </w:tr>
    </w:tbl>
    <w:p w14:paraId="74264972">
      <w:pPr>
        <w:pStyle w:val="20"/>
        <w:spacing w:before="0" w:beforeAutospacing="0" w:after="156" w:afterLines="50" w:afterAutospacing="0" w:line="360" w:lineRule="exact"/>
        <w:ind w:firstLine="480"/>
        <w:contextualSpacing/>
        <w:jc w:val="both"/>
        <w:rPr>
          <w:rFonts w:hint="eastAsia"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通过资金平衡测算分析，债务本息资金覆盖倍数可达到2.43倍，基于上表压力测试，本项目分别在收入下降</w:t>
      </w:r>
      <w:r>
        <w:rPr>
          <w:rFonts w:asciiTheme="minorEastAsia" w:hAnsiTheme="minorEastAsia"/>
          <w:color w:val="000000" w:themeColor="text1"/>
          <w14:textFill>
            <w14:solidFill>
              <w14:schemeClr w14:val="tx1"/>
            </w14:solidFill>
          </w14:textFill>
        </w:rPr>
        <w:t>10</w:t>
      </w:r>
      <w:r>
        <w:rPr>
          <w:rFonts w:hint="eastAsia" w:asciiTheme="minorEastAsia" w:hAnsiTheme="minorEastAsia"/>
          <w:color w:val="000000" w:themeColor="text1"/>
          <w14:textFill>
            <w14:solidFill>
              <w14:schemeClr w14:val="tx1"/>
            </w14:solidFill>
          </w14:textFill>
        </w:rPr>
        <w:t>%、成本上浮</w:t>
      </w:r>
      <w:r>
        <w:rPr>
          <w:rFonts w:asciiTheme="minorEastAsia" w:hAnsiTheme="minorEastAsia"/>
          <w:color w:val="000000" w:themeColor="text1"/>
          <w14:textFill>
            <w14:solidFill>
              <w14:schemeClr w14:val="tx1"/>
            </w14:solidFill>
          </w14:textFill>
        </w:rPr>
        <w:t>10</w:t>
      </w:r>
      <w:r>
        <w:rPr>
          <w:rFonts w:hint="eastAsia" w:asciiTheme="minorEastAsia" w:hAnsiTheme="minorEastAsia"/>
          <w:color w:val="000000" w:themeColor="text1"/>
          <w14:textFill>
            <w14:solidFill>
              <w14:schemeClr w14:val="tx1"/>
            </w14:solidFill>
          </w14:textFill>
        </w:rPr>
        <w:t>%、利率上浮</w:t>
      </w:r>
      <w:r>
        <w:rPr>
          <w:rFonts w:asciiTheme="minorEastAsia" w:hAnsiTheme="minorEastAsia"/>
          <w:color w:val="000000" w:themeColor="text1"/>
          <w14:textFill>
            <w14:solidFill>
              <w14:schemeClr w14:val="tx1"/>
            </w14:solidFill>
          </w14:textFill>
        </w:rPr>
        <w:t>10</w:t>
      </w:r>
      <w:r>
        <w:rPr>
          <w:rFonts w:hint="eastAsia" w:asciiTheme="minorEastAsia" w:hAnsiTheme="minorEastAsia"/>
          <w:color w:val="000000" w:themeColor="text1"/>
          <w14:textFill>
            <w14:solidFill>
              <w14:schemeClr w14:val="tx1"/>
            </w14:solidFill>
          </w14:textFill>
        </w:rPr>
        <w:t>%的情况下，债券本息资金覆盖率仍大于1</w:t>
      </w:r>
      <w:r>
        <w:rPr>
          <w:rFonts w:asciiTheme="minorEastAsia" w:hAnsiTheme="minorEastAsia"/>
          <w:color w:val="000000" w:themeColor="text1"/>
          <w14:textFill>
            <w14:solidFill>
              <w14:schemeClr w14:val="tx1"/>
            </w14:solidFill>
          </w14:textFill>
        </w:rPr>
        <w:t>.1</w:t>
      </w:r>
      <w:r>
        <w:rPr>
          <w:rFonts w:hint="eastAsia" w:asciiTheme="minorEastAsia" w:hAnsiTheme="minorEastAsia"/>
          <w:color w:val="000000" w:themeColor="text1"/>
          <w14:textFill>
            <w14:solidFill>
              <w14:schemeClr w14:val="tx1"/>
            </w14:solidFill>
          </w14:textFill>
        </w:rPr>
        <w:t>，能通过压力测试，项目收益仍然可以覆盖债券还本付息，因而项目具备一定的抗风险能力。</w:t>
      </w:r>
    </w:p>
    <w:p w14:paraId="7BDC96B7">
      <w:pPr>
        <w:ind w:firstLine="562"/>
        <w:rPr>
          <w:rFonts w:hint="eastAsia" w:ascii="黑体" w:hAnsi="黑体" w:eastAsia="黑体" w:cs="黑体"/>
          <w:b/>
          <w:bCs/>
          <w:sz w:val="28"/>
          <w:szCs w:val="28"/>
        </w:rPr>
      </w:pPr>
    </w:p>
    <w:p w14:paraId="588EF7DE">
      <w:pPr>
        <w:ind w:firstLine="562"/>
        <w:rPr>
          <w:rFonts w:hint="eastAsia" w:ascii="黑体" w:hAnsi="黑体" w:eastAsia="黑体" w:cs="黑体"/>
          <w:b/>
          <w:bCs/>
          <w:sz w:val="28"/>
          <w:szCs w:val="28"/>
        </w:rPr>
      </w:pPr>
      <w:r>
        <w:rPr>
          <w:rFonts w:hint="eastAsia" w:ascii="黑体" w:hAnsi="黑体" w:eastAsia="黑体" w:cs="黑体"/>
          <w:b/>
          <w:bCs/>
          <w:sz w:val="28"/>
          <w:szCs w:val="28"/>
        </w:rPr>
        <w:t>五、事前绩效评价</w:t>
      </w:r>
    </w:p>
    <w:p w14:paraId="7FC7F68E">
      <w:pPr>
        <w:ind w:firstLine="560"/>
        <w:rPr>
          <w:rFonts w:hint="eastAsia" w:ascii="楷体" w:hAnsi="楷体" w:eastAsia="楷体" w:cs="楷体"/>
          <w:sz w:val="28"/>
          <w:szCs w:val="28"/>
        </w:rPr>
      </w:pPr>
      <w:r>
        <w:rPr>
          <w:rFonts w:hint="eastAsia" w:ascii="楷体" w:hAnsi="楷体" w:eastAsia="楷体" w:cs="楷体"/>
          <w:sz w:val="28"/>
          <w:szCs w:val="28"/>
        </w:rPr>
        <w:t>1、项目实施的必要性、公益性、收益性</w:t>
      </w:r>
    </w:p>
    <w:p w14:paraId="354AAFE8">
      <w:pPr>
        <w:ind w:firstLine="453" w:firstLineChars="162"/>
        <w:rPr>
          <w:rFonts w:hint="eastAsia" w:asciiTheme="minorEastAsia" w:hAnsiTheme="minorEastAsia" w:cstheme="minorEastAsia"/>
          <w:szCs w:val="24"/>
        </w:rPr>
      </w:pPr>
      <w:r>
        <w:rPr>
          <w:rFonts w:hint="eastAsia" w:asciiTheme="minorEastAsia" w:hAnsiTheme="minorEastAsia" w:cstheme="minorEastAsia"/>
          <w:sz w:val="28"/>
          <w:szCs w:val="28"/>
        </w:rPr>
        <w:t>（</w:t>
      </w:r>
      <w:r>
        <w:rPr>
          <w:rFonts w:hint="eastAsia" w:asciiTheme="minorEastAsia" w:hAnsiTheme="minorEastAsia" w:cstheme="minorEastAsia"/>
          <w:szCs w:val="24"/>
        </w:rPr>
        <w:t>1）必要性</w:t>
      </w:r>
    </w:p>
    <w:p w14:paraId="0D4B16C0">
      <w:pPr>
        <w:ind w:firstLine="480"/>
        <w:rPr>
          <w:rFonts w:hint="eastAsia" w:cs="仿宋" w:asciiTheme="minorEastAsia" w:hAnsiTheme="minorEastAsia"/>
          <w:szCs w:val="24"/>
        </w:rPr>
      </w:pPr>
      <w:r>
        <w:rPr>
          <w:rFonts w:hint="eastAsia" w:cs="仿宋" w:asciiTheme="minorEastAsia" w:hAnsiTheme="minorEastAsia"/>
          <w:szCs w:val="24"/>
        </w:rPr>
        <w:t>符合国家全面建设小康社会的方向，目前，我国已进入全面建设小康社会、加快推进社会主义现代化的新阶段。建设部提出全面小康社会居住总体目标为：到2024年，居住数量与质量全面提高，彻底解决建筑质量通病，居住区规划布局合理、文化特色突出，配套设施齐全、现代，居住条件舒适、方便、安全，居住区内外环境清洁、优美、安静，住区服务质量优异，社区公共服务便利，实现以人为本、充分满足发展需要的小康居住目标。到2024年，城乡居民的居住条件将得到全面提升，城镇人均住宅建筑面积达到35平方米、农村人均住宅建筑面积达到40平方米，最终实现以人为本的发展目标。</w:t>
      </w:r>
    </w:p>
    <w:p w14:paraId="14B47176">
      <w:pPr>
        <w:ind w:firstLine="130" w:firstLineChars="62"/>
        <w:rPr>
          <w:rFonts w:hint="eastAsia" w:asciiTheme="minorEastAsia" w:hAnsiTheme="minorEastAsia" w:cstheme="minorEastAsia"/>
          <w:szCs w:val="24"/>
        </w:rPr>
      </w:pPr>
      <w:r>
        <w:rPr>
          <w:rFonts w:hint="eastAsia" w:asciiTheme="minorEastAsia" w:hAnsiTheme="minorEastAsia" w:cstheme="minorEastAsia"/>
          <w:szCs w:val="24"/>
        </w:rPr>
        <w:t>（2）公益性</w:t>
      </w:r>
    </w:p>
    <w:p w14:paraId="697167B3">
      <w:pPr>
        <w:ind w:firstLine="480"/>
        <w:rPr>
          <w:rFonts w:hint="eastAsia" w:cs="仿宋" w:asciiTheme="minorEastAsia" w:hAnsiTheme="minorEastAsia"/>
          <w:szCs w:val="24"/>
        </w:rPr>
      </w:pPr>
      <w:r>
        <w:rPr>
          <w:rFonts w:hint="eastAsia" w:cs="仿宋" w:asciiTheme="minorEastAsia" w:hAnsiTheme="minorEastAsia"/>
          <w:szCs w:val="24"/>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w:t>
      </w:r>
    </w:p>
    <w:p w14:paraId="3EA421D5">
      <w:pPr>
        <w:ind w:firstLine="105" w:firstLineChars="50"/>
        <w:rPr>
          <w:rFonts w:hint="eastAsia" w:asciiTheme="minorEastAsia" w:hAnsiTheme="minorEastAsia" w:cstheme="minorEastAsia"/>
          <w:szCs w:val="24"/>
        </w:rPr>
      </w:pPr>
      <w:r>
        <w:rPr>
          <w:rFonts w:hint="eastAsia" w:asciiTheme="minorEastAsia" w:hAnsiTheme="minorEastAsia" w:cstheme="minorEastAsia"/>
          <w:szCs w:val="24"/>
        </w:rPr>
        <w:t>（3）收益性</w:t>
      </w:r>
    </w:p>
    <w:p w14:paraId="39B2C01F">
      <w:pPr>
        <w:pStyle w:val="5"/>
        <w:spacing w:line="360" w:lineRule="auto"/>
        <w:ind w:firstLine="480"/>
        <w:rPr>
          <w:rFonts w:hint="eastAsia" w:asciiTheme="minorEastAsia" w:hAnsiTheme="minorEastAsia" w:eastAsiaTheme="minorEastAsia"/>
          <w:sz w:val="24"/>
          <w:szCs w:val="24"/>
        </w:rPr>
      </w:pPr>
      <w:r>
        <w:rPr>
          <w:rFonts w:hint="eastAsia" w:asciiTheme="minorEastAsia" w:hAnsiTheme="minorEastAsia" w:eastAsiaTheme="minorEastAsia" w:cstheme="minorEastAsia"/>
          <w:sz w:val="24"/>
          <w:szCs w:val="24"/>
        </w:rPr>
        <w:t>间接经济收益。本次</w:t>
      </w:r>
      <w:r>
        <w:rPr>
          <w:rFonts w:hint="eastAsia" w:asciiTheme="minorEastAsia" w:hAnsiTheme="minorEastAsia" w:eastAsiaTheme="minorEastAsia"/>
          <w:sz w:val="24"/>
          <w:szCs w:val="24"/>
        </w:rPr>
        <w:t>红谷滩生米镇南路村拆迁安置小区建设项目（南路村棚户区改造）项目</w:t>
      </w:r>
      <w:r>
        <w:rPr>
          <w:rFonts w:hint="eastAsia" w:asciiTheme="minorEastAsia" w:hAnsiTheme="minorEastAsia" w:eastAsiaTheme="minorEastAsia" w:cstheme="minorEastAsia"/>
          <w:sz w:val="24"/>
          <w:szCs w:val="24"/>
        </w:rPr>
        <w:t>是根据国家相关法律和政策为当地居民提供安置住所建设的项目。因此，不可能也不应该具有直接经济效益，其经济效益主要是间接经济效益，主要体现在：</w:t>
      </w:r>
    </w:p>
    <w:p w14:paraId="198133A4">
      <w:pPr>
        <w:ind w:firstLine="480"/>
        <w:rPr>
          <w:rFonts w:hint="eastAsia" w:cs="仿宋" w:asciiTheme="minorEastAsia" w:hAnsiTheme="minorEastAsia"/>
          <w:szCs w:val="24"/>
        </w:rPr>
      </w:pPr>
      <w:r>
        <w:rPr>
          <w:rFonts w:hint="eastAsia" w:cs="仿宋" w:asciiTheme="minorEastAsia" w:hAnsiTheme="minorEastAsia"/>
          <w:szCs w:val="24"/>
        </w:rPr>
        <w:t>项目的建设是贯彻落实党中央、国务院关于改善低收入家庭住房困难的具体行动，是解决和改善人民群众最直接、最现实问题的重要举措，有利于推进南昌市现代化进程，满足人民群众日益增长的住房需求，促进和谐社会的建立，同时还提升了本项目地区的经济地位和整体环境，提高项目建设单位的实力，具有良好的社会效益、环境效益和国民经济效益。</w:t>
      </w:r>
    </w:p>
    <w:p w14:paraId="0CA6CDE8">
      <w:pPr>
        <w:ind w:firstLine="480"/>
        <w:rPr>
          <w:rFonts w:hint="eastAsia" w:asciiTheme="minorEastAsia" w:hAnsiTheme="minorEastAsia" w:cstheme="minorEastAsia"/>
          <w:szCs w:val="24"/>
        </w:rPr>
      </w:pPr>
      <w:r>
        <w:rPr>
          <w:rFonts w:hint="eastAsia" w:asciiTheme="minorEastAsia" w:hAnsiTheme="minorEastAsia" w:cstheme="minorEastAsia"/>
          <w:szCs w:val="24"/>
        </w:rPr>
        <w:t>直接收益。本项目实施后，可产生运营收益，</w:t>
      </w:r>
      <w:r>
        <w:rPr>
          <w:rFonts w:ascii="Calibri" w:hAnsi="Calibri" w:eastAsia="宋体" w:cs="Times New Roman"/>
          <w:color w:val="000000"/>
          <w:szCs w:val="24"/>
        </w:rPr>
        <w:t>29,767.48</w:t>
      </w:r>
      <w:r>
        <w:rPr>
          <w:rFonts w:hint="eastAsia" w:asciiTheme="minorEastAsia" w:hAnsiTheme="minorEastAsia"/>
          <w:color w:val="000000" w:themeColor="text1"/>
          <w:szCs w:val="24"/>
          <w14:textFill>
            <w14:solidFill>
              <w14:schemeClr w14:val="tx1"/>
            </w14:solidFill>
          </w14:textFill>
        </w:rPr>
        <w:t>万元</w:t>
      </w:r>
      <w:r>
        <w:rPr>
          <w:rFonts w:hint="eastAsia" w:asciiTheme="minorEastAsia" w:hAnsiTheme="minorEastAsia" w:cstheme="minorEastAsia"/>
          <w:color w:val="000000" w:themeColor="text1"/>
          <w:szCs w:val="24"/>
          <w14:textFill>
            <w14:solidFill>
              <w14:schemeClr w14:val="tx1"/>
            </w14:solidFill>
          </w14:textFill>
        </w:rPr>
        <w:t>，各项业务活动现金流出合计0万元</w:t>
      </w:r>
      <w:r>
        <w:rPr>
          <w:rFonts w:hint="eastAsia" w:asciiTheme="minorEastAsia" w:hAnsiTheme="minorEastAsia" w:cstheme="minorEastAsia"/>
          <w:szCs w:val="24"/>
        </w:rPr>
        <w:t>，可用于偿债的项目收益为</w:t>
      </w:r>
      <w:r>
        <w:rPr>
          <w:color w:val="000000" w:themeColor="text1"/>
          <w:szCs w:val="24"/>
          <w14:textFill>
            <w14:solidFill>
              <w14:schemeClr w14:val="tx1"/>
            </w14:solidFill>
          </w14:textFill>
        </w:rPr>
        <w:t>17,490.32</w:t>
      </w:r>
      <w:r>
        <w:rPr>
          <w:rFonts w:hint="eastAsia" w:asciiTheme="minorEastAsia" w:hAnsiTheme="minorEastAsia" w:cstheme="minorEastAsia"/>
          <w:szCs w:val="24"/>
        </w:rPr>
        <w:t>万元，满足资金平衡需求。</w:t>
      </w:r>
    </w:p>
    <w:p w14:paraId="76360103">
      <w:pPr>
        <w:ind w:firstLine="480"/>
        <w:rPr>
          <w:rFonts w:hint="eastAsia" w:asciiTheme="minorEastAsia" w:hAnsiTheme="minorEastAsia" w:cstheme="minorEastAsia"/>
          <w:szCs w:val="24"/>
        </w:rPr>
      </w:pPr>
      <w:r>
        <w:rPr>
          <w:rFonts w:hint="eastAsia" w:asciiTheme="minorEastAsia" w:hAnsiTheme="minorEastAsia" w:cstheme="minorEastAsia"/>
          <w:szCs w:val="24"/>
        </w:rPr>
        <w:t>1、项目建设投资合规性与项目成熟度</w:t>
      </w:r>
    </w:p>
    <w:p w14:paraId="10D1D817">
      <w:pPr>
        <w:ind w:firstLine="480"/>
        <w:rPr>
          <w:rFonts w:hint="eastAsia" w:asciiTheme="minorEastAsia" w:hAnsiTheme="minorEastAsia" w:cstheme="minorEastAsia"/>
          <w:szCs w:val="24"/>
        </w:rPr>
      </w:pPr>
      <w:r>
        <w:rPr>
          <w:rFonts w:hint="eastAsia"/>
          <w:color w:val="000000" w:themeColor="text1"/>
          <w:szCs w:val="21"/>
          <w14:textFill>
            <w14:solidFill>
              <w14:schemeClr w14:val="tx1"/>
            </w14:solidFill>
          </w14:textFill>
        </w:rPr>
        <w:t>根据南昌市红谷滩区经济发展信息局《关于生米镇南路村拆迁安置小区建设项目（南路村棚户区改造）项目</w:t>
      </w:r>
      <w:r>
        <w:rPr>
          <w:rFonts w:hint="eastAsia" w:ascii="宋体" w:hAnsi="宋体"/>
          <w:color w:val="000000" w:themeColor="text1"/>
          <w:szCs w:val="21"/>
          <w14:textFill>
            <w14:solidFill>
              <w14:schemeClr w14:val="tx1"/>
            </w14:solidFill>
          </w14:textFill>
        </w:rPr>
        <w:t>可行性研究报告的批复》（洪新经发[20</w:t>
      </w:r>
      <w:r>
        <w:rPr>
          <w:rFonts w:ascii="宋体" w:hAnsi="宋体"/>
          <w:color w:val="000000" w:themeColor="text1"/>
          <w:szCs w:val="21"/>
          <w14:textFill>
            <w14:solidFill>
              <w14:schemeClr w14:val="tx1"/>
            </w14:solidFill>
          </w14:textFill>
        </w:rPr>
        <w:t>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183</w:t>
      </w:r>
      <w:r>
        <w:rPr>
          <w:rFonts w:hint="eastAsia" w:ascii="宋体" w:hAnsi="宋体"/>
          <w:color w:val="000000" w:themeColor="text1"/>
          <w:szCs w:val="21"/>
          <w14:textFill>
            <w14:solidFill>
              <w14:schemeClr w14:val="tx1"/>
            </w14:solidFill>
          </w14:textFill>
        </w:rPr>
        <w:t>号）批复，项目</w:t>
      </w:r>
      <w:r>
        <w:rPr>
          <w:rFonts w:hint="eastAsia" w:asciiTheme="minorEastAsia" w:hAnsiTheme="minorEastAsia" w:cstheme="minorEastAsia"/>
          <w:szCs w:val="24"/>
        </w:rPr>
        <w:t>建设有充分的必要性，前期手续完善，项目资金为部分项目财政资金，部分申请政府专项债券资金。项目成熟度、可靠度较高。</w:t>
      </w:r>
    </w:p>
    <w:p w14:paraId="5D5B918B">
      <w:pPr>
        <w:pStyle w:val="40"/>
        <w:numPr>
          <w:ilvl w:val="0"/>
          <w:numId w:val="8"/>
        </w:numPr>
        <w:ind w:firstLineChars="0"/>
        <w:rPr>
          <w:rFonts w:hint="eastAsia" w:asciiTheme="minorEastAsia" w:hAnsiTheme="minorEastAsia" w:cstheme="minorEastAsia"/>
          <w:szCs w:val="24"/>
        </w:rPr>
      </w:pPr>
      <w:r>
        <w:rPr>
          <w:rFonts w:hint="eastAsia" w:asciiTheme="minorEastAsia" w:hAnsiTheme="minorEastAsia" w:cstheme="minorEastAsia"/>
          <w:szCs w:val="24"/>
        </w:rPr>
        <w:t>项目资金来源和可到位性</w:t>
      </w:r>
    </w:p>
    <w:p w14:paraId="0C18E40C">
      <w:pPr>
        <w:pStyle w:val="20"/>
        <w:spacing w:before="0" w:beforeAutospacing="0" w:after="156" w:afterLines="50" w:afterAutospacing="0" w:line="360" w:lineRule="auto"/>
        <w:ind w:firstLine="480"/>
        <w:jc w:val="both"/>
        <w:rPr>
          <w:rFonts w:hint="eastAsia" w:asciiTheme="minorEastAsia" w:hAnsiTheme="minorEastAsia"/>
          <w:color w:val="000000"/>
        </w:rPr>
      </w:pPr>
      <w:r>
        <w:rPr>
          <w:rFonts w:hint="eastAsia" w:asciiTheme="minorEastAsia" w:hAnsiTheme="minorEastAsia"/>
          <w:color w:val="000000" w:themeColor="text1"/>
          <w14:textFill>
            <w14:solidFill>
              <w14:schemeClr w14:val="tx1"/>
            </w14:solidFill>
          </w14:textFill>
        </w:rPr>
        <w:t>本次拟发行项目的总投资为58,309.68万元，通过自筹资金、申请专项债券解决，其一，自筹资金48,309.68万元，其二，拟发行专项债券10,000.00万元，2022年已发行800.00万元，发行期限为7年；2023年已发行5,200.00万元，2024年本期发行4,000.00万元，期限7年。</w:t>
      </w:r>
    </w:p>
    <w:p w14:paraId="31F15782">
      <w:pPr>
        <w:pStyle w:val="20"/>
        <w:spacing w:before="0" w:beforeAutospacing="0" w:after="156" w:afterLines="50" w:afterAutospacing="0" w:line="360" w:lineRule="auto"/>
        <w:ind w:firstLine="480"/>
        <w:jc w:val="both"/>
        <w:rPr>
          <w:rFonts w:hint="eastAsia" w:asciiTheme="minorEastAsia" w:hAnsiTheme="minorEastAsia" w:cstheme="minorEastAsia"/>
        </w:rPr>
      </w:pPr>
      <w:r>
        <w:rPr>
          <w:rFonts w:hint="eastAsia" w:asciiTheme="minorEastAsia" w:hAnsiTheme="minorEastAsia" w:cstheme="minorEastAsia"/>
        </w:rPr>
        <w:t>3、项目收入、成本、收益预测合理性</w:t>
      </w:r>
    </w:p>
    <w:p w14:paraId="12B6E415">
      <w:pPr>
        <w:ind w:firstLine="480"/>
        <w:rPr>
          <w:rFonts w:hint="eastAsia" w:asciiTheme="minorEastAsia" w:hAnsiTheme="minorEastAsia" w:cstheme="minorEastAsia"/>
          <w:szCs w:val="24"/>
        </w:rPr>
      </w:pPr>
      <w:r>
        <w:rPr>
          <w:rFonts w:hint="eastAsia" w:asciiTheme="minorEastAsia" w:hAnsiTheme="minorEastAsia" w:cstheme="minorEastAsia"/>
          <w:szCs w:val="24"/>
        </w:rPr>
        <w:t>根据项目可行性研究报告并结合实际情况进行测算，本项目债券存续期内收入包含土地出让收入预计产生运营收入</w:t>
      </w:r>
      <w:r>
        <w:rPr>
          <w:rFonts w:ascii="Calibri" w:hAnsi="Calibri" w:eastAsia="宋体" w:cs="Times New Roman"/>
          <w:color w:val="000000"/>
          <w:szCs w:val="24"/>
        </w:rPr>
        <w:t>29,767.48</w:t>
      </w:r>
      <w:r>
        <w:rPr>
          <w:rFonts w:hint="eastAsia" w:asciiTheme="minorEastAsia" w:hAnsiTheme="minorEastAsia" w:cstheme="minorEastAsia"/>
          <w:color w:val="000000" w:themeColor="text1"/>
          <w:szCs w:val="24"/>
          <w14:textFill>
            <w14:solidFill>
              <w14:schemeClr w14:val="tx1"/>
            </w14:solidFill>
          </w14:textFill>
        </w:rPr>
        <w:t>万元</w:t>
      </w:r>
      <w:r>
        <w:rPr>
          <w:rFonts w:hint="eastAsia" w:asciiTheme="minorEastAsia" w:hAnsiTheme="minorEastAsia" w:cstheme="minorEastAsia"/>
          <w:szCs w:val="24"/>
        </w:rPr>
        <w:t>。</w:t>
      </w:r>
      <w:r>
        <w:rPr>
          <w:rFonts w:hint="eastAsia" w:asciiTheme="minorEastAsia" w:hAnsiTheme="minorEastAsia" w:cstheme="minorEastAsia"/>
          <w:color w:val="000000" w:themeColor="text1"/>
          <w:szCs w:val="24"/>
          <w14:textFill>
            <w14:solidFill>
              <w14:schemeClr w14:val="tx1"/>
            </w14:solidFill>
          </w14:textFill>
        </w:rPr>
        <w:t>各项业务活动现金流出合计0万元，</w:t>
      </w:r>
      <w:r>
        <w:rPr>
          <w:rFonts w:hint="eastAsia" w:asciiTheme="minorEastAsia" w:hAnsiTheme="minorEastAsia" w:cstheme="minorEastAsia"/>
          <w:szCs w:val="24"/>
        </w:rPr>
        <w:t>预测合理性较高。</w:t>
      </w:r>
    </w:p>
    <w:p w14:paraId="0D58A28B">
      <w:pPr>
        <w:ind w:firstLine="480"/>
        <w:rPr>
          <w:rFonts w:hint="eastAsia" w:asciiTheme="minorEastAsia" w:hAnsiTheme="minorEastAsia" w:cstheme="minorEastAsia"/>
          <w:szCs w:val="24"/>
        </w:rPr>
      </w:pPr>
      <w:r>
        <w:rPr>
          <w:rFonts w:hint="eastAsia" w:asciiTheme="minorEastAsia" w:hAnsiTheme="minorEastAsia" w:cstheme="minorEastAsia"/>
          <w:szCs w:val="24"/>
        </w:rPr>
        <w:t>4、债券资金需求合理性</w:t>
      </w:r>
    </w:p>
    <w:p w14:paraId="1C6068B8">
      <w:pPr>
        <w:spacing w:line="360" w:lineRule="auto"/>
        <w:ind w:firstLine="480"/>
        <w:rPr>
          <w:rFonts w:hint="eastAsia" w:asciiTheme="minorEastAsia" w:hAnsiTheme="minorEastAsia" w:cstheme="minorEastAsia"/>
          <w:szCs w:val="24"/>
        </w:rPr>
      </w:pPr>
      <w:r>
        <w:rPr>
          <w:rFonts w:hint="eastAsia" w:asciiTheme="minorEastAsia" w:hAnsiTheme="minorEastAsia" w:cstheme="minorEastAsia"/>
          <w:szCs w:val="24"/>
        </w:rPr>
        <w:t>本项目资本金比例83.43%，满足国家发改委对固定资产投资项目资本金比例的要求。项目拟申请债券资金共计</w:t>
      </w:r>
      <w:r>
        <w:rPr>
          <w:rFonts w:hint="eastAsia" w:asciiTheme="minorEastAsia" w:hAnsiTheme="minorEastAsia"/>
          <w:color w:val="000000" w:themeColor="text1"/>
          <w:szCs w:val="24"/>
          <w14:textFill>
            <w14:solidFill>
              <w14:schemeClr w14:val="tx1"/>
            </w14:solidFill>
          </w14:textFill>
        </w:rPr>
        <w:t>10000</w:t>
      </w:r>
      <w:r>
        <w:rPr>
          <w:rFonts w:hint="eastAsia" w:asciiTheme="minorEastAsia" w:hAnsiTheme="minorEastAsia" w:cstheme="minorEastAsia"/>
          <w:szCs w:val="24"/>
        </w:rPr>
        <w:t>万元，</w:t>
      </w:r>
      <w:r>
        <w:rPr>
          <w:rFonts w:hint="eastAsia" w:asciiTheme="minorEastAsia" w:hAnsiTheme="minorEastAsia" w:cstheme="minorEastAsia"/>
          <w:color w:val="000000" w:themeColor="text1"/>
          <w:szCs w:val="24"/>
          <w14:textFill>
            <w14:solidFill>
              <w14:schemeClr w14:val="tx1"/>
            </w14:solidFill>
          </w14:textFill>
        </w:rPr>
        <w:t>债券到期年份的期末现金仍有</w:t>
      </w:r>
      <w:r>
        <w:rPr>
          <w:rFonts w:asciiTheme="minorEastAsia" w:hAnsiTheme="minorEastAsia" w:cstheme="minorEastAsia"/>
          <w:color w:val="000000" w:themeColor="text1"/>
          <w:szCs w:val="24"/>
          <w14:textFill>
            <w14:solidFill>
              <w14:schemeClr w14:val="tx1"/>
            </w14:solidFill>
          </w14:textFill>
        </w:rPr>
        <w:t>17,490.32</w:t>
      </w:r>
      <w:r>
        <w:rPr>
          <w:rFonts w:hint="eastAsia" w:asciiTheme="minorEastAsia" w:hAnsiTheme="minorEastAsia" w:cstheme="minorEastAsia"/>
          <w:color w:val="000000" w:themeColor="text1"/>
          <w:szCs w:val="24"/>
          <w14:textFill>
            <w14:solidFill>
              <w14:schemeClr w14:val="tx1"/>
            </w14:solidFill>
          </w14:textFill>
        </w:rPr>
        <w:t>万元, 偿还完债券存续期内债券本金与利息合计12,267.16万元</w:t>
      </w:r>
      <w:r>
        <w:rPr>
          <w:rFonts w:asciiTheme="minorEastAsia" w:hAnsiTheme="minorEastAsia"/>
          <w:color w:val="000000" w:themeColor="text1"/>
          <w:szCs w:val="24"/>
          <w14:textFill>
            <w14:solidFill>
              <w14:schemeClr w14:val="tx1"/>
            </w14:solidFill>
          </w14:textFill>
        </w:rPr>
        <w:t>,</w:t>
      </w:r>
      <w:r>
        <w:rPr>
          <w:rFonts w:hint="eastAsia" w:asciiTheme="minorEastAsia" w:hAnsiTheme="minorEastAsia"/>
          <w:color w:val="000000" w:themeColor="text1"/>
          <w:szCs w:val="24"/>
          <w14:textFill>
            <w14:solidFill>
              <w14:schemeClr w14:val="tx1"/>
            </w14:solidFill>
          </w14:textFill>
        </w:rPr>
        <w:t>项目存续期内偿债资金覆盖倍数为2.43倍，</w:t>
      </w:r>
      <w:r>
        <w:rPr>
          <w:rFonts w:hint="eastAsia" w:asciiTheme="minorEastAsia" w:hAnsiTheme="minorEastAsia" w:cstheme="minorEastAsia"/>
          <w:color w:val="000000" w:themeColor="text1"/>
          <w:szCs w:val="24"/>
          <w14:textFill>
            <w14:solidFill>
              <w14:schemeClr w14:val="tx1"/>
            </w14:solidFill>
          </w14:textFill>
        </w:rPr>
        <w:t>还本付息资金有充分保障。</w:t>
      </w:r>
    </w:p>
    <w:p w14:paraId="399E137E">
      <w:pPr>
        <w:ind w:firstLine="480"/>
        <w:rPr>
          <w:rFonts w:hint="eastAsia" w:asciiTheme="minorEastAsia" w:hAnsiTheme="minorEastAsia" w:cstheme="minorEastAsia"/>
          <w:szCs w:val="24"/>
        </w:rPr>
      </w:pPr>
      <w:r>
        <w:rPr>
          <w:rFonts w:hint="eastAsia" w:asciiTheme="minorEastAsia" w:hAnsiTheme="minorEastAsia" w:cstheme="minorEastAsia"/>
          <w:szCs w:val="24"/>
        </w:rPr>
        <w:t>5、项目偿债计划可行性和偿债风险</w:t>
      </w:r>
    </w:p>
    <w:p w14:paraId="0DF4A793">
      <w:pPr>
        <w:pStyle w:val="20"/>
        <w:spacing w:before="0" w:beforeAutospacing="0" w:after="156" w:afterLines="50" w:afterAutospacing="0" w:line="360" w:lineRule="auto"/>
        <w:ind w:firstLine="48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计划发行专项债券金额10,000.00万元，其中：2022年已发行800.00万元，实际利率2.85%；2023年已发行5,200.00万元，实际利率2.79%；2024年本期计划发行4,000.00万元。根据目前7年期国债利率2.8450%,从客观、谨慎角度出发，2024年本批次债券年利率取3.90%,发行费率暂按照0.10%测算，据此预计专项债券利息合计为2,267.16万元，预计发行费用为10.00万元。</w:t>
      </w:r>
    </w:p>
    <w:p w14:paraId="45A8DFB6">
      <w:pPr>
        <w:pStyle w:val="20"/>
        <w:spacing w:before="0" w:beforeAutospacing="0" w:after="156" w:afterLines="50" w:afterAutospacing="0" w:line="360" w:lineRule="auto"/>
        <w:ind w:firstLine="480"/>
        <w:jc w:val="both"/>
        <w:rPr>
          <w:rFonts w:hint="eastAsia" w:asciiTheme="minorEastAsia" w:hAnsiTheme="minorEastAsia" w:cstheme="minorEastAsia"/>
        </w:rPr>
      </w:pPr>
      <w:r>
        <w:rPr>
          <w:rFonts w:hint="eastAsia" w:asciiTheme="minorEastAsia" w:hAnsiTheme="minorEastAsia" w:cstheme="minorEastAsia"/>
          <w:color w:val="000000" w:themeColor="text1"/>
          <w14:textFill>
            <w14:solidFill>
              <w14:schemeClr w14:val="tx1"/>
            </w14:solidFill>
          </w14:textFill>
        </w:rPr>
        <w:t>按照该项目专项债券发行计划，7年期以2024年债券年利率取3.90%为依据预计每年利息支出，每年支付一次利息，到期一次还本，</w:t>
      </w:r>
      <w:r>
        <w:rPr>
          <w:rFonts w:hint="eastAsia" w:asciiTheme="minorEastAsia" w:hAnsiTheme="minorEastAsia" w:cstheme="minorEastAsia"/>
        </w:rPr>
        <w:t>其均以资本金偿还，可保障建设期利息可靠偿还。项目自202</w:t>
      </w:r>
      <w:r>
        <w:rPr>
          <w:rFonts w:asciiTheme="minorEastAsia" w:hAnsiTheme="minorEastAsia" w:cstheme="minorEastAsia"/>
        </w:rPr>
        <w:t>4</w:t>
      </w:r>
      <w:r>
        <w:rPr>
          <w:rFonts w:hint="eastAsia" w:asciiTheme="minorEastAsia" w:hAnsiTheme="minorEastAsia" w:cstheme="minorEastAsia"/>
        </w:rPr>
        <w:t>年起可实现收益，可满足后续债券各年利息偿还，结余资金转账管理，用于到期一次还本，偿债计划可行。</w:t>
      </w:r>
    </w:p>
    <w:p w14:paraId="7A9B3131">
      <w:pPr>
        <w:ind w:firstLine="480"/>
        <w:rPr>
          <w:rFonts w:hint="eastAsia" w:asciiTheme="minorEastAsia" w:hAnsiTheme="minorEastAsia" w:cstheme="minorEastAsia"/>
          <w:szCs w:val="24"/>
        </w:rPr>
      </w:pPr>
      <w:r>
        <w:rPr>
          <w:rFonts w:hint="eastAsia" w:asciiTheme="minorEastAsia" w:hAnsiTheme="minorEastAsia" w:cstheme="minorEastAsia"/>
          <w:szCs w:val="24"/>
        </w:rPr>
        <w:t>6、绩效目标合理性</w:t>
      </w:r>
    </w:p>
    <w:p w14:paraId="2EBB187E">
      <w:pPr>
        <w:spacing w:line="360" w:lineRule="auto"/>
        <w:ind w:firstLine="480"/>
        <w:rPr>
          <w:rFonts w:hint="eastAsia" w:asciiTheme="minorEastAsia" w:hAnsiTheme="minorEastAsia" w:cstheme="minorEastAsia"/>
          <w:szCs w:val="24"/>
        </w:rPr>
      </w:pPr>
      <w:r>
        <w:rPr>
          <w:rFonts w:hint="eastAsia" w:asciiTheme="minorEastAsia" w:hAnsiTheme="minorEastAsia" w:cstheme="minorEastAsia"/>
          <w:szCs w:val="24"/>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5AA75EA2">
      <w:pPr>
        <w:pStyle w:val="40"/>
        <w:ind w:firstLine="480"/>
        <w:rPr>
          <w:rFonts w:hint="eastAsia" w:ascii="黑体" w:hAnsi="黑体" w:eastAsia="黑体"/>
          <w:b/>
          <w:color w:val="000000" w:themeColor="text1"/>
          <w14:textFill>
            <w14:solidFill>
              <w14:schemeClr w14:val="tx1"/>
            </w14:solidFill>
          </w14:textFill>
        </w:rPr>
      </w:pPr>
      <w:r>
        <w:rPr>
          <w:rFonts w:hint="eastAsia" w:asciiTheme="minorEastAsia" w:hAnsiTheme="minorEastAsia" w:cstheme="minorEastAsia"/>
          <w:szCs w:val="24"/>
        </w:rPr>
        <w:t>7、其他需要纳入其他绩效评估的事项</w:t>
      </w:r>
    </w:p>
    <w:p w14:paraId="61E643EB">
      <w:pPr>
        <w:pStyle w:val="20"/>
        <w:spacing w:before="0" w:beforeAutospacing="0" w:after="156" w:afterLines="50" w:afterAutospacing="0" w:line="360" w:lineRule="exact"/>
        <w:ind w:firstLine="480"/>
        <w:contextualSpacing/>
        <w:jc w:val="both"/>
        <w:rPr>
          <w:rFonts w:hint="eastAsia"/>
          <w:color w:val="000000" w:themeColor="text1"/>
          <w14:textFill>
            <w14:solidFill>
              <w14:schemeClr w14:val="tx1"/>
            </w14:solidFill>
          </w14:textFill>
        </w:rPr>
      </w:pPr>
    </w:p>
    <w:p w14:paraId="59C86AC2">
      <w:pPr>
        <w:pStyle w:val="2"/>
        <w:ind w:left="2204" w:leftChars="176" w:hanging="1835" w:hangingChars="51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lang w:val="en-US" w:eastAsia="zh-CN"/>
        </w:rPr>
        <w:t>六、</w:t>
      </w:r>
      <w:r>
        <w:rPr>
          <w:rFonts w:hint="eastAsia" w:asciiTheme="minorEastAsia" w:hAnsiTheme="minorEastAsia" w:eastAsiaTheme="minorEastAsia" w:cstheme="minorEastAsia"/>
          <w:b/>
          <w:bCs/>
        </w:rPr>
        <w:t>专项债发行方案</w:t>
      </w:r>
    </w:p>
    <w:p w14:paraId="78B46CE4">
      <w:pPr>
        <w:ind w:firstLine="480"/>
        <w:rPr>
          <w:rFonts w:hint="eastAsia" w:ascii="宋体" w:hAnsi="宋体" w:cs="宋体"/>
          <w:color w:val="000000"/>
          <w:szCs w:val="24"/>
        </w:rPr>
      </w:pPr>
      <w:r>
        <w:rPr>
          <w:rFonts w:hint="eastAsia" w:asciiTheme="minorEastAsia" w:hAnsiTheme="minorEastAsia" w:cstheme="minorEastAsia"/>
          <w:szCs w:val="24"/>
        </w:rPr>
        <w:t>1、发行主体资格：根据《关于试点发展项目收益与融资自求平衡的地方政府专项债券品种的通知》（财预[2017]89号）之规定，地方政府专项债券需由江西省人民政府作为发行主体。本项目的实施机构为南昌市红谷滩区住房与城市建设局，是依法批准设立的机关单位，具备机关单位资格；</w:t>
      </w:r>
      <w:r>
        <w:rPr>
          <w:rFonts w:hint="eastAsia" w:ascii="宋体" w:hAnsi="宋体" w:cs="宋体"/>
          <w:color w:val="000000"/>
          <w:szCs w:val="24"/>
        </w:rPr>
        <w:t>项目业主为南昌红江实业发展有限公司，</w:t>
      </w:r>
      <w:r>
        <w:rPr>
          <w:rFonts w:hint="eastAsia" w:asciiTheme="minorEastAsia" w:hAnsiTheme="minorEastAsia" w:cstheme="minorEastAsia"/>
          <w:szCs w:val="24"/>
        </w:rPr>
        <w:t>是依法批准设立的法人公司，具备单位法人资格，具有相应的民事权利能力和民事行为能力。</w:t>
      </w:r>
      <w:r>
        <w:rPr>
          <w:rFonts w:hint="eastAsia" w:ascii="宋体" w:hAnsi="宋体" w:cs="宋体"/>
          <w:color w:val="000000"/>
          <w:szCs w:val="24"/>
        </w:rPr>
        <w:t>具备作为项目业主的资格。</w:t>
      </w:r>
      <w:r>
        <w:rPr>
          <w:rFonts w:hint="eastAsia" w:asciiTheme="minorEastAsia" w:hAnsiTheme="minorEastAsia" w:cstheme="minorEastAsia"/>
          <w:szCs w:val="24"/>
        </w:rPr>
        <w:t xml:space="preserve">  </w:t>
      </w:r>
    </w:p>
    <w:p w14:paraId="3CC24D8E">
      <w:pPr>
        <w:widowControl/>
        <w:ind w:firstLine="480"/>
        <w:rPr>
          <w:rFonts w:ascii="Calibri" w:hAnsi="Calibri" w:eastAsia="宋体" w:cs="Times New Roman"/>
          <w:color w:val="000000"/>
          <w:szCs w:val="24"/>
        </w:rPr>
      </w:pPr>
      <w:r>
        <w:rPr>
          <w:rFonts w:hint="eastAsia" w:asciiTheme="minorEastAsia" w:hAnsiTheme="minorEastAsia" w:cstheme="minorEastAsia"/>
          <w:szCs w:val="24"/>
        </w:rPr>
        <w:t>2、发行计划:</w:t>
      </w:r>
      <w:r>
        <w:rPr>
          <w:rFonts w:hint="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4"/>
          <w14:textFill>
            <w14:solidFill>
              <w14:schemeClr w14:val="tx1"/>
            </w14:solidFill>
          </w14:textFill>
        </w:rPr>
        <w:t>生米镇南路村拆迁安置小区建设项目（南路村棚户区改造）</w:t>
      </w:r>
      <w:r>
        <w:rPr>
          <w:rFonts w:hint="eastAsia" w:cs="Times New Roman" w:asciiTheme="minorEastAsia" w:hAnsiTheme="minorEastAsia"/>
          <w:color w:val="000000"/>
          <w:szCs w:val="24"/>
        </w:rPr>
        <w:t>拟发行专项债券10000万元，2</w:t>
      </w:r>
      <w:r>
        <w:rPr>
          <w:rFonts w:cs="Times New Roman" w:asciiTheme="minorEastAsia" w:hAnsiTheme="minorEastAsia"/>
          <w:color w:val="000000"/>
          <w:szCs w:val="24"/>
        </w:rPr>
        <w:t>022</w:t>
      </w:r>
      <w:r>
        <w:rPr>
          <w:rFonts w:hint="eastAsia" w:cs="Times New Roman" w:asciiTheme="minorEastAsia" w:hAnsiTheme="minorEastAsia"/>
          <w:color w:val="000000"/>
          <w:szCs w:val="24"/>
        </w:rPr>
        <w:t>年已发行</w:t>
      </w:r>
      <w:r>
        <w:rPr>
          <w:rFonts w:cs="Times New Roman" w:asciiTheme="minorEastAsia" w:hAnsiTheme="minorEastAsia"/>
          <w:color w:val="000000"/>
          <w:szCs w:val="24"/>
        </w:rPr>
        <w:t>800.00</w:t>
      </w:r>
      <w:r>
        <w:rPr>
          <w:rFonts w:hint="eastAsia" w:cs="Times New Roman" w:asciiTheme="minorEastAsia" w:hAnsiTheme="minorEastAsia"/>
          <w:color w:val="000000"/>
          <w:szCs w:val="24"/>
        </w:rPr>
        <w:t>万元，发行期限为</w:t>
      </w:r>
      <w:r>
        <w:rPr>
          <w:rFonts w:cs="Times New Roman" w:asciiTheme="minorEastAsia" w:hAnsiTheme="minorEastAsia"/>
          <w:color w:val="000000"/>
          <w:szCs w:val="24"/>
        </w:rPr>
        <w:t>7年</w:t>
      </w:r>
      <w:r>
        <w:rPr>
          <w:rFonts w:hint="eastAsia" w:cs="Times New Roman" w:asciiTheme="minorEastAsia" w:hAnsiTheme="minorEastAsia"/>
          <w:color w:val="000000"/>
          <w:szCs w:val="24"/>
        </w:rPr>
        <w:t>；2</w:t>
      </w:r>
      <w:r>
        <w:rPr>
          <w:rFonts w:cs="Times New Roman" w:asciiTheme="minorEastAsia" w:hAnsiTheme="minorEastAsia"/>
          <w:color w:val="000000"/>
          <w:szCs w:val="24"/>
        </w:rPr>
        <w:t>023</w:t>
      </w:r>
      <w:r>
        <w:rPr>
          <w:rFonts w:hint="eastAsia" w:cs="Times New Roman" w:asciiTheme="minorEastAsia" w:hAnsiTheme="minorEastAsia"/>
          <w:color w:val="000000"/>
          <w:szCs w:val="24"/>
        </w:rPr>
        <w:t>年已发行5200万元，2024年计划发行4000万元，期限7年，</w:t>
      </w:r>
      <w:r>
        <w:rPr>
          <w:rFonts w:hint="eastAsia" w:asciiTheme="minorEastAsia" w:hAnsiTheme="minorEastAsia" w:cstheme="minorEastAsia"/>
          <w:szCs w:val="24"/>
        </w:rPr>
        <w:t>专项债券融资成本按3.90%估算。</w:t>
      </w:r>
      <w:r>
        <w:rPr>
          <w:rFonts w:ascii="Calibri" w:hAnsi="Calibri" w:eastAsia="宋体" w:cs="Times New Roman"/>
          <w:color w:val="000000"/>
          <w:szCs w:val="24"/>
        </w:rPr>
        <w:t xml:space="preserve"> </w:t>
      </w:r>
    </w:p>
    <w:p w14:paraId="05261BA1">
      <w:pPr>
        <w:widowControl/>
        <w:ind w:firstLine="480"/>
        <w:rPr>
          <w:rFonts w:hint="eastAsia" w:asciiTheme="minorEastAsia" w:hAnsiTheme="minorEastAsia" w:cstheme="minorEastAsia"/>
          <w:szCs w:val="24"/>
        </w:rPr>
      </w:pPr>
      <w:r>
        <w:rPr>
          <w:rFonts w:hint="eastAsia" w:asciiTheme="minorEastAsia" w:hAnsiTheme="minorEastAsia" w:cstheme="minorEastAsia"/>
          <w:szCs w:val="24"/>
        </w:rPr>
        <w:t>3、发行场所:通过全国银行间债券市场、证券交易所债券市场发行。将来条件具备时也可在银行柜台债券市场发行。</w:t>
      </w:r>
    </w:p>
    <w:p w14:paraId="21FE9734">
      <w:pPr>
        <w:ind w:firstLine="480"/>
        <w:rPr>
          <w:rFonts w:hint="eastAsia" w:asciiTheme="minorEastAsia" w:hAnsiTheme="minorEastAsia" w:cstheme="minorEastAsia"/>
          <w:bCs/>
          <w:szCs w:val="24"/>
        </w:rPr>
      </w:pPr>
      <w:r>
        <w:rPr>
          <w:rFonts w:hint="eastAsia" w:asciiTheme="minorEastAsia" w:hAnsiTheme="minorEastAsia" w:cstheme="minorEastAsia"/>
          <w:szCs w:val="24"/>
        </w:rPr>
        <w:t>4、信息披露：在专项债发行日前5个工作日通过</w:t>
      </w:r>
      <w:r>
        <w:fldChar w:fldCharType="begin"/>
      </w:r>
      <w:r>
        <w:instrText xml:space="preserve"> HYPERLINK "https://www.sogou.com/link?url=DSOYnZeCC_pzE53eXNhcqFoov_MuMQYQreaVHN88tHY." \t "https://www.sogou.com/_blank" </w:instrText>
      </w:r>
      <w:r>
        <w:fldChar w:fldCharType="separate"/>
      </w:r>
      <w:r>
        <w:rPr>
          <w:rFonts w:hint="eastAsia" w:asciiTheme="minorEastAsia" w:hAnsiTheme="minorEastAsia" w:cstheme="minorEastAsia"/>
          <w:szCs w:val="24"/>
        </w:rPr>
        <w:t>中国地方政府债券信息公开平台</w:t>
      </w:r>
      <w:r>
        <w:rPr>
          <w:rFonts w:hint="eastAsia" w:asciiTheme="minorEastAsia" w:hAnsiTheme="minorEastAsia" w:cstheme="minorEastAsia"/>
          <w:szCs w:val="24"/>
        </w:rPr>
        <w:fldChar w:fldCharType="end"/>
      </w:r>
      <w:r>
        <w:rPr>
          <w:rFonts w:hint="eastAsia" w:asciiTheme="minorEastAsia" w:hAnsiTheme="minorEastAsia" w:cstheme="minorEastAsia"/>
          <w:szCs w:val="24"/>
        </w:rPr>
        <w:t>、江西省财政厅官方网站和中国债券信息网-中央结算公司官方网站披露（http：//www.chinabond.com.cn/）详细披露债券发行全套信息披露文件。</w:t>
      </w:r>
    </w:p>
    <w:p w14:paraId="43D7069F">
      <w:pPr>
        <w:ind w:firstLine="480"/>
        <w:rPr>
          <w:rFonts w:hint="eastAsia" w:asciiTheme="minorEastAsia" w:hAnsiTheme="minorEastAsia" w:cstheme="minorEastAsia"/>
          <w:szCs w:val="24"/>
        </w:rPr>
        <w:sectPr>
          <w:pgSz w:w="11906" w:h="16838"/>
          <w:pgMar w:top="1531" w:right="1701" w:bottom="1418" w:left="1701" w:header="851" w:footer="992" w:gutter="0"/>
          <w:cols w:space="425" w:num="1"/>
          <w:docGrid w:type="linesAndChars" w:linePitch="312" w:charSpace="0"/>
        </w:sectPr>
      </w:pPr>
      <w:r>
        <w:rPr>
          <w:rFonts w:hint="eastAsia" w:asciiTheme="minorEastAsia" w:hAnsiTheme="minorEastAsia" w:cstheme="minorEastAsia"/>
          <w:szCs w:val="24"/>
        </w:rPr>
        <w:t>总体而言，该项目通过发行专项债可以降低项目融资成本，是现阶段解决建设资金问题的推荐方案。且基于财政部对地方政府发行项目收益与融资自求平衡专项债券的要求，并根据项目重大建设意义，该项目可以通过申请专项债券的方式进行融资以完成资金筹措。</w:t>
      </w:r>
    </w:p>
    <w:p w14:paraId="4D2CEAF9">
      <w:pPr>
        <w:ind w:firstLine="174" w:firstLineChars="83"/>
        <w:rPr>
          <w:rFonts w:hint="eastAsia" w:ascii="仿宋" w:hAnsi="仿宋" w:eastAsia="仿宋" w:cs="仿宋"/>
          <w:szCs w:val="24"/>
        </w:rPr>
      </w:pPr>
    </w:p>
    <w:p w14:paraId="04DB4404">
      <w:pPr>
        <w:jc w:val="center"/>
        <w:rPr>
          <w:rFonts w:ascii="楷体" w:hAnsi="楷体" w:eastAsia="楷体"/>
          <w:b/>
          <w:color w:val="auto"/>
          <w:sz w:val="44"/>
          <w:szCs w:val="44"/>
          <w:highlight w:val="yellow"/>
        </w:rPr>
      </w:pPr>
    </w:p>
    <w:p w14:paraId="1661915E">
      <w:pPr>
        <w:widowControl/>
        <w:spacing w:line="480" w:lineRule="auto"/>
        <w:jc w:val="center"/>
        <w:rPr>
          <w:rFonts w:ascii="仿宋" w:hAnsi="仿宋" w:eastAsia="楷体"/>
          <w:b/>
          <w:sz w:val="44"/>
          <w:szCs w:val="44"/>
        </w:rPr>
      </w:pPr>
      <w:r>
        <w:rPr>
          <w:rFonts w:hint="eastAsia" w:ascii="仿宋" w:hAnsi="仿宋" w:eastAsia="楷体"/>
          <w:b/>
          <w:sz w:val="44"/>
          <w:szCs w:val="44"/>
        </w:rPr>
        <w:t>南昌县银三角良苑小区二期安置房项目</w:t>
      </w:r>
    </w:p>
    <w:p w14:paraId="2AA42AA0">
      <w:pPr>
        <w:widowControl/>
        <w:spacing w:line="480" w:lineRule="auto"/>
        <w:jc w:val="center"/>
        <w:rPr>
          <w:rFonts w:ascii="仿宋" w:hAnsi="仿宋" w:eastAsia="楷体"/>
          <w:b/>
          <w:sz w:val="44"/>
          <w:szCs w:val="44"/>
        </w:rPr>
      </w:pPr>
      <w:r>
        <w:rPr>
          <w:rFonts w:hint="eastAsia" w:ascii="仿宋" w:hAnsi="仿宋" w:eastAsia="楷体"/>
          <w:b/>
          <w:sz w:val="44"/>
          <w:szCs w:val="44"/>
        </w:rPr>
        <w:t>专项债券实施方案</w:t>
      </w:r>
    </w:p>
    <w:p w14:paraId="444C939A">
      <w:pPr>
        <w:ind w:left="-141" w:leftChars="-67" w:right="-99" w:rightChars="-47" w:firstLine="439" w:firstLineChars="157"/>
        <w:rPr>
          <w:rFonts w:ascii="宋体" w:hAnsi="宋体" w:eastAsia="宋体"/>
          <w:sz w:val="28"/>
          <w:szCs w:val="28"/>
        </w:rPr>
      </w:pPr>
    </w:p>
    <w:p w14:paraId="179C456E">
      <w:pPr>
        <w:ind w:left="-141" w:leftChars="-67" w:right="-99" w:rightChars="-47" w:firstLine="439" w:firstLineChars="157"/>
        <w:rPr>
          <w:rFonts w:ascii="宋体" w:hAnsi="宋体" w:eastAsia="宋体"/>
          <w:sz w:val="28"/>
          <w:szCs w:val="28"/>
        </w:rPr>
      </w:pPr>
    </w:p>
    <w:p w14:paraId="4F046389">
      <w:pPr>
        <w:ind w:left="-141" w:leftChars="-67" w:right="-99" w:rightChars="-47" w:firstLine="439" w:firstLineChars="157"/>
        <w:rPr>
          <w:rFonts w:ascii="宋体" w:hAnsi="宋体" w:eastAsia="宋体"/>
          <w:sz w:val="28"/>
          <w:szCs w:val="28"/>
        </w:rPr>
      </w:pPr>
    </w:p>
    <w:p w14:paraId="0F7ECB6E">
      <w:pPr>
        <w:ind w:left="-141" w:leftChars="-67" w:right="-99" w:rightChars="-47" w:firstLine="439" w:firstLineChars="157"/>
        <w:rPr>
          <w:rFonts w:ascii="宋体" w:hAnsi="宋体" w:eastAsia="宋体"/>
          <w:sz w:val="28"/>
          <w:szCs w:val="28"/>
          <w:u w:val="single"/>
        </w:rPr>
      </w:pPr>
    </w:p>
    <w:p w14:paraId="25B7EB3A">
      <w:pPr>
        <w:ind w:left="-141" w:leftChars="-67" w:right="-99" w:rightChars="-47" w:firstLine="439" w:firstLineChars="157"/>
        <w:rPr>
          <w:rFonts w:ascii="宋体" w:hAnsi="宋体" w:eastAsia="宋体"/>
          <w:sz w:val="28"/>
          <w:szCs w:val="28"/>
          <w:u w:val="single"/>
        </w:rPr>
      </w:pPr>
    </w:p>
    <w:p w14:paraId="395D35AE">
      <w:pPr>
        <w:ind w:left="-141" w:leftChars="-67" w:right="-99" w:rightChars="-47" w:firstLine="502" w:firstLineChars="157"/>
        <w:rPr>
          <w:sz w:val="32"/>
          <w:szCs w:val="32"/>
          <w:u w:val="single"/>
        </w:rPr>
      </w:pPr>
    </w:p>
    <w:p w14:paraId="49C13262">
      <w:pPr>
        <w:ind w:left="-141" w:leftChars="-67" w:right="-99" w:rightChars="-47" w:firstLine="502" w:firstLineChars="157"/>
        <w:rPr>
          <w:sz w:val="32"/>
          <w:szCs w:val="32"/>
          <w:u w:val="single"/>
        </w:rPr>
      </w:pPr>
    </w:p>
    <w:p w14:paraId="0796CC0D">
      <w:pPr>
        <w:spacing w:line="360" w:lineRule="auto"/>
        <w:jc w:val="both"/>
        <w:rPr>
          <w:rFonts w:ascii="仿宋" w:hAnsi="仿宋" w:eastAsia="楷体"/>
          <w:b/>
          <w:sz w:val="44"/>
          <w:szCs w:val="44"/>
        </w:rPr>
      </w:pPr>
    </w:p>
    <w:p w14:paraId="1A53A368">
      <w:pPr>
        <w:spacing w:line="360" w:lineRule="auto"/>
        <w:jc w:val="center"/>
        <w:rPr>
          <w:rFonts w:ascii="仿宋" w:hAnsi="仿宋" w:eastAsia="楷体"/>
          <w:b/>
          <w:sz w:val="44"/>
          <w:szCs w:val="44"/>
        </w:rPr>
      </w:pPr>
    </w:p>
    <w:p w14:paraId="083D4A7D">
      <w:pPr>
        <w:spacing w:line="360" w:lineRule="auto"/>
        <w:jc w:val="center"/>
        <w:rPr>
          <w:rFonts w:ascii="仿宋" w:hAnsi="仿宋" w:eastAsia="楷体"/>
          <w:b/>
          <w:sz w:val="44"/>
          <w:szCs w:val="44"/>
        </w:rPr>
      </w:pPr>
    </w:p>
    <w:p w14:paraId="6AC91ACE">
      <w:pPr>
        <w:spacing w:line="360" w:lineRule="auto"/>
        <w:jc w:val="both"/>
        <w:rPr>
          <w:rFonts w:ascii="仿宋" w:hAnsi="仿宋" w:eastAsia="楷体"/>
          <w:b/>
          <w:sz w:val="44"/>
          <w:szCs w:val="44"/>
        </w:rPr>
      </w:pPr>
    </w:p>
    <w:p w14:paraId="1B601418">
      <w:pPr>
        <w:spacing w:line="360" w:lineRule="auto"/>
        <w:jc w:val="center"/>
        <w:rPr>
          <w:rFonts w:ascii="仿宋" w:hAnsi="仿宋" w:eastAsia="楷体"/>
          <w:b/>
          <w:sz w:val="44"/>
          <w:szCs w:val="44"/>
        </w:rPr>
      </w:pPr>
      <w:r>
        <w:rPr>
          <w:rFonts w:hint="eastAsia" w:ascii="仿宋" w:hAnsi="仿宋" w:eastAsia="楷体"/>
          <w:b/>
          <w:sz w:val="44"/>
          <w:szCs w:val="44"/>
        </w:rPr>
        <w:t>南昌县财政局</w:t>
      </w:r>
    </w:p>
    <w:p w14:paraId="7C39F49F">
      <w:pPr>
        <w:spacing w:line="360" w:lineRule="auto"/>
        <w:jc w:val="center"/>
        <w:rPr>
          <w:rFonts w:hint="eastAsia"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CN"/>
        </w:rPr>
        <w:t>九</w:t>
      </w:r>
      <w:r>
        <w:rPr>
          <w:rFonts w:hint="eastAsia" w:ascii="仿宋" w:hAnsi="仿宋" w:eastAsia="楷体"/>
          <w:b/>
          <w:sz w:val="44"/>
          <w:szCs w:val="44"/>
        </w:rPr>
        <w:t>月</w:t>
      </w:r>
    </w:p>
    <w:p w14:paraId="7904B57E">
      <w:pPr>
        <w:pStyle w:val="31"/>
        <w:rPr>
          <w:rFonts w:hint="eastAsia"/>
        </w:rPr>
        <w:sectPr>
          <w:pgSz w:w="11906" w:h="16838"/>
          <w:pgMar w:top="1440" w:right="866" w:bottom="1440" w:left="1800" w:header="851" w:footer="992" w:gutter="0"/>
          <w:cols w:space="425" w:num="1"/>
          <w:docGrid w:type="lines" w:linePitch="312" w:charSpace="0"/>
        </w:sectPr>
      </w:pPr>
    </w:p>
    <w:p w14:paraId="25819535">
      <w:pPr>
        <w:pStyle w:val="31"/>
        <w:ind w:left="0" w:leftChars="0" w:firstLine="0" w:firstLineChars="0"/>
        <w:rPr>
          <w:rFonts w:hint="eastAsia" w:ascii="仿宋" w:hAnsi="仿宋" w:eastAsia="楷体"/>
          <w:b/>
          <w:sz w:val="44"/>
          <w:szCs w:val="44"/>
        </w:rPr>
      </w:pPr>
    </w:p>
    <w:p w14:paraId="3315FEF1">
      <w:pPr>
        <w:ind w:right="-99" w:rightChars="-47"/>
        <w:jc w:val="center"/>
        <w:rPr>
          <w:rFonts w:ascii="楷体" w:hAnsi="楷体" w:eastAsia="楷体"/>
          <w:b/>
          <w:sz w:val="44"/>
          <w:szCs w:val="44"/>
        </w:rPr>
      </w:pPr>
      <w:r>
        <w:rPr>
          <w:rFonts w:hint="eastAsia" w:ascii="楷体" w:hAnsi="楷体" w:eastAsia="楷体"/>
          <w:b/>
          <w:sz w:val="44"/>
          <w:szCs w:val="44"/>
        </w:rPr>
        <w:t>前言</w:t>
      </w:r>
    </w:p>
    <w:p w14:paraId="60992915">
      <w:pPr>
        <w:pStyle w:val="20"/>
        <w:spacing w:before="0" w:beforeAutospacing="0" w:after="300" w:afterAutospacing="0" w:line="240" w:lineRule="auto"/>
        <w:ind w:firstLine="560" w:firstLineChars="200"/>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1684D260">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。南昌县银三角良苑小区二期安置房项目</w:t>
      </w:r>
      <w:r>
        <w:rPr>
          <w:rFonts w:hint="eastAsia" w:ascii="楷体" w:hAnsi="楷体" w:eastAsia="楷体" w:cs="楷体"/>
          <w:bCs/>
          <w:color w:val="auto"/>
          <w:sz w:val="28"/>
          <w:szCs w:val="28"/>
        </w:rPr>
        <w:t>拟于</w:t>
      </w:r>
      <w:r>
        <w:rPr>
          <w:rFonts w:hint="eastAsia" w:ascii="楷体" w:hAnsi="楷体" w:eastAsia="楷体" w:cs="楷体"/>
          <w:bCs/>
          <w:sz w:val="28"/>
          <w:szCs w:val="28"/>
        </w:rPr>
        <w:t>申请发行地方政府专项债</w:t>
      </w:r>
      <w:r>
        <w:rPr>
          <w:rFonts w:ascii="楷体" w:hAnsi="楷体" w:eastAsia="楷体" w:cs="楷体"/>
          <w:bCs/>
          <w:sz w:val="28"/>
          <w:szCs w:val="28"/>
        </w:rPr>
        <w:t>融资</w:t>
      </w:r>
      <w:r>
        <w:rPr>
          <w:rFonts w:hint="eastAsia" w:ascii="楷体" w:hAnsi="楷体" w:eastAsia="楷体" w:cs="楷体"/>
          <w:bCs/>
          <w:sz w:val="28"/>
          <w:szCs w:val="28"/>
        </w:rPr>
        <w:t>1.3735亿</w:t>
      </w:r>
      <w:r>
        <w:rPr>
          <w:rFonts w:ascii="楷体" w:hAnsi="楷体" w:eastAsia="楷体" w:cs="楷体"/>
          <w:bCs/>
          <w:sz w:val="28"/>
          <w:szCs w:val="28"/>
        </w:rPr>
        <w:t>元</w:t>
      </w:r>
      <w:r>
        <w:rPr>
          <w:rFonts w:hint="eastAsia" w:ascii="楷体" w:hAnsi="楷体" w:eastAsia="楷体" w:cs="楷体"/>
          <w:bCs/>
          <w:sz w:val="28"/>
          <w:szCs w:val="28"/>
        </w:rPr>
        <w:t>，拟本期申请发行0.</w:t>
      </w:r>
      <w:r>
        <w:rPr>
          <w:rFonts w:hint="eastAsia" w:ascii="楷体" w:hAnsi="楷体" w:eastAsia="楷体" w:cs="楷体"/>
          <w:bCs/>
          <w:sz w:val="28"/>
          <w:szCs w:val="28"/>
          <w:lang w:val="en-US" w:eastAsia="zh-CN"/>
        </w:rPr>
        <w:t>14</w:t>
      </w:r>
      <w:r>
        <w:rPr>
          <w:rFonts w:hint="eastAsia" w:ascii="楷体" w:hAnsi="楷体" w:eastAsia="楷体" w:cs="楷体"/>
          <w:bCs/>
          <w:sz w:val="28"/>
          <w:szCs w:val="28"/>
        </w:rPr>
        <w:t>亿元。</w:t>
      </w:r>
    </w:p>
    <w:p w14:paraId="5774F5A5">
      <w:pPr>
        <w:widowControl/>
        <w:autoSpaceDE w:val="0"/>
        <w:autoSpaceDN w:val="0"/>
        <w:spacing w:after="240" w:line="360" w:lineRule="auto"/>
        <w:ind w:left="-141" w:leftChars="-67" w:right="-99" w:rightChars="-47" w:firstLine="439" w:firstLineChars="157"/>
        <w:jc w:val="left"/>
        <w:rPr>
          <w:rFonts w:ascii="宋体" w:hAnsi="宋体" w:eastAsia="宋体"/>
          <w:sz w:val="28"/>
          <w:szCs w:val="28"/>
        </w:rPr>
        <w:sectPr>
          <w:footerReference r:id="rId15" w:type="default"/>
          <w:pgSz w:w="11906" w:h="16838"/>
          <w:pgMar w:top="1440" w:right="866" w:bottom="1440" w:left="1800" w:header="851" w:footer="992" w:gutter="0"/>
          <w:pgNumType w:fmt="decimal" w:start="1"/>
          <w:cols w:space="425" w:num="1"/>
          <w:docGrid w:type="lines" w:linePitch="312" w:charSpace="0"/>
        </w:sect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5056EE72">
      <w:pPr>
        <w:widowControl/>
        <w:spacing w:line="560" w:lineRule="exact"/>
        <w:ind w:firstLine="560" w:firstLineChars="200"/>
        <w:jc w:val="left"/>
        <w:outlineLvl w:val="0"/>
        <w:rPr>
          <w:rFonts w:ascii="黑体" w:hAnsi="黑体" w:eastAsia="黑体" w:cs="黑体"/>
          <w:sz w:val="28"/>
          <w:szCs w:val="28"/>
        </w:rPr>
      </w:pPr>
      <w:bookmarkStart w:id="32" w:name="_Toc36580088"/>
      <w:bookmarkStart w:id="33" w:name="_Toc7263"/>
      <w:bookmarkStart w:id="218" w:name="_GoBack"/>
      <w:bookmarkEnd w:id="218"/>
      <w:r>
        <w:rPr>
          <w:rFonts w:hint="eastAsia" w:ascii="黑体" w:hAnsi="黑体" w:eastAsia="黑体" w:cs="黑体"/>
          <w:sz w:val="28"/>
          <w:szCs w:val="28"/>
        </w:rPr>
        <w:t>一、项目概况</w:t>
      </w:r>
      <w:bookmarkEnd w:id="32"/>
      <w:bookmarkEnd w:id="33"/>
    </w:p>
    <w:p w14:paraId="47A361C6">
      <w:pPr>
        <w:widowControl/>
        <w:spacing w:line="560" w:lineRule="exact"/>
        <w:ind w:firstLine="560" w:firstLineChars="200"/>
        <w:jc w:val="left"/>
        <w:outlineLvl w:val="1"/>
        <w:rPr>
          <w:rFonts w:ascii="楷体" w:hAnsi="楷体" w:eastAsia="楷体" w:cs="楷体"/>
          <w:b/>
          <w:bCs/>
          <w:sz w:val="28"/>
          <w:szCs w:val="28"/>
        </w:rPr>
      </w:pPr>
      <w:bookmarkStart w:id="34" w:name="_Toc7726"/>
      <w:bookmarkStart w:id="35" w:name="_Toc36580089"/>
      <w:r>
        <w:rPr>
          <w:rFonts w:hint="eastAsia" w:ascii="楷体" w:hAnsi="楷体" w:eastAsia="楷体" w:cs="楷体"/>
          <w:b/>
          <w:bCs/>
          <w:sz w:val="28"/>
          <w:szCs w:val="28"/>
        </w:rPr>
        <w:t>（一）项目所在地基本情况</w:t>
      </w:r>
      <w:bookmarkEnd w:id="34"/>
      <w:bookmarkEnd w:id="35"/>
    </w:p>
    <w:p w14:paraId="6EC0B144">
      <w:pPr>
        <w:ind w:left="-140" w:leftChars="-67" w:right="-98" w:rightChars="-47" w:firstLine="439" w:firstLineChars="157"/>
        <w:rPr>
          <w:rFonts w:hint="eastAsia" w:asciiTheme="minorEastAsia" w:hAnsiTheme="minorEastAsia" w:eastAsiaTheme="minorEastAsia" w:cstheme="minorEastAsia"/>
          <w:bCs/>
          <w:sz w:val="28"/>
          <w:szCs w:val="28"/>
        </w:rPr>
      </w:pPr>
      <w:bookmarkStart w:id="36" w:name="_Toc36580090"/>
      <w:r>
        <w:rPr>
          <w:rFonts w:hint="eastAsia" w:asciiTheme="minorEastAsia" w:hAnsiTheme="minorEastAsia" w:eastAsiaTheme="minorEastAsia" w:cstheme="minorEastAsia"/>
          <w:bCs/>
          <w:sz w:val="28"/>
          <w:szCs w:val="28"/>
        </w:rPr>
        <w:t>1、所在地情况</w:t>
      </w:r>
      <w:bookmarkEnd w:id="36"/>
    </w:p>
    <w:p w14:paraId="2F903AE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64CCB47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南昌县面积1810.7平方公里；辖7个乡9个镇、1个国家级开发区和银三角管委会；2017年，户籍总人口1039778人，全县地区生产总值（GDP）782亿，按可比价格计算，比2016年增长9.2%。</w:t>
      </w:r>
    </w:p>
    <w:p w14:paraId="1CFBCF0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58AC194F">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55DF987B">
      <w:pPr>
        <w:ind w:left="-140" w:leftChars="-67" w:right="-98" w:rightChars="-47" w:firstLine="439" w:firstLineChars="157"/>
        <w:rPr>
          <w:rFonts w:ascii="楷体" w:hAnsi="楷体" w:eastAsia="楷体" w:cs="楷体"/>
          <w:bCs/>
          <w:sz w:val="28"/>
          <w:szCs w:val="28"/>
        </w:rPr>
      </w:pPr>
      <w:bookmarkStart w:id="37" w:name="_Toc36580091"/>
      <w:r>
        <w:rPr>
          <w:rFonts w:hint="eastAsia" w:ascii="楷体" w:hAnsi="楷体" w:eastAsia="楷体" w:cs="楷体"/>
          <w:bCs/>
          <w:sz w:val="28"/>
          <w:szCs w:val="28"/>
        </w:rPr>
        <w:t>2、财政收支情况</w:t>
      </w:r>
      <w:bookmarkEnd w:id="37"/>
    </w:p>
    <w:p w14:paraId="22ACFB9D">
      <w:pPr>
        <w:widowControl/>
        <w:spacing w:before="100" w:beforeAutospacing="1" w:after="100" w:afterAutospacing="1"/>
        <w:ind w:firstLine="480"/>
        <w:jc w:val="center"/>
        <w:rPr>
          <w:rFonts w:ascii="宋体" w:hAnsi="宋体" w:eastAsia="宋体" w:cs="宋体"/>
          <w:kern w:val="0"/>
          <w:sz w:val="24"/>
          <w:szCs w:val="24"/>
        </w:rPr>
      </w:pPr>
      <w:bookmarkStart w:id="38" w:name="_Toc36580092"/>
      <w:r>
        <w:rPr>
          <w:rFonts w:ascii="宋体" w:hAnsi="宋体" w:eastAsia="宋体" w:cs="宋体"/>
          <w:kern w:val="0"/>
          <w:sz w:val="24"/>
          <w:szCs w:val="24"/>
        </w:rPr>
        <w:t>南昌县财政支出情况</w:t>
      </w:r>
    </w:p>
    <w:p w14:paraId="7D59D278">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49A76D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1ED26F4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09A41C2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2496F03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7707901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11223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0CFF4CE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584C7D7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50BC76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6356BA4D">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172069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0D66503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089270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3D6475C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60CA2A0D">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1E2942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199B345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4A414E9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BD43E2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411DF71F">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6F244A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879E64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87D50A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1B2447E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18016FE7">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05B05F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70FA296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854A15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44BA042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0C0AB471">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60EC78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1CB5780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7D7EA8F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6695C245">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50825FE9">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2B032C21">
      <w:pPr>
        <w:widowControl/>
        <w:spacing w:line="560" w:lineRule="exact"/>
        <w:ind w:firstLine="560" w:firstLineChars="200"/>
        <w:jc w:val="left"/>
        <w:outlineLvl w:val="1"/>
        <w:rPr>
          <w:rFonts w:ascii="楷体" w:hAnsi="楷体" w:eastAsia="楷体" w:cs="楷体"/>
          <w:b/>
          <w:bCs/>
          <w:sz w:val="28"/>
          <w:szCs w:val="28"/>
        </w:rPr>
      </w:pPr>
      <w:bookmarkStart w:id="39" w:name="_Toc14031"/>
      <w:r>
        <w:rPr>
          <w:rFonts w:hint="eastAsia" w:ascii="楷体" w:hAnsi="楷体" w:eastAsia="楷体" w:cs="楷体"/>
          <w:b/>
          <w:bCs/>
          <w:sz w:val="28"/>
          <w:szCs w:val="28"/>
        </w:rPr>
        <w:t>（二）项目实施背景</w:t>
      </w:r>
      <w:bookmarkEnd w:id="38"/>
      <w:bookmarkEnd w:id="39"/>
    </w:p>
    <w:p w14:paraId="1C29FB4C">
      <w:pPr>
        <w:ind w:left="-140" w:leftChars="-67" w:right="-98" w:rightChars="-47" w:firstLine="439" w:firstLineChars="157"/>
        <w:rPr>
          <w:rFonts w:hint="eastAsia" w:asciiTheme="minorEastAsia" w:hAnsiTheme="minorEastAsia" w:eastAsiaTheme="minorEastAsia" w:cstheme="minorEastAsia"/>
          <w:bCs/>
          <w:sz w:val="28"/>
          <w:szCs w:val="28"/>
        </w:rPr>
      </w:pPr>
      <w:bookmarkStart w:id="40" w:name="_Toc36580093"/>
      <w:r>
        <w:rPr>
          <w:rFonts w:hint="eastAsia" w:asciiTheme="minorEastAsia" w:hAnsiTheme="minorEastAsia" w:eastAsiaTheme="minorEastAsia" w:cstheme="minorEastAsia"/>
          <w:bCs/>
          <w:sz w:val="28"/>
          <w:szCs w:val="28"/>
        </w:rPr>
        <w:t xml:space="preserve"> 项目建设背景</w:t>
      </w:r>
    </w:p>
    <w:p w14:paraId="43BD1186">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2020年，南昌县地区生产总值、财政总收入和地方公共预算收入分别完成1048亿元、141.3亿元和76亿元，同比分别增长4.7%、3.3%和2%，总量稳居全省第一。500万元以上固定资产投资、社会消费品零售总额等6项指标增速高于省市平均水平，地区生产总值、财政总收入、规上服务业营业收入等5项指标全市占比稳步提升，全面完成了人大批准调整后的各项经济社会发展指标任务。南昌县在第二十届县域经济百强县市排名中，再次前移4位，跃居第21位，实现“十二连升”。</w:t>
      </w:r>
    </w:p>
    <w:p w14:paraId="4584AFAF">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2020年，南昌县深入开展“巩文巩卫”工作，顺利通过全国文明县城复查“三年大考”，取得全国县市排名第十的好成绩，成为全省唯一获中央文明办通报表扬的县市。南昌南站开工建设，地铁3号线开通运营，城市发展迈入高铁、地铁“双铁时代”。桃新大道等主干路网加快建设，迎宾大道、莲西大道等提升改造工程有序推进，幸福家苑等30个安置小区建设稳步推进。聚焦项目推进和形象改善抓征收，全年房屋征收面积159.8万平方米。澄湖东路等18条主干道路“暗改亮”、富坊路等5条道路“白改黑”、莲垦二期老旧小区“旧改新”、金沙大道 等12条道路“绿增彩”、东莲路等6个邮票绿地全面完工。</w:t>
      </w:r>
    </w:p>
    <w:p w14:paraId="7078362B">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南昌县（小蓝经开区）国民经济和社会发展第十四个五年规划和二〇三五年远景目标纲要》，南昌县将打造“四城一区、三轴四带”交通便捷、生活便利、环境优美、产城融合的新型城镇化布局，银三角是其中三大主轴的重要节点，定位为集商务会所、休闲娱乐、体育运动、观光度假为一体的都市休闲服务片区。</w:t>
      </w:r>
    </w:p>
    <w:p w14:paraId="35451B42">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银三角先后建成了横岗村幸福雅苑一期、万湖村阳光家园一期与二期、良种场良苑小区一期工程。根据2021年南昌县人民政府工作报告，幸福家苑等安置房工程均为南昌县重点民生保障工程。</w:t>
      </w:r>
    </w:p>
    <w:p w14:paraId="6FB407E1">
      <w:pPr>
        <w:widowControl/>
        <w:spacing w:line="560" w:lineRule="exact"/>
        <w:ind w:firstLine="560" w:firstLineChars="200"/>
        <w:jc w:val="left"/>
        <w:outlineLvl w:val="1"/>
        <w:rPr>
          <w:rFonts w:ascii="楷体" w:hAnsi="楷体" w:eastAsia="楷体" w:cs="楷体"/>
          <w:b/>
          <w:bCs/>
          <w:sz w:val="28"/>
          <w:szCs w:val="28"/>
        </w:rPr>
      </w:pPr>
      <w:bookmarkStart w:id="41" w:name="_Toc3118"/>
      <w:r>
        <w:rPr>
          <w:rFonts w:hint="eastAsia" w:ascii="楷体" w:hAnsi="楷体" w:eastAsia="楷体" w:cs="楷体"/>
          <w:b/>
          <w:bCs/>
          <w:sz w:val="28"/>
          <w:szCs w:val="28"/>
        </w:rPr>
        <w:t>（三）项目基本情况</w:t>
      </w:r>
      <w:bookmarkEnd w:id="40"/>
      <w:bookmarkEnd w:id="41"/>
    </w:p>
    <w:p w14:paraId="5D567D68">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项目名称：南昌县银三角良苑小区二期安置房项目</w:t>
      </w:r>
    </w:p>
    <w:p w14:paraId="62DD7643">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建设单位：南昌县城市建设投资发展有限公司</w:t>
      </w:r>
    </w:p>
    <w:p w14:paraId="15618428">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建设内容：本工程建设内容主要包括：住宅、养老用房、物业用房、社区用房、门卫，及配套建设变配电系统、采暖通风系统、给排水系统、消防系统、安防系统、道路、停车场、广场、绿化、围墙等辅助设施。</w:t>
      </w:r>
    </w:p>
    <w:p w14:paraId="76F40C85">
      <w:pPr>
        <w:ind w:left="-140" w:leftChars="-67" w:right="-98" w:rightChars="-47" w:firstLine="439" w:firstLineChars="157"/>
        <w:rPr>
          <w:rFonts w:ascii="楷体" w:hAnsi="楷体" w:eastAsia="楷体" w:cs="楷体"/>
          <w:bCs/>
          <w:sz w:val="28"/>
          <w:szCs w:val="28"/>
        </w:rPr>
      </w:pPr>
      <w:r>
        <w:rPr>
          <w:rFonts w:hint="eastAsia" w:asciiTheme="minorEastAsia" w:hAnsiTheme="minorEastAsia" w:eastAsiaTheme="minorEastAsia" w:cstheme="minorEastAsia"/>
          <w:bCs/>
          <w:sz w:val="28"/>
          <w:szCs w:val="28"/>
        </w:rPr>
        <w:t>本项目规划</w:t>
      </w:r>
      <w:bookmarkStart w:id="42" w:name="_Hlk25867534"/>
      <w:r>
        <w:rPr>
          <w:rFonts w:hint="eastAsia" w:asciiTheme="minorEastAsia" w:hAnsiTheme="minorEastAsia" w:eastAsiaTheme="minorEastAsia" w:cstheme="minorEastAsia"/>
          <w:bCs/>
          <w:sz w:val="28"/>
          <w:szCs w:val="28"/>
        </w:rPr>
        <w:t>总用地面积20556.03m2（约30.83亩），总建筑面积53099.52m2</w:t>
      </w:r>
      <w:bookmarkEnd w:id="42"/>
      <w:r>
        <w:rPr>
          <w:rFonts w:hint="eastAsia" w:asciiTheme="minorEastAsia" w:hAnsiTheme="minorEastAsia" w:eastAsiaTheme="minorEastAsia" w:cstheme="minorEastAsia"/>
          <w:bCs/>
          <w:sz w:val="28"/>
          <w:szCs w:val="28"/>
        </w:rPr>
        <w:t>，包括1栋18层、1栋15层及5栋11层建筑，其中：计容建筑面积43509.66 m2（其中住宅40810.09 m2，养老用房526.76 m2，社区服务用房1145.48m2，物业管理用房175.57 m2，消防控制室与门卫30.83 m2）；不计容建筑面积9589.86 m2（其中架空层112.78 m2，地下室9477.08 m2），机动车停车位385个（地上121个，地下26</w:t>
      </w:r>
      <w:r>
        <w:rPr>
          <w:rFonts w:hint="eastAsia" w:ascii="楷体" w:hAnsi="楷体" w:eastAsia="楷体" w:cs="楷体"/>
          <w:bCs/>
          <w:sz w:val="28"/>
          <w:szCs w:val="28"/>
        </w:rPr>
        <w:t>4个）。</w:t>
      </w:r>
    </w:p>
    <w:p w14:paraId="664C7E2E">
      <w:pPr>
        <w:widowControl/>
        <w:spacing w:line="560" w:lineRule="exact"/>
        <w:ind w:firstLine="560" w:firstLineChars="200"/>
        <w:jc w:val="left"/>
        <w:outlineLvl w:val="1"/>
        <w:rPr>
          <w:rFonts w:ascii="楷体" w:hAnsi="楷体" w:eastAsia="楷体" w:cs="楷体"/>
          <w:b/>
          <w:bCs/>
          <w:sz w:val="28"/>
          <w:szCs w:val="28"/>
        </w:rPr>
      </w:pPr>
      <w:bookmarkStart w:id="43" w:name="_Toc509"/>
      <w:r>
        <w:rPr>
          <w:rFonts w:hint="eastAsia" w:ascii="楷体" w:hAnsi="楷体" w:eastAsia="楷体" w:cs="楷体"/>
          <w:b/>
          <w:bCs/>
          <w:sz w:val="28"/>
          <w:szCs w:val="28"/>
        </w:rPr>
        <w:t>（四）项目总投资额</w:t>
      </w:r>
      <w:bookmarkEnd w:id="43"/>
    </w:p>
    <w:p w14:paraId="1FC88E9D">
      <w:pPr>
        <w:ind w:left="-140" w:leftChars="-67" w:right="-98" w:rightChars="-47" w:firstLine="439" w:firstLineChars="157"/>
        <w:rPr>
          <w:rFonts w:hint="eastAsia" w:asciiTheme="minorEastAsia" w:hAnsiTheme="minorEastAsia" w:eastAsiaTheme="minorEastAsia" w:cstheme="minorEastAsia"/>
          <w:bCs/>
          <w:sz w:val="28"/>
          <w:szCs w:val="28"/>
        </w:rPr>
      </w:pPr>
      <w:bookmarkStart w:id="44" w:name="_Toc36580094"/>
      <w:r>
        <w:rPr>
          <w:rFonts w:hint="eastAsia" w:asciiTheme="minorEastAsia" w:hAnsiTheme="minorEastAsia" w:eastAsiaTheme="minorEastAsia" w:cstheme="minorEastAsia"/>
          <w:bCs/>
          <w:sz w:val="28"/>
          <w:szCs w:val="28"/>
        </w:rPr>
        <w:t>2023年江西省南昌县银三角良苑小区二期安置房项目，根据《关于对南昌县银三角良苑小区二期安置房项目可行性研究报告的批复》（南行审投资投字【2021】380号）批复，该项目总投资21,130.71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674D038C">
      <w:pPr>
        <w:pStyle w:val="20"/>
        <w:keepNext/>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980"/>
        <w:gridCol w:w="1638"/>
        <w:gridCol w:w="1336"/>
        <w:gridCol w:w="1521"/>
        <w:gridCol w:w="1336"/>
        <w:gridCol w:w="1149"/>
      </w:tblGrid>
      <w:tr w14:paraId="4FBA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436" w:type="pct"/>
            <w:shd w:val="clear" w:color="auto" w:fill="auto"/>
            <w:noWrap/>
            <w:vAlign w:val="center"/>
          </w:tcPr>
          <w:p w14:paraId="0FA68EC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562" w:type="pct"/>
            <w:shd w:val="clear" w:color="auto" w:fill="auto"/>
            <w:noWrap/>
            <w:vAlign w:val="center"/>
          </w:tcPr>
          <w:p w14:paraId="1578D75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939" w:type="pct"/>
            <w:shd w:val="clear" w:color="auto" w:fill="auto"/>
            <w:noWrap/>
            <w:vAlign w:val="center"/>
          </w:tcPr>
          <w:p w14:paraId="0803CF6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66" w:type="pct"/>
            <w:shd w:val="clear" w:color="auto" w:fill="auto"/>
            <w:noWrap/>
            <w:vAlign w:val="center"/>
          </w:tcPr>
          <w:p w14:paraId="0F0F356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872" w:type="pct"/>
            <w:shd w:val="clear" w:color="auto" w:fill="auto"/>
            <w:noWrap/>
            <w:vAlign w:val="center"/>
          </w:tcPr>
          <w:p w14:paraId="57B2D72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766" w:type="pct"/>
            <w:shd w:val="clear" w:color="auto" w:fill="auto"/>
            <w:noWrap/>
            <w:vAlign w:val="center"/>
          </w:tcPr>
          <w:p w14:paraId="6381394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659" w:type="pct"/>
            <w:shd w:val="clear" w:color="auto" w:fill="auto"/>
            <w:noWrap/>
            <w:vAlign w:val="center"/>
          </w:tcPr>
          <w:p w14:paraId="2B420FC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5CF9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436" w:type="pct"/>
            <w:shd w:val="clear" w:color="auto" w:fill="auto"/>
            <w:noWrap/>
            <w:vAlign w:val="center"/>
          </w:tcPr>
          <w:p w14:paraId="58CBFAC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62" w:type="pct"/>
            <w:shd w:val="clear" w:color="auto" w:fill="auto"/>
            <w:vAlign w:val="center"/>
          </w:tcPr>
          <w:p w14:paraId="1C9C28F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南昌县城市建设投资发展有限公司</w:t>
            </w:r>
          </w:p>
        </w:tc>
        <w:tc>
          <w:tcPr>
            <w:tcW w:w="939" w:type="pct"/>
            <w:shd w:val="clear" w:color="auto" w:fill="auto"/>
            <w:vAlign w:val="center"/>
          </w:tcPr>
          <w:p w14:paraId="23D1A35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南昌县银三角良苑小区二期安置房项目</w:t>
            </w:r>
          </w:p>
        </w:tc>
        <w:tc>
          <w:tcPr>
            <w:tcW w:w="1336" w:type="dxa"/>
            <w:shd w:val="clear" w:color="auto" w:fill="auto"/>
            <w:noWrap/>
            <w:vAlign w:val="center"/>
          </w:tcPr>
          <w:p w14:paraId="6C9F5364">
            <w:pPr>
              <w:widowControl/>
              <w:spacing w:after="0" w:line="240" w:lineRule="auto"/>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21,130.71</w:t>
            </w:r>
          </w:p>
        </w:tc>
        <w:tc>
          <w:tcPr>
            <w:tcW w:w="1481" w:type="dxa"/>
            <w:shd w:val="clear" w:color="auto" w:fill="auto"/>
            <w:vAlign w:val="center"/>
          </w:tcPr>
          <w:p w14:paraId="06E6FC80">
            <w:pPr>
              <w:widowControl/>
              <w:spacing w:after="0" w:line="240" w:lineRule="auto"/>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1,242.83</w:t>
            </w:r>
          </w:p>
        </w:tc>
        <w:tc>
          <w:tcPr>
            <w:tcW w:w="1301" w:type="dxa"/>
            <w:shd w:val="clear" w:color="auto" w:fill="auto"/>
            <w:noWrap/>
            <w:vAlign w:val="center"/>
          </w:tcPr>
          <w:p w14:paraId="2D2B9C83">
            <w:pPr>
              <w:widowControl/>
              <w:spacing w:after="0" w:line="240" w:lineRule="auto"/>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10.74</w:t>
            </w:r>
          </w:p>
        </w:tc>
        <w:tc>
          <w:tcPr>
            <w:tcW w:w="1120" w:type="dxa"/>
            <w:shd w:val="clear" w:color="auto" w:fill="auto"/>
            <w:noWrap/>
            <w:vAlign w:val="center"/>
          </w:tcPr>
          <w:p w14:paraId="25D303B7">
            <w:pPr>
              <w:widowControl/>
              <w:spacing w:after="0" w:line="240" w:lineRule="auto"/>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22,384.28</w:t>
            </w:r>
          </w:p>
        </w:tc>
      </w:tr>
    </w:tbl>
    <w:p w14:paraId="0DA4C733">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color w:val="000000"/>
          <w:sz w:val="21"/>
          <w:szCs w:val="21"/>
        </w:rPr>
      </w:pPr>
      <w:r>
        <w:rPr>
          <w:rFonts w:hint="eastAsia" w:asciiTheme="minorEastAsia" w:hAnsiTheme="minorEastAsia" w:eastAsiaTheme="minorEastAsia" w:cstheme="minorEastAsia"/>
          <w:bCs/>
          <w:kern w:val="2"/>
          <w:sz w:val="28"/>
          <w:szCs w:val="28"/>
          <w:lang w:val="en-US" w:eastAsia="zh-CN" w:bidi="ar-SA"/>
        </w:rPr>
        <w:t>为了保障以上建设项目合理的融资需求，更好地发挥专项债券对本项目的支持作用，本次项目计划通过自筹资金及发行项目收益与融资自求平衡专项债券的方式完成项目建设。申请地方政府专项债券的明细情况见下表：</w:t>
      </w:r>
    </w:p>
    <w:p w14:paraId="26F50AA4">
      <w:pPr>
        <w:pStyle w:val="20"/>
        <w:spacing w:before="0" w:beforeAutospacing="0" w:after="156" w:afterLines="50" w:afterAutospacing="0" w:line="360" w:lineRule="exact"/>
        <w:ind w:firstLine="360" w:firstLineChars="200"/>
        <w:jc w:val="right"/>
        <w:rPr>
          <w:color w:val="000000"/>
          <w:sz w:val="21"/>
          <w:szCs w:val="21"/>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105"/>
        <w:gridCol w:w="1012"/>
        <w:gridCol w:w="860"/>
        <w:gridCol w:w="860"/>
        <w:gridCol w:w="860"/>
        <w:gridCol w:w="860"/>
        <w:gridCol w:w="860"/>
        <w:gridCol w:w="860"/>
        <w:gridCol w:w="872"/>
      </w:tblGrid>
      <w:tr w14:paraId="499C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27" w:type="pct"/>
            <w:vMerge w:val="restart"/>
            <w:shd w:val="clear" w:color="auto" w:fill="auto"/>
            <w:noWrap/>
            <w:vAlign w:val="center"/>
          </w:tcPr>
          <w:p w14:paraId="52F83FD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3" w:type="pct"/>
            <w:vMerge w:val="restart"/>
            <w:shd w:val="clear" w:color="auto" w:fill="auto"/>
            <w:noWrap/>
            <w:vAlign w:val="center"/>
          </w:tcPr>
          <w:p w14:paraId="05E9D0A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580" w:type="pct"/>
            <w:vMerge w:val="restart"/>
            <w:shd w:val="clear" w:color="auto" w:fill="auto"/>
            <w:vAlign w:val="center"/>
          </w:tcPr>
          <w:p w14:paraId="6137152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457" w:type="pct"/>
            <w:gridSpan w:val="7"/>
            <w:vAlign w:val="center"/>
          </w:tcPr>
          <w:p w14:paraId="5FB48957">
            <w:pPr>
              <w:widowControl/>
              <w:spacing w:after="0" w:line="240" w:lineRule="auto"/>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67CB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327" w:type="pct"/>
            <w:vMerge w:val="continue"/>
            <w:vAlign w:val="center"/>
          </w:tcPr>
          <w:p w14:paraId="3A6C3DE7">
            <w:pPr>
              <w:widowControl/>
              <w:spacing w:after="0" w:line="240" w:lineRule="auto"/>
              <w:jc w:val="center"/>
              <w:rPr>
                <w:rFonts w:ascii="宋体" w:hAnsi="宋体" w:cs="宋体"/>
                <w:b/>
                <w:bCs/>
                <w:color w:val="000000"/>
                <w:kern w:val="0"/>
                <w:sz w:val="18"/>
                <w:szCs w:val="18"/>
              </w:rPr>
            </w:pPr>
          </w:p>
        </w:tc>
        <w:tc>
          <w:tcPr>
            <w:tcW w:w="633" w:type="pct"/>
            <w:vMerge w:val="continue"/>
            <w:vAlign w:val="center"/>
          </w:tcPr>
          <w:p w14:paraId="612D328C">
            <w:pPr>
              <w:widowControl/>
              <w:spacing w:after="0" w:line="240" w:lineRule="auto"/>
              <w:jc w:val="center"/>
              <w:rPr>
                <w:rFonts w:ascii="宋体" w:hAnsi="宋体" w:cs="宋体"/>
                <w:b/>
                <w:bCs/>
                <w:color w:val="000000"/>
                <w:kern w:val="0"/>
                <w:sz w:val="18"/>
                <w:szCs w:val="18"/>
              </w:rPr>
            </w:pPr>
          </w:p>
        </w:tc>
        <w:tc>
          <w:tcPr>
            <w:tcW w:w="580" w:type="pct"/>
            <w:vMerge w:val="continue"/>
            <w:vAlign w:val="center"/>
          </w:tcPr>
          <w:p w14:paraId="317BE61E">
            <w:pPr>
              <w:widowControl/>
              <w:spacing w:after="0" w:line="240" w:lineRule="auto"/>
              <w:jc w:val="center"/>
              <w:rPr>
                <w:rFonts w:ascii="宋体" w:hAnsi="宋体" w:cs="宋体"/>
                <w:b/>
                <w:bCs/>
                <w:color w:val="000000"/>
                <w:kern w:val="0"/>
                <w:sz w:val="18"/>
                <w:szCs w:val="18"/>
              </w:rPr>
            </w:pPr>
          </w:p>
        </w:tc>
        <w:tc>
          <w:tcPr>
            <w:tcW w:w="493" w:type="pct"/>
            <w:shd w:val="clear" w:color="auto" w:fill="auto"/>
            <w:vAlign w:val="center"/>
          </w:tcPr>
          <w:p w14:paraId="0B677CE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493" w:type="pct"/>
            <w:shd w:val="clear" w:color="auto" w:fill="auto"/>
            <w:vAlign w:val="center"/>
          </w:tcPr>
          <w:p w14:paraId="7987642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2023年已发行</w:t>
            </w:r>
          </w:p>
        </w:tc>
        <w:tc>
          <w:tcPr>
            <w:tcW w:w="493" w:type="pct"/>
            <w:vAlign w:val="center"/>
          </w:tcPr>
          <w:p w14:paraId="64EEEE4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年调整发行</w:t>
            </w:r>
          </w:p>
        </w:tc>
        <w:tc>
          <w:tcPr>
            <w:tcW w:w="493" w:type="pct"/>
            <w:vAlign w:val="center"/>
          </w:tcPr>
          <w:p w14:paraId="3F3C0031">
            <w:pPr>
              <w:widowControl/>
              <w:spacing w:after="0" w:line="240" w:lineRule="auto"/>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2024年本期发行</w:t>
            </w:r>
          </w:p>
        </w:tc>
        <w:tc>
          <w:tcPr>
            <w:tcW w:w="493" w:type="pct"/>
            <w:vAlign w:val="center"/>
          </w:tcPr>
          <w:p w14:paraId="118309C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2025年发行</w:t>
            </w:r>
          </w:p>
        </w:tc>
        <w:tc>
          <w:tcPr>
            <w:tcW w:w="493" w:type="pct"/>
            <w:shd w:val="clear" w:color="auto" w:fill="auto"/>
            <w:vAlign w:val="center"/>
          </w:tcPr>
          <w:p w14:paraId="285536F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2026年发行</w:t>
            </w:r>
          </w:p>
        </w:tc>
        <w:tc>
          <w:tcPr>
            <w:tcW w:w="495" w:type="pct"/>
            <w:vAlign w:val="center"/>
          </w:tcPr>
          <w:p w14:paraId="3905F77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2027年发行</w:t>
            </w:r>
          </w:p>
        </w:tc>
      </w:tr>
      <w:tr w14:paraId="5F06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327" w:type="pct"/>
            <w:shd w:val="clear" w:color="auto" w:fill="auto"/>
            <w:noWrap/>
            <w:vAlign w:val="center"/>
          </w:tcPr>
          <w:p w14:paraId="5A2AE74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105" w:type="dxa"/>
            <w:shd w:val="clear" w:color="auto" w:fill="auto"/>
            <w:noWrap/>
            <w:vAlign w:val="center"/>
          </w:tcPr>
          <w:p w14:paraId="4170E631">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22,384.28</w:t>
            </w:r>
          </w:p>
        </w:tc>
        <w:tc>
          <w:tcPr>
            <w:tcW w:w="1012" w:type="dxa"/>
            <w:shd w:val="clear" w:color="auto" w:fill="auto"/>
            <w:noWrap/>
            <w:vAlign w:val="center"/>
          </w:tcPr>
          <w:p w14:paraId="374F9D47">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8,649.28</w:t>
            </w:r>
          </w:p>
        </w:tc>
        <w:tc>
          <w:tcPr>
            <w:tcW w:w="860" w:type="dxa"/>
            <w:shd w:val="clear" w:color="auto" w:fill="auto"/>
            <w:vAlign w:val="center"/>
          </w:tcPr>
          <w:p w14:paraId="6CAFD1EE">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13,735.00</w:t>
            </w:r>
          </w:p>
        </w:tc>
        <w:tc>
          <w:tcPr>
            <w:tcW w:w="860" w:type="dxa"/>
            <w:shd w:val="clear" w:color="auto" w:fill="auto"/>
            <w:noWrap/>
            <w:vAlign w:val="center"/>
          </w:tcPr>
          <w:p w14:paraId="6CCF0968">
            <w:pPr>
              <w:widowControl/>
              <w:spacing w:after="0" w:line="240" w:lineRule="auto"/>
              <w:jc w:val="both"/>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2,500.00</w:t>
            </w:r>
          </w:p>
        </w:tc>
        <w:tc>
          <w:tcPr>
            <w:tcW w:w="860" w:type="dxa"/>
            <w:vAlign w:val="center"/>
          </w:tcPr>
          <w:p w14:paraId="586CC2ED">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r>
              <w:rPr>
                <w:rFonts w:hint="default" w:ascii="宋体" w:hAnsi="宋体" w:cs="宋体"/>
                <w:color w:val="000000"/>
                <w:kern w:val="0"/>
                <w:sz w:val="18"/>
                <w:szCs w:val="18"/>
                <w:lang w:val="en-US" w:eastAsia="zh-CN"/>
              </w:rPr>
              <w:t>,</w:t>
            </w:r>
            <w:r>
              <w:rPr>
                <w:rFonts w:hint="eastAsia" w:ascii="宋体" w:hAnsi="宋体" w:cs="宋体"/>
                <w:color w:val="000000"/>
                <w:kern w:val="0"/>
                <w:sz w:val="18"/>
                <w:szCs w:val="18"/>
                <w:lang w:val="en-US" w:eastAsia="zh-CN"/>
              </w:rPr>
              <w:t>0</w:t>
            </w:r>
            <w:r>
              <w:rPr>
                <w:rFonts w:hint="default" w:ascii="宋体" w:hAnsi="宋体" w:cs="宋体"/>
                <w:color w:val="000000"/>
                <w:kern w:val="0"/>
                <w:sz w:val="18"/>
                <w:szCs w:val="18"/>
                <w:lang w:val="en-US" w:eastAsia="zh-CN"/>
              </w:rPr>
              <w:t>00.00</w:t>
            </w:r>
          </w:p>
        </w:tc>
        <w:tc>
          <w:tcPr>
            <w:tcW w:w="860" w:type="dxa"/>
            <w:vAlign w:val="center"/>
          </w:tcPr>
          <w:p w14:paraId="2CC4512E">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r>
              <w:rPr>
                <w:rFonts w:hint="default" w:ascii="宋体" w:hAnsi="宋体" w:cs="宋体"/>
                <w:color w:val="000000"/>
                <w:kern w:val="0"/>
                <w:sz w:val="18"/>
                <w:szCs w:val="18"/>
                <w:lang w:val="en-US" w:eastAsia="zh-CN"/>
              </w:rPr>
              <w:t>,</w:t>
            </w:r>
            <w:r>
              <w:rPr>
                <w:rFonts w:hint="eastAsia" w:ascii="宋体" w:hAnsi="宋体" w:cs="宋体"/>
                <w:color w:val="000000"/>
                <w:kern w:val="0"/>
                <w:sz w:val="18"/>
                <w:szCs w:val="18"/>
                <w:lang w:val="en-US" w:eastAsia="zh-CN"/>
              </w:rPr>
              <w:t>4</w:t>
            </w:r>
            <w:r>
              <w:rPr>
                <w:rFonts w:hint="default" w:ascii="宋体" w:hAnsi="宋体" w:cs="宋体"/>
                <w:color w:val="000000"/>
                <w:kern w:val="0"/>
                <w:sz w:val="18"/>
                <w:szCs w:val="18"/>
                <w:lang w:val="en-US" w:eastAsia="zh-CN"/>
              </w:rPr>
              <w:t>00.00</w:t>
            </w:r>
          </w:p>
        </w:tc>
        <w:tc>
          <w:tcPr>
            <w:tcW w:w="860" w:type="dxa"/>
            <w:vAlign w:val="center"/>
          </w:tcPr>
          <w:p w14:paraId="78EA7B18">
            <w:pPr>
              <w:widowControl/>
              <w:spacing w:after="0" w:line="240" w:lineRule="auto"/>
              <w:jc w:val="center"/>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3,500.00</w:t>
            </w:r>
          </w:p>
        </w:tc>
        <w:tc>
          <w:tcPr>
            <w:tcW w:w="860" w:type="dxa"/>
            <w:shd w:val="clear" w:color="auto" w:fill="auto"/>
            <w:noWrap/>
            <w:vAlign w:val="center"/>
          </w:tcPr>
          <w:p w14:paraId="427C9D92">
            <w:pPr>
              <w:widowControl/>
              <w:spacing w:after="0" w:line="240" w:lineRule="auto"/>
              <w:jc w:val="center"/>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2,500.00</w:t>
            </w:r>
          </w:p>
        </w:tc>
        <w:tc>
          <w:tcPr>
            <w:tcW w:w="872" w:type="dxa"/>
            <w:vAlign w:val="bottom"/>
          </w:tcPr>
          <w:p w14:paraId="0EE76460">
            <w:pPr>
              <w:widowControl/>
              <w:spacing w:after="0" w:line="240" w:lineRule="auto"/>
              <w:ind w:firstLine="180" w:firstLineChars="100"/>
              <w:jc w:val="both"/>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835.00</w:t>
            </w:r>
          </w:p>
        </w:tc>
      </w:tr>
    </w:tbl>
    <w:p w14:paraId="524FE81D">
      <w:pPr>
        <w:pStyle w:val="20"/>
        <w:spacing w:before="0" w:beforeAutospacing="0" w:after="156" w:afterLines="50" w:afterAutospacing="0" w:line="360" w:lineRule="exact"/>
        <w:ind w:firstLine="420" w:firstLineChars="200"/>
        <w:jc w:val="both"/>
        <w:rPr>
          <w:color w:val="000000" w:themeColor="text1"/>
          <w:sz w:val="21"/>
          <w:szCs w:val="21"/>
          <w14:textFill>
            <w14:solidFill>
              <w14:schemeClr w14:val="tx1"/>
            </w14:solidFill>
          </w14:textFill>
        </w:rPr>
      </w:pPr>
    </w:p>
    <w:p w14:paraId="2B9457D1">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按照发行方案及筹资计划，本次拟发行项目的总投资为22,384.28万元，通过自筹资金、申请专项债券、其他融资途径解决，其一，自筹资金8,649.28万元；其二，拟发行专项债券13,735.00万元。其中2023年已发行2,500.00万，发行期限7年；2024年506.00万元由2022年江西省高质量发展补短板专项债券（十二期）——2022年江西省政府专项债券（二十期）调整至本项目，发行期限30年，2,494.00万元由2022年江西省政府棚户区改造专项债券（七期）——2022年江西省政府专项债券（二十八期）调整至本项目，发行期限7年；2024年本期计划发行1,400.00万元，发行期限7年；2025年计划发行3,500.00万元，发行年限7年；2026年计划发行2,500.00万元，发行年限7年；2027年计划发行835.00万元，发行年限7年。</w:t>
      </w:r>
    </w:p>
    <w:p w14:paraId="1F64AA2E">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根据《南昌县银三角良苑小区二期安置房项目可行性研究报告》（以下简称“可研报告”），南昌县银三角良苑小区二期安置房项目建设内容为：</w:t>
      </w:r>
    </w:p>
    <w:p w14:paraId="06A44A64">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本工程建设内容主要包括：住宅、养老用房、物业用房、社区用房、门卫，及配套建设变配电系统、采暖通风系统、给排水系统、消防系统、安防系统、道路、停车场、广场、绿化、围墙等辅助设施。</w:t>
      </w:r>
    </w:p>
    <w:p w14:paraId="5687BCDD">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根据可研报告及其批复，本项目投资估算详见表1-1；项目建设期内的年度资金计划表详见表1-2。</w:t>
      </w:r>
    </w:p>
    <w:p w14:paraId="3C5A5B16">
      <w:pPr>
        <w:pStyle w:val="20"/>
        <w:spacing w:after="156" w:afterLines="50" w:line="360" w:lineRule="exact"/>
        <w:ind w:firstLine="420" w:firstLineChars="200"/>
        <w:jc w:val="center"/>
        <w:rPr>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表1-</w:t>
      </w:r>
      <w:r>
        <w:rPr>
          <w:b/>
          <w:color w:val="000000" w:themeColor="text1"/>
          <w:sz w:val="21"/>
          <w:szCs w:val="21"/>
          <w14:textFill>
            <w14:solidFill>
              <w14:schemeClr w14:val="tx1"/>
            </w14:solidFill>
          </w14:textFill>
        </w:rPr>
        <w:t>1</w:t>
      </w:r>
      <w:r>
        <w:rPr>
          <w:rFonts w:hint="eastAsia"/>
          <w:b/>
          <w:color w:val="000000" w:themeColor="text1"/>
          <w:sz w:val="21"/>
          <w:szCs w:val="21"/>
          <w14:textFill>
            <w14:solidFill>
              <w14:schemeClr w14:val="tx1"/>
            </w14:solidFill>
          </w14:textFill>
        </w:rPr>
        <w:t>项目静态总投资估算表</w:t>
      </w:r>
    </w:p>
    <w:p w14:paraId="548D4C34">
      <w:pPr>
        <w:pStyle w:val="20"/>
        <w:spacing w:after="156" w:afterLines="50" w:line="360" w:lineRule="exact"/>
        <w:ind w:firstLine="360" w:firstLineChars="200"/>
        <w:jc w:val="right"/>
        <w:rPr>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8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3591"/>
        <w:gridCol w:w="2803"/>
      </w:tblGrid>
      <w:tr w14:paraId="6955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2015" w:type="dxa"/>
            <w:shd w:val="clear" w:color="auto" w:fill="auto"/>
            <w:noWrap/>
            <w:vAlign w:val="bottom"/>
          </w:tcPr>
          <w:p w14:paraId="3698A01E">
            <w:pPr>
              <w:widowControl/>
              <w:spacing w:after="0" w:line="240" w:lineRule="auto"/>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rPr>
              <w:t>序号</w:t>
            </w:r>
          </w:p>
        </w:tc>
        <w:tc>
          <w:tcPr>
            <w:tcW w:w="3591" w:type="dxa"/>
            <w:shd w:val="clear" w:color="auto" w:fill="auto"/>
            <w:noWrap/>
            <w:vAlign w:val="bottom"/>
          </w:tcPr>
          <w:p w14:paraId="20AD84EE">
            <w:pPr>
              <w:widowControl/>
              <w:spacing w:after="0" w:line="240" w:lineRule="auto"/>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rPr>
              <w:t>项目名称</w:t>
            </w:r>
          </w:p>
        </w:tc>
        <w:tc>
          <w:tcPr>
            <w:tcW w:w="2803" w:type="dxa"/>
            <w:shd w:val="clear" w:color="auto" w:fill="auto"/>
            <w:noWrap/>
            <w:vAlign w:val="bottom"/>
          </w:tcPr>
          <w:p w14:paraId="71526702">
            <w:pPr>
              <w:widowControl/>
              <w:spacing w:after="0" w:line="240" w:lineRule="auto"/>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rPr>
              <w:t>合计</w:t>
            </w:r>
          </w:p>
        </w:tc>
      </w:tr>
      <w:tr w14:paraId="52F6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 w:hRule="atLeast"/>
        </w:trPr>
        <w:tc>
          <w:tcPr>
            <w:tcW w:w="2015" w:type="dxa"/>
            <w:shd w:val="clear" w:color="auto" w:fill="auto"/>
            <w:noWrap/>
            <w:vAlign w:val="bottom"/>
          </w:tcPr>
          <w:p w14:paraId="284C96A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591" w:type="dxa"/>
            <w:shd w:val="clear" w:color="auto" w:fill="auto"/>
            <w:vAlign w:val="center"/>
          </w:tcPr>
          <w:p w14:paraId="75A466C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2803" w:type="dxa"/>
            <w:shd w:val="clear" w:color="auto" w:fill="auto"/>
          </w:tcPr>
          <w:p w14:paraId="51943804">
            <w:pPr>
              <w:widowControl/>
              <w:spacing w:after="0" w:line="240" w:lineRule="auto"/>
              <w:jc w:val="center"/>
              <w:rPr>
                <w:rFonts w:hint="eastAsia" w:ascii="宋体" w:hAnsi="宋体" w:eastAsia="宋体" w:cs="宋体"/>
                <w:color w:val="000000"/>
                <w:kern w:val="0"/>
                <w:sz w:val="18"/>
                <w:szCs w:val="18"/>
                <w:lang w:eastAsia="zh-CN"/>
              </w:rPr>
            </w:pPr>
            <w:r>
              <w:rPr>
                <w:rFonts w:ascii="宋体" w:hAnsi="宋体" w:cs="宋体"/>
                <w:color w:val="000000"/>
                <w:kern w:val="0"/>
                <w:sz w:val="18"/>
                <w:szCs w:val="18"/>
              </w:rPr>
              <w:t>17,301.62</w:t>
            </w:r>
          </w:p>
        </w:tc>
      </w:tr>
      <w:tr w14:paraId="436D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2015" w:type="dxa"/>
            <w:shd w:val="clear" w:color="auto" w:fill="auto"/>
            <w:noWrap/>
            <w:vAlign w:val="bottom"/>
          </w:tcPr>
          <w:p w14:paraId="7A205C7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591" w:type="dxa"/>
            <w:shd w:val="clear" w:color="auto" w:fill="auto"/>
            <w:vAlign w:val="center"/>
          </w:tcPr>
          <w:p w14:paraId="73D9EE2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 工程建设其他费用</w:t>
            </w:r>
          </w:p>
        </w:tc>
        <w:tc>
          <w:tcPr>
            <w:tcW w:w="2803" w:type="dxa"/>
            <w:shd w:val="clear" w:color="auto" w:fill="auto"/>
          </w:tcPr>
          <w:p w14:paraId="788ED2BC">
            <w:pPr>
              <w:widowControl/>
              <w:spacing w:after="0" w:line="240" w:lineRule="auto"/>
              <w:jc w:val="center"/>
              <w:rPr>
                <w:rFonts w:hint="eastAsia" w:ascii="宋体" w:hAnsi="宋体" w:eastAsia="宋体" w:cs="宋体"/>
                <w:color w:val="000000"/>
                <w:kern w:val="0"/>
                <w:sz w:val="18"/>
                <w:szCs w:val="18"/>
                <w:lang w:eastAsia="zh-CN"/>
              </w:rPr>
            </w:pPr>
            <w:r>
              <w:rPr>
                <w:rFonts w:ascii="宋体" w:hAnsi="宋体" w:cs="宋体"/>
                <w:color w:val="000000"/>
                <w:kern w:val="0"/>
                <w:sz w:val="18"/>
                <w:szCs w:val="18"/>
              </w:rPr>
              <w:t>1,107.91</w:t>
            </w:r>
          </w:p>
        </w:tc>
      </w:tr>
      <w:tr w14:paraId="10B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2015" w:type="dxa"/>
            <w:shd w:val="clear" w:color="auto" w:fill="auto"/>
            <w:noWrap/>
            <w:vAlign w:val="bottom"/>
          </w:tcPr>
          <w:p w14:paraId="06B0E04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591" w:type="dxa"/>
            <w:shd w:val="clear" w:color="auto" w:fill="auto"/>
            <w:vAlign w:val="center"/>
          </w:tcPr>
          <w:p w14:paraId="392D420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2803" w:type="dxa"/>
            <w:shd w:val="clear" w:color="auto" w:fill="auto"/>
          </w:tcPr>
          <w:p w14:paraId="0798AE23">
            <w:pPr>
              <w:widowControl/>
              <w:spacing w:after="0" w:line="240" w:lineRule="auto"/>
              <w:jc w:val="center"/>
              <w:rPr>
                <w:rFonts w:hint="eastAsia" w:ascii="宋体" w:hAnsi="宋体" w:eastAsia="宋体" w:cs="宋体"/>
                <w:color w:val="000000"/>
                <w:kern w:val="0"/>
                <w:sz w:val="18"/>
                <w:szCs w:val="18"/>
                <w:lang w:eastAsia="zh-CN"/>
              </w:rPr>
            </w:pPr>
            <w:r>
              <w:rPr>
                <w:rFonts w:ascii="宋体" w:hAnsi="宋体" w:cs="宋体"/>
                <w:color w:val="000000"/>
                <w:kern w:val="0"/>
                <w:sz w:val="18"/>
                <w:szCs w:val="18"/>
              </w:rPr>
              <w:t>865.08</w:t>
            </w:r>
          </w:p>
        </w:tc>
      </w:tr>
      <w:tr w14:paraId="772E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2015" w:type="dxa"/>
            <w:shd w:val="clear" w:color="auto" w:fill="auto"/>
            <w:noWrap/>
            <w:vAlign w:val="bottom"/>
          </w:tcPr>
          <w:p w14:paraId="61A053D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3591" w:type="dxa"/>
            <w:shd w:val="clear" w:color="auto" w:fill="auto"/>
            <w:vAlign w:val="center"/>
          </w:tcPr>
          <w:p w14:paraId="2BB93C5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征地拆迁费</w:t>
            </w:r>
          </w:p>
        </w:tc>
        <w:tc>
          <w:tcPr>
            <w:tcW w:w="2803" w:type="dxa"/>
            <w:shd w:val="clear" w:color="auto" w:fill="auto"/>
          </w:tcPr>
          <w:p w14:paraId="1240EE42">
            <w:pPr>
              <w:widowControl/>
              <w:spacing w:after="0" w:line="240" w:lineRule="auto"/>
              <w:jc w:val="center"/>
              <w:rPr>
                <w:rFonts w:ascii="宋体" w:hAnsi="宋体" w:cs="宋体"/>
                <w:color w:val="000000"/>
                <w:kern w:val="0"/>
                <w:sz w:val="18"/>
                <w:szCs w:val="18"/>
              </w:rPr>
            </w:pPr>
            <w:r>
              <w:rPr>
                <w:rFonts w:ascii="宋体" w:hAnsi="宋体" w:cs="宋体"/>
                <w:color w:val="000000"/>
                <w:kern w:val="0"/>
                <w:sz w:val="18"/>
                <w:szCs w:val="18"/>
              </w:rPr>
              <w:t>1,856.10</w:t>
            </w:r>
          </w:p>
        </w:tc>
      </w:tr>
      <w:tr w14:paraId="3B52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trPr>
        <w:tc>
          <w:tcPr>
            <w:tcW w:w="5606" w:type="dxa"/>
            <w:gridSpan w:val="2"/>
            <w:shd w:val="clear" w:color="auto" w:fill="auto"/>
            <w:noWrap/>
            <w:vAlign w:val="bottom"/>
          </w:tcPr>
          <w:p w14:paraId="3A3B2DEB">
            <w:pPr>
              <w:widowControl/>
              <w:spacing w:after="0" w:line="240" w:lineRule="auto"/>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rPr>
              <w:t>项目静态总投资</w:t>
            </w:r>
          </w:p>
        </w:tc>
        <w:tc>
          <w:tcPr>
            <w:tcW w:w="2803" w:type="dxa"/>
            <w:shd w:val="clear" w:color="auto" w:fill="auto"/>
            <w:vAlign w:val="center"/>
          </w:tcPr>
          <w:p w14:paraId="1C456725">
            <w:pPr>
              <w:widowControl/>
              <w:spacing w:after="0" w:line="240" w:lineRule="auto"/>
              <w:jc w:val="center"/>
              <w:rPr>
                <w:rFonts w:ascii="宋体" w:hAnsi="宋体" w:cs="宋体"/>
                <w:color w:val="000000"/>
                <w:kern w:val="0"/>
                <w:sz w:val="18"/>
                <w:szCs w:val="18"/>
              </w:rPr>
            </w:pPr>
            <w:r>
              <w:rPr>
                <w:rFonts w:ascii="宋体" w:hAnsi="宋体" w:cs="宋体"/>
                <w:color w:val="000000"/>
                <w:kern w:val="0"/>
                <w:sz w:val="18"/>
                <w:szCs w:val="18"/>
              </w:rPr>
              <w:t>21,130.71</w:t>
            </w:r>
          </w:p>
        </w:tc>
      </w:tr>
    </w:tbl>
    <w:p w14:paraId="15767147">
      <w:pPr>
        <w:spacing w:before="156" w:beforeLines="50" w:line="360" w:lineRule="auto"/>
        <w:ind w:firstLine="420" w:firstLineChars="200"/>
        <w:jc w:val="center"/>
        <w:rPr>
          <w:rFonts w:ascii="宋体" w:hAnsi="宋体" w:cs="仿宋"/>
          <w:b/>
          <w:bCs/>
          <w:color w:val="000000" w:themeColor="text1"/>
          <w:szCs w:val="28"/>
          <w14:textFill>
            <w14:solidFill>
              <w14:schemeClr w14:val="tx1"/>
            </w14:solidFill>
          </w14:textFill>
        </w:rPr>
      </w:pPr>
      <w:r>
        <w:rPr>
          <w:rFonts w:hint="eastAsia" w:ascii="宋体" w:hAnsi="宋体" w:cs="仿宋"/>
          <w:b/>
          <w:bCs/>
          <w:color w:val="000000" w:themeColor="text1"/>
          <w:szCs w:val="28"/>
          <w14:textFill>
            <w14:solidFill>
              <w14:schemeClr w14:val="tx1"/>
            </w14:solidFill>
          </w14:textFill>
        </w:rPr>
        <w:t>表1-2项目分年度支出计划表</w:t>
      </w:r>
    </w:p>
    <w:p w14:paraId="76D28B3A">
      <w:pPr>
        <w:ind w:firstLine="360" w:firstLineChars="200"/>
        <w:jc w:val="right"/>
        <w:rPr>
          <w:rFonts w:ascii="宋体" w:hAnsi="宋体"/>
          <w:color w:val="000000" w:themeColor="text1"/>
          <w:sz w:val="18"/>
          <w:szCs w:val="18"/>
          <w14:textFill>
            <w14:solidFill>
              <w14:schemeClr w14:val="tx1"/>
            </w14:solidFill>
          </w14:textFill>
        </w:rPr>
      </w:pPr>
    </w:p>
    <w:p w14:paraId="63256B50">
      <w:pPr>
        <w:ind w:firstLine="360" w:firstLineChars="200"/>
        <w:jc w:val="right"/>
        <w:rPr>
          <w:rFonts w:ascii="宋体" w:hAnsi="宋体" w:cs="仿宋"/>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
        <w:gridCol w:w="1348"/>
        <w:gridCol w:w="1271"/>
        <w:gridCol w:w="1275"/>
        <w:gridCol w:w="1148"/>
        <w:gridCol w:w="1090"/>
        <w:gridCol w:w="1090"/>
        <w:gridCol w:w="1090"/>
      </w:tblGrid>
      <w:tr w14:paraId="460C3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234" w:type="pct"/>
            <w:shd w:val="clear" w:color="auto" w:fill="auto"/>
            <w:vAlign w:val="center"/>
          </w:tcPr>
          <w:p w14:paraId="0BC0458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73" w:type="pct"/>
            <w:shd w:val="clear" w:color="auto" w:fill="auto"/>
            <w:vAlign w:val="center"/>
          </w:tcPr>
          <w:p w14:paraId="4C04C5E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费用类型</w:t>
            </w:r>
          </w:p>
        </w:tc>
        <w:tc>
          <w:tcPr>
            <w:tcW w:w="729" w:type="pct"/>
            <w:shd w:val="clear" w:color="auto" w:fill="auto"/>
            <w:vAlign w:val="center"/>
          </w:tcPr>
          <w:p w14:paraId="75024638">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小计</w:t>
            </w:r>
          </w:p>
        </w:tc>
        <w:tc>
          <w:tcPr>
            <w:tcW w:w="731" w:type="pct"/>
            <w:shd w:val="clear" w:color="auto" w:fill="auto"/>
            <w:vAlign w:val="center"/>
          </w:tcPr>
          <w:p w14:paraId="7D0D591B">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2023年</w:t>
            </w:r>
          </w:p>
        </w:tc>
        <w:tc>
          <w:tcPr>
            <w:tcW w:w="658" w:type="pct"/>
            <w:shd w:val="clear" w:color="auto" w:fill="auto"/>
            <w:vAlign w:val="center"/>
          </w:tcPr>
          <w:p w14:paraId="717CADEA">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2024年</w:t>
            </w:r>
          </w:p>
        </w:tc>
        <w:tc>
          <w:tcPr>
            <w:tcW w:w="625" w:type="pct"/>
            <w:shd w:val="clear" w:color="auto" w:fill="auto"/>
            <w:vAlign w:val="center"/>
          </w:tcPr>
          <w:p w14:paraId="34C7C850">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2025年</w:t>
            </w:r>
          </w:p>
        </w:tc>
        <w:tc>
          <w:tcPr>
            <w:tcW w:w="625" w:type="pct"/>
            <w:vAlign w:val="center"/>
          </w:tcPr>
          <w:p w14:paraId="39A5E5EE">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2026年</w:t>
            </w:r>
          </w:p>
        </w:tc>
        <w:tc>
          <w:tcPr>
            <w:tcW w:w="625" w:type="pct"/>
            <w:vAlign w:val="center"/>
          </w:tcPr>
          <w:p w14:paraId="256512E6">
            <w:pPr>
              <w:widowControl/>
              <w:spacing w:after="0" w:line="240" w:lineRule="auto"/>
              <w:jc w:val="center"/>
              <w:rPr>
                <w:rFonts w:ascii="宋体" w:hAnsi="宋体" w:cs="宋体"/>
                <w:b/>
                <w:color w:val="000000"/>
                <w:kern w:val="0"/>
                <w:sz w:val="18"/>
                <w:szCs w:val="18"/>
              </w:rPr>
            </w:pPr>
            <w:r>
              <w:rPr>
                <w:rFonts w:hint="eastAsia" w:ascii="宋体" w:hAnsi="宋体"/>
                <w:b/>
                <w:sz w:val="18"/>
                <w:szCs w:val="18"/>
              </w:rPr>
              <w:t>2027年</w:t>
            </w:r>
          </w:p>
        </w:tc>
      </w:tr>
      <w:tr w14:paraId="65BE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234" w:type="pct"/>
            <w:shd w:val="clear" w:color="auto" w:fill="auto"/>
            <w:vAlign w:val="center"/>
          </w:tcPr>
          <w:p w14:paraId="2368480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773" w:type="pct"/>
            <w:shd w:val="clear" w:color="auto" w:fill="auto"/>
            <w:vAlign w:val="center"/>
          </w:tcPr>
          <w:p w14:paraId="5C7B0C0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729" w:type="pct"/>
            <w:shd w:val="clear" w:color="auto" w:fill="auto"/>
            <w:noWrap/>
            <w:vAlign w:val="center"/>
          </w:tcPr>
          <w:p w14:paraId="26C69D68">
            <w:pPr>
              <w:widowControl/>
              <w:spacing w:after="0" w:line="240" w:lineRule="auto"/>
              <w:jc w:val="center"/>
              <w:rPr>
                <w:rFonts w:ascii="宋体" w:hAnsi="宋体" w:cs="宋体"/>
                <w:color w:val="000000"/>
                <w:kern w:val="0"/>
                <w:sz w:val="18"/>
                <w:szCs w:val="18"/>
              </w:rPr>
            </w:pPr>
            <w:r>
              <w:rPr>
                <w:rFonts w:ascii="宋体" w:hAnsi="宋体"/>
                <w:sz w:val="18"/>
                <w:szCs w:val="18"/>
              </w:rPr>
              <w:t>17,301.62</w:t>
            </w:r>
          </w:p>
        </w:tc>
        <w:tc>
          <w:tcPr>
            <w:tcW w:w="731" w:type="pct"/>
            <w:shd w:val="clear" w:color="auto" w:fill="auto"/>
            <w:noWrap/>
            <w:vAlign w:val="center"/>
          </w:tcPr>
          <w:p w14:paraId="7FCB8F31">
            <w:pPr>
              <w:widowControl/>
              <w:spacing w:after="0" w:line="240" w:lineRule="auto"/>
              <w:jc w:val="center"/>
              <w:rPr>
                <w:rFonts w:ascii="宋体" w:hAnsi="宋体" w:cs="宋体"/>
                <w:color w:val="000000"/>
                <w:kern w:val="0"/>
                <w:sz w:val="18"/>
                <w:szCs w:val="18"/>
              </w:rPr>
            </w:pPr>
            <w:r>
              <w:rPr>
                <w:rFonts w:ascii="宋体" w:hAnsi="宋体"/>
                <w:sz w:val="18"/>
                <w:szCs w:val="18"/>
              </w:rPr>
              <w:t>3,460.32</w:t>
            </w:r>
          </w:p>
        </w:tc>
        <w:tc>
          <w:tcPr>
            <w:tcW w:w="658" w:type="pct"/>
            <w:shd w:val="clear" w:color="auto" w:fill="auto"/>
            <w:noWrap/>
            <w:vAlign w:val="center"/>
          </w:tcPr>
          <w:p w14:paraId="07A9C768">
            <w:pPr>
              <w:widowControl/>
              <w:spacing w:after="0" w:line="240" w:lineRule="auto"/>
              <w:jc w:val="center"/>
              <w:rPr>
                <w:rFonts w:ascii="宋体" w:hAnsi="宋体" w:cs="宋体"/>
                <w:color w:val="000000"/>
                <w:kern w:val="0"/>
                <w:sz w:val="18"/>
                <w:szCs w:val="18"/>
              </w:rPr>
            </w:pPr>
            <w:r>
              <w:rPr>
                <w:rFonts w:ascii="宋体" w:hAnsi="宋体"/>
                <w:sz w:val="18"/>
                <w:szCs w:val="18"/>
              </w:rPr>
              <w:t>6,920.65</w:t>
            </w:r>
          </w:p>
        </w:tc>
        <w:tc>
          <w:tcPr>
            <w:tcW w:w="625" w:type="pct"/>
            <w:shd w:val="clear" w:color="auto" w:fill="auto"/>
            <w:noWrap/>
            <w:vAlign w:val="center"/>
          </w:tcPr>
          <w:p w14:paraId="0DF47975">
            <w:pPr>
              <w:widowControl/>
              <w:spacing w:after="0" w:line="240" w:lineRule="auto"/>
              <w:jc w:val="center"/>
              <w:rPr>
                <w:rFonts w:ascii="宋体" w:hAnsi="宋体" w:cs="宋体"/>
                <w:color w:val="000000"/>
                <w:kern w:val="0"/>
                <w:sz w:val="18"/>
                <w:szCs w:val="18"/>
              </w:rPr>
            </w:pPr>
            <w:r>
              <w:rPr>
                <w:rFonts w:ascii="宋体" w:hAnsi="宋体"/>
                <w:sz w:val="18"/>
                <w:szCs w:val="18"/>
              </w:rPr>
              <w:t>3,460.33</w:t>
            </w:r>
          </w:p>
        </w:tc>
        <w:tc>
          <w:tcPr>
            <w:tcW w:w="625" w:type="pct"/>
            <w:vAlign w:val="center"/>
          </w:tcPr>
          <w:p w14:paraId="328B36F9">
            <w:pPr>
              <w:widowControl/>
              <w:spacing w:after="0" w:line="240" w:lineRule="auto"/>
              <w:jc w:val="center"/>
              <w:rPr>
                <w:rFonts w:ascii="宋体" w:hAnsi="宋体" w:cs="宋体"/>
                <w:color w:val="000000"/>
                <w:kern w:val="0"/>
                <w:sz w:val="18"/>
                <w:szCs w:val="18"/>
              </w:rPr>
            </w:pPr>
            <w:r>
              <w:rPr>
                <w:rFonts w:ascii="宋体" w:hAnsi="宋体"/>
                <w:sz w:val="18"/>
                <w:szCs w:val="18"/>
              </w:rPr>
              <w:t>2,595.24</w:t>
            </w:r>
          </w:p>
        </w:tc>
        <w:tc>
          <w:tcPr>
            <w:tcW w:w="625" w:type="pct"/>
            <w:vAlign w:val="center"/>
          </w:tcPr>
          <w:p w14:paraId="0E5A704B">
            <w:pPr>
              <w:widowControl/>
              <w:spacing w:after="0" w:line="240" w:lineRule="auto"/>
              <w:jc w:val="center"/>
              <w:rPr>
                <w:rFonts w:ascii="宋体" w:hAnsi="宋体" w:cs="宋体"/>
                <w:color w:val="000000"/>
                <w:kern w:val="0"/>
                <w:sz w:val="18"/>
                <w:szCs w:val="18"/>
              </w:rPr>
            </w:pPr>
            <w:r>
              <w:rPr>
                <w:rFonts w:ascii="宋体" w:hAnsi="宋体"/>
                <w:sz w:val="18"/>
                <w:szCs w:val="18"/>
              </w:rPr>
              <w:t>865.08</w:t>
            </w:r>
          </w:p>
        </w:tc>
      </w:tr>
      <w:tr w14:paraId="7F37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234" w:type="pct"/>
            <w:shd w:val="clear" w:color="auto" w:fill="auto"/>
            <w:vAlign w:val="center"/>
          </w:tcPr>
          <w:p w14:paraId="346CEB0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773" w:type="pct"/>
            <w:shd w:val="clear" w:color="auto" w:fill="auto"/>
            <w:vAlign w:val="center"/>
          </w:tcPr>
          <w:p w14:paraId="17EBA9C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729" w:type="pct"/>
            <w:shd w:val="clear" w:color="auto" w:fill="auto"/>
            <w:noWrap/>
            <w:vAlign w:val="center"/>
          </w:tcPr>
          <w:p w14:paraId="387060B0">
            <w:pPr>
              <w:widowControl/>
              <w:spacing w:after="0" w:line="240" w:lineRule="auto"/>
              <w:jc w:val="center"/>
              <w:rPr>
                <w:rFonts w:ascii="宋体" w:hAnsi="宋体" w:cs="宋体"/>
                <w:color w:val="000000"/>
                <w:kern w:val="0"/>
                <w:sz w:val="18"/>
                <w:szCs w:val="18"/>
              </w:rPr>
            </w:pPr>
            <w:r>
              <w:rPr>
                <w:rFonts w:ascii="宋体" w:hAnsi="宋体"/>
                <w:sz w:val="18"/>
                <w:szCs w:val="18"/>
              </w:rPr>
              <w:t>1,107.91</w:t>
            </w:r>
          </w:p>
        </w:tc>
        <w:tc>
          <w:tcPr>
            <w:tcW w:w="731" w:type="pct"/>
            <w:shd w:val="clear" w:color="auto" w:fill="auto"/>
            <w:noWrap/>
            <w:vAlign w:val="center"/>
          </w:tcPr>
          <w:p w14:paraId="0E0FC298">
            <w:pPr>
              <w:widowControl/>
              <w:spacing w:after="0" w:line="240" w:lineRule="auto"/>
              <w:jc w:val="center"/>
              <w:rPr>
                <w:rFonts w:ascii="宋体" w:hAnsi="宋体" w:cs="宋体"/>
                <w:color w:val="000000"/>
                <w:kern w:val="0"/>
                <w:sz w:val="18"/>
                <w:szCs w:val="18"/>
              </w:rPr>
            </w:pPr>
            <w:r>
              <w:rPr>
                <w:rFonts w:ascii="宋体" w:hAnsi="宋体"/>
                <w:sz w:val="18"/>
                <w:szCs w:val="18"/>
              </w:rPr>
              <w:t>221.58</w:t>
            </w:r>
          </w:p>
        </w:tc>
        <w:tc>
          <w:tcPr>
            <w:tcW w:w="658" w:type="pct"/>
            <w:shd w:val="clear" w:color="auto" w:fill="auto"/>
            <w:noWrap/>
            <w:vAlign w:val="center"/>
          </w:tcPr>
          <w:p w14:paraId="767CF140">
            <w:pPr>
              <w:widowControl/>
              <w:spacing w:after="0" w:line="240" w:lineRule="auto"/>
              <w:jc w:val="center"/>
              <w:rPr>
                <w:rFonts w:ascii="宋体" w:hAnsi="宋体" w:cs="宋体"/>
                <w:color w:val="000000"/>
                <w:kern w:val="0"/>
                <w:sz w:val="18"/>
                <w:szCs w:val="18"/>
              </w:rPr>
            </w:pPr>
            <w:r>
              <w:rPr>
                <w:rFonts w:ascii="宋体" w:hAnsi="宋体"/>
                <w:sz w:val="18"/>
                <w:szCs w:val="18"/>
              </w:rPr>
              <w:t>443.16</w:t>
            </w:r>
          </w:p>
        </w:tc>
        <w:tc>
          <w:tcPr>
            <w:tcW w:w="625" w:type="pct"/>
            <w:shd w:val="clear" w:color="auto" w:fill="auto"/>
            <w:noWrap/>
            <w:vAlign w:val="center"/>
          </w:tcPr>
          <w:p w14:paraId="7C0D2CE7">
            <w:pPr>
              <w:widowControl/>
              <w:spacing w:after="0" w:line="240" w:lineRule="auto"/>
              <w:jc w:val="center"/>
              <w:rPr>
                <w:rFonts w:ascii="宋体" w:hAnsi="宋体" w:cs="宋体"/>
                <w:color w:val="000000"/>
                <w:kern w:val="0"/>
                <w:sz w:val="18"/>
                <w:szCs w:val="18"/>
              </w:rPr>
            </w:pPr>
            <w:r>
              <w:rPr>
                <w:rFonts w:ascii="宋体" w:hAnsi="宋体"/>
                <w:sz w:val="18"/>
                <w:szCs w:val="18"/>
              </w:rPr>
              <w:t>221.58</w:t>
            </w:r>
          </w:p>
        </w:tc>
        <w:tc>
          <w:tcPr>
            <w:tcW w:w="625" w:type="pct"/>
            <w:vAlign w:val="center"/>
          </w:tcPr>
          <w:p w14:paraId="05E72700">
            <w:pPr>
              <w:widowControl/>
              <w:spacing w:after="0" w:line="240" w:lineRule="auto"/>
              <w:jc w:val="center"/>
              <w:rPr>
                <w:rFonts w:ascii="宋体" w:hAnsi="宋体" w:cs="宋体"/>
                <w:color w:val="000000"/>
                <w:kern w:val="0"/>
                <w:sz w:val="18"/>
                <w:szCs w:val="18"/>
              </w:rPr>
            </w:pPr>
            <w:r>
              <w:rPr>
                <w:rFonts w:ascii="宋体" w:hAnsi="宋体"/>
                <w:sz w:val="18"/>
                <w:szCs w:val="18"/>
              </w:rPr>
              <w:t>166.19</w:t>
            </w:r>
          </w:p>
        </w:tc>
        <w:tc>
          <w:tcPr>
            <w:tcW w:w="625" w:type="pct"/>
            <w:vAlign w:val="center"/>
          </w:tcPr>
          <w:p w14:paraId="2A72AFAB">
            <w:pPr>
              <w:widowControl/>
              <w:spacing w:after="0" w:line="240" w:lineRule="auto"/>
              <w:jc w:val="center"/>
              <w:rPr>
                <w:rFonts w:ascii="宋体" w:hAnsi="宋体" w:cs="宋体"/>
                <w:color w:val="000000"/>
                <w:kern w:val="0"/>
                <w:sz w:val="18"/>
                <w:szCs w:val="18"/>
              </w:rPr>
            </w:pPr>
            <w:r>
              <w:rPr>
                <w:rFonts w:ascii="宋体" w:hAnsi="宋体"/>
                <w:sz w:val="18"/>
                <w:szCs w:val="18"/>
              </w:rPr>
              <w:t>55.40</w:t>
            </w:r>
          </w:p>
        </w:tc>
      </w:tr>
      <w:tr w14:paraId="3D4A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234" w:type="pct"/>
            <w:shd w:val="clear" w:color="auto" w:fill="auto"/>
            <w:vAlign w:val="center"/>
          </w:tcPr>
          <w:p w14:paraId="2839260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773" w:type="pct"/>
            <w:shd w:val="clear" w:color="auto" w:fill="auto"/>
            <w:vAlign w:val="center"/>
          </w:tcPr>
          <w:p w14:paraId="1AFDC8F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729" w:type="pct"/>
            <w:shd w:val="clear" w:color="auto" w:fill="auto"/>
            <w:noWrap/>
            <w:vAlign w:val="center"/>
          </w:tcPr>
          <w:p w14:paraId="06118A46">
            <w:pPr>
              <w:widowControl/>
              <w:spacing w:after="0" w:line="240" w:lineRule="auto"/>
              <w:jc w:val="center"/>
              <w:rPr>
                <w:rFonts w:ascii="宋体" w:hAnsi="宋体" w:cs="宋体"/>
                <w:color w:val="000000"/>
                <w:kern w:val="0"/>
                <w:sz w:val="18"/>
                <w:szCs w:val="18"/>
              </w:rPr>
            </w:pPr>
            <w:r>
              <w:rPr>
                <w:rFonts w:ascii="宋体" w:hAnsi="宋体"/>
                <w:sz w:val="18"/>
                <w:szCs w:val="18"/>
              </w:rPr>
              <w:t>865.08</w:t>
            </w:r>
          </w:p>
        </w:tc>
        <w:tc>
          <w:tcPr>
            <w:tcW w:w="731" w:type="pct"/>
            <w:shd w:val="clear" w:color="auto" w:fill="auto"/>
            <w:noWrap/>
            <w:vAlign w:val="center"/>
          </w:tcPr>
          <w:p w14:paraId="0C7561F0">
            <w:pPr>
              <w:widowControl/>
              <w:spacing w:after="0" w:line="240" w:lineRule="auto"/>
              <w:jc w:val="center"/>
              <w:rPr>
                <w:rFonts w:ascii="宋体" w:hAnsi="宋体" w:cs="宋体"/>
                <w:color w:val="000000"/>
                <w:kern w:val="0"/>
                <w:sz w:val="18"/>
                <w:szCs w:val="18"/>
              </w:rPr>
            </w:pPr>
            <w:r>
              <w:rPr>
                <w:rFonts w:ascii="宋体" w:hAnsi="宋体"/>
                <w:sz w:val="18"/>
                <w:szCs w:val="18"/>
              </w:rPr>
              <w:t>173.02</w:t>
            </w:r>
          </w:p>
        </w:tc>
        <w:tc>
          <w:tcPr>
            <w:tcW w:w="658" w:type="pct"/>
            <w:shd w:val="clear" w:color="auto" w:fill="auto"/>
            <w:noWrap/>
            <w:vAlign w:val="center"/>
          </w:tcPr>
          <w:p w14:paraId="257F475C">
            <w:pPr>
              <w:widowControl/>
              <w:spacing w:after="0" w:line="240" w:lineRule="auto"/>
              <w:jc w:val="center"/>
              <w:rPr>
                <w:rFonts w:ascii="宋体" w:hAnsi="宋体" w:cs="宋体"/>
                <w:color w:val="000000"/>
                <w:kern w:val="0"/>
                <w:sz w:val="18"/>
                <w:szCs w:val="18"/>
              </w:rPr>
            </w:pPr>
            <w:r>
              <w:rPr>
                <w:rFonts w:ascii="宋体" w:hAnsi="宋体"/>
                <w:sz w:val="18"/>
                <w:szCs w:val="18"/>
              </w:rPr>
              <w:t>346.03</w:t>
            </w:r>
          </w:p>
        </w:tc>
        <w:tc>
          <w:tcPr>
            <w:tcW w:w="625" w:type="pct"/>
            <w:shd w:val="clear" w:color="auto" w:fill="auto"/>
            <w:noWrap/>
            <w:vAlign w:val="center"/>
          </w:tcPr>
          <w:p w14:paraId="085BE323">
            <w:pPr>
              <w:widowControl/>
              <w:spacing w:after="0" w:line="240" w:lineRule="auto"/>
              <w:jc w:val="center"/>
              <w:rPr>
                <w:rFonts w:ascii="宋体" w:hAnsi="宋体" w:cs="宋体"/>
                <w:color w:val="000000"/>
                <w:kern w:val="0"/>
                <w:sz w:val="18"/>
                <w:szCs w:val="18"/>
              </w:rPr>
            </w:pPr>
            <w:r>
              <w:rPr>
                <w:rFonts w:ascii="宋体" w:hAnsi="宋体"/>
                <w:sz w:val="18"/>
                <w:szCs w:val="18"/>
              </w:rPr>
              <w:t>173.02</w:t>
            </w:r>
          </w:p>
        </w:tc>
        <w:tc>
          <w:tcPr>
            <w:tcW w:w="625" w:type="pct"/>
            <w:vAlign w:val="center"/>
          </w:tcPr>
          <w:p w14:paraId="066CAE20">
            <w:pPr>
              <w:widowControl/>
              <w:spacing w:after="0" w:line="240" w:lineRule="auto"/>
              <w:jc w:val="center"/>
              <w:rPr>
                <w:rFonts w:ascii="宋体" w:hAnsi="宋体" w:cs="宋体"/>
                <w:color w:val="000000"/>
                <w:kern w:val="0"/>
                <w:sz w:val="18"/>
                <w:szCs w:val="18"/>
              </w:rPr>
            </w:pPr>
            <w:r>
              <w:rPr>
                <w:rFonts w:ascii="宋体" w:hAnsi="宋体"/>
                <w:sz w:val="18"/>
                <w:szCs w:val="18"/>
              </w:rPr>
              <w:t>129.76</w:t>
            </w:r>
          </w:p>
        </w:tc>
        <w:tc>
          <w:tcPr>
            <w:tcW w:w="625" w:type="pct"/>
            <w:vAlign w:val="center"/>
          </w:tcPr>
          <w:p w14:paraId="69804681">
            <w:pPr>
              <w:widowControl/>
              <w:spacing w:after="0" w:line="240" w:lineRule="auto"/>
              <w:jc w:val="center"/>
              <w:rPr>
                <w:rFonts w:ascii="宋体" w:hAnsi="宋体" w:cs="宋体"/>
                <w:color w:val="000000"/>
                <w:kern w:val="0"/>
                <w:sz w:val="18"/>
                <w:szCs w:val="18"/>
              </w:rPr>
            </w:pPr>
            <w:r>
              <w:rPr>
                <w:rFonts w:ascii="宋体" w:hAnsi="宋体"/>
                <w:sz w:val="18"/>
                <w:szCs w:val="18"/>
              </w:rPr>
              <w:t>43.25</w:t>
            </w:r>
          </w:p>
        </w:tc>
      </w:tr>
      <w:tr w14:paraId="0560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234" w:type="pct"/>
            <w:shd w:val="clear" w:color="auto" w:fill="auto"/>
            <w:vAlign w:val="center"/>
          </w:tcPr>
          <w:p w14:paraId="14E4CF5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4</w:t>
            </w:r>
          </w:p>
        </w:tc>
        <w:tc>
          <w:tcPr>
            <w:tcW w:w="773" w:type="pct"/>
            <w:shd w:val="clear" w:color="auto" w:fill="auto"/>
            <w:vAlign w:val="center"/>
          </w:tcPr>
          <w:p w14:paraId="1CACA86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征地拆迁费</w:t>
            </w:r>
          </w:p>
        </w:tc>
        <w:tc>
          <w:tcPr>
            <w:tcW w:w="729" w:type="pct"/>
            <w:shd w:val="clear" w:color="auto" w:fill="auto"/>
            <w:noWrap/>
            <w:vAlign w:val="center"/>
          </w:tcPr>
          <w:p w14:paraId="5B6D6721">
            <w:pPr>
              <w:widowControl/>
              <w:spacing w:after="0" w:line="240" w:lineRule="auto"/>
              <w:jc w:val="center"/>
              <w:rPr>
                <w:rFonts w:ascii="宋体" w:hAnsi="宋体" w:cs="宋体"/>
                <w:color w:val="000000"/>
                <w:kern w:val="0"/>
                <w:sz w:val="18"/>
                <w:szCs w:val="18"/>
              </w:rPr>
            </w:pPr>
            <w:r>
              <w:rPr>
                <w:rFonts w:ascii="宋体" w:hAnsi="宋体"/>
                <w:sz w:val="18"/>
                <w:szCs w:val="18"/>
              </w:rPr>
              <w:t>1,856.10</w:t>
            </w:r>
          </w:p>
        </w:tc>
        <w:tc>
          <w:tcPr>
            <w:tcW w:w="731" w:type="pct"/>
            <w:shd w:val="clear" w:color="auto" w:fill="auto"/>
            <w:noWrap/>
            <w:vAlign w:val="center"/>
          </w:tcPr>
          <w:p w14:paraId="61068FCA">
            <w:pPr>
              <w:widowControl/>
              <w:spacing w:after="0" w:line="240" w:lineRule="auto"/>
              <w:jc w:val="center"/>
              <w:rPr>
                <w:rFonts w:ascii="宋体" w:hAnsi="宋体" w:cs="宋体"/>
                <w:color w:val="000000"/>
                <w:kern w:val="0"/>
                <w:sz w:val="18"/>
                <w:szCs w:val="18"/>
              </w:rPr>
            </w:pPr>
            <w:r>
              <w:rPr>
                <w:rFonts w:ascii="宋体" w:hAnsi="宋体"/>
                <w:sz w:val="18"/>
                <w:szCs w:val="18"/>
              </w:rPr>
              <w:t>1,856.10</w:t>
            </w:r>
          </w:p>
        </w:tc>
        <w:tc>
          <w:tcPr>
            <w:tcW w:w="658" w:type="pct"/>
            <w:shd w:val="clear" w:color="auto" w:fill="auto"/>
            <w:noWrap/>
            <w:vAlign w:val="center"/>
          </w:tcPr>
          <w:p w14:paraId="0FF3F47D">
            <w:pPr>
              <w:widowControl/>
              <w:spacing w:after="0" w:line="240" w:lineRule="auto"/>
              <w:jc w:val="center"/>
              <w:rPr>
                <w:rFonts w:ascii="宋体" w:hAnsi="宋体" w:cs="宋体"/>
                <w:color w:val="000000"/>
                <w:kern w:val="0"/>
                <w:sz w:val="18"/>
                <w:szCs w:val="18"/>
              </w:rPr>
            </w:pPr>
          </w:p>
        </w:tc>
        <w:tc>
          <w:tcPr>
            <w:tcW w:w="625" w:type="pct"/>
            <w:shd w:val="clear" w:color="auto" w:fill="auto"/>
            <w:noWrap/>
            <w:vAlign w:val="center"/>
          </w:tcPr>
          <w:p w14:paraId="5BA5A1B5">
            <w:pPr>
              <w:widowControl/>
              <w:spacing w:after="0" w:line="240" w:lineRule="auto"/>
              <w:jc w:val="center"/>
              <w:rPr>
                <w:rFonts w:ascii="宋体" w:hAnsi="宋体" w:cs="宋体"/>
                <w:color w:val="000000"/>
                <w:kern w:val="0"/>
                <w:sz w:val="18"/>
                <w:szCs w:val="18"/>
              </w:rPr>
            </w:pPr>
          </w:p>
        </w:tc>
        <w:tc>
          <w:tcPr>
            <w:tcW w:w="625" w:type="pct"/>
            <w:vAlign w:val="center"/>
          </w:tcPr>
          <w:p w14:paraId="424832D9">
            <w:pPr>
              <w:widowControl/>
              <w:spacing w:after="0" w:line="240" w:lineRule="auto"/>
              <w:jc w:val="center"/>
              <w:rPr>
                <w:rFonts w:ascii="宋体" w:hAnsi="宋体" w:cs="宋体"/>
                <w:color w:val="000000"/>
                <w:kern w:val="0"/>
                <w:sz w:val="18"/>
                <w:szCs w:val="18"/>
              </w:rPr>
            </w:pPr>
          </w:p>
        </w:tc>
        <w:tc>
          <w:tcPr>
            <w:tcW w:w="625" w:type="pct"/>
            <w:vAlign w:val="center"/>
          </w:tcPr>
          <w:p w14:paraId="774113DA">
            <w:pPr>
              <w:widowControl/>
              <w:spacing w:after="0" w:line="240" w:lineRule="auto"/>
              <w:jc w:val="center"/>
              <w:rPr>
                <w:rFonts w:ascii="宋体" w:hAnsi="宋体" w:cs="宋体"/>
                <w:color w:val="000000"/>
                <w:kern w:val="0"/>
                <w:sz w:val="18"/>
                <w:szCs w:val="18"/>
              </w:rPr>
            </w:pPr>
          </w:p>
        </w:tc>
      </w:tr>
      <w:tr w14:paraId="7C69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1007" w:type="pct"/>
            <w:gridSpan w:val="2"/>
            <w:shd w:val="clear" w:color="auto" w:fill="auto"/>
            <w:vAlign w:val="center"/>
          </w:tcPr>
          <w:p w14:paraId="5159364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729" w:type="pct"/>
            <w:shd w:val="clear" w:color="auto" w:fill="auto"/>
            <w:vAlign w:val="center"/>
          </w:tcPr>
          <w:p w14:paraId="540C7A3F">
            <w:pPr>
              <w:widowControl/>
              <w:spacing w:after="0" w:line="240" w:lineRule="auto"/>
              <w:jc w:val="center"/>
              <w:rPr>
                <w:rFonts w:ascii="宋体" w:hAnsi="宋体"/>
                <w:sz w:val="18"/>
                <w:szCs w:val="18"/>
              </w:rPr>
            </w:pPr>
            <w:r>
              <w:rPr>
                <w:rFonts w:ascii="宋体" w:hAnsi="宋体"/>
                <w:sz w:val="18"/>
                <w:szCs w:val="18"/>
              </w:rPr>
              <w:t>21,130.71</w:t>
            </w:r>
          </w:p>
        </w:tc>
        <w:tc>
          <w:tcPr>
            <w:tcW w:w="731" w:type="pct"/>
            <w:shd w:val="clear" w:color="auto" w:fill="auto"/>
            <w:vAlign w:val="center"/>
          </w:tcPr>
          <w:p w14:paraId="688F2BB4">
            <w:pPr>
              <w:widowControl/>
              <w:spacing w:after="0" w:line="240" w:lineRule="auto"/>
              <w:jc w:val="center"/>
              <w:rPr>
                <w:rFonts w:ascii="宋体" w:hAnsi="宋体"/>
                <w:sz w:val="18"/>
                <w:szCs w:val="18"/>
              </w:rPr>
            </w:pPr>
            <w:r>
              <w:rPr>
                <w:rFonts w:ascii="宋体" w:hAnsi="宋体"/>
                <w:sz w:val="18"/>
                <w:szCs w:val="18"/>
              </w:rPr>
              <w:t>5,711.02</w:t>
            </w:r>
          </w:p>
        </w:tc>
        <w:tc>
          <w:tcPr>
            <w:tcW w:w="658" w:type="pct"/>
            <w:shd w:val="clear" w:color="auto" w:fill="auto"/>
            <w:vAlign w:val="center"/>
          </w:tcPr>
          <w:p w14:paraId="79245A46">
            <w:pPr>
              <w:widowControl/>
              <w:spacing w:after="0" w:line="240" w:lineRule="auto"/>
              <w:jc w:val="center"/>
              <w:rPr>
                <w:rFonts w:ascii="宋体" w:hAnsi="宋体"/>
                <w:sz w:val="18"/>
                <w:szCs w:val="18"/>
              </w:rPr>
            </w:pPr>
            <w:r>
              <w:rPr>
                <w:rFonts w:ascii="宋体" w:hAnsi="宋体"/>
                <w:sz w:val="18"/>
                <w:szCs w:val="18"/>
              </w:rPr>
              <w:t>7,709.84</w:t>
            </w:r>
          </w:p>
        </w:tc>
        <w:tc>
          <w:tcPr>
            <w:tcW w:w="625" w:type="pct"/>
            <w:shd w:val="clear" w:color="auto" w:fill="auto"/>
            <w:vAlign w:val="center"/>
          </w:tcPr>
          <w:p w14:paraId="2EC509E1">
            <w:pPr>
              <w:widowControl/>
              <w:spacing w:after="0" w:line="240" w:lineRule="auto"/>
              <w:jc w:val="center"/>
              <w:rPr>
                <w:rFonts w:ascii="宋体" w:hAnsi="宋体"/>
                <w:sz w:val="18"/>
                <w:szCs w:val="18"/>
              </w:rPr>
            </w:pPr>
            <w:r>
              <w:rPr>
                <w:rFonts w:ascii="宋体" w:hAnsi="宋体"/>
                <w:sz w:val="18"/>
                <w:szCs w:val="18"/>
              </w:rPr>
              <w:t>3,854.93</w:t>
            </w:r>
          </w:p>
        </w:tc>
        <w:tc>
          <w:tcPr>
            <w:tcW w:w="625" w:type="pct"/>
            <w:vAlign w:val="center"/>
          </w:tcPr>
          <w:p w14:paraId="16C01D6E">
            <w:pPr>
              <w:widowControl/>
              <w:spacing w:after="0" w:line="240" w:lineRule="auto"/>
              <w:jc w:val="center"/>
              <w:rPr>
                <w:rFonts w:ascii="宋体" w:hAnsi="宋体"/>
                <w:sz w:val="18"/>
                <w:szCs w:val="18"/>
              </w:rPr>
            </w:pPr>
            <w:r>
              <w:rPr>
                <w:rFonts w:ascii="宋体" w:hAnsi="宋体"/>
                <w:sz w:val="18"/>
                <w:szCs w:val="18"/>
              </w:rPr>
              <w:t>2,891.19</w:t>
            </w:r>
          </w:p>
        </w:tc>
        <w:tc>
          <w:tcPr>
            <w:tcW w:w="625" w:type="pct"/>
            <w:vAlign w:val="center"/>
          </w:tcPr>
          <w:p w14:paraId="1D7F904B">
            <w:pPr>
              <w:widowControl/>
              <w:spacing w:after="0" w:line="240" w:lineRule="auto"/>
              <w:jc w:val="center"/>
              <w:rPr>
                <w:rFonts w:ascii="宋体" w:hAnsi="宋体"/>
                <w:sz w:val="18"/>
                <w:szCs w:val="18"/>
              </w:rPr>
            </w:pPr>
            <w:r>
              <w:rPr>
                <w:rFonts w:ascii="宋体" w:hAnsi="宋体"/>
                <w:sz w:val="18"/>
                <w:szCs w:val="18"/>
              </w:rPr>
              <w:t>963.73</w:t>
            </w:r>
          </w:p>
        </w:tc>
      </w:tr>
    </w:tbl>
    <w:p w14:paraId="0E9BD7C4">
      <w:pPr>
        <w:pStyle w:val="20"/>
        <w:spacing w:before="0" w:beforeAutospacing="0" w:after="156"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注：项目建设期为2</w:t>
      </w:r>
      <w:r>
        <w:rPr>
          <w:color w:val="000000" w:themeColor="text1"/>
          <w:sz w:val="18"/>
          <w:szCs w:val="18"/>
          <w14:textFill>
            <w14:solidFill>
              <w14:schemeClr w14:val="tx1"/>
            </w14:solidFill>
          </w14:textFill>
        </w:rPr>
        <w:t>023</w:t>
      </w:r>
      <w:r>
        <w:rPr>
          <w:rFonts w:hint="eastAsia"/>
          <w:color w:val="000000" w:themeColor="text1"/>
          <w:sz w:val="18"/>
          <w:szCs w:val="18"/>
          <w14:textFill>
            <w14:solidFill>
              <w14:schemeClr w14:val="tx1"/>
            </w14:solidFill>
          </w14:textFill>
        </w:rPr>
        <w:t>年9月-</w:t>
      </w:r>
      <w:r>
        <w:rPr>
          <w:color w:val="000000" w:themeColor="text1"/>
          <w:sz w:val="18"/>
          <w:szCs w:val="18"/>
          <w14:textFill>
            <w14:solidFill>
              <w14:schemeClr w14:val="tx1"/>
            </w14:solidFill>
          </w14:textFill>
        </w:rPr>
        <w:t>2027</w:t>
      </w:r>
      <w:r>
        <w:rPr>
          <w:rFonts w:hint="eastAsia"/>
          <w:color w:val="000000" w:themeColor="text1"/>
          <w:sz w:val="18"/>
          <w:szCs w:val="18"/>
          <w14:textFill>
            <w14:solidFill>
              <w14:schemeClr w14:val="tx1"/>
            </w14:solidFill>
          </w14:textFill>
        </w:rPr>
        <w:t>年2月。</w:t>
      </w:r>
    </w:p>
    <w:p w14:paraId="255F959E">
      <w:pPr>
        <w:widowControl/>
        <w:spacing w:line="560" w:lineRule="exact"/>
        <w:ind w:firstLine="560" w:firstLineChars="200"/>
        <w:jc w:val="left"/>
        <w:outlineLvl w:val="0"/>
        <w:rPr>
          <w:rFonts w:ascii="黑体" w:hAnsi="黑体" w:eastAsia="黑体" w:cs="黑体"/>
          <w:sz w:val="28"/>
          <w:szCs w:val="28"/>
        </w:rPr>
      </w:pPr>
      <w:bookmarkStart w:id="45" w:name="_Toc955"/>
      <w:r>
        <w:rPr>
          <w:rFonts w:hint="eastAsia" w:ascii="黑体" w:hAnsi="黑体" w:eastAsia="黑体" w:cs="黑体"/>
          <w:sz w:val="28"/>
          <w:szCs w:val="28"/>
        </w:rPr>
        <w:t>二、项目投资估算及资金筹措方案</w:t>
      </w:r>
      <w:bookmarkEnd w:id="44"/>
      <w:bookmarkEnd w:id="45"/>
    </w:p>
    <w:p w14:paraId="0CCA6BC9">
      <w:pPr>
        <w:widowControl/>
        <w:spacing w:line="560" w:lineRule="exact"/>
        <w:ind w:firstLine="560" w:firstLineChars="200"/>
        <w:jc w:val="left"/>
        <w:outlineLvl w:val="1"/>
        <w:rPr>
          <w:rFonts w:ascii="楷体" w:hAnsi="楷体" w:eastAsia="楷体" w:cs="楷体"/>
          <w:b/>
          <w:bCs/>
          <w:sz w:val="28"/>
          <w:szCs w:val="28"/>
        </w:rPr>
      </w:pPr>
      <w:bookmarkStart w:id="46" w:name="_Toc17969"/>
      <w:bookmarkStart w:id="47" w:name="_Toc36580095"/>
      <w:r>
        <w:rPr>
          <w:rFonts w:hint="eastAsia" w:ascii="楷体" w:hAnsi="楷体" w:eastAsia="楷体" w:cs="楷体"/>
          <w:b/>
          <w:bCs/>
          <w:sz w:val="28"/>
          <w:szCs w:val="28"/>
        </w:rPr>
        <w:t>（一）投资估算</w:t>
      </w:r>
      <w:bookmarkEnd w:id="46"/>
      <w:bookmarkEnd w:id="47"/>
    </w:p>
    <w:p w14:paraId="4EFF53A2">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48" w:name="_Toc36580096"/>
      <w:r>
        <w:rPr>
          <w:rFonts w:hint="eastAsia" w:asciiTheme="minorEastAsia" w:hAnsiTheme="minorEastAsia" w:eastAsiaTheme="minorEastAsia" w:cstheme="minorEastAsia"/>
          <w:bCs/>
          <w:kern w:val="2"/>
          <w:sz w:val="28"/>
          <w:szCs w:val="28"/>
          <w:lang w:val="en-US" w:eastAsia="zh-CN" w:bidi="ar-SA"/>
        </w:rPr>
        <w:t>1、估算编制依据</w:t>
      </w:r>
      <w:bookmarkEnd w:id="48"/>
    </w:p>
    <w:p w14:paraId="2310B646">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49" w:name="_Toc36580097"/>
      <w:r>
        <w:rPr>
          <w:rFonts w:hint="eastAsia" w:asciiTheme="minorEastAsia" w:hAnsiTheme="minorEastAsia" w:eastAsiaTheme="minorEastAsia" w:cstheme="minorEastAsia"/>
          <w:bCs/>
          <w:kern w:val="2"/>
          <w:sz w:val="28"/>
          <w:szCs w:val="28"/>
          <w:lang w:val="en-US" w:eastAsia="zh-CN" w:bidi="ar-SA"/>
        </w:rPr>
        <w:t>1)关于南昌县行政审批局《关于南昌县银三角良苑小区二期安置房项目可行性研究报告的批复》（南行审投资投字【2021】380号)</w:t>
      </w:r>
    </w:p>
    <w:p w14:paraId="29D89179">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2)财政部《关于试点发展项目收益与融资自求平衡的地方政府专项债券品种的通知》（财预〔2017〕89号文）；</w:t>
      </w:r>
    </w:p>
    <w:p w14:paraId="4C3CFD00">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3)财政部《关于做好2018年地方政府债券发行工作的意见》（财库〔2018〕61号）；</w:t>
      </w:r>
    </w:p>
    <w:p w14:paraId="24766CB0">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4)《国家鼓励发展的资源节约综合利用和环境保护技术》（国家发展改革委令[2005]第65号）；</w:t>
      </w:r>
    </w:p>
    <w:p w14:paraId="63FCA784">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5)《中华人民共和国电力法（2015年修正）》（国家主席令[2015]第24号）；</w:t>
      </w:r>
    </w:p>
    <w:p w14:paraId="48F2F7DE">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6)《水利建设项目经济评价规范》（SL72-2013）；</w:t>
      </w:r>
    </w:p>
    <w:p w14:paraId="7E02F7ED">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7)《水电建设项目经济评价规范》（DL/T5441-2010）；</w:t>
      </w:r>
    </w:p>
    <w:p w14:paraId="01E909BA">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8) 《唐村一期安置房可行性研究报告》；</w:t>
      </w:r>
    </w:p>
    <w:p w14:paraId="67CC33C1">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9)建设工程规划设计要求（蓝协（2018）第001号）；</w:t>
      </w:r>
    </w:p>
    <w:p w14:paraId="0FE35514">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2、费率及参数</w:t>
      </w:r>
      <w:bookmarkEnd w:id="49"/>
    </w:p>
    <w:p w14:paraId="05FACF14">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本项目从客观、谨慎角度出发、发行利率取3.9%进行测算，本次债券发行按照每年付息，到期一次性还本的方式。另外，按0.1%费率计算债券发行费用，符合专项债发行现状。</w:t>
      </w:r>
    </w:p>
    <w:p w14:paraId="29E30B75">
      <w:pPr>
        <w:widowControl/>
        <w:spacing w:line="560" w:lineRule="exact"/>
        <w:ind w:firstLine="560" w:firstLineChars="200"/>
        <w:jc w:val="left"/>
        <w:outlineLvl w:val="1"/>
        <w:rPr>
          <w:rFonts w:ascii="楷体" w:hAnsi="楷体" w:eastAsia="楷体" w:cs="楷体"/>
          <w:b/>
          <w:bCs/>
          <w:sz w:val="28"/>
          <w:szCs w:val="28"/>
        </w:rPr>
      </w:pPr>
      <w:bookmarkStart w:id="50" w:name="_Toc5166"/>
      <w:bookmarkStart w:id="51" w:name="_Toc36580100"/>
      <w:r>
        <w:rPr>
          <w:rFonts w:hint="eastAsia" w:ascii="楷体" w:hAnsi="楷体" w:eastAsia="楷体" w:cs="楷体"/>
          <w:b/>
          <w:bCs/>
          <w:sz w:val="28"/>
          <w:szCs w:val="28"/>
        </w:rPr>
        <w:t>（二）资金筹措方案</w:t>
      </w:r>
      <w:bookmarkEnd w:id="50"/>
      <w:bookmarkEnd w:id="51"/>
    </w:p>
    <w:p w14:paraId="15D1FCC3">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52" w:name="_Toc36580101"/>
      <w:r>
        <w:rPr>
          <w:rFonts w:hint="eastAsia" w:asciiTheme="minorEastAsia" w:hAnsiTheme="minorEastAsia" w:eastAsiaTheme="minorEastAsia" w:cstheme="minorEastAsia"/>
          <w:bCs/>
          <w:kern w:val="2"/>
          <w:sz w:val="28"/>
          <w:szCs w:val="28"/>
          <w:lang w:val="en-US" w:eastAsia="zh-CN" w:bidi="ar-SA"/>
        </w:rPr>
        <w:t>1、资金筹措原则</w:t>
      </w:r>
      <w:bookmarkEnd w:id="52"/>
    </w:p>
    <w:p w14:paraId="4CB520D7">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本次资金筹措遵循以下原则：</w:t>
      </w:r>
    </w:p>
    <w:p w14:paraId="1D1B37FE">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（1）项目投入一定资本金，保证项目顺利开工的可能；</w:t>
      </w:r>
    </w:p>
    <w:p w14:paraId="1FAC3E1A">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（2）发行地方政府专项债券。</w:t>
      </w:r>
    </w:p>
    <w:p w14:paraId="097B24F3">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53" w:name="_Toc36580102"/>
      <w:r>
        <w:rPr>
          <w:rFonts w:hint="eastAsia" w:asciiTheme="minorEastAsia" w:hAnsiTheme="minorEastAsia" w:eastAsiaTheme="minorEastAsia" w:cstheme="minorEastAsia"/>
          <w:bCs/>
          <w:kern w:val="2"/>
          <w:sz w:val="28"/>
          <w:szCs w:val="28"/>
          <w:lang w:val="en-US" w:eastAsia="zh-CN" w:bidi="ar-SA"/>
        </w:rPr>
        <w:t>2、资金筹措方案</w:t>
      </w:r>
      <w:bookmarkEnd w:id="53"/>
    </w:p>
    <w:p w14:paraId="4949526C">
      <w:pPr>
        <w:pStyle w:val="20"/>
        <w:spacing w:before="0" w:beforeAutospacing="0" w:after="156" w:afterLines="50" w:afterAutospacing="0" w:line="360" w:lineRule="exact"/>
        <w:ind w:firstLine="360" w:firstLineChars="200"/>
        <w:jc w:val="right"/>
        <w:rPr>
          <w:color w:val="000000"/>
          <w:sz w:val="21"/>
          <w:szCs w:val="21"/>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105"/>
        <w:gridCol w:w="1012"/>
        <w:gridCol w:w="860"/>
        <w:gridCol w:w="860"/>
        <w:gridCol w:w="860"/>
        <w:gridCol w:w="860"/>
        <w:gridCol w:w="860"/>
        <w:gridCol w:w="860"/>
        <w:gridCol w:w="872"/>
      </w:tblGrid>
      <w:tr w14:paraId="41CD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27" w:type="pct"/>
            <w:vMerge w:val="restart"/>
            <w:shd w:val="clear" w:color="auto" w:fill="auto"/>
            <w:noWrap/>
            <w:vAlign w:val="center"/>
          </w:tcPr>
          <w:p w14:paraId="0146022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3" w:type="pct"/>
            <w:vMerge w:val="restart"/>
            <w:shd w:val="clear" w:color="auto" w:fill="auto"/>
            <w:noWrap/>
            <w:vAlign w:val="center"/>
          </w:tcPr>
          <w:p w14:paraId="46D04A8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580" w:type="pct"/>
            <w:vMerge w:val="restart"/>
            <w:shd w:val="clear" w:color="auto" w:fill="auto"/>
            <w:vAlign w:val="center"/>
          </w:tcPr>
          <w:p w14:paraId="23C318A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457" w:type="pct"/>
            <w:gridSpan w:val="7"/>
            <w:vAlign w:val="center"/>
          </w:tcPr>
          <w:p w14:paraId="48CB8654">
            <w:pPr>
              <w:widowControl/>
              <w:spacing w:after="0" w:line="240" w:lineRule="auto"/>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0A59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327" w:type="pct"/>
            <w:vMerge w:val="continue"/>
            <w:vAlign w:val="center"/>
          </w:tcPr>
          <w:p w14:paraId="63175D6D">
            <w:pPr>
              <w:widowControl/>
              <w:spacing w:after="0" w:line="240" w:lineRule="auto"/>
              <w:jc w:val="center"/>
              <w:rPr>
                <w:rFonts w:ascii="宋体" w:hAnsi="宋体" w:cs="宋体"/>
                <w:b/>
                <w:bCs/>
                <w:color w:val="000000"/>
                <w:kern w:val="0"/>
                <w:sz w:val="18"/>
                <w:szCs w:val="18"/>
              </w:rPr>
            </w:pPr>
          </w:p>
        </w:tc>
        <w:tc>
          <w:tcPr>
            <w:tcW w:w="633" w:type="pct"/>
            <w:vMerge w:val="continue"/>
            <w:vAlign w:val="center"/>
          </w:tcPr>
          <w:p w14:paraId="2BDC7E6E">
            <w:pPr>
              <w:widowControl/>
              <w:spacing w:after="0" w:line="240" w:lineRule="auto"/>
              <w:jc w:val="center"/>
              <w:rPr>
                <w:rFonts w:ascii="宋体" w:hAnsi="宋体" w:cs="宋体"/>
                <w:b/>
                <w:bCs/>
                <w:color w:val="000000"/>
                <w:kern w:val="0"/>
                <w:sz w:val="18"/>
                <w:szCs w:val="18"/>
              </w:rPr>
            </w:pPr>
          </w:p>
        </w:tc>
        <w:tc>
          <w:tcPr>
            <w:tcW w:w="580" w:type="pct"/>
            <w:vMerge w:val="continue"/>
            <w:vAlign w:val="center"/>
          </w:tcPr>
          <w:p w14:paraId="086F6C31">
            <w:pPr>
              <w:widowControl/>
              <w:spacing w:after="0" w:line="240" w:lineRule="auto"/>
              <w:jc w:val="center"/>
              <w:rPr>
                <w:rFonts w:ascii="宋体" w:hAnsi="宋体" w:cs="宋体"/>
                <w:b/>
                <w:bCs/>
                <w:color w:val="000000"/>
                <w:kern w:val="0"/>
                <w:sz w:val="18"/>
                <w:szCs w:val="18"/>
              </w:rPr>
            </w:pPr>
          </w:p>
        </w:tc>
        <w:tc>
          <w:tcPr>
            <w:tcW w:w="493" w:type="pct"/>
            <w:shd w:val="clear" w:color="auto" w:fill="auto"/>
            <w:vAlign w:val="center"/>
          </w:tcPr>
          <w:p w14:paraId="678B6CE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493" w:type="pct"/>
            <w:shd w:val="clear" w:color="auto" w:fill="auto"/>
            <w:vAlign w:val="center"/>
          </w:tcPr>
          <w:p w14:paraId="08AF437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2023年已发行</w:t>
            </w:r>
          </w:p>
        </w:tc>
        <w:tc>
          <w:tcPr>
            <w:tcW w:w="493" w:type="pct"/>
            <w:vAlign w:val="center"/>
          </w:tcPr>
          <w:p w14:paraId="7AF6983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年调整发行</w:t>
            </w:r>
          </w:p>
        </w:tc>
        <w:tc>
          <w:tcPr>
            <w:tcW w:w="493" w:type="pct"/>
            <w:vAlign w:val="center"/>
          </w:tcPr>
          <w:p w14:paraId="4B31E7CA">
            <w:pPr>
              <w:widowControl/>
              <w:spacing w:after="0" w:line="240" w:lineRule="auto"/>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2024年本期发行</w:t>
            </w:r>
          </w:p>
        </w:tc>
        <w:tc>
          <w:tcPr>
            <w:tcW w:w="493" w:type="pct"/>
            <w:vAlign w:val="center"/>
          </w:tcPr>
          <w:p w14:paraId="22E6C3D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2025年发行</w:t>
            </w:r>
          </w:p>
        </w:tc>
        <w:tc>
          <w:tcPr>
            <w:tcW w:w="493" w:type="pct"/>
            <w:shd w:val="clear" w:color="auto" w:fill="auto"/>
            <w:vAlign w:val="center"/>
          </w:tcPr>
          <w:p w14:paraId="1D293A7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2026年发行</w:t>
            </w:r>
          </w:p>
        </w:tc>
        <w:tc>
          <w:tcPr>
            <w:tcW w:w="495" w:type="pct"/>
            <w:vAlign w:val="center"/>
          </w:tcPr>
          <w:p w14:paraId="6425676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2027年发行</w:t>
            </w:r>
          </w:p>
        </w:tc>
      </w:tr>
      <w:tr w14:paraId="0DD1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327" w:type="pct"/>
            <w:shd w:val="clear" w:color="auto" w:fill="auto"/>
            <w:noWrap/>
            <w:vAlign w:val="center"/>
          </w:tcPr>
          <w:p w14:paraId="6339853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105" w:type="dxa"/>
            <w:shd w:val="clear" w:color="auto" w:fill="auto"/>
            <w:noWrap/>
            <w:vAlign w:val="center"/>
          </w:tcPr>
          <w:p w14:paraId="4AC81C71">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22,384.28</w:t>
            </w:r>
          </w:p>
        </w:tc>
        <w:tc>
          <w:tcPr>
            <w:tcW w:w="1012" w:type="dxa"/>
            <w:shd w:val="clear" w:color="auto" w:fill="auto"/>
            <w:noWrap/>
            <w:vAlign w:val="center"/>
          </w:tcPr>
          <w:p w14:paraId="4846B525">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8,649.28</w:t>
            </w:r>
          </w:p>
        </w:tc>
        <w:tc>
          <w:tcPr>
            <w:tcW w:w="860" w:type="dxa"/>
            <w:shd w:val="clear" w:color="auto" w:fill="auto"/>
            <w:vAlign w:val="center"/>
          </w:tcPr>
          <w:p w14:paraId="6BB0BD13">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13,735.00</w:t>
            </w:r>
          </w:p>
        </w:tc>
        <w:tc>
          <w:tcPr>
            <w:tcW w:w="860" w:type="dxa"/>
            <w:shd w:val="clear" w:color="auto" w:fill="auto"/>
            <w:noWrap/>
            <w:vAlign w:val="center"/>
          </w:tcPr>
          <w:p w14:paraId="4635EB57">
            <w:pPr>
              <w:widowControl/>
              <w:spacing w:after="0" w:line="240" w:lineRule="auto"/>
              <w:jc w:val="both"/>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2,500.00</w:t>
            </w:r>
          </w:p>
        </w:tc>
        <w:tc>
          <w:tcPr>
            <w:tcW w:w="860" w:type="dxa"/>
            <w:vAlign w:val="center"/>
          </w:tcPr>
          <w:p w14:paraId="1F4B71E9">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r>
              <w:rPr>
                <w:rFonts w:hint="default" w:ascii="宋体" w:hAnsi="宋体" w:cs="宋体"/>
                <w:color w:val="000000"/>
                <w:kern w:val="0"/>
                <w:sz w:val="18"/>
                <w:szCs w:val="18"/>
                <w:lang w:val="en-US" w:eastAsia="zh-CN"/>
              </w:rPr>
              <w:t>,</w:t>
            </w:r>
            <w:r>
              <w:rPr>
                <w:rFonts w:hint="eastAsia" w:ascii="宋体" w:hAnsi="宋体" w:cs="宋体"/>
                <w:color w:val="000000"/>
                <w:kern w:val="0"/>
                <w:sz w:val="18"/>
                <w:szCs w:val="18"/>
                <w:lang w:val="en-US" w:eastAsia="zh-CN"/>
              </w:rPr>
              <w:t>0</w:t>
            </w:r>
            <w:r>
              <w:rPr>
                <w:rFonts w:hint="default" w:ascii="宋体" w:hAnsi="宋体" w:cs="宋体"/>
                <w:color w:val="000000"/>
                <w:kern w:val="0"/>
                <w:sz w:val="18"/>
                <w:szCs w:val="18"/>
                <w:lang w:val="en-US" w:eastAsia="zh-CN"/>
              </w:rPr>
              <w:t>00.00</w:t>
            </w:r>
          </w:p>
        </w:tc>
        <w:tc>
          <w:tcPr>
            <w:tcW w:w="860" w:type="dxa"/>
            <w:vAlign w:val="center"/>
          </w:tcPr>
          <w:p w14:paraId="13610DEA">
            <w:pPr>
              <w:widowControl/>
              <w:spacing w:after="0" w:line="240" w:lineRule="auto"/>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w:t>
            </w:r>
            <w:r>
              <w:rPr>
                <w:rFonts w:hint="default" w:ascii="宋体" w:hAnsi="宋体" w:cs="宋体"/>
                <w:color w:val="000000"/>
                <w:kern w:val="0"/>
                <w:sz w:val="18"/>
                <w:szCs w:val="18"/>
                <w:lang w:val="en-US" w:eastAsia="zh-CN"/>
              </w:rPr>
              <w:t>,</w:t>
            </w:r>
            <w:r>
              <w:rPr>
                <w:rFonts w:hint="eastAsia" w:ascii="宋体" w:hAnsi="宋体" w:cs="宋体"/>
                <w:color w:val="000000"/>
                <w:kern w:val="0"/>
                <w:sz w:val="18"/>
                <w:szCs w:val="18"/>
                <w:lang w:val="en-US" w:eastAsia="zh-CN"/>
              </w:rPr>
              <w:t>4</w:t>
            </w:r>
            <w:r>
              <w:rPr>
                <w:rFonts w:hint="default" w:ascii="宋体" w:hAnsi="宋体" w:cs="宋体"/>
                <w:color w:val="000000"/>
                <w:kern w:val="0"/>
                <w:sz w:val="18"/>
                <w:szCs w:val="18"/>
                <w:lang w:val="en-US" w:eastAsia="zh-CN"/>
              </w:rPr>
              <w:t>00.00</w:t>
            </w:r>
          </w:p>
        </w:tc>
        <w:tc>
          <w:tcPr>
            <w:tcW w:w="860" w:type="dxa"/>
            <w:vAlign w:val="center"/>
          </w:tcPr>
          <w:p w14:paraId="11BABF9B">
            <w:pPr>
              <w:widowControl/>
              <w:spacing w:after="0" w:line="240" w:lineRule="auto"/>
              <w:jc w:val="center"/>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3,500.00</w:t>
            </w:r>
          </w:p>
        </w:tc>
        <w:tc>
          <w:tcPr>
            <w:tcW w:w="860" w:type="dxa"/>
            <w:shd w:val="clear" w:color="auto" w:fill="auto"/>
            <w:noWrap/>
            <w:vAlign w:val="center"/>
          </w:tcPr>
          <w:p w14:paraId="3D79047E">
            <w:pPr>
              <w:widowControl/>
              <w:spacing w:after="0" w:line="240" w:lineRule="auto"/>
              <w:jc w:val="center"/>
              <w:rPr>
                <w:rFonts w:hint="eastAsia" w:ascii="宋体" w:hAnsi="宋体" w:cs="宋体"/>
                <w:color w:val="000000"/>
                <w:kern w:val="0"/>
                <w:sz w:val="18"/>
                <w:szCs w:val="18"/>
                <w:lang w:val="en-US" w:eastAsia="zh-CN"/>
              </w:rPr>
            </w:pPr>
            <w:r>
              <w:rPr>
                <w:rFonts w:hint="default" w:ascii="宋体" w:hAnsi="宋体" w:cs="宋体"/>
                <w:color w:val="000000"/>
                <w:kern w:val="0"/>
                <w:sz w:val="18"/>
                <w:szCs w:val="18"/>
                <w:lang w:val="en-US" w:eastAsia="zh-CN"/>
              </w:rPr>
              <w:t>2,500.00</w:t>
            </w:r>
          </w:p>
        </w:tc>
        <w:tc>
          <w:tcPr>
            <w:tcW w:w="872" w:type="dxa"/>
            <w:vAlign w:val="bottom"/>
          </w:tcPr>
          <w:p w14:paraId="444CA1F7">
            <w:pPr>
              <w:widowControl/>
              <w:spacing w:after="0" w:line="240" w:lineRule="auto"/>
              <w:ind w:firstLine="180" w:firstLineChars="100"/>
              <w:jc w:val="both"/>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835.00</w:t>
            </w:r>
          </w:p>
        </w:tc>
      </w:tr>
    </w:tbl>
    <w:p w14:paraId="3CD39A44">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按照发行方案及筹资计划，本次拟发行项目的总投资为22,384.28万元，通过自筹资金、申请专项债券、其他融资途径解决，其一，自筹资金8,649.28万元；其二，拟发行专项债券13,735.00万元。其中2023年已发行2,500.00万，发行期限7年；2024年506.00万元由2022年江西省高质量发展补短板专项债券（十二期）——2022年江西省政府专项债券（二十期）调整至本项目，发行期限30年，2,494.00万元由2022年江西省政府棚户区改造专项债券（七期）——2022年江西省政府专项债券（二十八期）调整至本项目，发行期限7年；2024年本期计划发行1,400.00万元，发行期限7年；2025年计划发行3,500.00万元，发行年限7年；2026年计划发行2,500.00万元，发行年限7年；2027年计划发行835.00万元，发行年限7年。</w:t>
      </w:r>
    </w:p>
    <w:p w14:paraId="4B350A3B">
      <w:pPr>
        <w:widowControl/>
        <w:spacing w:line="560" w:lineRule="exact"/>
        <w:ind w:firstLine="560" w:firstLineChars="200"/>
        <w:jc w:val="left"/>
        <w:outlineLvl w:val="0"/>
        <w:rPr>
          <w:rFonts w:ascii="黑体" w:hAnsi="黑体" w:eastAsia="黑体" w:cs="黑体"/>
          <w:sz w:val="28"/>
          <w:szCs w:val="28"/>
        </w:rPr>
      </w:pPr>
      <w:bookmarkStart w:id="54" w:name="_Toc25803"/>
      <w:bookmarkStart w:id="55" w:name="_Toc36580103"/>
      <w:r>
        <w:rPr>
          <w:rFonts w:hint="eastAsia" w:ascii="黑体" w:hAnsi="黑体" w:eastAsia="黑体" w:cs="黑体"/>
          <w:sz w:val="28"/>
          <w:szCs w:val="28"/>
        </w:rPr>
        <w:t>三、项目预期收益、成本及融资平衡情况</w:t>
      </w:r>
      <w:bookmarkEnd w:id="54"/>
      <w:bookmarkEnd w:id="55"/>
    </w:p>
    <w:p w14:paraId="61C2FF40">
      <w:pPr>
        <w:widowControl/>
        <w:spacing w:line="560" w:lineRule="exact"/>
        <w:ind w:firstLine="560" w:firstLineChars="200"/>
        <w:jc w:val="left"/>
        <w:outlineLvl w:val="1"/>
        <w:rPr>
          <w:rFonts w:ascii="楷体" w:hAnsi="楷体" w:eastAsia="楷体" w:cs="楷体"/>
          <w:b/>
          <w:bCs/>
          <w:sz w:val="28"/>
          <w:szCs w:val="28"/>
        </w:rPr>
      </w:pPr>
      <w:bookmarkStart w:id="56" w:name="_Toc36580104"/>
      <w:bookmarkStart w:id="57" w:name="_Toc4906"/>
      <w:r>
        <w:rPr>
          <w:rFonts w:hint="eastAsia" w:ascii="楷体" w:hAnsi="楷体" w:eastAsia="楷体" w:cs="楷体"/>
          <w:b/>
          <w:bCs/>
          <w:sz w:val="28"/>
          <w:szCs w:val="28"/>
        </w:rPr>
        <w:t>（一）收入测算</w:t>
      </w:r>
      <w:bookmarkEnd w:id="56"/>
      <w:bookmarkEnd w:id="57"/>
    </w:p>
    <w:p w14:paraId="62D4C6EE">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58" w:name="_Toc36580107"/>
      <w:r>
        <w:rPr>
          <w:rFonts w:hint="eastAsia" w:asciiTheme="minorEastAsia" w:hAnsiTheme="minorEastAsia" w:eastAsiaTheme="minorEastAsia" w:cstheme="minorEastAsia"/>
          <w:bCs/>
          <w:kern w:val="2"/>
          <w:sz w:val="28"/>
          <w:szCs w:val="28"/>
          <w:lang w:val="en-US" w:eastAsia="zh-CN" w:bidi="ar-SA"/>
        </w:rPr>
        <w:t>本次申请发行的2022年江西省高质量发展补短板专项债券（十二期）——2022年江西省政府专项债券（二十期）及2022年江西省政府棚户区改造专项债券（七期）——2022年江西省政府专项债券（二十八期）调整债券之南昌县银三角良苑小区二期安置房项目，预计业务活动现金流入合计54,701.00万元。项目自运营期（2027年3月）开始至债券到期的项目收益年度分布情况如下：</w:t>
      </w:r>
    </w:p>
    <w:p w14:paraId="2C456D27">
      <w:pPr>
        <w:pStyle w:val="20"/>
        <w:keepNext/>
        <w:spacing w:before="0" w:beforeAutospacing="0" w:after="0" w:afterAutospacing="0" w:line="360" w:lineRule="exact"/>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w:t>
      </w:r>
      <w:r>
        <w:rPr>
          <w:b/>
          <w:color w:val="000000" w:themeColor="text1"/>
          <w:sz w:val="21"/>
          <w:szCs w:val="21"/>
          <w14:textFill>
            <w14:solidFill>
              <w14:schemeClr w14:val="tx1"/>
            </w14:solidFill>
          </w14:textFill>
        </w:rPr>
        <w:t>1</w:t>
      </w:r>
      <w:r>
        <w:rPr>
          <w:rFonts w:hint="eastAsia"/>
          <w:b/>
          <w:color w:val="000000" w:themeColor="text1"/>
          <w:sz w:val="21"/>
          <w:szCs w:val="21"/>
          <w14:textFill>
            <w14:solidFill>
              <w14:schemeClr w14:val="tx1"/>
            </w14:solidFill>
          </w14:textFill>
        </w:rPr>
        <w:t>项目收益年度分布情况分析</w:t>
      </w:r>
    </w:p>
    <w:p w14:paraId="10E747F7">
      <w:pPr>
        <w:pStyle w:val="20"/>
        <w:keepNext/>
        <w:spacing w:before="0" w:beforeAutospacing="0" w:after="0" w:afterAutospacing="0" w:line="360" w:lineRule="exact"/>
        <w:ind w:right="54" w:rightChars="26"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3"/>
        <w:gridCol w:w="3136"/>
        <w:gridCol w:w="3021"/>
      </w:tblGrid>
      <w:tr w14:paraId="0BBA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1470" w:type="pct"/>
            <w:shd w:val="clear" w:color="000000" w:fill="FFFFFF"/>
            <w:noWrap/>
            <w:vAlign w:val="center"/>
          </w:tcPr>
          <w:p w14:paraId="0E428BDB">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年份</w:t>
            </w:r>
          </w:p>
        </w:tc>
        <w:tc>
          <w:tcPr>
            <w:tcW w:w="1798" w:type="pct"/>
            <w:shd w:val="clear" w:color="000000" w:fill="FFFFFF"/>
            <w:noWrap/>
            <w:vAlign w:val="center"/>
          </w:tcPr>
          <w:p w14:paraId="559A634D">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土地出让收入</w:t>
            </w:r>
          </w:p>
        </w:tc>
        <w:tc>
          <w:tcPr>
            <w:tcW w:w="1732" w:type="pct"/>
            <w:shd w:val="clear" w:color="000000" w:fill="FFFFFF"/>
            <w:noWrap/>
            <w:vAlign w:val="center"/>
          </w:tcPr>
          <w:p w14:paraId="1E0E60DA">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合计</w:t>
            </w:r>
          </w:p>
        </w:tc>
      </w:tr>
      <w:tr w14:paraId="7E75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trPr>
        <w:tc>
          <w:tcPr>
            <w:tcW w:w="1470" w:type="pct"/>
            <w:shd w:val="clear" w:color="000000" w:fill="FFFFFF"/>
            <w:noWrap/>
            <w:vAlign w:val="center"/>
          </w:tcPr>
          <w:p w14:paraId="5D7E14C0">
            <w:pPr>
              <w:widowControl/>
              <w:spacing w:after="0" w:line="240" w:lineRule="auto"/>
              <w:jc w:val="center"/>
              <w:rPr>
                <w:rFonts w:ascii="宋体" w:hAnsi="宋体" w:cs="宋体"/>
                <w:kern w:val="0"/>
                <w:sz w:val="18"/>
                <w:szCs w:val="18"/>
              </w:rPr>
            </w:pPr>
            <w:r>
              <w:rPr>
                <w:rFonts w:hint="eastAsia" w:ascii="宋体" w:hAnsi="宋体" w:cs="宋体"/>
                <w:kern w:val="0"/>
                <w:sz w:val="18"/>
                <w:szCs w:val="18"/>
              </w:rPr>
              <w:t>202</w:t>
            </w:r>
            <w:r>
              <w:rPr>
                <w:rFonts w:ascii="宋体" w:hAnsi="宋体" w:cs="宋体"/>
                <w:kern w:val="0"/>
                <w:sz w:val="18"/>
                <w:szCs w:val="18"/>
              </w:rPr>
              <w:t>7</w:t>
            </w:r>
            <w:r>
              <w:rPr>
                <w:rFonts w:hint="eastAsia" w:ascii="宋体" w:hAnsi="宋体" w:cs="宋体"/>
                <w:kern w:val="0"/>
                <w:sz w:val="18"/>
                <w:szCs w:val="18"/>
              </w:rPr>
              <w:t>年</w:t>
            </w:r>
          </w:p>
        </w:tc>
        <w:tc>
          <w:tcPr>
            <w:tcW w:w="1798" w:type="pct"/>
            <w:shd w:val="clear" w:color="000000" w:fill="FFFFFF"/>
            <w:noWrap/>
            <w:vAlign w:val="center"/>
          </w:tcPr>
          <w:p w14:paraId="101A651E">
            <w:pPr>
              <w:widowControl/>
              <w:spacing w:after="0" w:line="240" w:lineRule="auto"/>
              <w:jc w:val="center"/>
              <w:rPr>
                <w:rFonts w:ascii="宋体" w:hAnsi="宋体" w:cs="宋体"/>
                <w:kern w:val="0"/>
                <w:sz w:val="18"/>
                <w:szCs w:val="18"/>
              </w:rPr>
            </w:pPr>
            <w:r>
              <w:rPr>
                <w:rFonts w:ascii="宋体" w:hAnsi="宋体" w:cs="宋体"/>
                <w:kern w:val="0"/>
                <w:sz w:val="18"/>
                <w:szCs w:val="18"/>
              </w:rPr>
              <w:t>54,701.00</w:t>
            </w:r>
          </w:p>
        </w:tc>
        <w:tc>
          <w:tcPr>
            <w:tcW w:w="1732" w:type="pct"/>
            <w:shd w:val="clear" w:color="000000" w:fill="FFFFFF"/>
            <w:noWrap/>
            <w:vAlign w:val="center"/>
          </w:tcPr>
          <w:p w14:paraId="37F5EFA3">
            <w:pPr>
              <w:widowControl/>
              <w:spacing w:after="0" w:line="240" w:lineRule="auto"/>
              <w:jc w:val="center"/>
              <w:rPr>
                <w:rFonts w:ascii="宋体" w:hAnsi="宋体" w:cs="宋体"/>
                <w:kern w:val="0"/>
                <w:sz w:val="18"/>
                <w:szCs w:val="18"/>
              </w:rPr>
            </w:pPr>
            <w:r>
              <w:rPr>
                <w:rFonts w:ascii="宋体" w:hAnsi="宋体" w:cs="宋体"/>
                <w:kern w:val="0"/>
                <w:sz w:val="18"/>
                <w:szCs w:val="18"/>
              </w:rPr>
              <w:t>54,701.00</w:t>
            </w:r>
          </w:p>
        </w:tc>
      </w:tr>
      <w:tr w14:paraId="48C3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trPr>
        <w:tc>
          <w:tcPr>
            <w:tcW w:w="1470" w:type="pct"/>
            <w:shd w:val="clear" w:color="000000" w:fill="FFFFFF"/>
            <w:noWrap/>
            <w:vAlign w:val="center"/>
          </w:tcPr>
          <w:p w14:paraId="288ACB26">
            <w:pPr>
              <w:widowControl/>
              <w:spacing w:after="0" w:line="240" w:lineRule="auto"/>
              <w:jc w:val="center"/>
              <w:rPr>
                <w:rFonts w:ascii="宋体" w:hAnsi="宋体" w:cs="宋体"/>
                <w:kern w:val="0"/>
                <w:sz w:val="18"/>
                <w:szCs w:val="18"/>
              </w:rPr>
            </w:pPr>
            <w:r>
              <w:rPr>
                <w:rFonts w:hint="eastAsia" w:ascii="宋体" w:hAnsi="宋体" w:cs="宋体"/>
                <w:kern w:val="0"/>
                <w:sz w:val="18"/>
                <w:szCs w:val="18"/>
              </w:rPr>
              <w:t>合计</w:t>
            </w:r>
          </w:p>
        </w:tc>
        <w:tc>
          <w:tcPr>
            <w:tcW w:w="1798" w:type="pct"/>
            <w:shd w:val="clear" w:color="000000" w:fill="FFFFFF"/>
            <w:noWrap/>
          </w:tcPr>
          <w:p w14:paraId="33147F89">
            <w:pPr>
              <w:widowControl/>
              <w:spacing w:after="0" w:line="240" w:lineRule="auto"/>
              <w:jc w:val="center"/>
              <w:rPr>
                <w:rFonts w:ascii="宋体" w:hAnsi="宋体" w:cs="宋体"/>
                <w:kern w:val="0"/>
                <w:sz w:val="18"/>
                <w:szCs w:val="18"/>
              </w:rPr>
            </w:pPr>
            <w:r>
              <w:rPr>
                <w:rFonts w:ascii="宋体" w:hAnsi="宋体" w:cs="宋体"/>
                <w:kern w:val="0"/>
                <w:sz w:val="18"/>
                <w:szCs w:val="18"/>
              </w:rPr>
              <w:t>54,701.00</w:t>
            </w:r>
          </w:p>
        </w:tc>
        <w:tc>
          <w:tcPr>
            <w:tcW w:w="1732" w:type="pct"/>
            <w:shd w:val="clear" w:color="000000" w:fill="FFFFFF"/>
            <w:noWrap/>
          </w:tcPr>
          <w:p w14:paraId="3648A73D">
            <w:pPr>
              <w:widowControl/>
              <w:spacing w:after="0" w:line="240" w:lineRule="auto"/>
              <w:jc w:val="center"/>
              <w:rPr>
                <w:rFonts w:ascii="宋体" w:hAnsi="宋体" w:cs="宋体"/>
                <w:kern w:val="0"/>
                <w:sz w:val="18"/>
                <w:szCs w:val="18"/>
              </w:rPr>
            </w:pPr>
            <w:r>
              <w:rPr>
                <w:rFonts w:ascii="宋体" w:hAnsi="宋体" w:cs="宋体"/>
                <w:kern w:val="0"/>
                <w:sz w:val="18"/>
                <w:szCs w:val="18"/>
              </w:rPr>
              <w:t>54,701.00</w:t>
            </w:r>
          </w:p>
        </w:tc>
      </w:tr>
    </w:tbl>
    <w:p w14:paraId="738B4835">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注：2</w:t>
      </w:r>
      <w:r>
        <w:rPr>
          <w:color w:val="000000" w:themeColor="text1"/>
          <w:sz w:val="18"/>
          <w:szCs w:val="18"/>
          <w14:textFill>
            <w14:solidFill>
              <w14:schemeClr w14:val="tx1"/>
            </w14:solidFill>
          </w14:textFill>
        </w:rPr>
        <w:t>023</w:t>
      </w:r>
      <w:r>
        <w:rPr>
          <w:rFonts w:hint="eastAsia"/>
          <w:color w:val="000000" w:themeColor="text1"/>
          <w:sz w:val="18"/>
          <w:szCs w:val="18"/>
          <w14:textFill>
            <w14:solidFill>
              <w14:schemeClr w14:val="tx1"/>
            </w14:solidFill>
          </w14:textFill>
        </w:rPr>
        <w:t>年-</w:t>
      </w:r>
      <w:r>
        <w:rPr>
          <w:color w:val="000000" w:themeColor="text1"/>
          <w:sz w:val="18"/>
          <w:szCs w:val="18"/>
          <w14:textFill>
            <w14:solidFill>
              <w14:schemeClr w14:val="tx1"/>
            </w14:solidFill>
          </w14:textFill>
        </w:rPr>
        <w:t>2027</w:t>
      </w:r>
      <w:r>
        <w:rPr>
          <w:rFonts w:hint="eastAsia"/>
          <w:color w:val="000000" w:themeColor="text1"/>
          <w:sz w:val="18"/>
          <w:szCs w:val="18"/>
          <w14:textFill>
            <w14:solidFill>
              <w14:schemeClr w14:val="tx1"/>
            </w14:solidFill>
          </w14:textFill>
        </w:rPr>
        <w:t>年发行债券，最后一期债券到期年份为2</w:t>
      </w:r>
      <w:r>
        <w:rPr>
          <w:color w:val="000000" w:themeColor="text1"/>
          <w:sz w:val="18"/>
          <w:szCs w:val="18"/>
          <w14:textFill>
            <w14:solidFill>
              <w14:schemeClr w14:val="tx1"/>
            </w14:solidFill>
          </w14:textFill>
        </w:rPr>
        <w:t>034年</w:t>
      </w:r>
      <w:r>
        <w:rPr>
          <w:rFonts w:hint="eastAsia"/>
          <w:color w:val="000000" w:themeColor="text1"/>
          <w:sz w:val="18"/>
          <w:szCs w:val="18"/>
          <w14:textFill>
            <w14:solidFill>
              <w14:schemeClr w14:val="tx1"/>
            </w14:solidFill>
          </w14:textFill>
        </w:rPr>
        <w:t>，保守起见，2</w:t>
      </w:r>
      <w:r>
        <w:rPr>
          <w:color w:val="000000" w:themeColor="text1"/>
          <w:sz w:val="18"/>
          <w:szCs w:val="18"/>
          <w14:textFill>
            <w14:solidFill>
              <w14:schemeClr w14:val="tx1"/>
            </w14:solidFill>
          </w14:textFill>
        </w:rPr>
        <w:t>034</w:t>
      </w:r>
      <w:r>
        <w:rPr>
          <w:rFonts w:hint="eastAsia"/>
          <w:color w:val="000000" w:themeColor="text1"/>
          <w:sz w:val="18"/>
          <w:szCs w:val="18"/>
          <w14:textFill>
            <w14:solidFill>
              <w14:schemeClr w14:val="tx1"/>
            </w14:solidFill>
          </w14:textFill>
        </w:rPr>
        <w:t>年的收入成本暂忽略不计，故上表中仅列示从运营期（202</w:t>
      </w:r>
      <w:r>
        <w:rPr>
          <w:color w:val="000000" w:themeColor="text1"/>
          <w:sz w:val="18"/>
          <w:szCs w:val="18"/>
          <w14:textFill>
            <w14:solidFill>
              <w14:schemeClr w14:val="tx1"/>
            </w14:solidFill>
          </w14:textFill>
        </w:rPr>
        <w:t>7</w:t>
      </w:r>
      <w:r>
        <w:rPr>
          <w:rFonts w:hint="eastAsia"/>
          <w:color w:val="000000" w:themeColor="text1"/>
          <w:sz w:val="18"/>
          <w:szCs w:val="18"/>
          <w14:textFill>
            <w14:solidFill>
              <w14:schemeClr w14:val="tx1"/>
            </w14:solidFill>
          </w14:textFill>
        </w:rPr>
        <w:t>年2月）开始至2</w:t>
      </w:r>
      <w:r>
        <w:rPr>
          <w:color w:val="000000" w:themeColor="text1"/>
          <w:sz w:val="18"/>
          <w:szCs w:val="18"/>
          <w14:textFill>
            <w14:solidFill>
              <w14:schemeClr w14:val="tx1"/>
            </w14:solidFill>
          </w14:textFill>
        </w:rPr>
        <w:t>033年12</w:t>
      </w:r>
      <w:r>
        <w:rPr>
          <w:rFonts w:hint="eastAsia"/>
          <w:color w:val="000000" w:themeColor="text1"/>
          <w:sz w:val="18"/>
          <w:szCs w:val="18"/>
          <w14:textFill>
            <w14:solidFill>
              <w14:schemeClr w14:val="tx1"/>
            </w14:solidFill>
          </w14:textFill>
        </w:rPr>
        <w:t>月的收入数据。</w:t>
      </w:r>
    </w:p>
    <w:p w14:paraId="771CD6D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本项目经营收入的估算依据如下：</w:t>
      </w:r>
    </w:p>
    <w:p w14:paraId="5FC59BA0">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1．土地市场情况和土地出让价格预测</w:t>
      </w:r>
    </w:p>
    <w:p w14:paraId="4E1FD49A">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项目地块价格参照南昌县2021年成交南昌县范围内东岳大道以南、银城路以东、老抚河以西地块成交价为380万元/亩，结合时间因素，配套因素和地块的区位因素，并考虑地理位置及土地性质、使用年限等考虑地块在2027年出让价格为380万元/亩。则计算出让区域内商住用土地2027年年综合地价。根据项目建设及出让计划，拟2027年年进行土地出让。得出本项目2027年土地出让价格为380.00万元/亩。</w:t>
      </w:r>
    </w:p>
    <w:p w14:paraId="433681F6">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2．土地出让面积</w:t>
      </w:r>
    </w:p>
    <w:p w14:paraId="6B093F5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南昌县银三角良苑小区二期安置房项目根据建设及出让计划，可出让土地约143.95亩（其中银三角地块1为43.86亩，银三角地块2为100.09亩）。</w:t>
      </w:r>
    </w:p>
    <w:p w14:paraId="05B0E486">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南昌县城市建设投资发展有限公司综合考虑适度增长因素，保守预测了运营期间的收入、支出，在本项目的实施过程中，可以产生持续稳定的收益，各年现金流入及现金流出均保持了稳定的增长，且保持了现金结余的总体增长。</w:t>
      </w:r>
    </w:p>
    <w:p w14:paraId="7F6A6D63">
      <w:pPr>
        <w:widowControl/>
        <w:spacing w:line="560" w:lineRule="exact"/>
        <w:ind w:firstLine="560" w:firstLineChars="200"/>
        <w:jc w:val="left"/>
        <w:outlineLvl w:val="1"/>
        <w:rPr>
          <w:rFonts w:ascii="楷体" w:hAnsi="楷体" w:eastAsia="楷体" w:cs="楷体"/>
          <w:b/>
          <w:bCs/>
          <w:sz w:val="28"/>
          <w:szCs w:val="28"/>
        </w:rPr>
      </w:pPr>
      <w:bookmarkStart w:id="59" w:name="_Toc30618"/>
      <w:r>
        <w:rPr>
          <w:rFonts w:hint="eastAsia" w:ascii="楷体" w:hAnsi="楷体" w:eastAsia="楷体" w:cs="楷体"/>
          <w:b/>
          <w:bCs/>
          <w:sz w:val="28"/>
          <w:szCs w:val="28"/>
        </w:rPr>
        <w:t>（二）项目运营成本测算</w:t>
      </w:r>
      <w:bookmarkEnd w:id="58"/>
      <w:bookmarkEnd w:id="59"/>
    </w:p>
    <w:p w14:paraId="1F81A27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60" w:name="_Toc36580108"/>
      <w:r>
        <w:rPr>
          <w:rFonts w:hint="eastAsia" w:asciiTheme="minorEastAsia" w:hAnsiTheme="minorEastAsia" w:eastAsiaTheme="minorEastAsia" w:cstheme="minorEastAsia"/>
          <w:bCs/>
          <w:kern w:val="2"/>
          <w:sz w:val="28"/>
          <w:szCs w:val="28"/>
          <w:lang w:val="en-US" w:eastAsia="zh-CN" w:bidi="ar-SA"/>
        </w:rPr>
        <w:t>1、运营成本</w:t>
      </w:r>
      <w:bookmarkEnd w:id="60"/>
    </w:p>
    <w:p w14:paraId="442A1966">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本项目为土地出让，项目计算期内考虑土地出让前规费，根据南昌县最新规定，项目规费占取2%，则项目运营期内规费为 1,094.02 万元。</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4315"/>
        <w:gridCol w:w="2728"/>
      </w:tblGrid>
      <w:tr w14:paraId="791F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62" w:type="pct"/>
            <w:vAlign w:val="center"/>
          </w:tcPr>
          <w:p w14:paraId="0B85B80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2474" w:type="pct"/>
            <w:noWrap/>
            <w:vAlign w:val="center"/>
          </w:tcPr>
          <w:p w14:paraId="13A600F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土地出让前规费</w:t>
            </w:r>
          </w:p>
        </w:tc>
        <w:tc>
          <w:tcPr>
            <w:tcW w:w="1564" w:type="pct"/>
            <w:vAlign w:val="center"/>
          </w:tcPr>
          <w:p w14:paraId="5AB5DC5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r>
      <w:tr w14:paraId="53DB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62" w:type="pct"/>
            <w:noWrap/>
            <w:vAlign w:val="center"/>
          </w:tcPr>
          <w:p w14:paraId="7E70BF23">
            <w:pPr>
              <w:widowControl/>
              <w:spacing w:after="0" w:line="240" w:lineRule="auto"/>
              <w:jc w:val="center"/>
              <w:rPr>
                <w:rFonts w:ascii="宋体" w:hAnsi="宋体" w:cs="宋体"/>
                <w:bCs/>
                <w:color w:val="000000"/>
                <w:kern w:val="0"/>
                <w:sz w:val="18"/>
                <w:szCs w:val="18"/>
              </w:rPr>
            </w:pPr>
            <w:r>
              <w:rPr>
                <w:rFonts w:hint="eastAsia" w:ascii="宋体" w:hAnsi="宋体" w:cs="宋体"/>
                <w:bCs/>
                <w:color w:val="000000"/>
                <w:kern w:val="0"/>
                <w:sz w:val="18"/>
                <w:szCs w:val="18"/>
              </w:rPr>
              <w:t>2027</w:t>
            </w:r>
          </w:p>
        </w:tc>
        <w:tc>
          <w:tcPr>
            <w:tcW w:w="2474" w:type="pct"/>
            <w:noWrap/>
            <w:vAlign w:val="center"/>
          </w:tcPr>
          <w:p w14:paraId="31CDC19E">
            <w:pPr>
              <w:widowControl/>
              <w:spacing w:after="0" w:line="240" w:lineRule="auto"/>
              <w:jc w:val="center"/>
              <w:rPr>
                <w:rFonts w:ascii="宋体" w:hAnsi="宋体" w:cs="宋体"/>
                <w:bCs/>
                <w:color w:val="000000"/>
                <w:kern w:val="0"/>
                <w:sz w:val="18"/>
                <w:szCs w:val="18"/>
              </w:rPr>
            </w:pPr>
            <w:r>
              <w:rPr>
                <w:rFonts w:hint="eastAsia" w:ascii="宋体" w:hAnsi="宋体" w:cs="宋体"/>
                <w:color w:val="000000" w:themeColor="text1"/>
                <w:sz w:val="18"/>
                <w:szCs w:val="18"/>
                <w14:textFill>
                  <w14:solidFill>
                    <w14:schemeClr w14:val="tx1"/>
                  </w14:solidFill>
                </w14:textFill>
              </w:rPr>
              <w:t>1,094.02</w:t>
            </w:r>
          </w:p>
        </w:tc>
        <w:tc>
          <w:tcPr>
            <w:tcW w:w="1564" w:type="pct"/>
            <w:vAlign w:val="center"/>
          </w:tcPr>
          <w:p w14:paraId="37A69A7A">
            <w:pPr>
              <w:widowControl/>
              <w:spacing w:after="0" w:line="240" w:lineRule="auto"/>
              <w:jc w:val="center"/>
              <w:rPr>
                <w:rFonts w:ascii="宋体" w:hAnsi="宋体" w:cs="宋体"/>
                <w:bCs/>
                <w:color w:val="000000"/>
                <w:kern w:val="0"/>
                <w:sz w:val="18"/>
                <w:szCs w:val="18"/>
              </w:rPr>
            </w:pPr>
            <w:r>
              <w:rPr>
                <w:rFonts w:hint="eastAsia" w:ascii="宋体" w:hAnsi="宋体" w:cs="宋体"/>
                <w:color w:val="000000" w:themeColor="text1"/>
                <w:sz w:val="18"/>
                <w:szCs w:val="18"/>
                <w14:textFill>
                  <w14:solidFill>
                    <w14:schemeClr w14:val="tx1"/>
                  </w14:solidFill>
                </w14:textFill>
              </w:rPr>
              <w:t>1,094.02</w:t>
            </w:r>
          </w:p>
        </w:tc>
      </w:tr>
      <w:tr w14:paraId="5EB0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62" w:type="pct"/>
            <w:noWrap/>
            <w:vAlign w:val="center"/>
          </w:tcPr>
          <w:p w14:paraId="4DDA29CA">
            <w:pPr>
              <w:widowControl/>
              <w:spacing w:after="0" w:line="240" w:lineRule="auto"/>
              <w:jc w:val="center"/>
              <w:rPr>
                <w:rFonts w:ascii="宋体" w:hAnsi="宋体" w:cs="宋体"/>
                <w:bCs/>
                <w:color w:val="000000"/>
                <w:kern w:val="0"/>
                <w:sz w:val="18"/>
                <w:szCs w:val="18"/>
              </w:rPr>
            </w:pPr>
            <w:r>
              <w:rPr>
                <w:rFonts w:hint="eastAsia" w:ascii="宋体" w:hAnsi="宋体" w:cs="宋体"/>
                <w:bCs/>
                <w:color w:val="000000"/>
                <w:kern w:val="0"/>
                <w:sz w:val="18"/>
                <w:szCs w:val="18"/>
              </w:rPr>
              <w:t>合计</w:t>
            </w:r>
          </w:p>
        </w:tc>
        <w:tc>
          <w:tcPr>
            <w:tcW w:w="2474" w:type="pct"/>
            <w:noWrap/>
            <w:vAlign w:val="center"/>
          </w:tcPr>
          <w:p w14:paraId="5FB324AE">
            <w:pPr>
              <w:widowControl/>
              <w:spacing w:after="0" w:line="240" w:lineRule="auto"/>
              <w:jc w:val="center"/>
              <w:rPr>
                <w:rFonts w:ascii="宋体" w:hAnsi="宋体" w:cs="宋体"/>
                <w:bCs/>
                <w:color w:val="000000"/>
                <w:kern w:val="0"/>
                <w:sz w:val="18"/>
                <w:szCs w:val="18"/>
              </w:rPr>
            </w:pPr>
            <w:r>
              <w:rPr>
                <w:rFonts w:hint="eastAsia" w:ascii="宋体" w:hAnsi="宋体" w:cs="宋体"/>
                <w:color w:val="000000" w:themeColor="text1"/>
                <w:sz w:val="18"/>
                <w:szCs w:val="18"/>
                <w14:textFill>
                  <w14:solidFill>
                    <w14:schemeClr w14:val="tx1"/>
                  </w14:solidFill>
                </w14:textFill>
              </w:rPr>
              <w:t>1,094.02</w:t>
            </w:r>
          </w:p>
        </w:tc>
        <w:tc>
          <w:tcPr>
            <w:tcW w:w="1564" w:type="pct"/>
            <w:vAlign w:val="center"/>
          </w:tcPr>
          <w:p w14:paraId="6269E0B1">
            <w:pPr>
              <w:widowControl/>
              <w:spacing w:after="0" w:line="240" w:lineRule="auto"/>
              <w:jc w:val="center"/>
              <w:rPr>
                <w:rFonts w:ascii="宋体" w:hAnsi="宋体" w:cs="宋体"/>
                <w:bCs/>
                <w:color w:val="000000"/>
                <w:kern w:val="0"/>
                <w:sz w:val="18"/>
                <w:szCs w:val="18"/>
              </w:rPr>
            </w:pPr>
            <w:r>
              <w:rPr>
                <w:rFonts w:hint="eastAsia" w:ascii="宋体" w:hAnsi="宋体" w:cs="宋体"/>
                <w:color w:val="000000" w:themeColor="text1"/>
                <w:sz w:val="18"/>
                <w:szCs w:val="18"/>
                <w14:textFill>
                  <w14:solidFill>
                    <w14:schemeClr w14:val="tx1"/>
                  </w14:solidFill>
                </w14:textFill>
              </w:rPr>
              <w:t>1,094.02</w:t>
            </w:r>
          </w:p>
        </w:tc>
      </w:tr>
    </w:tbl>
    <w:p w14:paraId="62835851">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61" w:name="_Toc36580109"/>
      <w:r>
        <w:rPr>
          <w:rFonts w:hint="eastAsia" w:asciiTheme="minorEastAsia" w:hAnsiTheme="minorEastAsia" w:eastAsiaTheme="minorEastAsia" w:cstheme="minorEastAsia"/>
          <w:bCs/>
          <w:kern w:val="2"/>
          <w:sz w:val="28"/>
          <w:szCs w:val="28"/>
          <w:lang w:val="en-US" w:eastAsia="zh-CN" w:bidi="ar-SA"/>
        </w:rPr>
        <w:t>2、财务费用</w:t>
      </w:r>
      <w:bookmarkEnd w:id="61"/>
    </w:p>
    <w:p w14:paraId="040728C2">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本次拟发行南昌县银三角良苑小区二期安置房项目地方政府专项债券以满足项目投资需求，债券计划在2023年发行，年利率按照3.9%计算。根据债券发行计划及利率计算每年财务费用。按照债券发行要求，专项债券每一年偿还债券利息，到期一次性偿还本金。</w:t>
      </w:r>
    </w:p>
    <w:p w14:paraId="5354626B">
      <w:pPr>
        <w:widowControl/>
        <w:spacing w:line="560" w:lineRule="exact"/>
        <w:ind w:firstLine="560" w:firstLineChars="200"/>
        <w:jc w:val="left"/>
        <w:outlineLvl w:val="1"/>
        <w:rPr>
          <w:rFonts w:ascii="楷体" w:hAnsi="楷体" w:eastAsia="楷体" w:cs="楷体"/>
          <w:b/>
          <w:bCs/>
          <w:sz w:val="28"/>
          <w:szCs w:val="28"/>
        </w:rPr>
      </w:pPr>
      <w:bookmarkStart w:id="62" w:name="_Toc19218"/>
      <w:bookmarkStart w:id="63" w:name="_Toc36580111"/>
      <w:r>
        <w:rPr>
          <w:rFonts w:hint="eastAsia" w:ascii="楷体" w:hAnsi="楷体" w:eastAsia="楷体" w:cs="楷体"/>
          <w:b/>
          <w:bCs/>
          <w:sz w:val="28"/>
          <w:szCs w:val="28"/>
        </w:rPr>
        <w:t>（三）项目资金测算平衡表</w:t>
      </w:r>
      <w:bookmarkEnd w:id="62"/>
      <w:bookmarkEnd w:id="63"/>
    </w:p>
    <w:p w14:paraId="70152C2F">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1．本期债券调整项目应付本息情况</w:t>
      </w:r>
    </w:p>
    <w:p w14:paraId="1F53B1E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bookmarkStart w:id="64" w:name="_Toc36580115"/>
      <w:r>
        <w:rPr>
          <w:rFonts w:hint="eastAsia" w:asciiTheme="minorEastAsia" w:hAnsiTheme="minorEastAsia" w:eastAsiaTheme="minorEastAsia" w:cstheme="minorEastAsia"/>
          <w:bCs/>
          <w:kern w:val="2"/>
          <w:sz w:val="28"/>
          <w:szCs w:val="28"/>
          <w:lang w:val="en-US" w:eastAsia="zh-CN" w:bidi="ar-SA"/>
        </w:rPr>
        <w:t>本次南昌县城市建设投资发展有限公司组织申报发行南昌县银三角良苑小区二期安置房项目专项债券项目的总投资额22,384.28万元。计划发行专项债券金额13,735.00万元，其中：2023年已申请2,500.00万元，2024年506.00万元由2022年江西省高质量发展补短板专项债券（十二期）——2022年江西省政府专项债券（二十期）调整至本项目，发行期限30年，发行利率3.54%；2,494.00万元由2022年江西省政府棚户区改造专项债券（七期）——2022年江西省政府专项债券（二十八期）调整至本项目，发行期限7年，发行利率2.94%；2024年计划发行债券1,400.00万元，发行期限7年；2025年计划申请3,500.00万元，2026年计划申请2,500.00万元，2027年计划申请835.00万元。从客观、谨慎角度出发，2023-2027年债券年利率取3.90%，发行费率暂按照0.10%测算，据此预计专项债券利息合计为3,576.55万元，预计发行费用为10.74万元。</w:t>
      </w:r>
    </w:p>
    <w:p w14:paraId="4EDD338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按照该项目专项债券发行计划，2025-2027年债券年利率取3.90%为依据预计每年利息支出，每年支付一次利息，到期一次还本，本项目专项债券还本付息情况如下表所示：</w:t>
      </w:r>
    </w:p>
    <w:p w14:paraId="016D482E">
      <w:pPr>
        <w:jc w:val="center"/>
        <w:rPr>
          <w:rFonts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22021</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2029</w:t>
      </w:r>
      <w:r>
        <w:rPr>
          <w:rFonts w:hint="eastAsia" w:ascii="宋体" w:hAnsi="宋体" w:cs="仿宋"/>
          <w:b/>
          <w:color w:val="000000" w:themeColor="text1"/>
          <w:szCs w:val="24"/>
          <w14:textFill>
            <w14:solidFill>
              <w14:schemeClr w14:val="tx1"/>
            </w14:solidFill>
          </w14:textFill>
        </w:rPr>
        <w:t>年专项债券还本付息情况预测表</w:t>
      </w:r>
    </w:p>
    <w:p w14:paraId="09F7D1CE">
      <w:pPr>
        <w:jc w:val="right"/>
        <w:rPr>
          <w:rFonts w:ascii="宋体" w:hAnsi="宋体" w:cs="仿宋"/>
          <w:color w:val="000000" w:themeColor="text1"/>
          <w:sz w:val="18"/>
          <w:szCs w:val="18"/>
          <w14:textFill>
            <w14:solidFill>
              <w14:schemeClr w14:val="tx1"/>
            </w14:solidFill>
          </w14:textFill>
        </w:rPr>
      </w:pPr>
      <w:r>
        <w:rPr>
          <w:rFonts w:hint="eastAsia" w:ascii="宋体" w:hAnsi="宋体" w:cs="仿宋"/>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1172"/>
        <w:gridCol w:w="1570"/>
        <w:gridCol w:w="925"/>
        <w:gridCol w:w="1519"/>
        <w:gridCol w:w="1404"/>
        <w:gridCol w:w="1239"/>
      </w:tblGrid>
      <w:tr w14:paraId="7350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B2DEF9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672" w:type="pct"/>
            <w:shd w:val="clear" w:color="auto" w:fill="auto"/>
            <w:vAlign w:val="center"/>
          </w:tcPr>
          <w:p w14:paraId="6904FE8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900" w:type="pct"/>
            <w:shd w:val="clear" w:color="auto" w:fill="auto"/>
            <w:vAlign w:val="center"/>
          </w:tcPr>
          <w:p w14:paraId="3A40686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530" w:type="pct"/>
            <w:shd w:val="clear" w:color="auto" w:fill="auto"/>
            <w:vAlign w:val="center"/>
          </w:tcPr>
          <w:p w14:paraId="751A5B9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871" w:type="pct"/>
            <w:shd w:val="clear" w:color="auto" w:fill="auto"/>
            <w:vAlign w:val="center"/>
          </w:tcPr>
          <w:p w14:paraId="7A49C63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805" w:type="pct"/>
            <w:shd w:val="clear" w:color="auto" w:fill="auto"/>
            <w:vAlign w:val="center"/>
          </w:tcPr>
          <w:p w14:paraId="654529E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710" w:type="pct"/>
            <w:shd w:val="clear" w:color="auto" w:fill="auto"/>
            <w:vAlign w:val="center"/>
          </w:tcPr>
          <w:p w14:paraId="4860682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332F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0DEB4BA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2023年</w:t>
            </w:r>
          </w:p>
        </w:tc>
        <w:tc>
          <w:tcPr>
            <w:tcW w:w="1142" w:type="dxa"/>
            <w:shd w:val="clear" w:color="auto" w:fill="auto"/>
            <w:vAlign w:val="center"/>
          </w:tcPr>
          <w:p w14:paraId="7176BEC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   </w:t>
            </w:r>
          </w:p>
        </w:tc>
        <w:tc>
          <w:tcPr>
            <w:tcW w:w="1529" w:type="dxa"/>
            <w:shd w:val="clear" w:color="auto" w:fill="auto"/>
            <w:vAlign w:val="center"/>
          </w:tcPr>
          <w:p w14:paraId="3C93EBB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c>
          <w:tcPr>
            <w:tcW w:w="900" w:type="dxa"/>
            <w:shd w:val="clear" w:color="auto" w:fill="auto"/>
            <w:vAlign w:val="center"/>
          </w:tcPr>
          <w:p w14:paraId="1873DEE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 </w:t>
            </w:r>
          </w:p>
        </w:tc>
        <w:tc>
          <w:tcPr>
            <w:tcW w:w="1480" w:type="dxa"/>
            <w:shd w:val="clear" w:color="auto" w:fill="auto"/>
            <w:vAlign w:val="center"/>
          </w:tcPr>
          <w:p w14:paraId="3A537D20">
            <w:pPr>
              <w:widowControl/>
              <w:spacing w:after="0" w:line="240" w:lineRule="auto"/>
              <w:jc w:val="center"/>
              <w:rPr>
                <w:rFonts w:ascii="宋体" w:hAnsi="宋体" w:cs="宋体"/>
                <w:kern w:val="0"/>
                <w:sz w:val="18"/>
                <w:szCs w:val="18"/>
              </w:rPr>
            </w:pPr>
          </w:p>
        </w:tc>
        <w:tc>
          <w:tcPr>
            <w:tcW w:w="1368" w:type="dxa"/>
            <w:shd w:val="clear" w:color="auto" w:fill="auto"/>
            <w:vAlign w:val="center"/>
          </w:tcPr>
          <w:p w14:paraId="1380B84F">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76DD229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r>
      <w:tr w14:paraId="59E6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C8AB05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2024年</w:t>
            </w:r>
          </w:p>
        </w:tc>
        <w:tc>
          <w:tcPr>
            <w:tcW w:w="1142" w:type="dxa"/>
            <w:shd w:val="clear" w:color="auto" w:fill="auto"/>
            <w:vAlign w:val="center"/>
          </w:tcPr>
          <w:p w14:paraId="2C491D02">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c>
          <w:tcPr>
            <w:tcW w:w="1529" w:type="dxa"/>
            <w:shd w:val="clear" w:color="auto" w:fill="auto"/>
            <w:vAlign w:val="center"/>
          </w:tcPr>
          <w:p w14:paraId="28A0064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4,400.00 </w:t>
            </w:r>
          </w:p>
        </w:tc>
        <w:tc>
          <w:tcPr>
            <w:tcW w:w="900" w:type="dxa"/>
            <w:shd w:val="clear" w:color="auto" w:fill="auto"/>
            <w:vAlign w:val="center"/>
          </w:tcPr>
          <w:p w14:paraId="624C038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1.40 </w:t>
            </w:r>
          </w:p>
        </w:tc>
        <w:tc>
          <w:tcPr>
            <w:tcW w:w="1480" w:type="dxa"/>
            <w:shd w:val="clear" w:color="auto" w:fill="auto"/>
            <w:vAlign w:val="center"/>
          </w:tcPr>
          <w:p w14:paraId="32D8B47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202.63 </w:t>
            </w:r>
          </w:p>
        </w:tc>
        <w:tc>
          <w:tcPr>
            <w:tcW w:w="1368" w:type="dxa"/>
            <w:shd w:val="clear" w:color="auto" w:fill="auto"/>
            <w:vAlign w:val="center"/>
          </w:tcPr>
          <w:p w14:paraId="7A9E78A5">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02B612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6,900.00 </w:t>
            </w:r>
          </w:p>
        </w:tc>
      </w:tr>
      <w:tr w14:paraId="2A0E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FD3C55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2025年</w:t>
            </w:r>
          </w:p>
        </w:tc>
        <w:tc>
          <w:tcPr>
            <w:tcW w:w="1142" w:type="dxa"/>
            <w:shd w:val="clear" w:color="auto" w:fill="auto"/>
            <w:vAlign w:val="center"/>
          </w:tcPr>
          <w:p w14:paraId="3BF995F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6,900.00 </w:t>
            </w:r>
          </w:p>
        </w:tc>
        <w:tc>
          <w:tcPr>
            <w:tcW w:w="1529" w:type="dxa"/>
            <w:shd w:val="clear" w:color="auto" w:fill="auto"/>
            <w:vAlign w:val="center"/>
          </w:tcPr>
          <w:p w14:paraId="0A3124D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3,500.00 </w:t>
            </w:r>
          </w:p>
        </w:tc>
        <w:tc>
          <w:tcPr>
            <w:tcW w:w="900" w:type="dxa"/>
            <w:shd w:val="clear" w:color="auto" w:fill="auto"/>
            <w:vAlign w:val="center"/>
          </w:tcPr>
          <w:p w14:paraId="0DD9D40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3.50 </w:t>
            </w:r>
          </w:p>
        </w:tc>
        <w:tc>
          <w:tcPr>
            <w:tcW w:w="1480" w:type="dxa"/>
            <w:shd w:val="clear" w:color="auto" w:fill="auto"/>
            <w:vAlign w:val="center"/>
          </w:tcPr>
          <w:p w14:paraId="6F29AB1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348.09 </w:t>
            </w:r>
          </w:p>
        </w:tc>
        <w:tc>
          <w:tcPr>
            <w:tcW w:w="1368" w:type="dxa"/>
            <w:shd w:val="clear" w:color="auto" w:fill="auto"/>
            <w:vAlign w:val="center"/>
          </w:tcPr>
          <w:p w14:paraId="12126738">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60CEB9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10,400.00 </w:t>
            </w:r>
          </w:p>
        </w:tc>
      </w:tr>
      <w:tr w14:paraId="5B90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07B6672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2026年</w:t>
            </w:r>
          </w:p>
        </w:tc>
        <w:tc>
          <w:tcPr>
            <w:tcW w:w="1142" w:type="dxa"/>
            <w:shd w:val="clear" w:color="auto" w:fill="auto"/>
            <w:vAlign w:val="center"/>
          </w:tcPr>
          <w:p w14:paraId="507CAD1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10,400.00 </w:t>
            </w:r>
          </w:p>
        </w:tc>
        <w:tc>
          <w:tcPr>
            <w:tcW w:w="1529" w:type="dxa"/>
            <w:shd w:val="clear" w:color="auto" w:fill="auto"/>
            <w:vAlign w:val="center"/>
          </w:tcPr>
          <w:p w14:paraId="6309C09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c>
          <w:tcPr>
            <w:tcW w:w="900" w:type="dxa"/>
            <w:shd w:val="clear" w:color="auto" w:fill="auto"/>
            <w:vAlign w:val="center"/>
          </w:tcPr>
          <w:p w14:paraId="1073AA1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 </w:t>
            </w:r>
          </w:p>
        </w:tc>
        <w:tc>
          <w:tcPr>
            <w:tcW w:w="1480" w:type="dxa"/>
            <w:shd w:val="clear" w:color="auto" w:fill="auto"/>
            <w:vAlign w:val="center"/>
          </w:tcPr>
          <w:p w14:paraId="237CBEFA">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445.59 </w:t>
            </w:r>
          </w:p>
        </w:tc>
        <w:tc>
          <w:tcPr>
            <w:tcW w:w="1368" w:type="dxa"/>
            <w:shd w:val="clear" w:color="auto" w:fill="auto"/>
            <w:vAlign w:val="center"/>
          </w:tcPr>
          <w:p w14:paraId="539192C2">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26B8782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12,900.00 </w:t>
            </w:r>
          </w:p>
        </w:tc>
      </w:tr>
      <w:tr w14:paraId="2EA3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0BC1D17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2027年</w:t>
            </w:r>
          </w:p>
        </w:tc>
        <w:tc>
          <w:tcPr>
            <w:tcW w:w="1142" w:type="dxa"/>
            <w:shd w:val="clear" w:color="auto" w:fill="auto"/>
            <w:vAlign w:val="center"/>
          </w:tcPr>
          <w:p w14:paraId="7FFE850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12,900.00 </w:t>
            </w:r>
          </w:p>
        </w:tc>
        <w:tc>
          <w:tcPr>
            <w:tcW w:w="1529" w:type="dxa"/>
            <w:shd w:val="clear" w:color="auto" w:fill="auto"/>
            <w:vAlign w:val="center"/>
          </w:tcPr>
          <w:p w14:paraId="399CA05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835.00 </w:t>
            </w:r>
          </w:p>
        </w:tc>
        <w:tc>
          <w:tcPr>
            <w:tcW w:w="900" w:type="dxa"/>
            <w:shd w:val="clear" w:color="auto" w:fill="auto"/>
            <w:vAlign w:val="center"/>
          </w:tcPr>
          <w:p w14:paraId="0CFF028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0.84 </w:t>
            </w:r>
          </w:p>
        </w:tc>
        <w:tc>
          <w:tcPr>
            <w:tcW w:w="1480" w:type="dxa"/>
            <w:shd w:val="clear" w:color="auto" w:fill="auto"/>
            <w:vAlign w:val="center"/>
          </w:tcPr>
          <w:p w14:paraId="44E8A99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478.15 </w:t>
            </w:r>
          </w:p>
        </w:tc>
        <w:tc>
          <w:tcPr>
            <w:tcW w:w="1368" w:type="dxa"/>
            <w:shd w:val="clear" w:color="auto" w:fill="auto"/>
            <w:vAlign w:val="center"/>
          </w:tcPr>
          <w:p w14:paraId="42E4B77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   </w:t>
            </w:r>
          </w:p>
        </w:tc>
        <w:tc>
          <w:tcPr>
            <w:tcW w:w="1206" w:type="dxa"/>
            <w:shd w:val="clear" w:color="auto" w:fill="auto"/>
            <w:vAlign w:val="center"/>
          </w:tcPr>
          <w:p w14:paraId="592468B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13,735.00 </w:t>
            </w:r>
          </w:p>
        </w:tc>
      </w:tr>
      <w:tr w14:paraId="14EB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9B9440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2028年</w:t>
            </w:r>
          </w:p>
        </w:tc>
        <w:tc>
          <w:tcPr>
            <w:tcW w:w="1142" w:type="dxa"/>
            <w:shd w:val="clear" w:color="auto" w:fill="auto"/>
            <w:vAlign w:val="center"/>
          </w:tcPr>
          <w:p w14:paraId="1E5AD269">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13,735.00 </w:t>
            </w:r>
          </w:p>
        </w:tc>
        <w:tc>
          <w:tcPr>
            <w:tcW w:w="1529" w:type="dxa"/>
            <w:shd w:val="clear" w:color="auto" w:fill="auto"/>
            <w:vAlign w:val="center"/>
          </w:tcPr>
          <w:p w14:paraId="40E27E7D">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18CF5C6B">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2011420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478.15 </w:t>
            </w:r>
          </w:p>
        </w:tc>
        <w:tc>
          <w:tcPr>
            <w:tcW w:w="1368" w:type="dxa"/>
            <w:shd w:val="clear" w:color="auto" w:fill="auto"/>
            <w:vAlign w:val="center"/>
          </w:tcPr>
          <w:p w14:paraId="6EF49D9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   </w:t>
            </w:r>
          </w:p>
        </w:tc>
        <w:tc>
          <w:tcPr>
            <w:tcW w:w="1206" w:type="dxa"/>
            <w:shd w:val="clear" w:color="auto" w:fill="auto"/>
            <w:vAlign w:val="center"/>
          </w:tcPr>
          <w:p w14:paraId="1A5844F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13,735.00 </w:t>
            </w:r>
          </w:p>
        </w:tc>
      </w:tr>
      <w:tr w14:paraId="29E7F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4CC283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2029年</w:t>
            </w:r>
          </w:p>
        </w:tc>
        <w:tc>
          <w:tcPr>
            <w:tcW w:w="1142" w:type="dxa"/>
            <w:shd w:val="clear" w:color="auto" w:fill="auto"/>
            <w:vAlign w:val="center"/>
          </w:tcPr>
          <w:p w14:paraId="780C350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13,735.00 </w:t>
            </w:r>
          </w:p>
        </w:tc>
        <w:tc>
          <w:tcPr>
            <w:tcW w:w="1529" w:type="dxa"/>
            <w:shd w:val="clear" w:color="auto" w:fill="auto"/>
            <w:vAlign w:val="center"/>
          </w:tcPr>
          <w:p w14:paraId="4C276CF8">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2EE1538C">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628F4EC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404.83 </w:t>
            </w:r>
          </w:p>
        </w:tc>
        <w:tc>
          <w:tcPr>
            <w:tcW w:w="1368" w:type="dxa"/>
            <w:shd w:val="clear" w:color="auto" w:fill="auto"/>
            <w:vAlign w:val="center"/>
          </w:tcPr>
          <w:p w14:paraId="41F7A842">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2,494.00 </w:t>
            </w:r>
          </w:p>
        </w:tc>
        <w:tc>
          <w:tcPr>
            <w:tcW w:w="1206" w:type="dxa"/>
            <w:shd w:val="clear" w:color="auto" w:fill="auto"/>
            <w:vAlign w:val="center"/>
          </w:tcPr>
          <w:p w14:paraId="4B6B9C19">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11,241.00 </w:t>
            </w:r>
          </w:p>
        </w:tc>
      </w:tr>
      <w:tr w14:paraId="7DAC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585099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2030年</w:t>
            </w:r>
          </w:p>
        </w:tc>
        <w:tc>
          <w:tcPr>
            <w:tcW w:w="1142" w:type="dxa"/>
            <w:shd w:val="clear" w:color="auto" w:fill="auto"/>
            <w:vAlign w:val="center"/>
          </w:tcPr>
          <w:p w14:paraId="2B7C972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11,241.00 </w:t>
            </w:r>
          </w:p>
        </w:tc>
        <w:tc>
          <w:tcPr>
            <w:tcW w:w="1529" w:type="dxa"/>
            <w:shd w:val="clear" w:color="auto" w:fill="auto"/>
            <w:vAlign w:val="center"/>
          </w:tcPr>
          <w:p w14:paraId="6F467B77">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0D9B4F94">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526DB2E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404.83 </w:t>
            </w:r>
          </w:p>
        </w:tc>
        <w:tc>
          <w:tcPr>
            <w:tcW w:w="1368" w:type="dxa"/>
            <w:shd w:val="clear" w:color="auto" w:fill="auto"/>
            <w:vAlign w:val="center"/>
          </w:tcPr>
          <w:p w14:paraId="7154F06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c>
          <w:tcPr>
            <w:tcW w:w="1206" w:type="dxa"/>
            <w:shd w:val="clear" w:color="auto" w:fill="auto"/>
            <w:vAlign w:val="center"/>
          </w:tcPr>
          <w:p w14:paraId="5FDD0433">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8,741.00 </w:t>
            </w:r>
          </w:p>
        </w:tc>
      </w:tr>
      <w:tr w14:paraId="00D2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51A6721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2031年</w:t>
            </w:r>
          </w:p>
        </w:tc>
        <w:tc>
          <w:tcPr>
            <w:tcW w:w="1142" w:type="dxa"/>
            <w:shd w:val="clear" w:color="auto" w:fill="auto"/>
            <w:vAlign w:val="center"/>
          </w:tcPr>
          <w:p w14:paraId="1B1CADB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8,741.00 </w:t>
            </w:r>
          </w:p>
        </w:tc>
        <w:tc>
          <w:tcPr>
            <w:tcW w:w="1529" w:type="dxa"/>
            <w:shd w:val="clear" w:color="auto" w:fill="auto"/>
            <w:vAlign w:val="center"/>
          </w:tcPr>
          <w:p w14:paraId="0AFF8CFF">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000042AD">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0C01E4B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284.48 </w:t>
            </w:r>
          </w:p>
        </w:tc>
        <w:tc>
          <w:tcPr>
            <w:tcW w:w="1368" w:type="dxa"/>
            <w:shd w:val="clear" w:color="auto" w:fill="auto"/>
            <w:vAlign w:val="center"/>
          </w:tcPr>
          <w:p w14:paraId="3884028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1,400.00 </w:t>
            </w:r>
          </w:p>
        </w:tc>
        <w:tc>
          <w:tcPr>
            <w:tcW w:w="1206" w:type="dxa"/>
            <w:shd w:val="clear" w:color="auto" w:fill="auto"/>
            <w:vAlign w:val="center"/>
          </w:tcPr>
          <w:p w14:paraId="54F33432">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7,341.00 </w:t>
            </w:r>
          </w:p>
        </w:tc>
      </w:tr>
      <w:tr w14:paraId="604F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98D6AC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2032年</w:t>
            </w:r>
          </w:p>
        </w:tc>
        <w:tc>
          <w:tcPr>
            <w:tcW w:w="1142" w:type="dxa"/>
            <w:shd w:val="clear" w:color="auto" w:fill="auto"/>
            <w:vAlign w:val="center"/>
          </w:tcPr>
          <w:p w14:paraId="6D28C1D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7,341.00 </w:t>
            </w:r>
          </w:p>
        </w:tc>
        <w:tc>
          <w:tcPr>
            <w:tcW w:w="1529" w:type="dxa"/>
            <w:shd w:val="clear" w:color="auto" w:fill="auto"/>
            <w:vAlign w:val="center"/>
          </w:tcPr>
          <w:p w14:paraId="7FA76973">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0C4C0DCD">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186AAFE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147.98 </w:t>
            </w:r>
          </w:p>
        </w:tc>
        <w:tc>
          <w:tcPr>
            <w:tcW w:w="1368" w:type="dxa"/>
            <w:shd w:val="clear" w:color="auto" w:fill="auto"/>
            <w:vAlign w:val="center"/>
          </w:tcPr>
          <w:p w14:paraId="23EEC76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3,500.00 </w:t>
            </w:r>
          </w:p>
        </w:tc>
        <w:tc>
          <w:tcPr>
            <w:tcW w:w="1206" w:type="dxa"/>
            <w:shd w:val="clear" w:color="auto" w:fill="auto"/>
            <w:vAlign w:val="center"/>
          </w:tcPr>
          <w:p w14:paraId="29A105C6">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3,841.00 </w:t>
            </w:r>
          </w:p>
        </w:tc>
      </w:tr>
      <w:tr w14:paraId="2F43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CA0488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2033年</w:t>
            </w:r>
          </w:p>
        </w:tc>
        <w:tc>
          <w:tcPr>
            <w:tcW w:w="1142" w:type="dxa"/>
            <w:shd w:val="clear" w:color="auto" w:fill="auto"/>
            <w:vAlign w:val="center"/>
          </w:tcPr>
          <w:p w14:paraId="09B1BB6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3,841.00 </w:t>
            </w:r>
          </w:p>
        </w:tc>
        <w:tc>
          <w:tcPr>
            <w:tcW w:w="1529" w:type="dxa"/>
            <w:shd w:val="clear" w:color="auto" w:fill="auto"/>
            <w:vAlign w:val="center"/>
          </w:tcPr>
          <w:p w14:paraId="2EAABC5B">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6A6ACE18">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67817E0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50.48 </w:t>
            </w:r>
          </w:p>
        </w:tc>
        <w:tc>
          <w:tcPr>
            <w:tcW w:w="1368" w:type="dxa"/>
            <w:shd w:val="clear" w:color="auto" w:fill="auto"/>
            <w:vAlign w:val="center"/>
          </w:tcPr>
          <w:p w14:paraId="57DEF98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2,500.00 </w:t>
            </w:r>
          </w:p>
        </w:tc>
        <w:tc>
          <w:tcPr>
            <w:tcW w:w="1206" w:type="dxa"/>
            <w:shd w:val="clear" w:color="auto" w:fill="auto"/>
            <w:vAlign w:val="center"/>
          </w:tcPr>
          <w:p w14:paraId="2BCB146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1,341.00 </w:t>
            </w:r>
          </w:p>
        </w:tc>
      </w:tr>
      <w:tr w14:paraId="58B1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073DAE5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2034年</w:t>
            </w:r>
          </w:p>
        </w:tc>
        <w:tc>
          <w:tcPr>
            <w:tcW w:w="1142" w:type="dxa"/>
            <w:shd w:val="clear" w:color="auto" w:fill="auto"/>
            <w:vAlign w:val="center"/>
          </w:tcPr>
          <w:p w14:paraId="78C2494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1,341.00 </w:t>
            </w:r>
          </w:p>
        </w:tc>
        <w:tc>
          <w:tcPr>
            <w:tcW w:w="1529" w:type="dxa"/>
            <w:shd w:val="clear" w:color="auto" w:fill="auto"/>
            <w:vAlign w:val="center"/>
          </w:tcPr>
          <w:p w14:paraId="1DEF11FB">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48973C3F">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54126F4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70DD074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835.00 </w:t>
            </w:r>
          </w:p>
        </w:tc>
        <w:tc>
          <w:tcPr>
            <w:tcW w:w="1206" w:type="dxa"/>
            <w:shd w:val="clear" w:color="auto" w:fill="auto"/>
            <w:vAlign w:val="center"/>
          </w:tcPr>
          <w:p w14:paraId="2A77E13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5A64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7D76801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2035年</w:t>
            </w:r>
          </w:p>
        </w:tc>
        <w:tc>
          <w:tcPr>
            <w:tcW w:w="1142" w:type="dxa"/>
            <w:shd w:val="clear" w:color="auto" w:fill="auto"/>
            <w:vAlign w:val="center"/>
          </w:tcPr>
          <w:p w14:paraId="50130CD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30159EE6">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5D3C92E8">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01C5ECA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4C6D401F">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1B053802">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7ABC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5C7F67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2036年</w:t>
            </w:r>
          </w:p>
        </w:tc>
        <w:tc>
          <w:tcPr>
            <w:tcW w:w="1142" w:type="dxa"/>
            <w:shd w:val="clear" w:color="auto" w:fill="auto"/>
            <w:vAlign w:val="center"/>
          </w:tcPr>
          <w:p w14:paraId="50688E2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78424D70">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543E16AE">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202AD3FA">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060558D8">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240A257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1657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2C1FBFA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2037年</w:t>
            </w:r>
          </w:p>
        </w:tc>
        <w:tc>
          <w:tcPr>
            <w:tcW w:w="1142" w:type="dxa"/>
            <w:shd w:val="clear" w:color="auto" w:fill="auto"/>
            <w:vAlign w:val="center"/>
          </w:tcPr>
          <w:p w14:paraId="147B199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5605EC1">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7DC9563B">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58579A52">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16F11067">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459DE4B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1DBE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797DE4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2038年</w:t>
            </w:r>
          </w:p>
        </w:tc>
        <w:tc>
          <w:tcPr>
            <w:tcW w:w="1142" w:type="dxa"/>
            <w:shd w:val="clear" w:color="auto" w:fill="auto"/>
            <w:vAlign w:val="center"/>
          </w:tcPr>
          <w:p w14:paraId="1D14520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5E7A3D69">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3E3C6BE6">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4B5592D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2400940F">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A6DA526">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661A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41E4AD7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2039年</w:t>
            </w:r>
          </w:p>
        </w:tc>
        <w:tc>
          <w:tcPr>
            <w:tcW w:w="1142" w:type="dxa"/>
            <w:shd w:val="clear" w:color="auto" w:fill="auto"/>
            <w:vAlign w:val="center"/>
          </w:tcPr>
          <w:p w14:paraId="2786C2E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6946BD56">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1F2D6EE5">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7AF70223">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139C7280">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459C82E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2DAC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05C2B7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2040年</w:t>
            </w:r>
          </w:p>
        </w:tc>
        <w:tc>
          <w:tcPr>
            <w:tcW w:w="1142" w:type="dxa"/>
            <w:shd w:val="clear" w:color="auto" w:fill="auto"/>
            <w:vAlign w:val="center"/>
          </w:tcPr>
          <w:p w14:paraId="075A038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65406BC0">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438801C4">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448B66F6">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3565F9CA">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8A0106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3FE8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3C8C19E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2041年</w:t>
            </w:r>
          </w:p>
        </w:tc>
        <w:tc>
          <w:tcPr>
            <w:tcW w:w="1142" w:type="dxa"/>
            <w:shd w:val="clear" w:color="auto" w:fill="auto"/>
            <w:vAlign w:val="center"/>
          </w:tcPr>
          <w:p w14:paraId="5479854C">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59F083D3">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4FAF44DD">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2A072F0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174BA26F">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5062D226">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07040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4CC9821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2042年</w:t>
            </w:r>
          </w:p>
        </w:tc>
        <w:tc>
          <w:tcPr>
            <w:tcW w:w="1142" w:type="dxa"/>
            <w:shd w:val="clear" w:color="auto" w:fill="auto"/>
            <w:vAlign w:val="center"/>
          </w:tcPr>
          <w:p w14:paraId="648884AE">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6A617F58">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3DF25930">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048F5EE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60DCF341">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33FE8A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58FC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68EC5DB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2043年</w:t>
            </w:r>
          </w:p>
        </w:tc>
        <w:tc>
          <w:tcPr>
            <w:tcW w:w="1142" w:type="dxa"/>
            <w:shd w:val="clear" w:color="auto" w:fill="auto"/>
            <w:vAlign w:val="center"/>
          </w:tcPr>
          <w:p w14:paraId="3765E46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0254CFD">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28D6CB6A">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6B7709F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0DDF4A3A">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6C4D113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4D5D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3FE2056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2044年</w:t>
            </w:r>
          </w:p>
        </w:tc>
        <w:tc>
          <w:tcPr>
            <w:tcW w:w="1142" w:type="dxa"/>
            <w:shd w:val="clear" w:color="auto" w:fill="auto"/>
            <w:vAlign w:val="center"/>
          </w:tcPr>
          <w:p w14:paraId="09254B8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6056E3E">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24C6D2A4">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39CAF524">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06777994">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21262D94">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4A95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2DA058F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2045年</w:t>
            </w:r>
          </w:p>
        </w:tc>
        <w:tc>
          <w:tcPr>
            <w:tcW w:w="1142" w:type="dxa"/>
            <w:shd w:val="clear" w:color="auto" w:fill="auto"/>
            <w:vAlign w:val="center"/>
          </w:tcPr>
          <w:p w14:paraId="3584A03A">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44E7723">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34D94F8C">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67E52A63">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6708190E">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35DDD3D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7124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0B2AE3B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2046年</w:t>
            </w:r>
          </w:p>
        </w:tc>
        <w:tc>
          <w:tcPr>
            <w:tcW w:w="1142" w:type="dxa"/>
            <w:shd w:val="clear" w:color="auto" w:fill="auto"/>
            <w:vAlign w:val="center"/>
          </w:tcPr>
          <w:p w14:paraId="52B76B3F">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3F4D5572">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36053AA2">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3746776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7C4918F1">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415497A3">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2F83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5F7B84E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2047年</w:t>
            </w:r>
          </w:p>
        </w:tc>
        <w:tc>
          <w:tcPr>
            <w:tcW w:w="1142" w:type="dxa"/>
            <w:shd w:val="clear" w:color="auto" w:fill="auto"/>
            <w:vAlign w:val="center"/>
          </w:tcPr>
          <w:p w14:paraId="5869D5FB">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4B796454">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15709FC9">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74DDE8A5">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33CF8C83">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1BD9E9DA">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0EC2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2F5180D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2048年</w:t>
            </w:r>
          </w:p>
        </w:tc>
        <w:tc>
          <w:tcPr>
            <w:tcW w:w="1142" w:type="dxa"/>
            <w:shd w:val="clear" w:color="auto" w:fill="auto"/>
            <w:vAlign w:val="center"/>
          </w:tcPr>
          <w:p w14:paraId="1844B80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224FFE35">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08163CCB">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06D8730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3BA0EBBC">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731C47B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20AE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857BBD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2049年</w:t>
            </w:r>
          </w:p>
        </w:tc>
        <w:tc>
          <w:tcPr>
            <w:tcW w:w="1142" w:type="dxa"/>
            <w:shd w:val="clear" w:color="auto" w:fill="auto"/>
            <w:vAlign w:val="center"/>
          </w:tcPr>
          <w:p w14:paraId="24B5475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1ECBA0A">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5F420234">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2F3EBEFA">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72BBCAD0">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2CAF3D29">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5FBD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3BA028E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2050年</w:t>
            </w:r>
          </w:p>
        </w:tc>
        <w:tc>
          <w:tcPr>
            <w:tcW w:w="1142" w:type="dxa"/>
            <w:shd w:val="clear" w:color="auto" w:fill="auto"/>
            <w:vAlign w:val="center"/>
          </w:tcPr>
          <w:p w14:paraId="7E8AB69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173F2984">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6B53ABC4">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1FD824D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37305486">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714C83D7">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58CC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4A6E120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2051年</w:t>
            </w:r>
          </w:p>
        </w:tc>
        <w:tc>
          <w:tcPr>
            <w:tcW w:w="1142" w:type="dxa"/>
            <w:shd w:val="clear" w:color="auto" w:fill="auto"/>
            <w:vAlign w:val="center"/>
          </w:tcPr>
          <w:p w14:paraId="012A6F04">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39F36606">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1F2A3227">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123F3801">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17.91 </w:t>
            </w:r>
          </w:p>
        </w:tc>
        <w:tc>
          <w:tcPr>
            <w:tcW w:w="1368" w:type="dxa"/>
            <w:shd w:val="clear" w:color="auto" w:fill="auto"/>
            <w:vAlign w:val="center"/>
          </w:tcPr>
          <w:p w14:paraId="67F86AE2">
            <w:pPr>
              <w:widowControl/>
              <w:spacing w:after="0" w:line="240" w:lineRule="auto"/>
              <w:jc w:val="center"/>
              <w:rPr>
                <w:rFonts w:ascii="宋体" w:hAnsi="宋体" w:cs="宋体"/>
                <w:kern w:val="0"/>
                <w:sz w:val="18"/>
                <w:szCs w:val="18"/>
              </w:rPr>
            </w:pPr>
          </w:p>
        </w:tc>
        <w:tc>
          <w:tcPr>
            <w:tcW w:w="1206" w:type="dxa"/>
            <w:shd w:val="clear" w:color="auto" w:fill="auto"/>
            <w:vAlign w:val="center"/>
          </w:tcPr>
          <w:p w14:paraId="0219B2F8">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r>
      <w:tr w14:paraId="7550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7B5C62E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2052年</w:t>
            </w:r>
          </w:p>
        </w:tc>
        <w:tc>
          <w:tcPr>
            <w:tcW w:w="1142" w:type="dxa"/>
            <w:shd w:val="clear" w:color="auto" w:fill="auto"/>
            <w:vAlign w:val="center"/>
          </w:tcPr>
          <w:p w14:paraId="4843B9AD">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529" w:type="dxa"/>
            <w:shd w:val="clear" w:color="auto" w:fill="auto"/>
            <w:vAlign w:val="center"/>
          </w:tcPr>
          <w:p w14:paraId="0EEC7873">
            <w:pPr>
              <w:widowControl/>
              <w:spacing w:after="0" w:line="240" w:lineRule="auto"/>
              <w:jc w:val="center"/>
              <w:rPr>
                <w:rFonts w:ascii="宋体" w:hAnsi="宋体" w:cs="宋体"/>
                <w:kern w:val="0"/>
                <w:sz w:val="18"/>
                <w:szCs w:val="18"/>
              </w:rPr>
            </w:pPr>
          </w:p>
        </w:tc>
        <w:tc>
          <w:tcPr>
            <w:tcW w:w="900" w:type="dxa"/>
            <w:shd w:val="clear" w:color="auto" w:fill="auto"/>
            <w:vAlign w:val="center"/>
          </w:tcPr>
          <w:p w14:paraId="368108C0">
            <w:pPr>
              <w:widowControl/>
              <w:spacing w:after="0" w:line="240" w:lineRule="auto"/>
              <w:jc w:val="center"/>
              <w:rPr>
                <w:rFonts w:ascii="宋体" w:hAnsi="宋体" w:cs="宋体"/>
                <w:kern w:val="0"/>
                <w:sz w:val="18"/>
                <w:szCs w:val="18"/>
              </w:rPr>
            </w:pPr>
          </w:p>
        </w:tc>
        <w:tc>
          <w:tcPr>
            <w:tcW w:w="1480" w:type="dxa"/>
            <w:shd w:val="clear" w:color="auto" w:fill="auto"/>
            <w:vAlign w:val="center"/>
          </w:tcPr>
          <w:p w14:paraId="5C8ADD4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8.96 </w:t>
            </w:r>
          </w:p>
        </w:tc>
        <w:tc>
          <w:tcPr>
            <w:tcW w:w="1368" w:type="dxa"/>
            <w:shd w:val="clear" w:color="auto" w:fill="auto"/>
            <w:vAlign w:val="center"/>
          </w:tcPr>
          <w:p w14:paraId="6114AE54">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506.00 </w:t>
            </w:r>
          </w:p>
        </w:tc>
        <w:tc>
          <w:tcPr>
            <w:tcW w:w="1206" w:type="dxa"/>
            <w:shd w:val="clear" w:color="auto" w:fill="auto"/>
            <w:vAlign w:val="center"/>
          </w:tcPr>
          <w:p w14:paraId="4289FF20">
            <w:pPr>
              <w:widowControl/>
              <w:spacing w:after="0" w:line="240" w:lineRule="auto"/>
              <w:jc w:val="center"/>
              <w:rPr>
                <w:rFonts w:ascii="宋体" w:hAnsi="宋体" w:cs="宋体"/>
                <w:kern w:val="0"/>
                <w:sz w:val="18"/>
                <w:szCs w:val="18"/>
              </w:rPr>
            </w:pPr>
            <w:r>
              <w:rPr>
                <w:rFonts w:hint="eastAsia" w:ascii="宋体" w:hAnsi="宋体" w:cs="宋体"/>
                <w:kern w:val="0"/>
                <w:sz w:val="18"/>
                <w:szCs w:val="18"/>
                <w:lang w:val="en-US" w:eastAsia="zh-CN"/>
              </w:rPr>
              <w:t xml:space="preserve"> -   </w:t>
            </w:r>
          </w:p>
        </w:tc>
      </w:tr>
      <w:tr w14:paraId="3EDC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11" w:type="pct"/>
            <w:shd w:val="clear" w:color="auto" w:fill="auto"/>
            <w:vAlign w:val="center"/>
          </w:tcPr>
          <w:p w14:paraId="1478052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1142" w:type="dxa"/>
            <w:shd w:val="clear" w:color="auto" w:fill="auto"/>
            <w:vAlign w:val="center"/>
          </w:tcPr>
          <w:p w14:paraId="51092400">
            <w:pPr>
              <w:widowControl/>
              <w:spacing w:after="0" w:line="240" w:lineRule="auto"/>
              <w:jc w:val="center"/>
              <w:rPr>
                <w:rFonts w:ascii="宋体" w:hAnsi="宋体" w:cs="宋体"/>
                <w:b/>
                <w:bCs/>
                <w:kern w:val="0"/>
                <w:sz w:val="18"/>
                <w:szCs w:val="18"/>
              </w:rPr>
            </w:pPr>
          </w:p>
        </w:tc>
        <w:tc>
          <w:tcPr>
            <w:tcW w:w="1529" w:type="dxa"/>
            <w:shd w:val="clear" w:color="auto" w:fill="auto"/>
            <w:vAlign w:val="center"/>
          </w:tcPr>
          <w:p w14:paraId="5B76FEDA">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lang w:val="en-US" w:eastAsia="zh-CN"/>
              </w:rPr>
              <w:t xml:space="preserve"> 13,735.00 </w:t>
            </w:r>
          </w:p>
        </w:tc>
        <w:tc>
          <w:tcPr>
            <w:tcW w:w="900" w:type="dxa"/>
            <w:shd w:val="clear" w:color="auto" w:fill="auto"/>
            <w:vAlign w:val="center"/>
          </w:tcPr>
          <w:p w14:paraId="022E2119">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lang w:val="en-US" w:eastAsia="zh-CN"/>
              </w:rPr>
              <w:t xml:space="preserve"> 10.74 </w:t>
            </w:r>
          </w:p>
        </w:tc>
        <w:tc>
          <w:tcPr>
            <w:tcW w:w="1480" w:type="dxa"/>
            <w:shd w:val="clear" w:color="auto" w:fill="auto"/>
            <w:vAlign w:val="center"/>
          </w:tcPr>
          <w:p w14:paraId="6EB904D2">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lang w:val="en-US" w:eastAsia="zh-CN"/>
              </w:rPr>
              <w:t xml:space="preserve"> 3,576.55 </w:t>
            </w:r>
          </w:p>
        </w:tc>
        <w:tc>
          <w:tcPr>
            <w:tcW w:w="1368" w:type="dxa"/>
            <w:shd w:val="clear" w:color="auto" w:fill="auto"/>
            <w:vAlign w:val="center"/>
          </w:tcPr>
          <w:p w14:paraId="6C09B098">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lang w:val="en-US" w:eastAsia="zh-CN"/>
              </w:rPr>
              <w:t xml:space="preserve"> 13,735.00 </w:t>
            </w:r>
          </w:p>
        </w:tc>
        <w:tc>
          <w:tcPr>
            <w:tcW w:w="1206" w:type="dxa"/>
            <w:shd w:val="clear" w:color="auto" w:fill="auto"/>
            <w:vAlign w:val="center"/>
          </w:tcPr>
          <w:p w14:paraId="7DF989F7">
            <w:pPr>
              <w:widowControl/>
              <w:spacing w:after="0" w:line="240" w:lineRule="auto"/>
              <w:jc w:val="center"/>
              <w:rPr>
                <w:rFonts w:ascii="宋体" w:hAnsi="宋体" w:cs="宋体"/>
                <w:b/>
                <w:bCs/>
                <w:kern w:val="0"/>
                <w:sz w:val="18"/>
                <w:szCs w:val="18"/>
              </w:rPr>
            </w:pPr>
          </w:p>
        </w:tc>
      </w:tr>
    </w:tbl>
    <w:p w14:paraId="4854985A">
      <w:pPr>
        <w:pStyle w:val="20"/>
        <w:spacing w:before="0" w:beforeAutospacing="0" w:after="156" w:afterLines="50" w:afterAutospacing="0" w:line="360" w:lineRule="exact"/>
        <w:ind w:firstLine="360" w:firstLineChars="200"/>
        <w:jc w:val="both"/>
        <w:rPr>
          <w:rFonts w:cs="Times New Roman"/>
          <w:color w:val="000000" w:themeColor="text1"/>
          <w:sz w:val="18"/>
          <w:szCs w:val="18"/>
          <w14:textFill>
            <w14:solidFill>
              <w14:schemeClr w14:val="tx1"/>
            </w14:solidFill>
          </w14:textFill>
        </w:rPr>
      </w:pPr>
    </w:p>
    <w:p w14:paraId="36E1305A">
      <w:pPr>
        <w:pStyle w:val="20"/>
        <w:spacing w:before="0" w:beforeAutospacing="0" w:after="156" w:afterLines="50" w:afterAutospacing="0" w:line="360" w:lineRule="exact"/>
        <w:ind w:firstLine="360" w:firstLineChars="200"/>
        <w:jc w:val="both"/>
        <w:rPr>
          <w:rFonts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7年</w:t>
      </w:r>
      <w:r>
        <w:rPr>
          <w:rFonts w:hint="eastAsia"/>
          <w:color w:val="000000" w:themeColor="text1"/>
          <w:sz w:val="18"/>
          <w:szCs w:val="18"/>
          <w14:textFill>
            <w14:solidFill>
              <w14:schemeClr w14:val="tx1"/>
            </w14:solidFill>
          </w14:textFill>
        </w:rPr>
        <w:t>期债券分别从债券发行年份（</w:t>
      </w:r>
      <w:r>
        <w:rPr>
          <w:color w:val="000000" w:themeColor="text1"/>
          <w:sz w:val="18"/>
          <w:szCs w:val="18"/>
          <w14:textFill>
            <w14:solidFill>
              <w14:schemeClr w14:val="tx1"/>
            </w14:solidFill>
          </w14:textFill>
        </w:rPr>
        <w:t>2023</w:t>
      </w:r>
      <w:r>
        <w:rPr>
          <w:rFonts w:hint="eastAsia"/>
          <w:color w:val="000000" w:themeColor="text1"/>
          <w:sz w:val="18"/>
          <w:szCs w:val="18"/>
          <w14:textFill>
            <w14:solidFill>
              <w14:schemeClr w14:val="tx1"/>
            </w14:solidFill>
          </w14:textFill>
        </w:rPr>
        <w:t>年）的次年起按照每年支付一次债券利息</w:t>
      </w:r>
      <w:r>
        <w:rPr>
          <w:rFonts w:hint="eastAsia" w:cs="Times New Roman"/>
          <w:color w:val="000000" w:themeColor="text1"/>
          <w:sz w:val="18"/>
          <w:szCs w:val="18"/>
          <w14:textFill>
            <w14:solidFill>
              <w14:schemeClr w14:val="tx1"/>
            </w14:solidFill>
          </w14:textFill>
        </w:rPr>
        <w:t>，</w:t>
      </w:r>
      <w:r>
        <w:rPr>
          <w:rFonts w:cs="Times New Roman"/>
          <w:color w:val="000000" w:themeColor="text1"/>
          <w:sz w:val="18"/>
          <w:szCs w:val="18"/>
          <w14:textFill>
            <w14:solidFill>
              <w14:schemeClr w14:val="tx1"/>
            </w14:solidFill>
          </w14:textFill>
        </w:rPr>
        <w:t>30</w:t>
      </w:r>
      <w:r>
        <w:rPr>
          <w:rFonts w:hint="eastAsia" w:cs="Times New Roman"/>
          <w:color w:val="000000" w:themeColor="text1"/>
          <w:sz w:val="18"/>
          <w:szCs w:val="18"/>
          <w14:textFill>
            <w14:solidFill>
              <w14:schemeClr w14:val="tx1"/>
            </w14:solidFill>
          </w14:textFill>
        </w:rPr>
        <w:t>年期债券从债券发行年份的当年起按照每半年支付一次债券利息。（调整债券发行费用在调整前的项目支付）</w:t>
      </w:r>
    </w:p>
    <w:p w14:paraId="748A2DE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560" w:firstLineChars="200"/>
        <w:jc w:val="both"/>
        <w:textAlignment w:val="auto"/>
        <w:rPr>
          <w:rFonts w:hint="eastAsia" w:asciiTheme="minorEastAsia" w:hAnsiTheme="minorEastAsia" w:eastAsiaTheme="minorEastAsia" w:cstheme="minorEastAsia"/>
          <w:bCs/>
          <w:kern w:val="2"/>
          <w:sz w:val="28"/>
          <w:szCs w:val="28"/>
          <w:lang w:val="en-US" w:eastAsia="zh-CN" w:bidi="ar-SA"/>
        </w:rPr>
        <w:sectPr>
          <w:headerReference r:id="rId16" w:type="default"/>
          <w:footerReference r:id="rId18" w:type="default"/>
          <w:headerReference r:id="rId17" w:type="even"/>
          <w:pgSz w:w="11906" w:h="16838"/>
          <w:pgMar w:top="1531" w:right="1701" w:bottom="1418" w:left="1701" w:header="851" w:footer="992" w:gutter="0"/>
          <w:pgNumType w:fmt="decimal"/>
          <w:cols w:space="425" w:num="1"/>
          <w:docGrid w:type="linesAndChars" w:linePitch="312" w:charSpace="0"/>
        </w:sectPr>
      </w:pPr>
      <w:r>
        <w:rPr>
          <w:rFonts w:hint="eastAsia" w:asciiTheme="minorEastAsia" w:hAnsiTheme="minorEastAsia" w:eastAsiaTheme="minorEastAsia" w:cstheme="minorEastAsia"/>
          <w:bCs/>
          <w:kern w:val="2"/>
          <w:sz w:val="28"/>
          <w:szCs w:val="28"/>
          <w:lang w:val="en-US" w:eastAsia="zh-CN" w:bidi="ar-SA"/>
        </w:rPr>
        <w:t>2023年江西省南昌县银三角良苑小区二期安置房项目专项债券项目实施方案资金充足性分析情况具体如下表3-4及图3-1所示：</w:t>
      </w:r>
    </w:p>
    <w:p w14:paraId="29DEB31D">
      <w:pPr>
        <w:pStyle w:val="20"/>
        <w:spacing w:after="156" w:afterLines="50" w:afterAutospacing="0" w:line="360" w:lineRule="exact"/>
        <w:ind w:firstLine="440" w:firstLineChars="20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表3-</w:t>
      </w: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2022年江西省高质量发展补短板专项债券（十二期）——2022年江西省政府专项债券（二十期）及2022年江西省政府棚户区改造专项债券（七期）——2022年江西省政府专项债券（二十八期）调整债券之南昌县银三角良苑小区二期安置房项目专项债券项目实施方案资金充足性分析情况表</w:t>
      </w:r>
    </w:p>
    <w:p w14:paraId="2AD44F75">
      <w:pPr>
        <w:pStyle w:val="20"/>
        <w:spacing w:before="0" w:beforeAutospacing="0" w:after="0" w:afterAutospacing="0" w:line="360" w:lineRule="exact"/>
        <w:ind w:right="-510" w:rightChars="-243"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003"/>
        <w:gridCol w:w="1351"/>
        <w:gridCol w:w="1244"/>
        <w:gridCol w:w="1244"/>
        <w:gridCol w:w="1244"/>
        <w:gridCol w:w="1244"/>
        <w:gridCol w:w="1244"/>
        <w:gridCol w:w="1244"/>
        <w:gridCol w:w="1244"/>
        <w:gridCol w:w="1233"/>
      </w:tblGrid>
      <w:tr w14:paraId="20B1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49C40D4D">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-序号</w:t>
            </w:r>
          </w:p>
        </w:tc>
        <w:tc>
          <w:tcPr>
            <w:tcW w:w="710" w:type="pct"/>
            <w:shd w:val="clear" w:color="auto" w:fill="auto"/>
            <w:vAlign w:val="center"/>
          </w:tcPr>
          <w:p w14:paraId="70484EC4">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年份</w:t>
            </w:r>
          </w:p>
        </w:tc>
        <w:tc>
          <w:tcPr>
            <w:tcW w:w="479" w:type="pct"/>
            <w:shd w:val="clear" w:color="auto" w:fill="auto"/>
            <w:vAlign w:val="center"/>
          </w:tcPr>
          <w:p w14:paraId="075A86B2">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合计</w:t>
            </w:r>
          </w:p>
        </w:tc>
        <w:tc>
          <w:tcPr>
            <w:tcW w:w="441" w:type="pct"/>
            <w:shd w:val="clear" w:color="auto" w:fill="auto"/>
            <w:vAlign w:val="center"/>
          </w:tcPr>
          <w:p w14:paraId="3A3EC7D0">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2023年</w:t>
            </w:r>
          </w:p>
        </w:tc>
        <w:tc>
          <w:tcPr>
            <w:tcW w:w="441" w:type="pct"/>
            <w:shd w:val="clear" w:color="auto" w:fill="auto"/>
            <w:vAlign w:val="center"/>
          </w:tcPr>
          <w:p w14:paraId="5E0F3C9B">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2024年</w:t>
            </w:r>
          </w:p>
        </w:tc>
        <w:tc>
          <w:tcPr>
            <w:tcW w:w="441" w:type="pct"/>
            <w:shd w:val="clear" w:color="auto" w:fill="auto"/>
            <w:vAlign w:val="center"/>
          </w:tcPr>
          <w:p w14:paraId="432D6B6D">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2025年</w:t>
            </w:r>
          </w:p>
        </w:tc>
        <w:tc>
          <w:tcPr>
            <w:tcW w:w="441" w:type="pct"/>
            <w:shd w:val="clear" w:color="auto" w:fill="auto"/>
            <w:vAlign w:val="center"/>
          </w:tcPr>
          <w:p w14:paraId="6805100D">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2026年</w:t>
            </w:r>
          </w:p>
        </w:tc>
        <w:tc>
          <w:tcPr>
            <w:tcW w:w="441" w:type="pct"/>
            <w:shd w:val="clear" w:color="auto" w:fill="auto"/>
            <w:vAlign w:val="center"/>
          </w:tcPr>
          <w:p w14:paraId="573B9E77">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2027年</w:t>
            </w:r>
          </w:p>
        </w:tc>
        <w:tc>
          <w:tcPr>
            <w:tcW w:w="441" w:type="pct"/>
            <w:shd w:val="clear" w:color="auto" w:fill="auto"/>
            <w:vAlign w:val="center"/>
          </w:tcPr>
          <w:p w14:paraId="277A197E">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2028年</w:t>
            </w:r>
          </w:p>
        </w:tc>
        <w:tc>
          <w:tcPr>
            <w:tcW w:w="441" w:type="pct"/>
            <w:shd w:val="clear" w:color="auto" w:fill="auto"/>
            <w:vAlign w:val="center"/>
          </w:tcPr>
          <w:p w14:paraId="0EFDD1B9">
            <w:pPr>
              <w:widowControl/>
              <w:spacing w:after="0" w:line="240" w:lineRule="auto"/>
              <w:jc w:val="center"/>
              <w:rPr>
                <w:rFonts w:ascii="宋体" w:hAnsi="宋体" w:cs="宋体"/>
                <w:b/>
                <w:bCs/>
                <w:color w:val="000000"/>
                <w:kern w:val="0"/>
                <w:sz w:val="15"/>
                <w:szCs w:val="15"/>
              </w:rPr>
            </w:pPr>
            <w:r>
              <w:rPr>
                <w:rFonts w:hint="eastAsia" w:ascii="宋体" w:hAnsi="宋体"/>
                <w:sz w:val="15"/>
                <w:szCs w:val="15"/>
              </w:rPr>
              <w:t>2029年</w:t>
            </w:r>
          </w:p>
        </w:tc>
        <w:tc>
          <w:tcPr>
            <w:tcW w:w="437" w:type="pct"/>
            <w:vAlign w:val="center"/>
          </w:tcPr>
          <w:p w14:paraId="1781D37D">
            <w:pPr>
              <w:widowControl/>
              <w:spacing w:after="0" w:line="240" w:lineRule="auto"/>
              <w:jc w:val="center"/>
              <w:rPr>
                <w:rFonts w:ascii="宋体" w:hAnsi="宋体"/>
                <w:b/>
                <w:sz w:val="15"/>
                <w:szCs w:val="15"/>
              </w:rPr>
            </w:pPr>
            <w:r>
              <w:rPr>
                <w:rFonts w:hint="eastAsia" w:ascii="宋体" w:hAnsi="宋体"/>
                <w:sz w:val="15"/>
                <w:szCs w:val="15"/>
              </w:rPr>
              <w:t>2030年</w:t>
            </w:r>
          </w:p>
        </w:tc>
      </w:tr>
      <w:tr w14:paraId="7CAE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5AC2CA50">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一</w:t>
            </w:r>
          </w:p>
        </w:tc>
        <w:tc>
          <w:tcPr>
            <w:tcW w:w="710" w:type="pct"/>
            <w:shd w:val="clear" w:color="auto" w:fill="auto"/>
            <w:vAlign w:val="center"/>
          </w:tcPr>
          <w:p w14:paraId="4BF63D6F">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现金流入</w:t>
            </w:r>
          </w:p>
        </w:tc>
        <w:tc>
          <w:tcPr>
            <w:tcW w:w="1330" w:type="dxa"/>
            <w:shd w:val="clear" w:color="auto" w:fill="auto"/>
            <w:vAlign w:val="center"/>
          </w:tcPr>
          <w:p w14:paraId="35973B0F">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77,085.28 </w:t>
            </w:r>
          </w:p>
        </w:tc>
        <w:tc>
          <w:tcPr>
            <w:tcW w:w="1224" w:type="dxa"/>
            <w:shd w:val="clear" w:color="auto" w:fill="auto"/>
            <w:vAlign w:val="center"/>
          </w:tcPr>
          <w:p w14:paraId="24B7D00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5,713.52 </w:t>
            </w:r>
          </w:p>
        </w:tc>
        <w:tc>
          <w:tcPr>
            <w:tcW w:w="1224" w:type="dxa"/>
            <w:shd w:val="clear" w:color="auto" w:fill="auto"/>
            <w:vAlign w:val="center"/>
          </w:tcPr>
          <w:p w14:paraId="2DD23F1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7,913.87 </w:t>
            </w:r>
          </w:p>
        </w:tc>
        <w:tc>
          <w:tcPr>
            <w:tcW w:w="1224" w:type="dxa"/>
            <w:shd w:val="clear" w:color="auto" w:fill="auto"/>
            <w:vAlign w:val="center"/>
          </w:tcPr>
          <w:p w14:paraId="10692DB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4,206.52 </w:t>
            </w:r>
          </w:p>
        </w:tc>
        <w:tc>
          <w:tcPr>
            <w:tcW w:w="1224" w:type="dxa"/>
            <w:shd w:val="clear" w:color="auto" w:fill="auto"/>
            <w:vAlign w:val="center"/>
          </w:tcPr>
          <w:p w14:paraId="3A036D3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3,339.28 </w:t>
            </w:r>
          </w:p>
        </w:tc>
        <w:tc>
          <w:tcPr>
            <w:tcW w:w="1224" w:type="dxa"/>
            <w:shd w:val="clear" w:color="auto" w:fill="auto"/>
            <w:vAlign w:val="center"/>
          </w:tcPr>
          <w:p w14:paraId="7DAD322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55,912.09 </w:t>
            </w:r>
          </w:p>
        </w:tc>
        <w:tc>
          <w:tcPr>
            <w:tcW w:w="1224" w:type="dxa"/>
            <w:shd w:val="clear" w:color="auto" w:fill="auto"/>
            <w:vAlign w:val="center"/>
          </w:tcPr>
          <w:p w14:paraId="0DC718B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CEA460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13" w:type="dxa"/>
            <w:vAlign w:val="center"/>
          </w:tcPr>
          <w:p w14:paraId="6E29214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4166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trPr>
        <w:tc>
          <w:tcPr>
            <w:tcW w:w="287" w:type="pct"/>
            <w:shd w:val="clear" w:color="auto" w:fill="auto"/>
            <w:vAlign w:val="center"/>
          </w:tcPr>
          <w:p w14:paraId="0F3B166C">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w:t>
            </w:r>
          </w:p>
        </w:tc>
        <w:tc>
          <w:tcPr>
            <w:tcW w:w="710" w:type="pct"/>
            <w:shd w:val="clear" w:color="auto" w:fill="auto"/>
            <w:vAlign w:val="center"/>
          </w:tcPr>
          <w:p w14:paraId="61A2F90F">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业务活动现金流入</w:t>
            </w:r>
          </w:p>
        </w:tc>
        <w:tc>
          <w:tcPr>
            <w:tcW w:w="1330" w:type="dxa"/>
            <w:shd w:val="clear" w:color="auto" w:fill="auto"/>
            <w:vAlign w:val="center"/>
          </w:tcPr>
          <w:p w14:paraId="1DC497CD">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54,701.00 </w:t>
            </w:r>
          </w:p>
        </w:tc>
        <w:tc>
          <w:tcPr>
            <w:tcW w:w="1224" w:type="dxa"/>
            <w:shd w:val="clear" w:color="auto" w:fill="auto"/>
            <w:vAlign w:val="center"/>
          </w:tcPr>
          <w:p w14:paraId="490AA97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220EA2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1619C7F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FED4AE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D0F3A5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54,701.00 </w:t>
            </w:r>
          </w:p>
        </w:tc>
        <w:tc>
          <w:tcPr>
            <w:tcW w:w="1224" w:type="dxa"/>
            <w:shd w:val="clear" w:color="auto" w:fill="auto"/>
            <w:vAlign w:val="center"/>
          </w:tcPr>
          <w:p w14:paraId="41CE76F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7282939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13" w:type="dxa"/>
            <w:vAlign w:val="center"/>
          </w:tcPr>
          <w:p w14:paraId="1D7291B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11F7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7C45232D">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1.1</w:t>
            </w:r>
          </w:p>
        </w:tc>
        <w:tc>
          <w:tcPr>
            <w:tcW w:w="710" w:type="pct"/>
            <w:shd w:val="clear" w:color="auto" w:fill="auto"/>
            <w:vAlign w:val="center"/>
          </w:tcPr>
          <w:p w14:paraId="085560B5">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财政补贴收入</w:t>
            </w:r>
          </w:p>
        </w:tc>
        <w:tc>
          <w:tcPr>
            <w:tcW w:w="1330" w:type="dxa"/>
            <w:shd w:val="clear" w:color="auto" w:fill="auto"/>
            <w:vAlign w:val="center"/>
          </w:tcPr>
          <w:p w14:paraId="4F3190D9">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5D680504">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77556C81">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1C622D08">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4B1E2E1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09282CE0">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50FF1D9F">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0AFCA3C7">
            <w:pPr>
              <w:widowControl/>
              <w:spacing w:after="0" w:line="240" w:lineRule="auto"/>
              <w:jc w:val="center"/>
              <w:rPr>
                <w:rFonts w:hint="eastAsia" w:ascii="宋体" w:hAnsi="宋体"/>
                <w:sz w:val="15"/>
                <w:szCs w:val="15"/>
                <w:lang w:val="en-US" w:eastAsia="zh-CN"/>
              </w:rPr>
            </w:pPr>
          </w:p>
        </w:tc>
        <w:tc>
          <w:tcPr>
            <w:tcW w:w="1213" w:type="dxa"/>
            <w:vAlign w:val="center"/>
          </w:tcPr>
          <w:p w14:paraId="6FDF6143">
            <w:pPr>
              <w:widowControl/>
              <w:spacing w:after="0" w:line="240" w:lineRule="auto"/>
              <w:jc w:val="center"/>
              <w:rPr>
                <w:rFonts w:hint="eastAsia" w:ascii="宋体" w:hAnsi="宋体"/>
                <w:sz w:val="15"/>
                <w:szCs w:val="15"/>
                <w:lang w:val="en-US" w:eastAsia="zh-CN"/>
              </w:rPr>
            </w:pPr>
          </w:p>
        </w:tc>
      </w:tr>
      <w:tr w14:paraId="66F2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74DBADFA">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1.2</w:t>
            </w:r>
          </w:p>
        </w:tc>
        <w:tc>
          <w:tcPr>
            <w:tcW w:w="710" w:type="pct"/>
            <w:shd w:val="clear" w:color="auto" w:fill="auto"/>
            <w:vAlign w:val="center"/>
          </w:tcPr>
          <w:p w14:paraId="469FA2F9">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经营收入</w:t>
            </w:r>
          </w:p>
        </w:tc>
        <w:tc>
          <w:tcPr>
            <w:tcW w:w="1330" w:type="dxa"/>
            <w:shd w:val="clear" w:color="auto" w:fill="auto"/>
            <w:vAlign w:val="center"/>
          </w:tcPr>
          <w:p w14:paraId="5189B30E">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54,701.00 </w:t>
            </w:r>
          </w:p>
        </w:tc>
        <w:tc>
          <w:tcPr>
            <w:tcW w:w="1224" w:type="dxa"/>
            <w:shd w:val="clear" w:color="auto" w:fill="auto"/>
            <w:vAlign w:val="center"/>
          </w:tcPr>
          <w:p w14:paraId="4A15FF4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6ADDBFB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bottom"/>
          </w:tcPr>
          <w:p w14:paraId="19636154">
            <w:pPr>
              <w:widowControl/>
              <w:spacing w:after="0" w:line="240" w:lineRule="auto"/>
              <w:jc w:val="center"/>
              <w:rPr>
                <w:rFonts w:hint="eastAsia" w:ascii="宋体" w:hAnsi="宋体"/>
                <w:sz w:val="15"/>
                <w:szCs w:val="15"/>
                <w:lang w:val="en-US" w:eastAsia="zh-CN"/>
              </w:rPr>
            </w:pPr>
          </w:p>
        </w:tc>
        <w:tc>
          <w:tcPr>
            <w:tcW w:w="1224" w:type="dxa"/>
            <w:shd w:val="clear" w:color="auto" w:fill="auto"/>
            <w:vAlign w:val="bottom"/>
          </w:tcPr>
          <w:p w14:paraId="1310B6D5">
            <w:pPr>
              <w:widowControl/>
              <w:spacing w:after="0" w:line="240" w:lineRule="auto"/>
              <w:jc w:val="center"/>
              <w:rPr>
                <w:rFonts w:hint="eastAsia" w:ascii="宋体" w:hAnsi="宋体"/>
                <w:sz w:val="15"/>
                <w:szCs w:val="15"/>
                <w:lang w:val="en-US" w:eastAsia="zh-CN"/>
              </w:rPr>
            </w:pPr>
          </w:p>
        </w:tc>
        <w:tc>
          <w:tcPr>
            <w:tcW w:w="1224" w:type="dxa"/>
            <w:shd w:val="clear" w:color="auto" w:fill="auto"/>
            <w:vAlign w:val="bottom"/>
          </w:tcPr>
          <w:p w14:paraId="35E773C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54,701.00</w:t>
            </w:r>
          </w:p>
        </w:tc>
        <w:tc>
          <w:tcPr>
            <w:tcW w:w="1224" w:type="dxa"/>
            <w:shd w:val="clear" w:color="auto" w:fill="auto"/>
            <w:noWrap/>
            <w:vAlign w:val="bottom"/>
          </w:tcPr>
          <w:p w14:paraId="74B624EA">
            <w:pPr>
              <w:widowControl/>
              <w:spacing w:after="0" w:line="240" w:lineRule="auto"/>
              <w:jc w:val="center"/>
              <w:rPr>
                <w:rFonts w:hint="eastAsia" w:ascii="宋体" w:hAnsi="宋体"/>
                <w:sz w:val="15"/>
                <w:szCs w:val="15"/>
                <w:lang w:val="en-US" w:eastAsia="zh-CN"/>
              </w:rPr>
            </w:pPr>
          </w:p>
        </w:tc>
        <w:tc>
          <w:tcPr>
            <w:tcW w:w="1224" w:type="dxa"/>
            <w:shd w:val="clear" w:color="auto" w:fill="auto"/>
            <w:noWrap/>
            <w:vAlign w:val="bottom"/>
          </w:tcPr>
          <w:p w14:paraId="1555FF05">
            <w:pPr>
              <w:widowControl/>
              <w:spacing w:after="0" w:line="240" w:lineRule="auto"/>
              <w:jc w:val="center"/>
              <w:rPr>
                <w:rFonts w:hint="eastAsia" w:ascii="宋体" w:hAnsi="宋体"/>
                <w:sz w:val="15"/>
                <w:szCs w:val="15"/>
                <w:lang w:val="en-US" w:eastAsia="zh-CN"/>
              </w:rPr>
            </w:pPr>
          </w:p>
        </w:tc>
        <w:tc>
          <w:tcPr>
            <w:tcW w:w="1213" w:type="dxa"/>
            <w:vAlign w:val="bottom"/>
          </w:tcPr>
          <w:p w14:paraId="3C0E26D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6A72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287" w:type="pct"/>
            <w:shd w:val="clear" w:color="auto" w:fill="auto"/>
            <w:vAlign w:val="center"/>
          </w:tcPr>
          <w:p w14:paraId="5D86A1AF">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2</w:t>
            </w:r>
          </w:p>
        </w:tc>
        <w:tc>
          <w:tcPr>
            <w:tcW w:w="710" w:type="pct"/>
            <w:shd w:val="clear" w:color="auto" w:fill="auto"/>
            <w:vAlign w:val="center"/>
          </w:tcPr>
          <w:p w14:paraId="5DA6D2B0">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融资活动现金流入</w:t>
            </w:r>
          </w:p>
        </w:tc>
        <w:tc>
          <w:tcPr>
            <w:tcW w:w="1330" w:type="dxa"/>
            <w:shd w:val="clear" w:color="auto" w:fill="auto"/>
            <w:vAlign w:val="center"/>
          </w:tcPr>
          <w:p w14:paraId="393798F7">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13,735.00 </w:t>
            </w:r>
          </w:p>
        </w:tc>
        <w:tc>
          <w:tcPr>
            <w:tcW w:w="1224" w:type="dxa"/>
            <w:shd w:val="clear" w:color="auto" w:fill="auto"/>
            <w:vAlign w:val="center"/>
          </w:tcPr>
          <w:p w14:paraId="4B24623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c>
          <w:tcPr>
            <w:tcW w:w="1224" w:type="dxa"/>
            <w:shd w:val="clear" w:color="auto" w:fill="auto"/>
            <w:vAlign w:val="center"/>
          </w:tcPr>
          <w:p w14:paraId="26FD8A0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4,400.00 </w:t>
            </w:r>
          </w:p>
        </w:tc>
        <w:tc>
          <w:tcPr>
            <w:tcW w:w="1224" w:type="dxa"/>
            <w:shd w:val="clear" w:color="auto" w:fill="auto"/>
            <w:vAlign w:val="center"/>
          </w:tcPr>
          <w:p w14:paraId="435975E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3,500.00 </w:t>
            </w:r>
          </w:p>
        </w:tc>
        <w:tc>
          <w:tcPr>
            <w:tcW w:w="1224" w:type="dxa"/>
            <w:shd w:val="clear" w:color="auto" w:fill="auto"/>
            <w:vAlign w:val="center"/>
          </w:tcPr>
          <w:p w14:paraId="1FB1FF4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c>
          <w:tcPr>
            <w:tcW w:w="1224" w:type="dxa"/>
            <w:shd w:val="clear" w:color="auto" w:fill="auto"/>
            <w:vAlign w:val="center"/>
          </w:tcPr>
          <w:p w14:paraId="502E900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835.00 </w:t>
            </w:r>
          </w:p>
        </w:tc>
        <w:tc>
          <w:tcPr>
            <w:tcW w:w="1224" w:type="dxa"/>
            <w:shd w:val="clear" w:color="auto" w:fill="auto"/>
            <w:vAlign w:val="center"/>
          </w:tcPr>
          <w:p w14:paraId="071C15E2">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66BE820C">
            <w:pPr>
              <w:widowControl/>
              <w:spacing w:after="0" w:line="240" w:lineRule="auto"/>
              <w:jc w:val="center"/>
              <w:rPr>
                <w:rFonts w:hint="eastAsia" w:ascii="宋体" w:hAnsi="宋体"/>
                <w:sz w:val="15"/>
                <w:szCs w:val="15"/>
                <w:lang w:val="en-US" w:eastAsia="zh-CN"/>
              </w:rPr>
            </w:pPr>
          </w:p>
        </w:tc>
        <w:tc>
          <w:tcPr>
            <w:tcW w:w="1213" w:type="dxa"/>
            <w:vAlign w:val="center"/>
          </w:tcPr>
          <w:p w14:paraId="589C8BB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1775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2F3B04C7">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2.1</w:t>
            </w:r>
          </w:p>
        </w:tc>
        <w:tc>
          <w:tcPr>
            <w:tcW w:w="710" w:type="pct"/>
            <w:shd w:val="clear" w:color="auto" w:fill="auto"/>
            <w:vAlign w:val="center"/>
          </w:tcPr>
          <w:p w14:paraId="3DAC13E7">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债券融资款</w:t>
            </w:r>
          </w:p>
        </w:tc>
        <w:tc>
          <w:tcPr>
            <w:tcW w:w="1330" w:type="dxa"/>
            <w:shd w:val="clear" w:color="auto" w:fill="auto"/>
            <w:vAlign w:val="center"/>
          </w:tcPr>
          <w:p w14:paraId="53093C4B">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13,735.00 </w:t>
            </w:r>
          </w:p>
        </w:tc>
        <w:tc>
          <w:tcPr>
            <w:tcW w:w="1224" w:type="dxa"/>
            <w:shd w:val="clear" w:color="auto" w:fill="auto"/>
            <w:vAlign w:val="center"/>
          </w:tcPr>
          <w:p w14:paraId="4F39DD4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c>
          <w:tcPr>
            <w:tcW w:w="1224" w:type="dxa"/>
            <w:shd w:val="clear" w:color="auto" w:fill="auto"/>
            <w:vAlign w:val="center"/>
          </w:tcPr>
          <w:p w14:paraId="6155916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4,400.00 </w:t>
            </w:r>
          </w:p>
        </w:tc>
        <w:tc>
          <w:tcPr>
            <w:tcW w:w="1224" w:type="dxa"/>
            <w:shd w:val="clear" w:color="auto" w:fill="auto"/>
            <w:vAlign w:val="center"/>
          </w:tcPr>
          <w:p w14:paraId="7DB4B22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3,500.00 </w:t>
            </w:r>
          </w:p>
        </w:tc>
        <w:tc>
          <w:tcPr>
            <w:tcW w:w="1224" w:type="dxa"/>
            <w:shd w:val="clear" w:color="auto" w:fill="auto"/>
            <w:vAlign w:val="center"/>
          </w:tcPr>
          <w:p w14:paraId="1ED82DD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c>
          <w:tcPr>
            <w:tcW w:w="1224" w:type="dxa"/>
            <w:shd w:val="clear" w:color="auto" w:fill="auto"/>
            <w:vAlign w:val="center"/>
          </w:tcPr>
          <w:p w14:paraId="065A7D5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835.00 </w:t>
            </w:r>
          </w:p>
        </w:tc>
        <w:tc>
          <w:tcPr>
            <w:tcW w:w="1224" w:type="dxa"/>
            <w:shd w:val="clear" w:color="auto" w:fill="auto"/>
            <w:vAlign w:val="center"/>
          </w:tcPr>
          <w:p w14:paraId="49288314">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1248F6FB">
            <w:pPr>
              <w:widowControl/>
              <w:spacing w:after="0" w:line="240" w:lineRule="auto"/>
              <w:jc w:val="center"/>
              <w:rPr>
                <w:rFonts w:hint="eastAsia" w:ascii="宋体" w:hAnsi="宋体"/>
                <w:sz w:val="15"/>
                <w:szCs w:val="15"/>
                <w:lang w:val="en-US" w:eastAsia="zh-CN"/>
              </w:rPr>
            </w:pPr>
          </w:p>
        </w:tc>
        <w:tc>
          <w:tcPr>
            <w:tcW w:w="1213" w:type="dxa"/>
            <w:vAlign w:val="center"/>
          </w:tcPr>
          <w:p w14:paraId="1B976101">
            <w:pPr>
              <w:widowControl/>
              <w:spacing w:after="0" w:line="240" w:lineRule="auto"/>
              <w:jc w:val="center"/>
              <w:rPr>
                <w:rFonts w:hint="eastAsia" w:ascii="宋体" w:hAnsi="宋体"/>
                <w:sz w:val="15"/>
                <w:szCs w:val="15"/>
                <w:lang w:val="en-US" w:eastAsia="zh-CN"/>
              </w:rPr>
            </w:pPr>
          </w:p>
        </w:tc>
      </w:tr>
      <w:tr w14:paraId="0B15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6417250D">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2.2</w:t>
            </w:r>
          </w:p>
        </w:tc>
        <w:tc>
          <w:tcPr>
            <w:tcW w:w="710" w:type="pct"/>
            <w:shd w:val="clear" w:color="auto" w:fill="auto"/>
            <w:vAlign w:val="center"/>
          </w:tcPr>
          <w:p w14:paraId="1E391F88">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其他融资款</w:t>
            </w:r>
          </w:p>
        </w:tc>
        <w:tc>
          <w:tcPr>
            <w:tcW w:w="1330" w:type="dxa"/>
            <w:shd w:val="clear" w:color="auto" w:fill="auto"/>
            <w:vAlign w:val="center"/>
          </w:tcPr>
          <w:p w14:paraId="48E22E9A">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13BF3C6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C95813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F9DF923">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24C2BA9F">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302FB17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0BDA0CA6">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36C392D8">
            <w:pPr>
              <w:widowControl/>
              <w:spacing w:after="0" w:line="240" w:lineRule="auto"/>
              <w:jc w:val="center"/>
              <w:rPr>
                <w:rFonts w:hint="eastAsia" w:ascii="宋体" w:hAnsi="宋体"/>
                <w:sz w:val="15"/>
                <w:szCs w:val="15"/>
                <w:lang w:val="en-US" w:eastAsia="zh-CN"/>
              </w:rPr>
            </w:pPr>
          </w:p>
        </w:tc>
        <w:tc>
          <w:tcPr>
            <w:tcW w:w="1213" w:type="dxa"/>
            <w:vAlign w:val="center"/>
          </w:tcPr>
          <w:p w14:paraId="7CF06221">
            <w:pPr>
              <w:widowControl/>
              <w:spacing w:after="0" w:line="240" w:lineRule="auto"/>
              <w:jc w:val="center"/>
              <w:rPr>
                <w:rFonts w:hint="eastAsia" w:ascii="宋体" w:hAnsi="宋体"/>
                <w:sz w:val="15"/>
                <w:szCs w:val="15"/>
                <w:lang w:val="en-US" w:eastAsia="zh-CN"/>
              </w:rPr>
            </w:pPr>
          </w:p>
        </w:tc>
      </w:tr>
      <w:tr w14:paraId="1EFF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3F5B0717">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w:t>
            </w:r>
          </w:p>
        </w:tc>
        <w:tc>
          <w:tcPr>
            <w:tcW w:w="710" w:type="pct"/>
            <w:shd w:val="clear" w:color="auto" w:fill="auto"/>
            <w:vAlign w:val="center"/>
          </w:tcPr>
          <w:p w14:paraId="0F2F1715">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资本金投入</w:t>
            </w:r>
          </w:p>
        </w:tc>
        <w:tc>
          <w:tcPr>
            <w:tcW w:w="1330" w:type="dxa"/>
            <w:shd w:val="clear" w:color="auto" w:fill="auto"/>
            <w:vAlign w:val="center"/>
          </w:tcPr>
          <w:p w14:paraId="00AB99B5">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8,649.28 </w:t>
            </w:r>
          </w:p>
        </w:tc>
        <w:tc>
          <w:tcPr>
            <w:tcW w:w="1224" w:type="dxa"/>
            <w:shd w:val="clear" w:color="auto" w:fill="auto"/>
            <w:vAlign w:val="center"/>
          </w:tcPr>
          <w:p w14:paraId="1D5B09F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3,213.52 </w:t>
            </w:r>
          </w:p>
        </w:tc>
        <w:tc>
          <w:tcPr>
            <w:tcW w:w="1224" w:type="dxa"/>
            <w:shd w:val="clear" w:color="auto" w:fill="auto"/>
            <w:vAlign w:val="center"/>
          </w:tcPr>
          <w:p w14:paraId="068CECA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3,513.87 </w:t>
            </w:r>
          </w:p>
        </w:tc>
        <w:tc>
          <w:tcPr>
            <w:tcW w:w="1224" w:type="dxa"/>
            <w:shd w:val="clear" w:color="auto" w:fill="auto"/>
            <w:vAlign w:val="center"/>
          </w:tcPr>
          <w:p w14:paraId="3B2AA65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706.52 </w:t>
            </w:r>
          </w:p>
        </w:tc>
        <w:tc>
          <w:tcPr>
            <w:tcW w:w="1224" w:type="dxa"/>
            <w:shd w:val="clear" w:color="auto" w:fill="auto"/>
            <w:vAlign w:val="center"/>
          </w:tcPr>
          <w:p w14:paraId="52BB424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839.28 </w:t>
            </w:r>
          </w:p>
        </w:tc>
        <w:tc>
          <w:tcPr>
            <w:tcW w:w="1224" w:type="dxa"/>
            <w:shd w:val="clear" w:color="auto" w:fill="auto"/>
            <w:vAlign w:val="center"/>
          </w:tcPr>
          <w:p w14:paraId="09B4F39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376.09 </w:t>
            </w:r>
          </w:p>
        </w:tc>
        <w:tc>
          <w:tcPr>
            <w:tcW w:w="1224" w:type="dxa"/>
            <w:shd w:val="clear" w:color="auto" w:fill="auto"/>
            <w:vAlign w:val="center"/>
          </w:tcPr>
          <w:p w14:paraId="484B4C84">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27860565">
            <w:pPr>
              <w:widowControl/>
              <w:spacing w:after="0" w:line="240" w:lineRule="auto"/>
              <w:jc w:val="center"/>
              <w:rPr>
                <w:rFonts w:hint="eastAsia" w:ascii="宋体" w:hAnsi="宋体"/>
                <w:sz w:val="15"/>
                <w:szCs w:val="15"/>
                <w:lang w:val="en-US" w:eastAsia="zh-CN"/>
              </w:rPr>
            </w:pPr>
          </w:p>
        </w:tc>
        <w:tc>
          <w:tcPr>
            <w:tcW w:w="1213" w:type="dxa"/>
            <w:vAlign w:val="center"/>
          </w:tcPr>
          <w:p w14:paraId="130D6FF6">
            <w:pPr>
              <w:widowControl/>
              <w:spacing w:after="0" w:line="240" w:lineRule="auto"/>
              <w:jc w:val="center"/>
              <w:rPr>
                <w:rFonts w:hint="eastAsia" w:ascii="宋体" w:hAnsi="宋体"/>
                <w:sz w:val="15"/>
                <w:szCs w:val="15"/>
                <w:lang w:val="en-US" w:eastAsia="zh-CN"/>
              </w:rPr>
            </w:pPr>
          </w:p>
        </w:tc>
      </w:tr>
      <w:tr w14:paraId="331F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63E7DA57">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二</w:t>
            </w:r>
          </w:p>
        </w:tc>
        <w:tc>
          <w:tcPr>
            <w:tcW w:w="710" w:type="pct"/>
            <w:shd w:val="clear" w:color="auto" w:fill="auto"/>
            <w:vAlign w:val="center"/>
          </w:tcPr>
          <w:p w14:paraId="1114C937">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现金流出</w:t>
            </w:r>
          </w:p>
        </w:tc>
        <w:tc>
          <w:tcPr>
            <w:tcW w:w="1330" w:type="dxa"/>
            <w:shd w:val="clear" w:color="auto" w:fill="auto"/>
            <w:vAlign w:val="center"/>
          </w:tcPr>
          <w:p w14:paraId="58C12685">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39,547.02 </w:t>
            </w:r>
          </w:p>
        </w:tc>
        <w:tc>
          <w:tcPr>
            <w:tcW w:w="1224" w:type="dxa"/>
            <w:shd w:val="clear" w:color="auto" w:fill="auto"/>
            <w:vAlign w:val="center"/>
          </w:tcPr>
          <w:p w14:paraId="6769305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5,713.52 </w:t>
            </w:r>
          </w:p>
        </w:tc>
        <w:tc>
          <w:tcPr>
            <w:tcW w:w="1224" w:type="dxa"/>
            <w:shd w:val="clear" w:color="auto" w:fill="auto"/>
            <w:vAlign w:val="center"/>
          </w:tcPr>
          <w:p w14:paraId="517C6BB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7,913.87 </w:t>
            </w:r>
          </w:p>
        </w:tc>
        <w:tc>
          <w:tcPr>
            <w:tcW w:w="1224" w:type="dxa"/>
            <w:shd w:val="clear" w:color="auto" w:fill="auto"/>
            <w:vAlign w:val="center"/>
          </w:tcPr>
          <w:p w14:paraId="1CBDB92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4,206.52 </w:t>
            </w:r>
          </w:p>
        </w:tc>
        <w:tc>
          <w:tcPr>
            <w:tcW w:w="1224" w:type="dxa"/>
            <w:shd w:val="clear" w:color="auto" w:fill="auto"/>
            <w:vAlign w:val="center"/>
          </w:tcPr>
          <w:p w14:paraId="0B7A65F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3,339.28 </w:t>
            </w:r>
          </w:p>
        </w:tc>
        <w:tc>
          <w:tcPr>
            <w:tcW w:w="1224" w:type="dxa"/>
            <w:shd w:val="clear" w:color="auto" w:fill="auto"/>
            <w:vAlign w:val="center"/>
          </w:tcPr>
          <w:p w14:paraId="704FDFA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2,536.74 </w:t>
            </w:r>
          </w:p>
        </w:tc>
        <w:tc>
          <w:tcPr>
            <w:tcW w:w="1224" w:type="dxa"/>
            <w:shd w:val="clear" w:color="auto" w:fill="auto"/>
            <w:vAlign w:val="center"/>
          </w:tcPr>
          <w:p w14:paraId="30F69F6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478.15 </w:t>
            </w:r>
          </w:p>
        </w:tc>
        <w:tc>
          <w:tcPr>
            <w:tcW w:w="1224" w:type="dxa"/>
            <w:shd w:val="clear" w:color="auto" w:fill="auto"/>
            <w:vAlign w:val="center"/>
          </w:tcPr>
          <w:p w14:paraId="5F7B19A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2,898.83 </w:t>
            </w:r>
          </w:p>
        </w:tc>
        <w:tc>
          <w:tcPr>
            <w:tcW w:w="1213" w:type="dxa"/>
            <w:vAlign w:val="center"/>
          </w:tcPr>
          <w:p w14:paraId="58B74C6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2,904.83 </w:t>
            </w:r>
          </w:p>
        </w:tc>
      </w:tr>
      <w:tr w14:paraId="21D9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1" w:hRule="atLeast"/>
        </w:trPr>
        <w:tc>
          <w:tcPr>
            <w:tcW w:w="287" w:type="pct"/>
            <w:shd w:val="clear" w:color="auto" w:fill="auto"/>
            <w:vAlign w:val="center"/>
          </w:tcPr>
          <w:p w14:paraId="0696C151">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w:t>
            </w:r>
          </w:p>
        </w:tc>
        <w:tc>
          <w:tcPr>
            <w:tcW w:w="710" w:type="pct"/>
            <w:shd w:val="clear" w:color="auto" w:fill="auto"/>
            <w:vAlign w:val="center"/>
          </w:tcPr>
          <w:p w14:paraId="4BD827AA">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业务活动现金流出</w:t>
            </w:r>
          </w:p>
        </w:tc>
        <w:tc>
          <w:tcPr>
            <w:tcW w:w="1330" w:type="dxa"/>
            <w:shd w:val="clear" w:color="auto" w:fill="auto"/>
            <w:vAlign w:val="center"/>
          </w:tcPr>
          <w:p w14:paraId="67E16D2B">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1,094.02 </w:t>
            </w:r>
          </w:p>
        </w:tc>
        <w:tc>
          <w:tcPr>
            <w:tcW w:w="1224" w:type="dxa"/>
            <w:shd w:val="clear" w:color="auto" w:fill="auto"/>
            <w:vAlign w:val="center"/>
          </w:tcPr>
          <w:p w14:paraId="0B3AFBE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E65585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C2DF5E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37E28A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76ED3D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1,094.02 </w:t>
            </w:r>
          </w:p>
        </w:tc>
        <w:tc>
          <w:tcPr>
            <w:tcW w:w="1224" w:type="dxa"/>
            <w:shd w:val="clear" w:color="auto" w:fill="auto"/>
            <w:vAlign w:val="center"/>
          </w:tcPr>
          <w:p w14:paraId="79B6446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B5C0E9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13" w:type="dxa"/>
            <w:vAlign w:val="center"/>
          </w:tcPr>
          <w:p w14:paraId="0ACE3CC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6107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1B9467D6">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1.1</w:t>
            </w:r>
          </w:p>
        </w:tc>
        <w:tc>
          <w:tcPr>
            <w:tcW w:w="710" w:type="pct"/>
            <w:shd w:val="clear" w:color="auto" w:fill="auto"/>
            <w:vAlign w:val="center"/>
          </w:tcPr>
          <w:p w14:paraId="6DE27215">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运营成本</w:t>
            </w:r>
          </w:p>
        </w:tc>
        <w:tc>
          <w:tcPr>
            <w:tcW w:w="1330" w:type="dxa"/>
            <w:shd w:val="clear" w:color="auto" w:fill="auto"/>
            <w:vAlign w:val="center"/>
          </w:tcPr>
          <w:p w14:paraId="21F1E018">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1,094.02 </w:t>
            </w:r>
          </w:p>
        </w:tc>
        <w:tc>
          <w:tcPr>
            <w:tcW w:w="1224" w:type="dxa"/>
            <w:shd w:val="clear" w:color="auto" w:fill="auto"/>
            <w:vAlign w:val="center"/>
          </w:tcPr>
          <w:p w14:paraId="0BF1C2B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D295E5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B71EB9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1A6B61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65E2FEE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1,094.02 </w:t>
            </w:r>
          </w:p>
        </w:tc>
        <w:tc>
          <w:tcPr>
            <w:tcW w:w="1224" w:type="dxa"/>
            <w:shd w:val="clear" w:color="auto" w:fill="auto"/>
            <w:noWrap/>
            <w:vAlign w:val="bottom"/>
          </w:tcPr>
          <w:p w14:paraId="69229EF8">
            <w:pPr>
              <w:widowControl/>
              <w:spacing w:after="0" w:line="240" w:lineRule="auto"/>
              <w:jc w:val="center"/>
              <w:rPr>
                <w:rFonts w:hint="eastAsia" w:ascii="宋体" w:hAnsi="宋体"/>
                <w:sz w:val="15"/>
                <w:szCs w:val="15"/>
                <w:lang w:val="en-US" w:eastAsia="zh-CN"/>
              </w:rPr>
            </w:pPr>
          </w:p>
        </w:tc>
        <w:tc>
          <w:tcPr>
            <w:tcW w:w="1224" w:type="dxa"/>
            <w:shd w:val="clear" w:color="auto" w:fill="auto"/>
            <w:noWrap/>
            <w:vAlign w:val="bottom"/>
          </w:tcPr>
          <w:p w14:paraId="4B40A8CF">
            <w:pPr>
              <w:widowControl/>
              <w:spacing w:after="0" w:line="240" w:lineRule="auto"/>
              <w:jc w:val="center"/>
              <w:rPr>
                <w:rFonts w:hint="eastAsia" w:ascii="宋体" w:hAnsi="宋体"/>
                <w:sz w:val="15"/>
                <w:szCs w:val="15"/>
                <w:lang w:val="en-US" w:eastAsia="zh-CN"/>
              </w:rPr>
            </w:pPr>
          </w:p>
        </w:tc>
        <w:tc>
          <w:tcPr>
            <w:tcW w:w="1213" w:type="dxa"/>
            <w:vAlign w:val="bottom"/>
          </w:tcPr>
          <w:p w14:paraId="5EB500F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49B1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61DB102B">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1.2</w:t>
            </w:r>
          </w:p>
        </w:tc>
        <w:tc>
          <w:tcPr>
            <w:tcW w:w="710" w:type="pct"/>
            <w:shd w:val="clear" w:color="auto" w:fill="auto"/>
            <w:vAlign w:val="center"/>
          </w:tcPr>
          <w:p w14:paraId="1B552A0C">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税金支出</w:t>
            </w:r>
          </w:p>
        </w:tc>
        <w:tc>
          <w:tcPr>
            <w:tcW w:w="1330" w:type="dxa"/>
            <w:shd w:val="clear" w:color="auto" w:fill="auto"/>
            <w:vAlign w:val="center"/>
          </w:tcPr>
          <w:p w14:paraId="765A6681">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0E0FC02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45CE97C">
            <w:pPr>
              <w:widowControl/>
              <w:spacing w:after="0" w:line="240" w:lineRule="auto"/>
              <w:jc w:val="center"/>
              <w:rPr>
                <w:rFonts w:hint="eastAsia" w:ascii="宋体" w:hAnsi="宋体"/>
                <w:sz w:val="15"/>
                <w:szCs w:val="15"/>
                <w:lang w:val="en-US" w:eastAsia="zh-CN"/>
              </w:rPr>
            </w:pPr>
          </w:p>
        </w:tc>
        <w:tc>
          <w:tcPr>
            <w:tcW w:w="1224" w:type="dxa"/>
            <w:shd w:val="clear" w:color="auto" w:fill="auto"/>
            <w:vAlign w:val="bottom"/>
          </w:tcPr>
          <w:p w14:paraId="56ABD78A">
            <w:pPr>
              <w:widowControl/>
              <w:spacing w:after="0" w:line="240" w:lineRule="auto"/>
              <w:jc w:val="center"/>
              <w:rPr>
                <w:rFonts w:hint="eastAsia" w:ascii="宋体" w:hAnsi="宋体"/>
                <w:sz w:val="15"/>
                <w:szCs w:val="15"/>
                <w:lang w:val="en-US" w:eastAsia="zh-CN"/>
              </w:rPr>
            </w:pPr>
          </w:p>
        </w:tc>
        <w:tc>
          <w:tcPr>
            <w:tcW w:w="1224" w:type="dxa"/>
            <w:shd w:val="clear" w:color="auto" w:fill="auto"/>
            <w:vAlign w:val="bottom"/>
          </w:tcPr>
          <w:p w14:paraId="262FB3B6">
            <w:pPr>
              <w:widowControl/>
              <w:spacing w:after="0" w:line="240" w:lineRule="auto"/>
              <w:jc w:val="center"/>
              <w:rPr>
                <w:rFonts w:hint="eastAsia" w:ascii="宋体" w:hAnsi="宋体"/>
                <w:sz w:val="15"/>
                <w:szCs w:val="15"/>
                <w:lang w:val="en-US" w:eastAsia="zh-CN"/>
              </w:rPr>
            </w:pPr>
          </w:p>
        </w:tc>
        <w:tc>
          <w:tcPr>
            <w:tcW w:w="1224" w:type="dxa"/>
            <w:shd w:val="clear" w:color="auto" w:fill="auto"/>
            <w:vAlign w:val="bottom"/>
          </w:tcPr>
          <w:p w14:paraId="6B568436">
            <w:pPr>
              <w:widowControl/>
              <w:spacing w:after="0" w:line="240" w:lineRule="auto"/>
              <w:jc w:val="center"/>
              <w:rPr>
                <w:rFonts w:hint="eastAsia" w:ascii="宋体" w:hAnsi="宋体"/>
                <w:sz w:val="15"/>
                <w:szCs w:val="15"/>
                <w:lang w:val="en-US" w:eastAsia="zh-CN"/>
              </w:rPr>
            </w:pPr>
          </w:p>
        </w:tc>
        <w:tc>
          <w:tcPr>
            <w:tcW w:w="1224" w:type="dxa"/>
            <w:shd w:val="clear" w:color="auto" w:fill="auto"/>
            <w:noWrap/>
            <w:vAlign w:val="bottom"/>
          </w:tcPr>
          <w:p w14:paraId="23F96EF7">
            <w:pPr>
              <w:widowControl/>
              <w:spacing w:after="0" w:line="240" w:lineRule="auto"/>
              <w:jc w:val="center"/>
              <w:rPr>
                <w:rFonts w:hint="eastAsia" w:ascii="宋体" w:hAnsi="宋体"/>
                <w:sz w:val="15"/>
                <w:szCs w:val="15"/>
                <w:lang w:val="en-US" w:eastAsia="zh-CN"/>
              </w:rPr>
            </w:pPr>
          </w:p>
        </w:tc>
        <w:tc>
          <w:tcPr>
            <w:tcW w:w="1224" w:type="dxa"/>
            <w:shd w:val="clear" w:color="auto" w:fill="auto"/>
            <w:noWrap/>
            <w:vAlign w:val="bottom"/>
          </w:tcPr>
          <w:p w14:paraId="7F732B19">
            <w:pPr>
              <w:widowControl/>
              <w:spacing w:after="0" w:line="240" w:lineRule="auto"/>
              <w:jc w:val="center"/>
              <w:rPr>
                <w:rFonts w:hint="eastAsia" w:ascii="宋体" w:hAnsi="宋体"/>
                <w:sz w:val="15"/>
                <w:szCs w:val="15"/>
                <w:lang w:val="en-US" w:eastAsia="zh-CN"/>
              </w:rPr>
            </w:pPr>
          </w:p>
        </w:tc>
        <w:tc>
          <w:tcPr>
            <w:tcW w:w="1213" w:type="dxa"/>
            <w:vAlign w:val="bottom"/>
          </w:tcPr>
          <w:p w14:paraId="2B94A55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726D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287" w:type="pct"/>
            <w:shd w:val="clear" w:color="auto" w:fill="auto"/>
            <w:vAlign w:val="center"/>
          </w:tcPr>
          <w:p w14:paraId="4DA7A854">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2</w:t>
            </w:r>
          </w:p>
        </w:tc>
        <w:tc>
          <w:tcPr>
            <w:tcW w:w="710" w:type="pct"/>
            <w:shd w:val="clear" w:color="auto" w:fill="auto"/>
            <w:vAlign w:val="center"/>
          </w:tcPr>
          <w:p w14:paraId="22DDE18D">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建设投资现金流出</w:t>
            </w:r>
          </w:p>
        </w:tc>
        <w:tc>
          <w:tcPr>
            <w:tcW w:w="1330" w:type="dxa"/>
            <w:shd w:val="clear" w:color="auto" w:fill="auto"/>
            <w:vAlign w:val="center"/>
          </w:tcPr>
          <w:p w14:paraId="33C6F47A">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21,130.71 </w:t>
            </w:r>
          </w:p>
        </w:tc>
        <w:tc>
          <w:tcPr>
            <w:tcW w:w="1224" w:type="dxa"/>
            <w:shd w:val="clear" w:color="auto" w:fill="auto"/>
            <w:vAlign w:val="center"/>
          </w:tcPr>
          <w:p w14:paraId="550F138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5,711.02 </w:t>
            </w:r>
          </w:p>
        </w:tc>
        <w:tc>
          <w:tcPr>
            <w:tcW w:w="1224" w:type="dxa"/>
            <w:shd w:val="clear" w:color="auto" w:fill="auto"/>
            <w:vAlign w:val="center"/>
          </w:tcPr>
          <w:p w14:paraId="52ABB61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7,709.84 </w:t>
            </w:r>
          </w:p>
        </w:tc>
        <w:tc>
          <w:tcPr>
            <w:tcW w:w="1224" w:type="dxa"/>
            <w:shd w:val="clear" w:color="auto" w:fill="auto"/>
            <w:vAlign w:val="center"/>
          </w:tcPr>
          <w:p w14:paraId="5C1801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3,854.93 </w:t>
            </w:r>
          </w:p>
        </w:tc>
        <w:tc>
          <w:tcPr>
            <w:tcW w:w="1224" w:type="dxa"/>
            <w:shd w:val="clear" w:color="auto" w:fill="auto"/>
            <w:vAlign w:val="center"/>
          </w:tcPr>
          <w:p w14:paraId="3AAA0A5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2,891.19 </w:t>
            </w:r>
          </w:p>
        </w:tc>
        <w:tc>
          <w:tcPr>
            <w:tcW w:w="1224" w:type="dxa"/>
            <w:shd w:val="clear" w:color="auto" w:fill="auto"/>
            <w:vAlign w:val="center"/>
          </w:tcPr>
          <w:p w14:paraId="2844532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963.73 </w:t>
            </w:r>
          </w:p>
        </w:tc>
        <w:tc>
          <w:tcPr>
            <w:tcW w:w="1224" w:type="dxa"/>
            <w:shd w:val="clear" w:color="auto" w:fill="auto"/>
            <w:vAlign w:val="center"/>
          </w:tcPr>
          <w:p w14:paraId="02140E5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4C7E80C1">
            <w:pPr>
              <w:widowControl/>
              <w:spacing w:after="0" w:line="240" w:lineRule="auto"/>
              <w:jc w:val="center"/>
              <w:rPr>
                <w:rFonts w:hint="eastAsia" w:ascii="宋体" w:hAnsi="宋体"/>
                <w:sz w:val="15"/>
                <w:szCs w:val="15"/>
                <w:lang w:val="en-US" w:eastAsia="zh-CN"/>
              </w:rPr>
            </w:pPr>
          </w:p>
        </w:tc>
        <w:tc>
          <w:tcPr>
            <w:tcW w:w="1213" w:type="dxa"/>
            <w:vAlign w:val="center"/>
          </w:tcPr>
          <w:p w14:paraId="29107273">
            <w:pPr>
              <w:widowControl/>
              <w:spacing w:after="0" w:line="240" w:lineRule="auto"/>
              <w:jc w:val="center"/>
              <w:rPr>
                <w:rFonts w:hint="eastAsia" w:ascii="宋体" w:hAnsi="宋体"/>
                <w:sz w:val="15"/>
                <w:szCs w:val="15"/>
                <w:lang w:val="en-US" w:eastAsia="zh-CN"/>
              </w:rPr>
            </w:pPr>
          </w:p>
        </w:tc>
      </w:tr>
      <w:tr w14:paraId="77BF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287" w:type="pct"/>
            <w:shd w:val="clear" w:color="auto" w:fill="auto"/>
            <w:vAlign w:val="center"/>
          </w:tcPr>
          <w:p w14:paraId="510B4A67">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w:t>
            </w:r>
          </w:p>
        </w:tc>
        <w:tc>
          <w:tcPr>
            <w:tcW w:w="710" w:type="pct"/>
            <w:shd w:val="clear" w:color="auto" w:fill="auto"/>
            <w:vAlign w:val="center"/>
          </w:tcPr>
          <w:p w14:paraId="79D6F55A">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融资活动现金流出</w:t>
            </w:r>
          </w:p>
        </w:tc>
        <w:tc>
          <w:tcPr>
            <w:tcW w:w="1330" w:type="dxa"/>
            <w:shd w:val="clear" w:color="auto" w:fill="auto"/>
            <w:vAlign w:val="center"/>
          </w:tcPr>
          <w:p w14:paraId="02C71AA0">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17,322.29 </w:t>
            </w:r>
          </w:p>
        </w:tc>
        <w:tc>
          <w:tcPr>
            <w:tcW w:w="1224" w:type="dxa"/>
            <w:shd w:val="clear" w:color="auto" w:fill="auto"/>
            <w:vAlign w:val="center"/>
          </w:tcPr>
          <w:p w14:paraId="3AAA4A0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 </w:t>
            </w:r>
          </w:p>
        </w:tc>
        <w:tc>
          <w:tcPr>
            <w:tcW w:w="1224" w:type="dxa"/>
            <w:shd w:val="clear" w:color="auto" w:fill="auto"/>
            <w:vAlign w:val="center"/>
          </w:tcPr>
          <w:p w14:paraId="3A4AB8F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204.03 </w:t>
            </w:r>
          </w:p>
        </w:tc>
        <w:tc>
          <w:tcPr>
            <w:tcW w:w="1224" w:type="dxa"/>
            <w:shd w:val="clear" w:color="auto" w:fill="auto"/>
            <w:vAlign w:val="center"/>
          </w:tcPr>
          <w:p w14:paraId="5E73603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351.59 </w:t>
            </w:r>
          </w:p>
        </w:tc>
        <w:tc>
          <w:tcPr>
            <w:tcW w:w="1224" w:type="dxa"/>
            <w:shd w:val="clear" w:color="auto" w:fill="auto"/>
            <w:vAlign w:val="center"/>
          </w:tcPr>
          <w:p w14:paraId="12E174E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448.09 </w:t>
            </w:r>
          </w:p>
        </w:tc>
        <w:tc>
          <w:tcPr>
            <w:tcW w:w="1224" w:type="dxa"/>
            <w:shd w:val="clear" w:color="auto" w:fill="auto"/>
            <w:vAlign w:val="center"/>
          </w:tcPr>
          <w:p w14:paraId="4582471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478.99 </w:t>
            </w:r>
          </w:p>
        </w:tc>
        <w:tc>
          <w:tcPr>
            <w:tcW w:w="1224" w:type="dxa"/>
            <w:shd w:val="clear" w:color="auto" w:fill="auto"/>
            <w:vAlign w:val="center"/>
          </w:tcPr>
          <w:p w14:paraId="77E4134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478.15 </w:t>
            </w:r>
          </w:p>
        </w:tc>
        <w:tc>
          <w:tcPr>
            <w:tcW w:w="1224" w:type="dxa"/>
            <w:shd w:val="clear" w:color="auto" w:fill="auto"/>
            <w:vAlign w:val="center"/>
          </w:tcPr>
          <w:p w14:paraId="6687AB4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2,898.83 </w:t>
            </w:r>
          </w:p>
        </w:tc>
        <w:tc>
          <w:tcPr>
            <w:tcW w:w="1213" w:type="dxa"/>
            <w:vAlign w:val="center"/>
          </w:tcPr>
          <w:p w14:paraId="76BD19B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2,904.83 </w:t>
            </w:r>
          </w:p>
        </w:tc>
      </w:tr>
      <w:tr w14:paraId="2334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7C1B53E7">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3.1</w:t>
            </w:r>
          </w:p>
        </w:tc>
        <w:tc>
          <w:tcPr>
            <w:tcW w:w="710" w:type="pct"/>
            <w:shd w:val="clear" w:color="auto" w:fill="auto"/>
            <w:vAlign w:val="center"/>
          </w:tcPr>
          <w:p w14:paraId="56174786">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债券发行费用</w:t>
            </w:r>
          </w:p>
        </w:tc>
        <w:tc>
          <w:tcPr>
            <w:tcW w:w="1330" w:type="dxa"/>
            <w:shd w:val="clear" w:color="auto" w:fill="auto"/>
            <w:vAlign w:val="center"/>
          </w:tcPr>
          <w:p w14:paraId="56031345">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10.74 </w:t>
            </w:r>
          </w:p>
        </w:tc>
        <w:tc>
          <w:tcPr>
            <w:tcW w:w="1224" w:type="dxa"/>
            <w:shd w:val="clear" w:color="auto" w:fill="auto"/>
            <w:vAlign w:val="center"/>
          </w:tcPr>
          <w:p w14:paraId="2F58E70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 </w:t>
            </w:r>
          </w:p>
        </w:tc>
        <w:tc>
          <w:tcPr>
            <w:tcW w:w="1224" w:type="dxa"/>
            <w:shd w:val="clear" w:color="auto" w:fill="auto"/>
            <w:vAlign w:val="center"/>
          </w:tcPr>
          <w:p w14:paraId="03E1A57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1.40 </w:t>
            </w:r>
          </w:p>
        </w:tc>
        <w:tc>
          <w:tcPr>
            <w:tcW w:w="1224" w:type="dxa"/>
            <w:shd w:val="clear" w:color="auto" w:fill="auto"/>
            <w:vAlign w:val="center"/>
          </w:tcPr>
          <w:p w14:paraId="2599511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3.50 </w:t>
            </w:r>
          </w:p>
        </w:tc>
        <w:tc>
          <w:tcPr>
            <w:tcW w:w="1224" w:type="dxa"/>
            <w:shd w:val="clear" w:color="auto" w:fill="auto"/>
            <w:vAlign w:val="center"/>
          </w:tcPr>
          <w:p w14:paraId="40B5646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 </w:t>
            </w:r>
          </w:p>
        </w:tc>
        <w:tc>
          <w:tcPr>
            <w:tcW w:w="1224" w:type="dxa"/>
            <w:shd w:val="clear" w:color="auto" w:fill="auto"/>
            <w:vAlign w:val="center"/>
          </w:tcPr>
          <w:p w14:paraId="64C4CA1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0.84 </w:t>
            </w:r>
          </w:p>
        </w:tc>
        <w:tc>
          <w:tcPr>
            <w:tcW w:w="1224" w:type="dxa"/>
            <w:shd w:val="clear" w:color="auto" w:fill="auto"/>
            <w:vAlign w:val="center"/>
          </w:tcPr>
          <w:p w14:paraId="3FB931EC">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6594B797">
            <w:pPr>
              <w:widowControl/>
              <w:spacing w:after="0" w:line="240" w:lineRule="auto"/>
              <w:jc w:val="center"/>
              <w:rPr>
                <w:rFonts w:hint="eastAsia" w:ascii="宋体" w:hAnsi="宋体"/>
                <w:sz w:val="15"/>
                <w:szCs w:val="15"/>
                <w:lang w:val="en-US" w:eastAsia="zh-CN"/>
              </w:rPr>
            </w:pPr>
          </w:p>
        </w:tc>
        <w:tc>
          <w:tcPr>
            <w:tcW w:w="1213" w:type="dxa"/>
            <w:vAlign w:val="center"/>
          </w:tcPr>
          <w:p w14:paraId="7978F78A">
            <w:pPr>
              <w:widowControl/>
              <w:spacing w:after="0" w:line="240" w:lineRule="auto"/>
              <w:jc w:val="center"/>
              <w:rPr>
                <w:rFonts w:hint="eastAsia" w:ascii="宋体" w:hAnsi="宋体"/>
                <w:sz w:val="15"/>
                <w:szCs w:val="15"/>
                <w:lang w:val="en-US" w:eastAsia="zh-CN"/>
              </w:rPr>
            </w:pPr>
          </w:p>
        </w:tc>
      </w:tr>
      <w:tr w14:paraId="0C0D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2D80BB1B">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3.2</w:t>
            </w:r>
          </w:p>
        </w:tc>
        <w:tc>
          <w:tcPr>
            <w:tcW w:w="710" w:type="pct"/>
            <w:shd w:val="clear" w:color="auto" w:fill="auto"/>
            <w:vAlign w:val="center"/>
          </w:tcPr>
          <w:p w14:paraId="118A8AF2">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偿还债券本金</w:t>
            </w:r>
          </w:p>
        </w:tc>
        <w:tc>
          <w:tcPr>
            <w:tcW w:w="1330" w:type="dxa"/>
            <w:shd w:val="clear" w:color="auto" w:fill="auto"/>
            <w:vAlign w:val="center"/>
          </w:tcPr>
          <w:p w14:paraId="49AAA9FA">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13,735.00 </w:t>
            </w:r>
          </w:p>
        </w:tc>
        <w:tc>
          <w:tcPr>
            <w:tcW w:w="1224" w:type="dxa"/>
            <w:shd w:val="clear" w:color="auto" w:fill="auto"/>
            <w:vAlign w:val="center"/>
          </w:tcPr>
          <w:p w14:paraId="65B89AB0">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42F90507">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5C70DF9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6477B0D1">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18D8915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D7916B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16D7593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2,494.00 </w:t>
            </w:r>
          </w:p>
        </w:tc>
        <w:tc>
          <w:tcPr>
            <w:tcW w:w="1213" w:type="dxa"/>
            <w:vAlign w:val="center"/>
          </w:tcPr>
          <w:p w14:paraId="1B71AE5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r>
      <w:tr w14:paraId="5F47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1BF89DAC">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3.3</w:t>
            </w:r>
          </w:p>
        </w:tc>
        <w:tc>
          <w:tcPr>
            <w:tcW w:w="710" w:type="pct"/>
            <w:shd w:val="clear" w:color="auto" w:fill="auto"/>
            <w:vAlign w:val="center"/>
          </w:tcPr>
          <w:p w14:paraId="7C08A5CA">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支付债券利息</w:t>
            </w:r>
          </w:p>
        </w:tc>
        <w:tc>
          <w:tcPr>
            <w:tcW w:w="1330" w:type="dxa"/>
            <w:shd w:val="clear" w:color="auto" w:fill="auto"/>
            <w:vAlign w:val="center"/>
          </w:tcPr>
          <w:p w14:paraId="7B98500A">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3,576.55 </w:t>
            </w:r>
          </w:p>
        </w:tc>
        <w:tc>
          <w:tcPr>
            <w:tcW w:w="1224" w:type="dxa"/>
            <w:shd w:val="clear" w:color="auto" w:fill="auto"/>
            <w:vAlign w:val="center"/>
          </w:tcPr>
          <w:p w14:paraId="2327241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28F8D67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202.63 </w:t>
            </w:r>
          </w:p>
        </w:tc>
        <w:tc>
          <w:tcPr>
            <w:tcW w:w="1224" w:type="dxa"/>
            <w:shd w:val="clear" w:color="auto" w:fill="auto"/>
            <w:vAlign w:val="center"/>
          </w:tcPr>
          <w:p w14:paraId="7137B7B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348.09 </w:t>
            </w:r>
          </w:p>
        </w:tc>
        <w:tc>
          <w:tcPr>
            <w:tcW w:w="1224" w:type="dxa"/>
            <w:shd w:val="clear" w:color="auto" w:fill="auto"/>
            <w:vAlign w:val="center"/>
          </w:tcPr>
          <w:p w14:paraId="406D5BC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445.59 </w:t>
            </w:r>
          </w:p>
        </w:tc>
        <w:tc>
          <w:tcPr>
            <w:tcW w:w="1224" w:type="dxa"/>
            <w:shd w:val="clear" w:color="auto" w:fill="auto"/>
            <w:vAlign w:val="center"/>
          </w:tcPr>
          <w:p w14:paraId="4AA324A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478.15 </w:t>
            </w:r>
          </w:p>
        </w:tc>
        <w:tc>
          <w:tcPr>
            <w:tcW w:w="1224" w:type="dxa"/>
            <w:shd w:val="clear" w:color="auto" w:fill="auto"/>
            <w:vAlign w:val="center"/>
          </w:tcPr>
          <w:p w14:paraId="156E91A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478.15 </w:t>
            </w:r>
          </w:p>
        </w:tc>
        <w:tc>
          <w:tcPr>
            <w:tcW w:w="1224" w:type="dxa"/>
            <w:shd w:val="clear" w:color="auto" w:fill="auto"/>
            <w:vAlign w:val="center"/>
          </w:tcPr>
          <w:p w14:paraId="2AEFD87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404.83 </w:t>
            </w:r>
          </w:p>
        </w:tc>
        <w:tc>
          <w:tcPr>
            <w:tcW w:w="1213" w:type="dxa"/>
            <w:vAlign w:val="bottom"/>
          </w:tcPr>
          <w:p w14:paraId="16CC47B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404.83 </w:t>
            </w:r>
          </w:p>
        </w:tc>
      </w:tr>
      <w:tr w14:paraId="67A9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 w:hRule="atLeast"/>
        </w:trPr>
        <w:tc>
          <w:tcPr>
            <w:tcW w:w="287" w:type="pct"/>
            <w:shd w:val="clear" w:color="auto" w:fill="auto"/>
            <w:vAlign w:val="center"/>
          </w:tcPr>
          <w:p w14:paraId="1EC6DED9">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3.4</w:t>
            </w:r>
          </w:p>
        </w:tc>
        <w:tc>
          <w:tcPr>
            <w:tcW w:w="710" w:type="pct"/>
            <w:shd w:val="clear" w:color="auto" w:fill="auto"/>
            <w:vAlign w:val="center"/>
          </w:tcPr>
          <w:p w14:paraId="20AAECCE">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偿还其他融资本金</w:t>
            </w:r>
          </w:p>
        </w:tc>
        <w:tc>
          <w:tcPr>
            <w:tcW w:w="1330" w:type="dxa"/>
            <w:shd w:val="clear" w:color="auto" w:fill="auto"/>
            <w:vAlign w:val="center"/>
          </w:tcPr>
          <w:p w14:paraId="5B7EEBEB">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1123CFD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77E89F06">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77F43C58">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1680A432">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6986916C">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156A836E">
            <w:pPr>
              <w:widowControl/>
              <w:spacing w:after="0" w:line="240" w:lineRule="auto"/>
              <w:jc w:val="center"/>
              <w:rPr>
                <w:rFonts w:hint="eastAsia" w:ascii="宋体" w:hAnsi="宋体"/>
                <w:sz w:val="15"/>
                <w:szCs w:val="15"/>
                <w:lang w:val="en-US" w:eastAsia="zh-CN"/>
              </w:rPr>
            </w:pPr>
          </w:p>
        </w:tc>
        <w:tc>
          <w:tcPr>
            <w:tcW w:w="1224" w:type="dxa"/>
            <w:shd w:val="clear" w:color="auto" w:fill="auto"/>
            <w:vAlign w:val="center"/>
          </w:tcPr>
          <w:p w14:paraId="239CFAB8">
            <w:pPr>
              <w:widowControl/>
              <w:spacing w:after="0" w:line="240" w:lineRule="auto"/>
              <w:jc w:val="center"/>
              <w:rPr>
                <w:rFonts w:hint="eastAsia" w:ascii="宋体" w:hAnsi="宋体"/>
                <w:sz w:val="15"/>
                <w:szCs w:val="15"/>
                <w:lang w:val="en-US" w:eastAsia="zh-CN"/>
              </w:rPr>
            </w:pPr>
          </w:p>
        </w:tc>
        <w:tc>
          <w:tcPr>
            <w:tcW w:w="1213" w:type="dxa"/>
            <w:vAlign w:val="center"/>
          </w:tcPr>
          <w:p w14:paraId="6E468D9A">
            <w:pPr>
              <w:widowControl/>
              <w:spacing w:after="0" w:line="240" w:lineRule="auto"/>
              <w:jc w:val="center"/>
              <w:rPr>
                <w:rFonts w:hint="eastAsia" w:ascii="宋体" w:hAnsi="宋体"/>
                <w:sz w:val="15"/>
                <w:szCs w:val="15"/>
                <w:lang w:val="en-US" w:eastAsia="zh-CN"/>
              </w:rPr>
            </w:pPr>
          </w:p>
        </w:tc>
      </w:tr>
      <w:tr w14:paraId="6868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trPr>
        <w:tc>
          <w:tcPr>
            <w:tcW w:w="287" w:type="pct"/>
            <w:shd w:val="clear" w:color="auto" w:fill="auto"/>
            <w:vAlign w:val="center"/>
          </w:tcPr>
          <w:p w14:paraId="67716198">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3.5</w:t>
            </w:r>
          </w:p>
        </w:tc>
        <w:tc>
          <w:tcPr>
            <w:tcW w:w="710" w:type="pct"/>
            <w:shd w:val="clear" w:color="auto" w:fill="auto"/>
            <w:vAlign w:val="center"/>
          </w:tcPr>
          <w:p w14:paraId="032689E5">
            <w:pPr>
              <w:widowControl/>
              <w:spacing w:after="0" w:line="240" w:lineRule="auto"/>
              <w:jc w:val="center"/>
              <w:rPr>
                <w:rFonts w:ascii="宋体" w:hAnsi="宋体" w:cs="宋体"/>
                <w:color w:val="000000"/>
                <w:kern w:val="0"/>
                <w:sz w:val="15"/>
                <w:szCs w:val="15"/>
              </w:rPr>
            </w:pPr>
            <w:r>
              <w:rPr>
                <w:rFonts w:hint="eastAsia" w:ascii="宋体" w:hAnsi="宋体" w:cs="宋体"/>
                <w:color w:val="000000"/>
                <w:kern w:val="0"/>
                <w:sz w:val="15"/>
                <w:szCs w:val="15"/>
              </w:rPr>
              <w:t>支付其他融资利息</w:t>
            </w:r>
          </w:p>
        </w:tc>
        <w:tc>
          <w:tcPr>
            <w:tcW w:w="1330" w:type="dxa"/>
            <w:shd w:val="clear" w:color="auto" w:fill="auto"/>
            <w:vAlign w:val="center"/>
          </w:tcPr>
          <w:p w14:paraId="0EB772FB">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68FB747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noWrap/>
            <w:vAlign w:val="center"/>
          </w:tcPr>
          <w:p w14:paraId="450CB46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5E98AA5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71ABB13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219CA9B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15E205B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2A6C93D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13" w:type="dxa"/>
            <w:vAlign w:val="center"/>
          </w:tcPr>
          <w:p w14:paraId="16A0BC7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2A18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4F45DAD1">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三</w:t>
            </w:r>
          </w:p>
        </w:tc>
        <w:tc>
          <w:tcPr>
            <w:tcW w:w="710" w:type="pct"/>
            <w:shd w:val="clear" w:color="auto" w:fill="auto"/>
            <w:vAlign w:val="center"/>
          </w:tcPr>
          <w:p w14:paraId="1011E03C">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当期现金结余</w:t>
            </w:r>
          </w:p>
        </w:tc>
        <w:tc>
          <w:tcPr>
            <w:tcW w:w="1330" w:type="dxa"/>
            <w:shd w:val="clear" w:color="auto" w:fill="auto"/>
            <w:vAlign w:val="center"/>
          </w:tcPr>
          <w:p w14:paraId="39727497">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37,538.26 </w:t>
            </w:r>
          </w:p>
        </w:tc>
        <w:tc>
          <w:tcPr>
            <w:tcW w:w="1224" w:type="dxa"/>
            <w:shd w:val="clear" w:color="auto" w:fill="auto"/>
            <w:vAlign w:val="center"/>
          </w:tcPr>
          <w:p w14:paraId="3407060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F9AF49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503241D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1E31BDD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70C6F0E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53,375.35 </w:t>
            </w:r>
          </w:p>
        </w:tc>
        <w:tc>
          <w:tcPr>
            <w:tcW w:w="1224" w:type="dxa"/>
            <w:shd w:val="clear" w:color="auto" w:fill="auto"/>
            <w:vAlign w:val="center"/>
          </w:tcPr>
          <w:p w14:paraId="1AF3507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-478.15 </w:t>
            </w:r>
          </w:p>
        </w:tc>
        <w:tc>
          <w:tcPr>
            <w:tcW w:w="1224" w:type="dxa"/>
            <w:shd w:val="clear" w:color="auto" w:fill="auto"/>
            <w:vAlign w:val="center"/>
          </w:tcPr>
          <w:p w14:paraId="5476E8D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-2,898.83 </w:t>
            </w:r>
          </w:p>
        </w:tc>
        <w:tc>
          <w:tcPr>
            <w:tcW w:w="1213" w:type="dxa"/>
            <w:vAlign w:val="center"/>
          </w:tcPr>
          <w:p w14:paraId="463D21A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-2,904.83 </w:t>
            </w:r>
          </w:p>
        </w:tc>
      </w:tr>
      <w:tr w14:paraId="2532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0FD96133">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四</w:t>
            </w:r>
          </w:p>
        </w:tc>
        <w:tc>
          <w:tcPr>
            <w:tcW w:w="710" w:type="pct"/>
            <w:shd w:val="clear" w:color="auto" w:fill="auto"/>
            <w:vAlign w:val="center"/>
          </w:tcPr>
          <w:p w14:paraId="4ACC3D78">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期初现金</w:t>
            </w:r>
          </w:p>
        </w:tc>
        <w:tc>
          <w:tcPr>
            <w:tcW w:w="1330" w:type="dxa"/>
            <w:shd w:val="clear" w:color="auto" w:fill="auto"/>
            <w:vAlign w:val="center"/>
          </w:tcPr>
          <w:p w14:paraId="3105D291">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48619CB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337B69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443C9B9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7518FE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794C3F7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2A49AC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53,375.35 </w:t>
            </w:r>
          </w:p>
        </w:tc>
        <w:tc>
          <w:tcPr>
            <w:tcW w:w="1224" w:type="dxa"/>
            <w:shd w:val="clear" w:color="auto" w:fill="auto"/>
            <w:vAlign w:val="center"/>
          </w:tcPr>
          <w:p w14:paraId="63AF13E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52,897.20 </w:t>
            </w:r>
          </w:p>
        </w:tc>
        <w:tc>
          <w:tcPr>
            <w:tcW w:w="1213" w:type="dxa"/>
            <w:vAlign w:val="center"/>
          </w:tcPr>
          <w:p w14:paraId="5BA2EBE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49,998.37 </w:t>
            </w:r>
          </w:p>
        </w:tc>
      </w:tr>
      <w:tr w14:paraId="015F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87" w:type="pct"/>
            <w:shd w:val="clear" w:color="auto" w:fill="auto"/>
            <w:vAlign w:val="center"/>
          </w:tcPr>
          <w:p w14:paraId="15A3CBB3">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五</w:t>
            </w:r>
          </w:p>
        </w:tc>
        <w:tc>
          <w:tcPr>
            <w:tcW w:w="710" w:type="pct"/>
            <w:shd w:val="clear" w:color="auto" w:fill="auto"/>
            <w:vAlign w:val="center"/>
          </w:tcPr>
          <w:p w14:paraId="1BFA92D4">
            <w:pPr>
              <w:widowControl/>
              <w:spacing w:after="0" w:line="240" w:lineRule="auto"/>
              <w:jc w:val="center"/>
              <w:rPr>
                <w:rFonts w:ascii="宋体" w:hAnsi="宋体" w:cs="宋体"/>
                <w:b/>
                <w:bCs/>
                <w:color w:val="000000"/>
                <w:kern w:val="0"/>
                <w:sz w:val="15"/>
                <w:szCs w:val="15"/>
              </w:rPr>
            </w:pPr>
            <w:r>
              <w:rPr>
                <w:rFonts w:hint="eastAsia" w:ascii="宋体" w:hAnsi="宋体" w:cs="宋体"/>
                <w:b/>
                <w:bCs/>
                <w:color w:val="000000"/>
                <w:kern w:val="0"/>
                <w:sz w:val="15"/>
                <w:szCs w:val="15"/>
              </w:rPr>
              <w:t>期末现金</w:t>
            </w:r>
          </w:p>
        </w:tc>
        <w:tc>
          <w:tcPr>
            <w:tcW w:w="1330" w:type="dxa"/>
            <w:shd w:val="clear" w:color="auto" w:fill="auto"/>
            <w:vAlign w:val="center"/>
          </w:tcPr>
          <w:p w14:paraId="319FD87A">
            <w:pPr>
              <w:widowControl/>
              <w:spacing w:after="0" w:line="240" w:lineRule="auto"/>
              <w:jc w:val="center"/>
              <w:rPr>
                <w:rFonts w:ascii="宋体" w:hAnsi="宋体"/>
                <w:sz w:val="15"/>
                <w:szCs w:val="15"/>
              </w:rPr>
            </w:pPr>
            <w:r>
              <w:rPr>
                <w:rFonts w:hint="eastAsia" w:ascii="宋体" w:hAnsi="宋体"/>
                <w:sz w:val="15"/>
                <w:szCs w:val="15"/>
                <w:lang w:val="en-US" w:eastAsia="zh-CN"/>
              </w:rPr>
              <w:t xml:space="preserve"> -- </w:t>
            </w:r>
          </w:p>
        </w:tc>
        <w:tc>
          <w:tcPr>
            <w:tcW w:w="1224" w:type="dxa"/>
            <w:shd w:val="clear" w:color="auto" w:fill="auto"/>
            <w:vAlign w:val="center"/>
          </w:tcPr>
          <w:p w14:paraId="544F561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1DF1B08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ACCA3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0F1FF3E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224" w:type="dxa"/>
            <w:shd w:val="clear" w:color="auto" w:fill="auto"/>
            <w:vAlign w:val="center"/>
          </w:tcPr>
          <w:p w14:paraId="377EC85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53,375.35 </w:t>
            </w:r>
          </w:p>
        </w:tc>
        <w:tc>
          <w:tcPr>
            <w:tcW w:w="1224" w:type="dxa"/>
            <w:shd w:val="clear" w:color="auto" w:fill="auto"/>
            <w:vAlign w:val="center"/>
          </w:tcPr>
          <w:p w14:paraId="1FF80CC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52,897.20 </w:t>
            </w:r>
          </w:p>
        </w:tc>
        <w:tc>
          <w:tcPr>
            <w:tcW w:w="1224" w:type="dxa"/>
            <w:shd w:val="clear" w:color="auto" w:fill="auto"/>
            <w:vAlign w:val="center"/>
          </w:tcPr>
          <w:p w14:paraId="4F32AEC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49,998.37 </w:t>
            </w:r>
          </w:p>
        </w:tc>
        <w:tc>
          <w:tcPr>
            <w:tcW w:w="1213" w:type="dxa"/>
            <w:vAlign w:val="center"/>
          </w:tcPr>
          <w:p w14:paraId="15098C3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47,093.54 </w:t>
            </w:r>
          </w:p>
        </w:tc>
      </w:tr>
    </w:tbl>
    <w:p w14:paraId="4AEB42CF">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504"/>
        <w:gridCol w:w="1097"/>
        <w:gridCol w:w="1095"/>
        <w:gridCol w:w="1097"/>
        <w:gridCol w:w="1097"/>
        <w:gridCol w:w="1097"/>
        <w:gridCol w:w="1095"/>
        <w:gridCol w:w="1086"/>
        <w:gridCol w:w="1086"/>
        <w:gridCol w:w="1083"/>
        <w:gridCol w:w="1083"/>
        <w:gridCol w:w="1078"/>
      </w:tblGrid>
      <w:tr w14:paraId="1AFF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001355F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533" w:type="pct"/>
            <w:shd w:val="clear" w:color="auto" w:fill="auto"/>
            <w:vAlign w:val="center"/>
          </w:tcPr>
          <w:p w14:paraId="2AFE4C0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389" w:type="pct"/>
            <w:shd w:val="clear" w:color="auto" w:fill="auto"/>
            <w:vAlign w:val="center"/>
          </w:tcPr>
          <w:p w14:paraId="3165ACCA">
            <w:pPr>
              <w:widowControl/>
              <w:spacing w:after="0" w:line="240" w:lineRule="auto"/>
              <w:jc w:val="center"/>
              <w:rPr>
                <w:rFonts w:ascii="宋体" w:hAnsi="宋体" w:cs="宋体"/>
                <w:b/>
                <w:bCs/>
                <w:color w:val="000000"/>
                <w:kern w:val="0"/>
                <w:sz w:val="18"/>
                <w:szCs w:val="18"/>
              </w:rPr>
            </w:pPr>
            <w:r>
              <w:rPr>
                <w:rFonts w:hint="eastAsia" w:ascii="宋体" w:hAnsi="宋体"/>
                <w:sz w:val="18"/>
                <w:szCs w:val="18"/>
              </w:rPr>
              <w:t>合计</w:t>
            </w:r>
          </w:p>
        </w:tc>
        <w:tc>
          <w:tcPr>
            <w:tcW w:w="388" w:type="pct"/>
            <w:shd w:val="clear" w:color="auto" w:fill="auto"/>
            <w:vAlign w:val="center"/>
          </w:tcPr>
          <w:p w14:paraId="6F36F139">
            <w:pPr>
              <w:widowControl/>
              <w:spacing w:after="0" w:line="240" w:lineRule="auto"/>
              <w:jc w:val="center"/>
              <w:rPr>
                <w:rFonts w:ascii="宋体" w:hAnsi="宋体" w:cs="宋体"/>
                <w:b/>
                <w:bCs/>
                <w:color w:val="000000"/>
                <w:kern w:val="0"/>
                <w:sz w:val="18"/>
                <w:szCs w:val="18"/>
              </w:rPr>
            </w:pPr>
            <w:r>
              <w:rPr>
                <w:rFonts w:hint="eastAsia" w:ascii="宋体" w:hAnsi="宋体"/>
                <w:sz w:val="18"/>
                <w:szCs w:val="18"/>
              </w:rPr>
              <w:t>2031年</w:t>
            </w:r>
          </w:p>
        </w:tc>
        <w:tc>
          <w:tcPr>
            <w:tcW w:w="389" w:type="pct"/>
            <w:shd w:val="clear" w:color="auto" w:fill="auto"/>
            <w:vAlign w:val="center"/>
          </w:tcPr>
          <w:p w14:paraId="1095A110">
            <w:pPr>
              <w:widowControl/>
              <w:spacing w:after="0" w:line="240" w:lineRule="auto"/>
              <w:jc w:val="center"/>
              <w:rPr>
                <w:rFonts w:ascii="宋体" w:hAnsi="宋体" w:cs="宋体"/>
                <w:b/>
                <w:bCs/>
                <w:color w:val="000000"/>
                <w:kern w:val="0"/>
                <w:sz w:val="18"/>
                <w:szCs w:val="18"/>
              </w:rPr>
            </w:pPr>
            <w:r>
              <w:rPr>
                <w:rFonts w:hint="eastAsia" w:ascii="宋体" w:hAnsi="宋体"/>
                <w:sz w:val="18"/>
                <w:szCs w:val="18"/>
              </w:rPr>
              <w:t>2032年</w:t>
            </w:r>
          </w:p>
        </w:tc>
        <w:tc>
          <w:tcPr>
            <w:tcW w:w="389" w:type="pct"/>
            <w:shd w:val="clear" w:color="auto" w:fill="auto"/>
            <w:vAlign w:val="center"/>
          </w:tcPr>
          <w:p w14:paraId="19FE8389">
            <w:pPr>
              <w:widowControl/>
              <w:spacing w:after="0" w:line="240" w:lineRule="auto"/>
              <w:jc w:val="center"/>
              <w:rPr>
                <w:rFonts w:ascii="宋体" w:hAnsi="宋体" w:cs="宋体"/>
                <w:b/>
                <w:bCs/>
                <w:color w:val="000000"/>
                <w:kern w:val="0"/>
                <w:sz w:val="18"/>
                <w:szCs w:val="18"/>
              </w:rPr>
            </w:pPr>
            <w:r>
              <w:rPr>
                <w:rFonts w:hint="eastAsia" w:ascii="宋体" w:hAnsi="宋体"/>
                <w:sz w:val="18"/>
                <w:szCs w:val="18"/>
              </w:rPr>
              <w:t>2033年</w:t>
            </w:r>
          </w:p>
        </w:tc>
        <w:tc>
          <w:tcPr>
            <w:tcW w:w="389" w:type="pct"/>
            <w:shd w:val="clear" w:color="auto" w:fill="auto"/>
            <w:vAlign w:val="center"/>
          </w:tcPr>
          <w:p w14:paraId="2D1D4A32">
            <w:pPr>
              <w:widowControl/>
              <w:spacing w:after="0" w:line="240" w:lineRule="auto"/>
              <w:jc w:val="center"/>
              <w:rPr>
                <w:rFonts w:ascii="宋体" w:hAnsi="宋体" w:cs="宋体"/>
                <w:b/>
                <w:bCs/>
                <w:color w:val="000000"/>
                <w:kern w:val="0"/>
                <w:sz w:val="18"/>
                <w:szCs w:val="18"/>
              </w:rPr>
            </w:pPr>
            <w:r>
              <w:rPr>
                <w:rFonts w:hint="eastAsia" w:ascii="宋体" w:hAnsi="宋体"/>
                <w:sz w:val="18"/>
                <w:szCs w:val="18"/>
              </w:rPr>
              <w:t>2034年</w:t>
            </w:r>
          </w:p>
        </w:tc>
        <w:tc>
          <w:tcPr>
            <w:tcW w:w="388" w:type="pct"/>
            <w:vAlign w:val="center"/>
          </w:tcPr>
          <w:p w14:paraId="3B5C4EBB">
            <w:pPr>
              <w:widowControl/>
              <w:spacing w:after="0" w:line="240" w:lineRule="auto"/>
              <w:jc w:val="center"/>
              <w:rPr>
                <w:rFonts w:ascii="宋体" w:hAnsi="宋体"/>
                <w:b/>
                <w:sz w:val="18"/>
                <w:szCs w:val="18"/>
              </w:rPr>
            </w:pPr>
            <w:r>
              <w:rPr>
                <w:rFonts w:hint="eastAsia" w:ascii="宋体" w:hAnsi="宋体"/>
                <w:sz w:val="18"/>
                <w:szCs w:val="18"/>
              </w:rPr>
              <w:t>2035年</w:t>
            </w:r>
          </w:p>
        </w:tc>
        <w:tc>
          <w:tcPr>
            <w:tcW w:w="385" w:type="pct"/>
            <w:vAlign w:val="center"/>
          </w:tcPr>
          <w:p w14:paraId="7BC33B65">
            <w:pPr>
              <w:widowControl/>
              <w:spacing w:after="0" w:line="240" w:lineRule="auto"/>
              <w:jc w:val="center"/>
              <w:rPr>
                <w:rFonts w:ascii="宋体" w:hAnsi="宋体"/>
                <w:b/>
                <w:sz w:val="18"/>
                <w:szCs w:val="18"/>
              </w:rPr>
            </w:pPr>
            <w:r>
              <w:rPr>
                <w:rFonts w:hint="eastAsia" w:ascii="宋体" w:hAnsi="宋体"/>
                <w:sz w:val="18"/>
                <w:szCs w:val="18"/>
              </w:rPr>
              <w:t>2036年</w:t>
            </w:r>
          </w:p>
        </w:tc>
        <w:tc>
          <w:tcPr>
            <w:tcW w:w="385" w:type="pct"/>
            <w:vAlign w:val="center"/>
          </w:tcPr>
          <w:p w14:paraId="57FA0DC4">
            <w:pPr>
              <w:widowControl/>
              <w:spacing w:after="0" w:line="240" w:lineRule="auto"/>
              <w:jc w:val="center"/>
              <w:rPr>
                <w:rFonts w:ascii="宋体" w:hAnsi="宋体"/>
                <w:b/>
                <w:sz w:val="18"/>
                <w:szCs w:val="18"/>
              </w:rPr>
            </w:pPr>
            <w:r>
              <w:rPr>
                <w:rFonts w:hint="eastAsia" w:ascii="宋体" w:hAnsi="宋体"/>
                <w:sz w:val="18"/>
                <w:szCs w:val="18"/>
              </w:rPr>
              <w:t>2037年</w:t>
            </w:r>
          </w:p>
        </w:tc>
        <w:tc>
          <w:tcPr>
            <w:tcW w:w="384" w:type="pct"/>
            <w:vAlign w:val="center"/>
          </w:tcPr>
          <w:p w14:paraId="697406D1">
            <w:pPr>
              <w:widowControl/>
              <w:spacing w:after="0" w:line="240" w:lineRule="auto"/>
              <w:jc w:val="center"/>
              <w:rPr>
                <w:rFonts w:ascii="宋体" w:hAnsi="宋体"/>
                <w:b/>
                <w:sz w:val="18"/>
                <w:szCs w:val="18"/>
              </w:rPr>
            </w:pPr>
            <w:r>
              <w:rPr>
                <w:rFonts w:hint="eastAsia" w:ascii="宋体" w:hAnsi="宋体"/>
                <w:sz w:val="18"/>
                <w:szCs w:val="18"/>
              </w:rPr>
              <w:t>2038年</w:t>
            </w:r>
          </w:p>
        </w:tc>
        <w:tc>
          <w:tcPr>
            <w:tcW w:w="384" w:type="pct"/>
            <w:vAlign w:val="center"/>
          </w:tcPr>
          <w:p w14:paraId="6B350621">
            <w:pPr>
              <w:widowControl/>
              <w:spacing w:after="0" w:line="240" w:lineRule="auto"/>
              <w:jc w:val="center"/>
              <w:rPr>
                <w:rFonts w:ascii="宋体" w:hAnsi="宋体"/>
                <w:sz w:val="18"/>
                <w:szCs w:val="18"/>
              </w:rPr>
            </w:pPr>
            <w:r>
              <w:rPr>
                <w:rFonts w:hint="eastAsia" w:ascii="宋体" w:hAnsi="宋体"/>
                <w:sz w:val="18"/>
                <w:szCs w:val="18"/>
              </w:rPr>
              <w:t>2039年</w:t>
            </w:r>
          </w:p>
        </w:tc>
        <w:tc>
          <w:tcPr>
            <w:tcW w:w="382" w:type="pct"/>
            <w:vAlign w:val="center"/>
          </w:tcPr>
          <w:p w14:paraId="2658E46E">
            <w:pPr>
              <w:widowControl/>
              <w:spacing w:after="0" w:line="240" w:lineRule="auto"/>
              <w:jc w:val="center"/>
              <w:rPr>
                <w:rFonts w:ascii="宋体" w:hAnsi="宋体"/>
                <w:sz w:val="18"/>
                <w:szCs w:val="18"/>
              </w:rPr>
            </w:pPr>
            <w:r>
              <w:rPr>
                <w:rFonts w:hint="eastAsia" w:ascii="宋体" w:hAnsi="宋体"/>
                <w:sz w:val="18"/>
                <w:szCs w:val="18"/>
              </w:rPr>
              <w:t>2040年</w:t>
            </w:r>
          </w:p>
        </w:tc>
      </w:tr>
      <w:tr w14:paraId="0B84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636B861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533" w:type="pct"/>
            <w:shd w:val="clear" w:color="auto" w:fill="auto"/>
            <w:vAlign w:val="center"/>
          </w:tcPr>
          <w:p w14:paraId="49966FD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1080" w:type="dxa"/>
            <w:shd w:val="clear" w:color="auto" w:fill="auto"/>
            <w:vAlign w:val="center"/>
          </w:tcPr>
          <w:p w14:paraId="2EF46F7C">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77,085.28 </w:t>
            </w:r>
          </w:p>
        </w:tc>
        <w:tc>
          <w:tcPr>
            <w:tcW w:w="1077" w:type="dxa"/>
            <w:shd w:val="clear" w:color="auto" w:fill="auto"/>
            <w:vAlign w:val="center"/>
          </w:tcPr>
          <w:p w14:paraId="0761438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3F4D3FC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4B68E03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36DE9FE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center"/>
          </w:tcPr>
          <w:p w14:paraId="1E0E00A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284D10D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2672097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55303E1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05E590E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center"/>
          </w:tcPr>
          <w:p w14:paraId="28710D6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53C9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trPr>
        <w:tc>
          <w:tcPr>
            <w:tcW w:w="215" w:type="pct"/>
            <w:shd w:val="clear" w:color="auto" w:fill="auto"/>
            <w:vAlign w:val="center"/>
          </w:tcPr>
          <w:p w14:paraId="709C32F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33" w:type="pct"/>
            <w:shd w:val="clear" w:color="auto" w:fill="auto"/>
            <w:vAlign w:val="center"/>
          </w:tcPr>
          <w:p w14:paraId="0CF2BB0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080" w:type="dxa"/>
            <w:shd w:val="clear" w:color="auto" w:fill="auto"/>
            <w:vAlign w:val="center"/>
          </w:tcPr>
          <w:p w14:paraId="4283078B">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54,701.00 </w:t>
            </w:r>
          </w:p>
        </w:tc>
        <w:tc>
          <w:tcPr>
            <w:tcW w:w="1077" w:type="dxa"/>
            <w:shd w:val="clear" w:color="auto" w:fill="auto"/>
            <w:vAlign w:val="center"/>
          </w:tcPr>
          <w:p w14:paraId="6DB31BA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7ADE41F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1091188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6E40F8D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center"/>
          </w:tcPr>
          <w:p w14:paraId="72FFF20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35C7746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185DCB9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39445A6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19EC388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center"/>
          </w:tcPr>
          <w:p w14:paraId="61E5952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4777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355B666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533" w:type="pct"/>
            <w:shd w:val="clear" w:color="auto" w:fill="auto"/>
            <w:vAlign w:val="center"/>
          </w:tcPr>
          <w:p w14:paraId="4C320CD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080" w:type="dxa"/>
            <w:shd w:val="clear" w:color="auto" w:fill="auto"/>
            <w:vAlign w:val="center"/>
          </w:tcPr>
          <w:p w14:paraId="37A14055">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567B7B15">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02CF780">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6C7F3A9F">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310176C1">
            <w:pPr>
              <w:widowControl/>
              <w:spacing w:after="0" w:line="240" w:lineRule="auto"/>
              <w:jc w:val="center"/>
              <w:rPr>
                <w:rFonts w:hint="eastAsia" w:ascii="宋体" w:hAnsi="宋体"/>
                <w:sz w:val="15"/>
                <w:szCs w:val="15"/>
                <w:lang w:val="en-US" w:eastAsia="zh-CN"/>
              </w:rPr>
            </w:pPr>
          </w:p>
        </w:tc>
        <w:tc>
          <w:tcPr>
            <w:tcW w:w="1077" w:type="dxa"/>
            <w:vAlign w:val="center"/>
          </w:tcPr>
          <w:p w14:paraId="1E09A3A2">
            <w:pPr>
              <w:widowControl/>
              <w:spacing w:after="0" w:line="240" w:lineRule="auto"/>
              <w:jc w:val="center"/>
              <w:rPr>
                <w:rFonts w:hint="eastAsia" w:ascii="宋体" w:hAnsi="宋体"/>
                <w:sz w:val="15"/>
                <w:szCs w:val="15"/>
                <w:lang w:val="en-US" w:eastAsia="zh-CN"/>
              </w:rPr>
            </w:pPr>
          </w:p>
        </w:tc>
        <w:tc>
          <w:tcPr>
            <w:tcW w:w="1069" w:type="dxa"/>
            <w:vAlign w:val="center"/>
          </w:tcPr>
          <w:p w14:paraId="2F498970">
            <w:pPr>
              <w:widowControl/>
              <w:spacing w:after="0" w:line="240" w:lineRule="auto"/>
              <w:jc w:val="center"/>
              <w:rPr>
                <w:rFonts w:hint="eastAsia" w:ascii="宋体" w:hAnsi="宋体"/>
                <w:sz w:val="15"/>
                <w:szCs w:val="15"/>
                <w:lang w:val="en-US" w:eastAsia="zh-CN"/>
              </w:rPr>
            </w:pPr>
          </w:p>
        </w:tc>
        <w:tc>
          <w:tcPr>
            <w:tcW w:w="1069" w:type="dxa"/>
            <w:vAlign w:val="center"/>
          </w:tcPr>
          <w:p w14:paraId="5D256DDD">
            <w:pPr>
              <w:widowControl/>
              <w:spacing w:after="0" w:line="240" w:lineRule="auto"/>
              <w:jc w:val="center"/>
              <w:rPr>
                <w:rFonts w:hint="eastAsia" w:ascii="宋体" w:hAnsi="宋体"/>
                <w:sz w:val="15"/>
                <w:szCs w:val="15"/>
                <w:lang w:val="en-US" w:eastAsia="zh-CN"/>
              </w:rPr>
            </w:pPr>
          </w:p>
        </w:tc>
        <w:tc>
          <w:tcPr>
            <w:tcW w:w="1066" w:type="dxa"/>
            <w:vAlign w:val="center"/>
          </w:tcPr>
          <w:p w14:paraId="61263B68">
            <w:pPr>
              <w:widowControl/>
              <w:spacing w:after="0" w:line="240" w:lineRule="auto"/>
              <w:jc w:val="center"/>
              <w:rPr>
                <w:rFonts w:hint="eastAsia" w:ascii="宋体" w:hAnsi="宋体"/>
                <w:sz w:val="15"/>
                <w:szCs w:val="15"/>
                <w:lang w:val="en-US" w:eastAsia="zh-CN"/>
              </w:rPr>
            </w:pPr>
          </w:p>
        </w:tc>
        <w:tc>
          <w:tcPr>
            <w:tcW w:w="1066" w:type="dxa"/>
            <w:vAlign w:val="bottom"/>
          </w:tcPr>
          <w:p w14:paraId="5EDE8431">
            <w:pPr>
              <w:widowControl/>
              <w:spacing w:after="0" w:line="240" w:lineRule="auto"/>
              <w:jc w:val="center"/>
              <w:rPr>
                <w:rFonts w:hint="eastAsia" w:ascii="宋体" w:hAnsi="宋体"/>
                <w:sz w:val="15"/>
                <w:szCs w:val="15"/>
                <w:lang w:val="en-US" w:eastAsia="zh-CN"/>
              </w:rPr>
            </w:pPr>
          </w:p>
        </w:tc>
        <w:tc>
          <w:tcPr>
            <w:tcW w:w="1060" w:type="dxa"/>
            <w:vAlign w:val="bottom"/>
          </w:tcPr>
          <w:p w14:paraId="17F540C5">
            <w:pPr>
              <w:widowControl/>
              <w:spacing w:after="0" w:line="240" w:lineRule="auto"/>
              <w:jc w:val="center"/>
              <w:rPr>
                <w:rFonts w:hint="eastAsia" w:ascii="宋体" w:hAnsi="宋体"/>
                <w:sz w:val="15"/>
                <w:szCs w:val="15"/>
                <w:lang w:val="en-US" w:eastAsia="zh-CN"/>
              </w:rPr>
            </w:pPr>
          </w:p>
        </w:tc>
      </w:tr>
      <w:tr w14:paraId="7985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1463A00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33" w:type="pct"/>
            <w:shd w:val="clear" w:color="auto" w:fill="auto"/>
            <w:vAlign w:val="center"/>
          </w:tcPr>
          <w:p w14:paraId="5490CD2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080" w:type="dxa"/>
            <w:shd w:val="clear" w:color="auto" w:fill="auto"/>
            <w:vAlign w:val="center"/>
          </w:tcPr>
          <w:p w14:paraId="7F273677">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54,701.00 </w:t>
            </w:r>
          </w:p>
        </w:tc>
        <w:tc>
          <w:tcPr>
            <w:tcW w:w="1077" w:type="dxa"/>
            <w:shd w:val="clear" w:color="auto" w:fill="auto"/>
            <w:vAlign w:val="bottom"/>
          </w:tcPr>
          <w:p w14:paraId="657857E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521790F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366A17C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6938240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77" w:type="dxa"/>
            <w:vAlign w:val="bottom"/>
          </w:tcPr>
          <w:p w14:paraId="7085378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9" w:type="dxa"/>
            <w:vAlign w:val="bottom"/>
          </w:tcPr>
          <w:p w14:paraId="618E63D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9" w:type="dxa"/>
            <w:vAlign w:val="bottom"/>
          </w:tcPr>
          <w:p w14:paraId="08D4D81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6" w:type="dxa"/>
            <w:vAlign w:val="bottom"/>
          </w:tcPr>
          <w:p w14:paraId="79B014A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6" w:type="dxa"/>
            <w:vAlign w:val="bottom"/>
          </w:tcPr>
          <w:p w14:paraId="137915C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0" w:type="dxa"/>
            <w:vAlign w:val="bottom"/>
          </w:tcPr>
          <w:p w14:paraId="615D82C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039A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215" w:type="pct"/>
            <w:shd w:val="clear" w:color="auto" w:fill="auto"/>
            <w:vAlign w:val="center"/>
          </w:tcPr>
          <w:p w14:paraId="5DDA6F6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33" w:type="pct"/>
            <w:shd w:val="clear" w:color="auto" w:fill="auto"/>
            <w:vAlign w:val="center"/>
          </w:tcPr>
          <w:p w14:paraId="3E378B1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080" w:type="dxa"/>
            <w:shd w:val="clear" w:color="auto" w:fill="auto"/>
            <w:vAlign w:val="center"/>
          </w:tcPr>
          <w:p w14:paraId="2480562F">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1077" w:type="dxa"/>
            <w:shd w:val="clear" w:color="auto" w:fill="auto"/>
            <w:vAlign w:val="center"/>
          </w:tcPr>
          <w:p w14:paraId="436C102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5A19A51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4A776B4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774320F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center"/>
          </w:tcPr>
          <w:p w14:paraId="04E38B1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10D04FF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6B5ED9D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0191FF6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23C5048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center"/>
          </w:tcPr>
          <w:p w14:paraId="376060C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1A7E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04A55BF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533" w:type="pct"/>
            <w:shd w:val="clear" w:color="auto" w:fill="auto"/>
            <w:vAlign w:val="center"/>
          </w:tcPr>
          <w:p w14:paraId="5C3F28E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080" w:type="dxa"/>
            <w:shd w:val="clear" w:color="auto" w:fill="auto"/>
            <w:vAlign w:val="center"/>
          </w:tcPr>
          <w:p w14:paraId="78E6BA97">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1077" w:type="dxa"/>
            <w:shd w:val="clear" w:color="auto" w:fill="auto"/>
            <w:vAlign w:val="center"/>
          </w:tcPr>
          <w:p w14:paraId="3C519386">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4AAA5643">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4C8479DB">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1355B63D">
            <w:pPr>
              <w:widowControl/>
              <w:spacing w:after="0" w:line="240" w:lineRule="auto"/>
              <w:jc w:val="center"/>
              <w:rPr>
                <w:rFonts w:hint="eastAsia" w:ascii="宋体" w:hAnsi="宋体"/>
                <w:sz w:val="15"/>
                <w:szCs w:val="15"/>
                <w:lang w:val="en-US" w:eastAsia="zh-CN"/>
              </w:rPr>
            </w:pPr>
          </w:p>
        </w:tc>
        <w:tc>
          <w:tcPr>
            <w:tcW w:w="1077" w:type="dxa"/>
            <w:vAlign w:val="center"/>
          </w:tcPr>
          <w:p w14:paraId="1F0882BA">
            <w:pPr>
              <w:widowControl/>
              <w:spacing w:after="0" w:line="240" w:lineRule="auto"/>
              <w:jc w:val="center"/>
              <w:rPr>
                <w:rFonts w:hint="eastAsia" w:ascii="宋体" w:hAnsi="宋体"/>
                <w:sz w:val="15"/>
                <w:szCs w:val="15"/>
                <w:lang w:val="en-US" w:eastAsia="zh-CN"/>
              </w:rPr>
            </w:pPr>
          </w:p>
        </w:tc>
        <w:tc>
          <w:tcPr>
            <w:tcW w:w="1069" w:type="dxa"/>
            <w:vAlign w:val="center"/>
          </w:tcPr>
          <w:p w14:paraId="02E70B51">
            <w:pPr>
              <w:widowControl/>
              <w:spacing w:after="0" w:line="240" w:lineRule="auto"/>
              <w:jc w:val="center"/>
              <w:rPr>
                <w:rFonts w:hint="eastAsia" w:ascii="宋体" w:hAnsi="宋体"/>
                <w:sz w:val="15"/>
                <w:szCs w:val="15"/>
                <w:lang w:val="en-US" w:eastAsia="zh-CN"/>
              </w:rPr>
            </w:pPr>
          </w:p>
        </w:tc>
        <w:tc>
          <w:tcPr>
            <w:tcW w:w="1069" w:type="dxa"/>
            <w:vAlign w:val="center"/>
          </w:tcPr>
          <w:p w14:paraId="7EA169CF">
            <w:pPr>
              <w:widowControl/>
              <w:spacing w:after="0" w:line="240" w:lineRule="auto"/>
              <w:jc w:val="center"/>
              <w:rPr>
                <w:rFonts w:hint="eastAsia" w:ascii="宋体" w:hAnsi="宋体"/>
                <w:sz w:val="15"/>
                <w:szCs w:val="15"/>
                <w:lang w:val="en-US" w:eastAsia="zh-CN"/>
              </w:rPr>
            </w:pPr>
          </w:p>
        </w:tc>
        <w:tc>
          <w:tcPr>
            <w:tcW w:w="1066" w:type="dxa"/>
            <w:vAlign w:val="center"/>
          </w:tcPr>
          <w:p w14:paraId="416CB908">
            <w:pPr>
              <w:widowControl/>
              <w:spacing w:after="0" w:line="240" w:lineRule="auto"/>
              <w:jc w:val="center"/>
              <w:rPr>
                <w:rFonts w:hint="eastAsia" w:ascii="宋体" w:hAnsi="宋体"/>
                <w:sz w:val="15"/>
                <w:szCs w:val="15"/>
                <w:lang w:val="en-US" w:eastAsia="zh-CN"/>
              </w:rPr>
            </w:pPr>
          </w:p>
        </w:tc>
        <w:tc>
          <w:tcPr>
            <w:tcW w:w="1066" w:type="dxa"/>
            <w:vAlign w:val="center"/>
          </w:tcPr>
          <w:p w14:paraId="57E0DBB3">
            <w:pPr>
              <w:widowControl/>
              <w:spacing w:after="0" w:line="240" w:lineRule="auto"/>
              <w:jc w:val="center"/>
              <w:rPr>
                <w:rFonts w:hint="eastAsia" w:ascii="宋体" w:hAnsi="宋体"/>
                <w:sz w:val="15"/>
                <w:szCs w:val="15"/>
                <w:lang w:val="en-US" w:eastAsia="zh-CN"/>
              </w:rPr>
            </w:pPr>
          </w:p>
        </w:tc>
        <w:tc>
          <w:tcPr>
            <w:tcW w:w="1060" w:type="dxa"/>
            <w:vAlign w:val="center"/>
          </w:tcPr>
          <w:p w14:paraId="102D0624">
            <w:pPr>
              <w:widowControl/>
              <w:spacing w:after="0" w:line="240" w:lineRule="auto"/>
              <w:jc w:val="center"/>
              <w:rPr>
                <w:rFonts w:hint="eastAsia" w:ascii="宋体" w:hAnsi="宋体"/>
                <w:sz w:val="15"/>
                <w:szCs w:val="15"/>
                <w:lang w:val="en-US" w:eastAsia="zh-CN"/>
              </w:rPr>
            </w:pPr>
          </w:p>
        </w:tc>
      </w:tr>
      <w:tr w14:paraId="6560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389DDF1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533" w:type="pct"/>
            <w:shd w:val="clear" w:color="auto" w:fill="auto"/>
            <w:vAlign w:val="center"/>
          </w:tcPr>
          <w:p w14:paraId="63D331B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080" w:type="dxa"/>
            <w:shd w:val="clear" w:color="auto" w:fill="auto"/>
            <w:vAlign w:val="center"/>
          </w:tcPr>
          <w:p w14:paraId="6A90DE26">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5A5498A4">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4DB3C122">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6E43C20">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4A986A63">
            <w:pPr>
              <w:widowControl/>
              <w:spacing w:after="0" w:line="240" w:lineRule="auto"/>
              <w:jc w:val="center"/>
              <w:rPr>
                <w:rFonts w:hint="eastAsia" w:ascii="宋体" w:hAnsi="宋体"/>
                <w:sz w:val="15"/>
                <w:szCs w:val="15"/>
                <w:lang w:val="en-US" w:eastAsia="zh-CN"/>
              </w:rPr>
            </w:pPr>
          </w:p>
        </w:tc>
        <w:tc>
          <w:tcPr>
            <w:tcW w:w="1077" w:type="dxa"/>
            <w:vAlign w:val="center"/>
          </w:tcPr>
          <w:p w14:paraId="48B7DA9E">
            <w:pPr>
              <w:widowControl/>
              <w:spacing w:after="0" w:line="240" w:lineRule="auto"/>
              <w:jc w:val="center"/>
              <w:rPr>
                <w:rFonts w:hint="eastAsia" w:ascii="宋体" w:hAnsi="宋体"/>
                <w:sz w:val="15"/>
                <w:szCs w:val="15"/>
                <w:lang w:val="en-US" w:eastAsia="zh-CN"/>
              </w:rPr>
            </w:pPr>
          </w:p>
        </w:tc>
        <w:tc>
          <w:tcPr>
            <w:tcW w:w="1069" w:type="dxa"/>
            <w:vAlign w:val="center"/>
          </w:tcPr>
          <w:p w14:paraId="26662CD8">
            <w:pPr>
              <w:widowControl/>
              <w:spacing w:after="0" w:line="240" w:lineRule="auto"/>
              <w:jc w:val="center"/>
              <w:rPr>
                <w:rFonts w:hint="eastAsia" w:ascii="宋体" w:hAnsi="宋体"/>
                <w:sz w:val="15"/>
                <w:szCs w:val="15"/>
                <w:lang w:val="en-US" w:eastAsia="zh-CN"/>
              </w:rPr>
            </w:pPr>
          </w:p>
        </w:tc>
        <w:tc>
          <w:tcPr>
            <w:tcW w:w="1069" w:type="dxa"/>
            <w:vAlign w:val="center"/>
          </w:tcPr>
          <w:p w14:paraId="0EEF9BF6">
            <w:pPr>
              <w:widowControl/>
              <w:spacing w:after="0" w:line="240" w:lineRule="auto"/>
              <w:jc w:val="center"/>
              <w:rPr>
                <w:rFonts w:hint="eastAsia" w:ascii="宋体" w:hAnsi="宋体"/>
                <w:sz w:val="15"/>
                <w:szCs w:val="15"/>
                <w:lang w:val="en-US" w:eastAsia="zh-CN"/>
              </w:rPr>
            </w:pPr>
          </w:p>
        </w:tc>
        <w:tc>
          <w:tcPr>
            <w:tcW w:w="1066" w:type="dxa"/>
            <w:vAlign w:val="center"/>
          </w:tcPr>
          <w:p w14:paraId="4BB0E488">
            <w:pPr>
              <w:widowControl/>
              <w:spacing w:after="0" w:line="240" w:lineRule="auto"/>
              <w:jc w:val="center"/>
              <w:rPr>
                <w:rFonts w:hint="eastAsia" w:ascii="宋体" w:hAnsi="宋体"/>
                <w:sz w:val="15"/>
                <w:szCs w:val="15"/>
                <w:lang w:val="en-US" w:eastAsia="zh-CN"/>
              </w:rPr>
            </w:pPr>
          </w:p>
        </w:tc>
        <w:tc>
          <w:tcPr>
            <w:tcW w:w="1066" w:type="dxa"/>
            <w:vAlign w:val="center"/>
          </w:tcPr>
          <w:p w14:paraId="10E624D6">
            <w:pPr>
              <w:widowControl/>
              <w:spacing w:after="0" w:line="240" w:lineRule="auto"/>
              <w:jc w:val="center"/>
              <w:rPr>
                <w:rFonts w:hint="eastAsia" w:ascii="宋体" w:hAnsi="宋体"/>
                <w:sz w:val="15"/>
                <w:szCs w:val="15"/>
                <w:lang w:val="en-US" w:eastAsia="zh-CN"/>
              </w:rPr>
            </w:pPr>
          </w:p>
        </w:tc>
        <w:tc>
          <w:tcPr>
            <w:tcW w:w="1060" w:type="dxa"/>
            <w:vAlign w:val="center"/>
          </w:tcPr>
          <w:p w14:paraId="4430C373">
            <w:pPr>
              <w:widowControl/>
              <w:spacing w:after="0" w:line="240" w:lineRule="auto"/>
              <w:jc w:val="center"/>
              <w:rPr>
                <w:rFonts w:hint="eastAsia" w:ascii="宋体" w:hAnsi="宋体"/>
                <w:sz w:val="15"/>
                <w:szCs w:val="15"/>
                <w:lang w:val="en-US" w:eastAsia="zh-CN"/>
              </w:rPr>
            </w:pPr>
          </w:p>
        </w:tc>
      </w:tr>
      <w:tr w14:paraId="54FA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4F4CA1A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33" w:type="pct"/>
            <w:shd w:val="clear" w:color="auto" w:fill="auto"/>
            <w:vAlign w:val="center"/>
          </w:tcPr>
          <w:p w14:paraId="78FE866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080" w:type="dxa"/>
            <w:shd w:val="clear" w:color="auto" w:fill="auto"/>
            <w:vAlign w:val="center"/>
          </w:tcPr>
          <w:p w14:paraId="18B5C88E">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8,649.28 </w:t>
            </w:r>
          </w:p>
        </w:tc>
        <w:tc>
          <w:tcPr>
            <w:tcW w:w="1077" w:type="dxa"/>
            <w:shd w:val="clear" w:color="auto" w:fill="auto"/>
            <w:vAlign w:val="center"/>
          </w:tcPr>
          <w:p w14:paraId="65F81223">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10ADF2F0">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617D94C1">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16EB101E">
            <w:pPr>
              <w:widowControl/>
              <w:spacing w:after="0" w:line="240" w:lineRule="auto"/>
              <w:jc w:val="center"/>
              <w:rPr>
                <w:rFonts w:hint="eastAsia" w:ascii="宋体" w:hAnsi="宋体"/>
                <w:sz w:val="15"/>
                <w:szCs w:val="15"/>
                <w:lang w:val="en-US" w:eastAsia="zh-CN"/>
              </w:rPr>
            </w:pPr>
          </w:p>
        </w:tc>
        <w:tc>
          <w:tcPr>
            <w:tcW w:w="1077" w:type="dxa"/>
            <w:vAlign w:val="center"/>
          </w:tcPr>
          <w:p w14:paraId="2E6FD7B7">
            <w:pPr>
              <w:widowControl/>
              <w:spacing w:after="0" w:line="240" w:lineRule="auto"/>
              <w:jc w:val="center"/>
              <w:rPr>
                <w:rFonts w:hint="eastAsia" w:ascii="宋体" w:hAnsi="宋体"/>
                <w:sz w:val="15"/>
                <w:szCs w:val="15"/>
                <w:lang w:val="en-US" w:eastAsia="zh-CN"/>
              </w:rPr>
            </w:pPr>
          </w:p>
        </w:tc>
        <w:tc>
          <w:tcPr>
            <w:tcW w:w="1069" w:type="dxa"/>
            <w:vAlign w:val="center"/>
          </w:tcPr>
          <w:p w14:paraId="4C5491C2">
            <w:pPr>
              <w:widowControl/>
              <w:spacing w:after="0" w:line="240" w:lineRule="auto"/>
              <w:jc w:val="center"/>
              <w:rPr>
                <w:rFonts w:hint="eastAsia" w:ascii="宋体" w:hAnsi="宋体"/>
                <w:sz w:val="15"/>
                <w:szCs w:val="15"/>
                <w:lang w:val="en-US" w:eastAsia="zh-CN"/>
              </w:rPr>
            </w:pPr>
          </w:p>
        </w:tc>
        <w:tc>
          <w:tcPr>
            <w:tcW w:w="1069" w:type="dxa"/>
            <w:vAlign w:val="center"/>
          </w:tcPr>
          <w:p w14:paraId="106AD17C">
            <w:pPr>
              <w:widowControl/>
              <w:spacing w:after="0" w:line="240" w:lineRule="auto"/>
              <w:jc w:val="center"/>
              <w:rPr>
                <w:rFonts w:hint="eastAsia" w:ascii="宋体" w:hAnsi="宋体"/>
                <w:sz w:val="15"/>
                <w:szCs w:val="15"/>
                <w:lang w:val="en-US" w:eastAsia="zh-CN"/>
              </w:rPr>
            </w:pPr>
          </w:p>
        </w:tc>
        <w:tc>
          <w:tcPr>
            <w:tcW w:w="1066" w:type="dxa"/>
            <w:vAlign w:val="center"/>
          </w:tcPr>
          <w:p w14:paraId="417BBB89">
            <w:pPr>
              <w:widowControl/>
              <w:spacing w:after="0" w:line="240" w:lineRule="auto"/>
              <w:jc w:val="center"/>
              <w:rPr>
                <w:rFonts w:hint="eastAsia" w:ascii="宋体" w:hAnsi="宋体"/>
                <w:sz w:val="15"/>
                <w:szCs w:val="15"/>
                <w:lang w:val="en-US" w:eastAsia="zh-CN"/>
              </w:rPr>
            </w:pPr>
          </w:p>
        </w:tc>
        <w:tc>
          <w:tcPr>
            <w:tcW w:w="1066" w:type="dxa"/>
            <w:vAlign w:val="center"/>
          </w:tcPr>
          <w:p w14:paraId="1CFC6ECF">
            <w:pPr>
              <w:widowControl/>
              <w:spacing w:after="0" w:line="240" w:lineRule="auto"/>
              <w:jc w:val="center"/>
              <w:rPr>
                <w:rFonts w:hint="eastAsia" w:ascii="宋体" w:hAnsi="宋体"/>
                <w:sz w:val="15"/>
                <w:szCs w:val="15"/>
                <w:lang w:val="en-US" w:eastAsia="zh-CN"/>
              </w:rPr>
            </w:pPr>
          </w:p>
        </w:tc>
        <w:tc>
          <w:tcPr>
            <w:tcW w:w="1060" w:type="dxa"/>
            <w:vAlign w:val="center"/>
          </w:tcPr>
          <w:p w14:paraId="29EC83F5">
            <w:pPr>
              <w:widowControl/>
              <w:spacing w:after="0" w:line="240" w:lineRule="auto"/>
              <w:jc w:val="center"/>
              <w:rPr>
                <w:rFonts w:hint="eastAsia" w:ascii="宋体" w:hAnsi="宋体"/>
                <w:sz w:val="15"/>
                <w:szCs w:val="15"/>
                <w:lang w:val="en-US" w:eastAsia="zh-CN"/>
              </w:rPr>
            </w:pPr>
          </w:p>
        </w:tc>
      </w:tr>
      <w:tr w14:paraId="62D8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138AA9C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533" w:type="pct"/>
            <w:shd w:val="clear" w:color="auto" w:fill="auto"/>
            <w:vAlign w:val="center"/>
          </w:tcPr>
          <w:p w14:paraId="0081193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1080" w:type="dxa"/>
            <w:shd w:val="clear" w:color="auto" w:fill="auto"/>
            <w:vAlign w:val="center"/>
          </w:tcPr>
          <w:p w14:paraId="4DF8F7A3">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39,547.02 </w:t>
            </w:r>
          </w:p>
        </w:tc>
        <w:tc>
          <w:tcPr>
            <w:tcW w:w="1077" w:type="dxa"/>
            <w:shd w:val="clear" w:color="auto" w:fill="auto"/>
            <w:vAlign w:val="center"/>
          </w:tcPr>
          <w:p w14:paraId="7BC5B11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1,684.48 </w:t>
            </w:r>
          </w:p>
        </w:tc>
        <w:tc>
          <w:tcPr>
            <w:tcW w:w="1080" w:type="dxa"/>
            <w:shd w:val="clear" w:color="auto" w:fill="auto"/>
            <w:vAlign w:val="center"/>
          </w:tcPr>
          <w:p w14:paraId="6071186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3,647.98 </w:t>
            </w:r>
          </w:p>
        </w:tc>
        <w:tc>
          <w:tcPr>
            <w:tcW w:w="1080" w:type="dxa"/>
            <w:shd w:val="clear" w:color="auto" w:fill="auto"/>
            <w:vAlign w:val="center"/>
          </w:tcPr>
          <w:p w14:paraId="7659725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2,550.48 </w:t>
            </w:r>
          </w:p>
        </w:tc>
        <w:tc>
          <w:tcPr>
            <w:tcW w:w="1080" w:type="dxa"/>
            <w:shd w:val="clear" w:color="auto" w:fill="auto"/>
            <w:vAlign w:val="center"/>
          </w:tcPr>
          <w:p w14:paraId="18C96C0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852.91 </w:t>
            </w:r>
          </w:p>
        </w:tc>
        <w:tc>
          <w:tcPr>
            <w:tcW w:w="1077" w:type="dxa"/>
            <w:vAlign w:val="center"/>
          </w:tcPr>
          <w:p w14:paraId="1F858A6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6EFA40F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2C803FB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21EE2AF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40656EA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0" w:type="dxa"/>
            <w:vAlign w:val="center"/>
          </w:tcPr>
          <w:p w14:paraId="3CB0D8B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r>
      <w:tr w14:paraId="5E39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215" w:type="pct"/>
            <w:shd w:val="clear" w:color="auto" w:fill="auto"/>
            <w:vAlign w:val="center"/>
          </w:tcPr>
          <w:p w14:paraId="70BDE93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33" w:type="pct"/>
            <w:shd w:val="clear" w:color="auto" w:fill="auto"/>
            <w:vAlign w:val="center"/>
          </w:tcPr>
          <w:p w14:paraId="7E179D8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080" w:type="dxa"/>
            <w:shd w:val="clear" w:color="auto" w:fill="auto"/>
            <w:vAlign w:val="center"/>
          </w:tcPr>
          <w:p w14:paraId="05229E88">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1,094.02 </w:t>
            </w:r>
          </w:p>
        </w:tc>
        <w:tc>
          <w:tcPr>
            <w:tcW w:w="1077" w:type="dxa"/>
            <w:shd w:val="clear" w:color="auto" w:fill="auto"/>
            <w:vAlign w:val="center"/>
          </w:tcPr>
          <w:p w14:paraId="6F570B9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427E01E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6966252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58BBDBF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center"/>
          </w:tcPr>
          <w:p w14:paraId="4962BBD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6F57447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21A6D5A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035A18B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21485DE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center"/>
          </w:tcPr>
          <w:p w14:paraId="5B7B9D1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48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76F521D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533" w:type="pct"/>
            <w:shd w:val="clear" w:color="auto" w:fill="auto"/>
            <w:vAlign w:val="center"/>
          </w:tcPr>
          <w:p w14:paraId="3978CC9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080" w:type="dxa"/>
            <w:shd w:val="clear" w:color="auto" w:fill="auto"/>
            <w:vAlign w:val="center"/>
          </w:tcPr>
          <w:p w14:paraId="3B9CA7B8">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1,094.02 </w:t>
            </w:r>
          </w:p>
        </w:tc>
        <w:tc>
          <w:tcPr>
            <w:tcW w:w="1077" w:type="dxa"/>
            <w:shd w:val="clear" w:color="auto" w:fill="auto"/>
            <w:vAlign w:val="bottom"/>
          </w:tcPr>
          <w:p w14:paraId="0B3EFE9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4DF9A6F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7F9DFBB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80" w:type="dxa"/>
            <w:shd w:val="clear" w:color="auto" w:fill="auto"/>
            <w:vAlign w:val="bottom"/>
          </w:tcPr>
          <w:p w14:paraId="49682E8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77" w:type="dxa"/>
            <w:vAlign w:val="bottom"/>
          </w:tcPr>
          <w:p w14:paraId="30F367E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9" w:type="dxa"/>
            <w:vAlign w:val="bottom"/>
          </w:tcPr>
          <w:p w14:paraId="3C3B2E4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9" w:type="dxa"/>
            <w:vAlign w:val="bottom"/>
          </w:tcPr>
          <w:p w14:paraId="59F18B4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6" w:type="dxa"/>
            <w:vAlign w:val="bottom"/>
          </w:tcPr>
          <w:p w14:paraId="495AEE2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6" w:type="dxa"/>
            <w:vAlign w:val="bottom"/>
          </w:tcPr>
          <w:p w14:paraId="7B0BA05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60" w:type="dxa"/>
            <w:vAlign w:val="bottom"/>
          </w:tcPr>
          <w:p w14:paraId="73391CD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18F6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43B199A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33" w:type="pct"/>
            <w:shd w:val="clear" w:color="auto" w:fill="auto"/>
            <w:vAlign w:val="center"/>
          </w:tcPr>
          <w:p w14:paraId="376A937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080" w:type="dxa"/>
            <w:shd w:val="clear" w:color="auto" w:fill="auto"/>
            <w:vAlign w:val="center"/>
          </w:tcPr>
          <w:p w14:paraId="57FA97C0">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bottom"/>
          </w:tcPr>
          <w:p w14:paraId="5B33391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bottom"/>
          </w:tcPr>
          <w:p w14:paraId="2A2D14D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bottom"/>
          </w:tcPr>
          <w:p w14:paraId="1CDDF18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bottom"/>
          </w:tcPr>
          <w:p w14:paraId="6489DE8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bottom"/>
          </w:tcPr>
          <w:p w14:paraId="27E9409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bottom"/>
          </w:tcPr>
          <w:p w14:paraId="6FC3DEC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bottom"/>
          </w:tcPr>
          <w:p w14:paraId="3898F5D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bottom"/>
          </w:tcPr>
          <w:p w14:paraId="154A1FE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bottom"/>
          </w:tcPr>
          <w:p w14:paraId="0E6AA5F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bottom"/>
          </w:tcPr>
          <w:p w14:paraId="09E8F4A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5563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215" w:type="pct"/>
            <w:shd w:val="clear" w:color="auto" w:fill="auto"/>
            <w:vAlign w:val="center"/>
          </w:tcPr>
          <w:p w14:paraId="483806D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33" w:type="pct"/>
            <w:shd w:val="clear" w:color="auto" w:fill="auto"/>
            <w:vAlign w:val="center"/>
          </w:tcPr>
          <w:p w14:paraId="7D793A4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080" w:type="dxa"/>
            <w:shd w:val="clear" w:color="auto" w:fill="auto"/>
            <w:vAlign w:val="center"/>
          </w:tcPr>
          <w:p w14:paraId="20E0CBF2">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21,130.71 </w:t>
            </w:r>
          </w:p>
        </w:tc>
        <w:tc>
          <w:tcPr>
            <w:tcW w:w="1077" w:type="dxa"/>
            <w:shd w:val="clear" w:color="auto" w:fill="auto"/>
            <w:vAlign w:val="center"/>
          </w:tcPr>
          <w:p w14:paraId="23D75C76">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1F3CEC53">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910A3B2">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5CFF882">
            <w:pPr>
              <w:widowControl/>
              <w:spacing w:after="0" w:line="240" w:lineRule="auto"/>
              <w:jc w:val="center"/>
              <w:rPr>
                <w:rFonts w:hint="eastAsia" w:ascii="宋体" w:hAnsi="宋体"/>
                <w:sz w:val="15"/>
                <w:szCs w:val="15"/>
                <w:lang w:val="en-US" w:eastAsia="zh-CN"/>
              </w:rPr>
            </w:pPr>
          </w:p>
        </w:tc>
        <w:tc>
          <w:tcPr>
            <w:tcW w:w="1077" w:type="dxa"/>
            <w:vAlign w:val="center"/>
          </w:tcPr>
          <w:p w14:paraId="6C424CE9">
            <w:pPr>
              <w:widowControl/>
              <w:spacing w:after="0" w:line="240" w:lineRule="auto"/>
              <w:jc w:val="center"/>
              <w:rPr>
                <w:rFonts w:hint="eastAsia" w:ascii="宋体" w:hAnsi="宋体"/>
                <w:sz w:val="15"/>
                <w:szCs w:val="15"/>
                <w:lang w:val="en-US" w:eastAsia="zh-CN"/>
              </w:rPr>
            </w:pPr>
          </w:p>
        </w:tc>
        <w:tc>
          <w:tcPr>
            <w:tcW w:w="1069" w:type="dxa"/>
            <w:vAlign w:val="center"/>
          </w:tcPr>
          <w:p w14:paraId="63B8E74A">
            <w:pPr>
              <w:widowControl/>
              <w:spacing w:after="0" w:line="240" w:lineRule="auto"/>
              <w:jc w:val="center"/>
              <w:rPr>
                <w:rFonts w:hint="eastAsia" w:ascii="宋体" w:hAnsi="宋体"/>
                <w:sz w:val="15"/>
                <w:szCs w:val="15"/>
                <w:lang w:val="en-US" w:eastAsia="zh-CN"/>
              </w:rPr>
            </w:pPr>
          </w:p>
        </w:tc>
        <w:tc>
          <w:tcPr>
            <w:tcW w:w="1069" w:type="dxa"/>
            <w:vAlign w:val="center"/>
          </w:tcPr>
          <w:p w14:paraId="52514937">
            <w:pPr>
              <w:widowControl/>
              <w:spacing w:after="0" w:line="240" w:lineRule="auto"/>
              <w:jc w:val="center"/>
              <w:rPr>
                <w:rFonts w:hint="eastAsia" w:ascii="宋体" w:hAnsi="宋体"/>
                <w:sz w:val="15"/>
                <w:szCs w:val="15"/>
                <w:lang w:val="en-US" w:eastAsia="zh-CN"/>
              </w:rPr>
            </w:pPr>
          </w:p>
        </w:tc>
        <w:tc>
          <w:tcPr>
            <w:tcW w:w="1066" w:type="dxa"/>
            <w:vAlign w:val="center"/>
          </w:tcPr>
          <w:p w14:paraId="2B213B3F">
            <w:pPr>
              <w:widowControl/>
              <w:spacing w:after="0" w:line="240" w:lineRule="auto"/>
              <w:jc w:val="center"/>
              <w:rPr>
                <w:rFonts w:hint="eastAsia" w:ascii="宋体" w:hAnsi="宋体"/>
                <w:sz w:val="15"/>
                <w:szCs w:val="15"/>
                <w:lang w:val="en-US" w:eastAsia="zh-CN"/>
              </w:rPr>
            </w:pPr>
          </w:p>
        </w:tc>
        <w:tc>
          <w:tcPr>
            <w:tcW w:w="1066" w:type="dxa"/>
            <w:vAlign w:val="center"/>
          </w:tcPr>
          <w:p w14:paraId="35FFD43F">
            <w:pPr>
              <w:widowControl/>
              <w:spacing w:after="0" w:line="240" w:lineRule="auto"/>
              <w:jc w:val="center"/>
              <w:rPr>
                <w:rFonts w:hint="eastAsia" w:ascii="宋体" w:hAnsi="宋体"/>
                <w:sz w:val="15"/>
                <w:szCs w:val="15"/>
                <w:lang w:val="en-US" w:eastAsia="zh-CN"/>
              </w:rPr>
            </w:pPr>
          </w:p>
        </w:tc>
        <w:tc>
          <w:tcPr>
            <w:tcW w:w="1060" w:type="dxa"/>
            <w:vAlign w:val="center"/>
          </w:tcPr>
          <w:p w14:paraId="4438FA3E">
            <w:pPr>
              <w:widowControl/>
              <w:spacing w:after="0" w:line="240" w:lineRule="auto"/>
              <w:jc w:val="center"/>
              <w:rPr>
                <w:rFonts w:hint="eastAsia" w:ascii="宋体" w:hAnsi="宋体"/>
                <w:sz w:val="15"/>
                <w:szCs w:val="15"/>
                <w:lang w:val="en-US" w:eastAsia="zh-CN"/>
              </w:rPr>
            </w:pPr>
          </w:p>
        </w:tc>
      </w:tr>
      <w:tr w14:paraId="2D70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215" w:type="pct"/>
            <w:shd w:val="clear" w:color="auto" w:fill="auto"/>
            <w:vAlign w:val="center"/>
          </w:tcPr>
          <w:p w14:paraId="3A8A0A7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33" w:type="pct"/>
            <w:shd w:val="clear" w:color="auto" w:fill="auto"/>
            <w:vAlign w:val="center"/>
          </w:tcPr>
          <w:p w14:paraId="44B0EC8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080" w:type="dxa"/>
            <w:shd w:val="clear" w:color="auto" w:fill="auto"/>
            <w:vAlign w:val="center"/>
          </w:tcPr>
          <w:p w14:paraId="081F39C3">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17,322.29 </w:t>
            </w:r>
          </w:p>
        </w:tc>
        <w:tc>
          <w:tcPr>
            <w:tcW w:w="1077" w:type="dxa"/>
            <w:shd w:val="clear" w:color="auto" w:fill="auto"/>
            <w:vAlign w:val="center"/>
          </w:tcPr>
          <w:p w14:paraId="1C0F01C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1,684.48 </w:t>
            </w:r>
          </w:p>
        </w:tc>
        <w:tc>
          <w:tcPr>
            <w:tcW w:w="1080" w:type="dxa"/>
            <w:shd w:val="clear" w:color="auto" w:fill="auto"/>
            <w:vAlign w:val="center"/>
          </w:tcPr>
          <w:p w14:paraId="10291A3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3,647.98 </w:t>
            </w:r>
          </w:p>
        </w:tc>
        <w:tc>
          <w:tcPr>
            <w:tcW w:w="1080" w:type="dxa"/>
            <w:shd w:val="clear" w:color="auto" w:fill="auto"/>
            <w:vAlign w:val="center"/>
          </w:tcPr>
          <w:p w14:paraId="7B0FC2E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2,550.48 </w:t>
            </w:r>
          </w:p>
        </w:tc>
        <w:tc>
          <w:tcPr>
            <w:tcW w:w="1080" w:type="dxa"/>
            <w:shd w:val="clear" w:color="auto" w:fill="auto"/>
            <w:vAlign w:val="center"/>
          </w:tcPr>
          <w:p w14:paraId="1553ED2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852.91 </w:t>
            </w:r>
          </w:p>
        </w:tc>
        <w:tc>
          <w:tcPr>
            <w:tcW w:w="1077" w:type="dxa"/>
            <w:vAlign w:val="center"/>
          </w:tcPr>
          <w:p w14:paraId="1D81FB3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498F97F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4126D46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29F127F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6F874EF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0" w:type="dxa"/>
            <w:vAlign w:val="center"/>
          </w:tcPr>
          <w:p w14:paraId="4D0AC93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r>
      <w:tr w14:paraId="19B0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5A03BB0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533" w:type="pct"/>
            <w:shd w:val="clear" w:color="auto" w:fill="auto"/>
            <w:vAlign w:val="center"/>
          </w:tcPr>
          <w:p w14:paraId="2049769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080" w:type="dxa"/>
            <w:shd w:val="clear" w:color="auto" w:fill="auto"/>
            <w:vAlign w:val="center"/>
          </w:tcPr>
          <w:p w14:paraId="1F19E62F">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10.74 </w:t>
            </w:r>
          </w:p>
        </w:tc>
        <w:tc>
          <w:tcPr>
            <w:tcW w:w="1077" w:type="dxa"/>
            <w:shd w:val="clear" w:color="auto" w:fill="auto"/>
            <w:vAlign w:val="center"/>
          </w:tcPr>
          <w:p w14:paraId="18FF5724">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5D63BCA">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2787B471">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63B4A659">
            <w:pPr>
              <w:widowControl/>
              <w:spacing w:after="0" w:line="240" w:lineRule="auto"/>
              <w:jc w:val="center"/>
              <w:rPr>
                <w:rFonts w:hint="eastAsia" w:ascii="宋体" w:hAnsi="宋体"/>
                <w:sz w:val="15"/>
                <w:szCs w:val="15"/>
                <w:lang w:val="en-US" w:eastAsia="zh-CN"/>
              </w:rPr>
            </w:pPr>
          </w:p>
        </w:tc>
        <w:tc>
          <w:tcPr>
            <w:tcW w:w="1077" w:type="dxa"/>
            <w:vAlign w:val="center"/>
          </w:tcPr>
          <w:p w14:paraId="0948E385">
            <w:pPr>
              <w:widowControl/>
              <w:spacing w:after="0" w:line="240" w:lineRule="auto"/>
              <w:jc w:val="center"/>
              <w:rPr>
                <w:rFonts w:hint="eastAsia" w:ascii="宋体" w:hAnsi="宋体"/>
                <w:sz w:val="15"/>
                <w:szCs w:val="15"/>
                <w:lang w:val="en-US" w:eastAsia="zh-CN"/>
              </w:rPr>
            </w:pPr>
          </w:p>
        </w:tc>
        <w:tc>
          <w:tcPr>
            <w:tcW w:w="1069" w:type="dxa"/>
            <w:vAlign w:val="center"/>
          </w:tcPr>
          <w:p w14:paraId="73AE47BA">
            <w:pPr>
              <w:widowControl/>
              <w:spacing w:after="0" w:line="240" w:lineRule="auto"/>
              <w:jc w:val="center"/>
              <w:rPr>
                <w:rFonts w:hint="eastAsia" w:ascii="宋体" w:hAnsi="宋体"/>
                <w:sz w:val="15"/>
                <w:szCs w:val="15"/>
                <w:lang w:val="en-US" w:eastAsia="zh-CN"/>
              </w:rPr>
            </w:pPr>
          </w:p>
        </w:tc>
        <w:tc>
          <w:tcPr>
            <w:tcW w:w="1069" w:type="dxa"/>
            <w:vAlign w:val="center"/>
          </w:tcPr>
          <w:p w14:paraId="5CD1FD42">
            <w:pPr>
              <w:widowControl/>
              <w:spacing w:after="0" w:line="240" w:lineRule="auto"/>
              <w:jc w:val="center"/>
              <w:rPr>
                <w:rFonts w:hint="eastAsia" w:ascii="宋体" w:hAnsi="宋体"/>
                <w:sz w:val="15"/>
                <w:szCs w:val="15"/>
                <w:lang w:val="en-US" w:eastAsia="zh-CN"/>
              </w:rPr>
            </w:pPr>
          </w:p>
        </w:tc>
        <w:tc>
          <w:tcPr>
            <w:tcW w:w="1066" w:type="dxa"/>
            <w:vAlign w:val="center"/>
          </w:tcPr>
          <w:p w14:paraId="2A1300C6">
            <w:pPr>
              <w:widowControl/>
              <w:spacing w:after="0" w:line="240" w:lineRule="auto"/>
              <w:jc w:val="center"/>
              <w:rPr>
                <w:rFonts w:hint="eastAsia" w:ascii="宋体" w:hAnsi="宋体"/>
                <w:sz w:val="15"/>
                <w:szCs w:val="15"/>
                <w:lang w:val="en-US" w:eastAsia="zh-CN"/>
              </w:rPr>
            </w:pPr>
          </w:p>
        </w:tc>
        <w:tc>
          <w:tcPr>
            <w:tcW w:w="1066" w:type="dxa"/>
            <w:vAlign w:val="bottom"/>
          </w:tcPr>
          <w:p w14:paraId="200EDCA6">
            <w:pPr>
              <w:widowControl/>
              <w:spacing w:after="0" w:line="240" w:lineRule="auto"/>
              <w:jc w:val="center"/>
              <w:rPr>
                <w:rFonts w:hint="eastAsia" w:ascii="宋体" w:hAnsi="宋体"/>
                <w:sz w:val="15"/>
                <w:szCs w:val="15"/>
                <w:lang w:val="en-US" w:eastAsia="zh-CN"/>
              </w:rPr>
            </w:pPr>
          </w:p>
        </w:tc>
        <w:tc>
          <w:tcPr>
            <w:tcW w:w="1060" w:type="dxa"/>
            <w:vAlign w:val="bottom"/>
          </w:tcPr>
          <w:p w14:paraId="4B0CA1E1">
            <w:pPr>
              <w:widowControl/>
              <w:spacing w:after="0" w:line="240" w:lineRule="auto"/>
              <w:jc w:val="center"/>
              <w:rPr>
                <w:rFonts w:hint="eastAsia" w:ascii="宋体" w:hAnsi="宋体"/>
                <w:sz w:val="15"/>
                <w:szCs w:val="15"/>
                <w:lang w:val="en-US" w:eastAsia="zh-CN"/>
              </w:rPr>
            </w:pPr>
          </w:p>
        </w:tc>
      </w:tr>
      <w:tr w14:paraId="0AC8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4A50145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533" w:type="pct"/>
            <w:shd w:val="clear" w:color="auto" w:fill="auto"/>
            <w:vAlign w:val="center"/>
          </w:tcPr>
          <w:p w14:paraId="291F655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080" w:type="dxa"/>
            <w:shd w:val="clear" w:color="auto" w:fill="auto"/>
            <w:vAlign w:val="center"/>
          </w:tcPr>
          <w:p w14:paraId="6249E245">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1077" w:type="dxa"/>
            <w:shd w:val="clear" w:color="auto" w:fill="auto"/>
            <w:vAlign w:val="center"/>
          </w:tcPr>
          <w:p w14:paraId="38EE41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1,400.00 </w:t>
            </w:r>
          </w:p>
        </w:tc>
        <w:tc>
          <w:tcPr>
            <w:tcW w:w="1080" w:type="dxa"/>
            <w:shd w:val="clear" w:color="auto" w:fill="auto"/>
            <w:vAlign w:val="center"/>
          </w:tcPr>
          <w:p w14:paraId="4E5D385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3,500.00 </w:t>
            </w:r>
          </w:p>
        </w:tc>
        <w:tc>
          <w:tcPr>
            <w:tcW w:w="1080" w:type="dxa"/>
            <w:shd w:val="clear" w:color="auto" w:fill="auto"/>
            <w:vAlign w:val="center"/>
          </w:tcPr>
          <w:p w14:paraId="1403B61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2,500.00 </w:t>
            </w:r>
          </w:p>
        </w:tc>
        <w:tc>
          <w:tcPr>
            <w:tcW w:w="1080" w:type="dxa"/>
            <w:shd w:val="clear" w:color="auto" w:fill="auto"/>
            <w:vAlign w:val="center"/>
          </w:tcPr>
          <w:p w14:paraId="753CDB9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835.00 </w:t>
            </w:r>
          </w:p>
        </w:tc>
        <w:tc>
          <w:tcPr>
            <w:tcW w:w="1077" w:type="dxa"/>
            <w:vAlign w:val="bottom"/>
          </w:tcPr>
          <w:p w14:paraId="60A10ED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bottom"/>
          </w:tcPr>
          <w:p w14:paraId="6C044B9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bottom"/>
          </w:tcPr>
          <w:p w14:paraId="4D34A56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bottom"/>
          </w:tcPr>
          <w:p w14:paraId="6B4F28E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bottom"/>
          </w:tcPr>
          <w:p w14:paraId="2985F0C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bottom"/>
          </w:tcPr>
          <w:p w14:paraId="1B4307E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1A0C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6AF9690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533" w:type="pct"/>
            <w:shd w:val="clear" w:color="auto" w:fill="auto"/>
            <w:vAlign w:val="center"/>
          </w:tcPr>
          <w:p w14:paraId="44D994F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080" w:type="dxa"/>
            <w:shd w:val="clear" w:color="auto" w:fill="auto"/>
            <w:vAlign w:val="center"/>
          </w:tcPr>
          <w:p w14:paraId="67A16EB2">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3,576.55 </w:t>
            </w:r>
          </w:p>
        </w:tc>
        <w:tc>
          <w:tcPr>
            <w:tcW w:w="1077" w:type="dxa"/>
            <w:shd w:val="clear" w:color="auto" w:fill="auto"/>
            <w:vAlign w:val="bottom"/>
          </w:tcPr>
          <w:p w14:paraId="075D2A2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284.48 </w:t>
            </w:r>
          </w:p>
        </w:tc>
        <w:tc>
          <w:tcPr>
            <w:tcW w:w="1080" w:type="dxa"/>
            <w:shd w:val="clear" w:color="auto" w:fill="auto"/>
            <w:vAlign w:val="bottom"/>
          </w:tcPr>
          <w:p w14:paraId="046C42B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147.98 </w:t>
            </w:r>
          </w:p>
        </w:tc>
        <w:tc>
          <w:tcPr>
            <w:tcW w:w="1080" w:type="dxa"/>
            <w:shd w:val="clear" w:color="auto" w:fill="auto"/>
            <w:vAlign w:val="bottom"/>
          </w:tcPr>
          <w:p w14:paraId="15027A1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50.48 </w:t>
            </w:r>
          </w:p>
        </w:tc>
        <w:tc>
          <w:tcPr>
            <w:tcW w:w="1080" w:type="dxa"/>
            <w:shd w:val="clear" w:color="auto" w:fill="auto"/>
            <w:vAlign w:val="bottom"/>
          </w:tcPr>
          <w:p w14:paraId="225773C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77" w:type="dxa"/>
            <w:vAlign w:val="bottom"/>
          </w:tcPr>
          <w:p w14:paraId="48CABBB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bottom"/>
          </w:tcPr>
          <w:p w14:paraId="03FDF98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bottom"/>
          </w:tcPr>
          <w:p w14:paraId="68E4B3A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bottom"/>
          </w:tcPr>
          <w:p w14:paraId="6700C4C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bottom"/>
          </w:tcPr>
          <w:p w14:paraId="254B050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0" w:type="dxa"/>
            <w:vAlign w:val="bottom"/>
          </w:tcPr>
          <w:p w14:paraId="7C28BFF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r>
      <w:tr w14:paraId="0C47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 w:hRule="atLeast"/>
        </w:trPr>
        <w:tc>
          <w:tcPr>
            <w:tcW w:w="215" w:type="pct"/>
            <w:shd w:val="clear" w:color="auto" w:fill="auto"/>
            <w:vAlign w:val="center"/>
          </w:tcPr>
          <w:p w14:paraId="1AA5811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533" w:type="pct"/>
            <w:shd w:val="clear" w:color="auto" w:fill="auto"/>
            <w:vAlign w:val="center"/>
          </w:tcPr>
          <w:p w14:paraId="12A073C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080" w:type="dxa"/>
            <w:shd w:val="clear" w:color="auto" w:fill="auto"/>
            <w:vAlign w:val="center"/>
          </w:tcPr>
          <w:p w14:paraId="1CDDC922">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7F92E267">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574C200A">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60E47409">
            <w:pPr>
              <w:widowControl/>
              <w:spacing w:after="0" w:line="240" w:lineRule="auto"/>
              <w:jc w:val="center"/>
              <w:rPr>
                <w:rFonts w:hint="eastAsia" w:ascii="宋体" w:hAnsi="宋体"/>
                <w:sz w:val="15"/>
                <w:szCs w:val="15"/>
                <w:lang w:val="en-US" w:eastAsia="zh-CN"/>
              </w:rPr>
            </w:pPr>
          </w:p>
        </w:tc>
        <w:tc>
          <w:tcPr>
            <w:tcW w:w="1080" w:type="dxa"/>
            <w:shd w:val="clear" w:color="auto" w:fill="auto"/>
            <w:vAlign w:val="center"/>
          </w:tcPr>
          <w:p w14:paraId="79BC3CAE">
            <w:pPr>
              <w:widowControl/>
              <w:spacing w:after="0" w:line="240" w:lineRule="auto"/>
              <w:jc w:val="center"/>
              <w:rPr>
                <w:rFonts w:hint="eastAsia" w:ascii="宋体" w:hAnsi="宋体"/>
                <w:sz w:val="15"/>
                <w:szCs w:val="15"/>
                <w:lang w:val="en-US" w:eastAsia="zh-CN"/>
              </w:rPr>
            </w:pPr>
          </w:p>
        </w:tc>
        <w:tc>
          <w:tcPr>
            <w:tcW w:w="1077" w:type="dxa"/>
            <w:vAlign w:val="center"/>
          </w:tcPr>
          <w:p w14:paraId="09C6DF49">
            <w:pPr>
              <w:widowControl/>
              <w:spacing w:after="0" w:line="240" w:lineRule="auto"/>
              <w:jc w:val="center"/>
              <w:rPr>
                <w:rFonts w:hint="eastAsia" w:ascii="宋体" w:hAnsi="宋体"/>
                <w:sz w:val="15"/>
                <w:szCs w:val="15"/>
                <w:lang w:val="en-US" w:eastAsia="zh-CN"/>
              </w:rPr>
            </w:pPr>
          </w:p>
        </w:tc>
        <w:tc>
          <w:tcPr>
            <w:tcW w:w="1069" w:type="dxa"/>
            <w:vAlign w:val="center"/>
          </w:tcPr>
          <w:p w14:paraId="33011313">
            <w:pPr>
              <w:widowControl/>
              <w:spacing w:after="0" w:line="240" w:lineRule="auto"/>
              <w:jc w:val="center"/>
              <w:rPr>
                <w:rFonts w:hint="eastAsia" w:ascii="宋体" w:hAnsi="宋体"/>
                <w:sz w:val="15"/>
                <w:szCs w:val="15"/>
                <w:lang w:val="en-US" w:eastAsia="zh-CN"/>
              </w:rPr>
            </w:pPr>
          </w:p>
        </w:tc>
        <w:tc>
          <w:tcPr>
            <w:tcW w:w="1069" w:type="dxa"/>
            <w:vAlign w:val="center"/>
          </w:tcPr>
          <w:p w14:paraId="406917D8">
            <w:pPr>
              <w:widowControl/>
              <w:spacing w:after="0" w:line="240" w:lineRule="auto"/>
              <w:jc w:val="center"/>
              <w:rPr>
                <w:rFonts w:hint="eastAsia" w:ascii="宋体" w:hAnsi="宋体"/>
                <w:sz w:val="15"/>
                <w:szCs w:val="15"/>
                <w:lang w:val="en-US" w:eastAsia="zh-CN"/>
              </w:rPr>
            </w:pPr>
          </w:p>
        </w:tc>
        <w:tc>
          <w:tcPr>
            <w:tcW w:w="1066" w:type="dxa"/>
            <w:vAlign w:val="center"/>
          </w:tcPr>
          <w:p w14:paraId="769960E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bottom"/>
          </w:tcPr>
          <w:p w14:paraId="6A45E03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bottom"/>
          </w:tcPr>
          <w:p w14:paraId="05586D38">
            <w:pPr>
              <w:widowControl/>
              <w:spacing w:after="0" w:line="240" w:lineRule="auto"/>
              <w:jc w:val="center"/>
              <w:rPr>
                <w:rFonts w:hint="eastAsia" w:ascii="宋体" w:hAnsi="宋体"/>
                <w:sz w:val="15"/>
                <w:szCs w:val="15"/>
                <w:lang w:val="en-US" w:eastAsia="zh-CN"/>
              </w:rPr>
            </w:pPr>
          </w:p>
        </w:tc>
      </w:tr>
      <w:tr w14:paraId="38AD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trPr>
        <w:tc>
          <w:tcPr>
            <w:tcW w:w="215" w:type="pct"/>
            <w:shd w:val="clear" w:color="auto" w:fill="auto"/>
            <w:vAlign w:val="center"/>
          </w:tcPr>
          <w:p w14:paraId="680B2F9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533" w:type="pct"/>
            <w:shd w:val="clear" w:color="auto" w:fill="auto"/>
            <w:vAlign w:val="center"/>
          </w:tcPr>
          <w:p w14:paraId="3AEE7A2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080" w:type="dxa"/>
            <w:shd w:val="clear" w:color="auto" w:fill="auto"/>
            <w:vAlign w:val="center"/>
          </w:tcPr>
          <w:p w14:paraId="045514AC">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5DC1DEB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noWrap/>
            <w:vAlign w:val="center"/>
          </w:tcPr>
          <w:p w14:paraId="1E7BCBB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6206BE1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80" w:type="dxa"/>
            <w:shd w:val="clear" w:color="auto" w:fill="auto"/>
            <w:vAlign w:val="center"/>
          </w:tcPr>
          <w:p w14:paraId="228C6FC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77" w:type="dxa"/>
            <w:vAlign w:val="center"/>
          </w:tcPr>
          <w:p w14:paraId="473AFE4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4814EAA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9" w:type="dxa"/>
            <w:vAlign w:val="center"/>
          </w:tcPr>
          <w:p w14:paraId="236E882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767AE30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6" w:type="dxa"/>
            <w:vAlign w:val="center"/>
          </w:tcPr>
          <w:p w14:paraId="5D12C0C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60" w:type="dxa"/>
            <w:vAlign w:val="center"/>
          </w:tcPr>
          <w:p w14:paraId="7317A02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375F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3282A92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533" w:type="pct"/>
            <w:shd w:val="clear" w:color="auto" w:fill="auto"/>
            <w:vAlign w:val="center"/>
          </w:tcPr>
          <w:p w14:paraId="4486A0D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1080" w:type="dxa"/>
            <w:shd w:val="clear" w:color="auto" w:fill="auto"/>
            <w:vAlign w:val="center"/>
          </w:tcPr>
          <w:p w14:paraId="4EDCF4FF">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37,538.26 </w:t>
            </w:r>
          </w:p>
        </w:tc>
        <w:tc>
          <w:tcPr>
            <w:tcW w:w="1077" w:type="dxa"/>
            <w:shd w:val="clear" w:color="auto" w:fill="auto"/>
            <w:vAlign w:val="center"/>
          </w:tcPr>
          <w:p w14:paraId="4C0038E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-1,684.48 </w:t>
            </w:r>
          </w:p>
        </w:tc>
        <w:tc>
          <w:tcPr>
            <w:tcW w:w="1080" w:type="dxa"/>
            <w:shd w:val="clear" w:color="auto" w:fill="auto"/>
            <w:vAlign w:val="center"/>
          </w:tcPr>
          <w:p w14:paraId="314C98D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-3,647.98 </w:t>
            </w:r>
          </w:p>
        </w:tc>
        <w:tc>
          <w:tcPr>
            <w:tcW w:w="1080" w:type="dxa"/>
            <w:shd w:val="clear" w:color="auto" w:fill="auto"/>
            <w:vAlign w:val="center"/>
          </w:tcPr>
          <w:p w14:paraId="4AE9484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-2,550.48 </w:t>
            </w:r>
          </w:p>
        </w:tc>
        <w:tc>
          <w:tcPr>
            <w:tcW w:w="1080" w:type="dxa"/>
            <w:shd w:val="clear" w:color="auto" w:fill="auto"/>
            <w:vAlign w:val="center"/>
          </w:tcPr>
          <w:p w14:paraId="03D86B0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-852.91 </w:t>
            </w:r>
          </w:p>
        </w:tc>
        <w:tc>
          <w:tcPr>
            <w:tcW w:w="1077" w:type="dxa"/>
            <w:vAlign w:val="center"/>
          </w:tcPr>
          <w:p w14:paraId="16CF1ED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19D652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9" w:type="dxa"/>
            <w:vAlign w:val="center"/>
          </w:tcPr>
          <w:p w14:paraId="2815C41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161B4EB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6" w:type="dxa"/>
            <w:vAlign w:val="center"/>
          </w:tcPr>
          <w:p w14:paraId="19CF3A7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60" w:type="dxa"/>
            <w:vAlign w:val="center"/>
          </w:tcPr>
          <w:p w14:paraId="3130A8E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r>
      <w:tr w14:paraId="0108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52C6081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533" w:type="pct"/>
            <w:shd w:val="clear" w:color="auto" w:fill="auto"/>
            <w:vAlign w:val="center"/>
          </w:tcPr>
          <w:p w14:paraId="426C319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1080" w:type="dxa"/>
            <w:shd w:val="clear" w:color="auto" w:fill="auto"/>
            <w:vAlign w:val="center"/>
          </w:tcPr>
          <w:p w14:paraId="17CEEFB6">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308D235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47,093.54 </w:t>
            </w:r>
          </w:p>
        </w:tc>
        <w:tc>
          <w:tcPr>
            <w:tcW w:w="1080" w:type="dxa"/>
            <w:shd w:val="clear" w:color="auto" w:fill="auto"/>
            <w:vAlign w:val="center"/>
          </w:tcPr>
          <w:p w14:paraId="37730EB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45,409.06 </w:t>
            </w:r>
          </w:p>
        </w:tc>
        <w:tc>
          <w:tcPr>
            <w:tcW w:w="1080" w:type="dxa"/>
            <w:shd w:val="clear" w:color="auto" w:fill="auto"/>
            <w:vAlign w:val="center"/>
          </w:tcPr>
          <w:p w14:paraId="7F52C79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41,761.08 </w:t>
            </w:r>
          </w:p>
        </w:tc>
        <w:tc>
          <w:tcPr>
            <w:tcW w:w="1080" w:type="dxa"/>
            <w:shd w:val="clear" w:color="auto" w:fill="auto"/>
            <w:vAlign w:val="center"/>
          </w:tcPr>
          <w:p w14:paraId="15BEE6C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39,210.60 </w:t>
            </w:r>
          </w:p>
        </w:tc>
        <w:tc>
          <w:tcPr>
            <w:tcW w:w="1077" w:type="dxa"/>
            <w:vAlign w:val="center"/>
          </w:tcPr>
          <w:p w14:paraId="4C731A4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38,357.69 </w:t>
            </w:r>
          </w:p>
        </w:tc>
        <w:tc>
          <w:tcPr>
            <w:tcW w:w="1069" w:type="dxa"/>
            <w:vAlign w:val="center"/>
          </w:tcPr>
          <w:p w14:paraId="5E68F22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38,339.78 </w:t>
            </w:r>
          </w:p>
        </w:tc>
        <w:tc>
          <w:tcPr>
            <w:tcW w:w="1069" w:type="dxa"/>
            <w:vAlign w:val="center"/>
          </w:tcPr>
          <w:p w14:paraId="7238D66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38,321.87 </w:t>
            </w:r>
          </w:p>
        </w:tc>
        <w:tc>
          <w:tcPr>
            <w:tcW w:w="1066" w:type="dxa"/>
            <w:vAlign w:val="center"/>
          </w:tcPr>
          <w:p w14:paraId="12E127F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38,303.96 </w:t>
            </w:r>
          </w:p>
        </w:tc>
        <w:tc>
          <w:tcPr>
            <w:tcW w:w="1066" w:type="dxa"/>
            <w:vAlign w:val="center"/>
          </w:tcPr>
          <w:p w14:paraId="4BBDF76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38,286.05 </w:t>
            </w:r>
          </w:p>
        </w:tc>
        <w:tc>
          <w:tcPr>
            <w:tcW w:w="1060" w:type="dxa"/>
            <w:vAlign w:val="center"/>
          </w:tcPr>
          <w:p w14:paraId="6980EAA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38,268.14 </w:t>
            </w:r>
          </w:p>
        </w:tc>
      </w:tr>
      <w:tr w14:paraId="5B6F4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5" w:type="pct"/>
            <w:shd w:val="clear" w:color="auto" w:fill="auto"/>
            <w:vAlign w:val="center"/>
          </w:tcPr>
          <w:p w14:paraId="45F67DF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533" w:type="pct"/>
            <w:shd w:val="clear" w:color="auto" w:fill="auto"/>
            <w:vAlign w:val="center"/>
          </w:tcPr>
          <w:p w14:paraId="2415D9F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1080" w:type="dxa"/>
            <w:shd w:val="clear" w:color="auto" w:fill="auto"/>
            <w:vAlign w:val="center"/>
          </w:tcPr>
          <w:p w14:paraId="2AF69A21">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1077" w:type="dxa"/>
            <w:shd w:val="clear" w:color="auto" w:fill="auto"/>
            <w:vAlign w:val="center"/>
          </w:tcPr>
          <w:p w14:paraId="2E82834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45,409.06 </w:t>
            </w:r>
          </w:p>
        </w:tc>
        <w:tc>
          <w:tcPr>
            <w:tcW w:w="1080" w:type="dxa"/>
            <w:shd w:val="clear" w:color="auto" w:fill="auto"/>
            <w:vAlign w:val="center"/>
          </w:tcPr>
          <w:p w14:paraId="38878A8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41,761.08 </w:t>
            </w:r>
          </w:p>
        </w:tc>
        <w:tc>
          <w:tcPr>
            <w:tcW w:w="1080" w:type="dxa"/>
            <w:shd w:val="clear" w:color="auto" w:fill="auto"/>
            <w:vAlign w:val="center"/>
          </w:tcPr>
          <w:p w14:paraId="728E91A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39,210.60 </w:t>
            </w:r>
          </w:p>
        </w:tc>
        <w:tc>
          <w:tcPr>
            <w:tcW w:w="1080" w:type="dxa"/>
            <w:shd w:val="clear" w:color="auto" w:fill="auto"/>
            <w:vAlign w:val="center"/>
          </w:tcPr>
          <w:p w14:paraId="6F27F60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38,357.69 </w:t>
            </w:r>
          </w:p>
        </w:tc>
        <w:tc>
          <w:tcPr>
            <w:tcW w:w="1077" w:type="dxa"/>
            <w:vAlign w:val="center"/>
          </w:tcPr>
          <w:p w14:paraId="35253AE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38,339.78 </w:t>
            </w:r>
          </w:p>
        </w:tc>
        <w:tc>
          <w:tcPr>
            <w:tcW w:w="1069" w:type="dxa"/>
            <w:vAlign w:val="center"/>
          </w:tcPr>
          <w:p w14:paraId="104CF6F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38,321.87 </w:t>
            </w:r>
          </w:p>
        </w:tc>
        <w:tc>
          <w:tcPr>
            <w:tcW w:w="1069" w:type="dxa"/>
            <w:vAlign w:val="center"/>
          </w:tcPr>
          <w:p w14:paraId="62719E0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38,303.96 </w:t>
            </w:r>
          </w:p>
        </w:tc>
        <w:tc>
          <w:tcPr>
            <w:tcW w:w="1066" w:type="dxa"/>
            <w:vAlign w:val="center"/>
          </w:tcPr>
          <w:p w14:paraId="4C6958E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38,286.05 </w:t>
            </w:r>
          </w:p>
        </w:tc>
        <w:tc>
          <w:tcPr>
            <w:tcW w:w="1066" w:type="dxa"/>
            <w:vAlign w:val="center"/>
          </w:tcPr>
          <w:p w14:paraId="5594D60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38,268.14 </w:t>
            </w:r>
          </w:p>
        </w:tc>
        <w:tc>
          <w:tcPr>
            <w:tcW w:w="1060" w:type="dxa"/>
            <w:vAlign w:val="center"/>
          </w:tcPr>
          <w:p w14:paraId="6030824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38,250.23 </w:t>
            </w:r>
          </w:p>
        </w:tc>
      </w:tr>
    </w:tbl>
    <w:p w14:paraId="1A4FA826">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072"/>
        <w:gridCol w:w="1135"/>
        <w:gridCol w:w="852"/>
        <w:gridCol w:w="849"/>
        <w:gridCol w:w="937"/>
        <w:gridCol w:w="767"/>
        <w:gridCol w:w="994"/>
        <w:gridCol w:w="811"/>
        <w:gridCol w:w="1002"/>
        <w:gridCol w:w="1002"/>
        <w:gridCol w:w="1002"/>
        <w:gridCol w:w="1002"/>
        <w:gridCol w:w="1002"/>
        <w:gridCol w:w="1198"/>
      </w:tblGrid>
      <w:tr w14:paraId="6184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3660A58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386" w:type="pct"/>
            <w:shd w:val="clear" w:color="auto" w:fill="auto"/>
            <w:vAlign w:val="center"/>
          </w:tcPr>
          <w:p w14:paraId="15A33B1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09" w:type="pct"/>
            <w:shd w:val="clear" w:color="auto" w:fill="auto"/>
            <w:vAlign w:val="center"/>
          </w:tcPr>
          <w:p w14:paraId="7CA121C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07" w:type="pct"/>
            <w:shd w:val="clear" w:color="auto" w:fill="auto"/>
            <w:vAlign w:val="center"/>
          </w:tcPr>
          <w:p w14:paraId="6EA83C1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2041年</w:t>
            </w:r>
          </w:p>
        </w:tc>
        <w:tc>
          <w:tcPr>
            <w:tcW w:w="306" w:type="pct"/>
            <w:shd w:val="clear" w:color="auto" w:fill="auto"/>
            <w:vAlign w:val="center"/>
          </w:tcPr>
          <w:p w14:paraId="196077B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2042年</w:t>
            </w:r>
          </w:p>
        </w:tc>
        <w:tc>
          <w:tcPr>
            <w:tcW w:w="307" w:type="pct"/>
            <w:shd w:val="clear" w:color="auto" w:fill="auto"/>
            <w:vAlign w:val="center"/>
          </w:tcPr>
          <w:p w14:paraId="6539133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2043年</w:t>
            </w:r>
          </w:p>
        </w:tc>
        <w:tc>
          <w:tcPr>
            <w:tcW w:w="307" w:type="pct"/>
            <w:shd w:val="clear" w:color="auto" w:fill="auto"/>
            <w:vAlign w:val="center"/>
          </w:tcPr>
          <w:p w14:paraId="424621F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2044年</w:t>
            </w:r>
          </w:p>
        </w:tc>
        <w:tc>
          <w:tcPr>
            <w:tcW w:w="358" w:type="pct"/>
            <w:shd w:val="clear" w:color="auto" w:fill="auto"/>
            <w:vAlign w:val="center"/>
          </w:tcPr>
          <w:p w14:paraId="6BA075A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2045年</w:t>
            </w:r>
          </w:p>
        </w:tc>
        <w:tc>
          <w:tcPr>
            <w:tcW w:w="292" w:type="pct"/>
            <w:shd w:val="clear" w:color="auto" w:fill="auto"/>
            <w:vAlign w:val="center"/>
          </w:tcPr>
          <w:p w14:paraId="11501B6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2046年</w:t>
            </w:r>
          </w:p>
        </w:tc>
        <w:tc>
          <w:tcPr>
            <w:tcW w:w="361" w:type="pct"/>
            <w:shd w:val="clear" w:color="auto" w:fill="auto"/>
            <w:vAlign w:val="center"/>
          </w:tcPr>
          <w:p w14:paraId="792463A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2047年</w:t>
            </w:r>
          </w:p>
        </w:tc>
        <w:tc>
          <w:tcPr>
            <w:tcW w:w="361" w:type="pct"/>
            <w:shd w:val="clear" w:color="auto" w:fill="auto"/>
            <w:vAlign w:val="center"/>
          </w:tcPr>
          <w:p w14:paraId="1E12D6A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2048年</w:t>
            </w:r>
          </w:p>
        </w:tc>
        <w:tc>
          <w:tcPr>
            <w:tcW w:w="361" w:type="pct"/>
            <w:shd w:val="clear" w:color="auto" w:fill="auto"/>
            <w:vAlign w:val="center"/>
          </w:tcPr>
          <w:p w14:paraId="71CD639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2049年</w:t>
            </w:r>
          </w:p>
        </w:tc>
        <w:tc>
          <w:tcPr>
            <w:tcW w:w="361" w:type="pct"/>
            <w:shd w:val="clear" w:color="auto" w:fill="auto"/>
            <w:vAlign w:val="center"/>
          </w:tcPr>
          <w:p w14:paraId="7D8C040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2050年</w:t>
            </w:r>
          </w:p>
        </w:tc>
        <w:tc>
          <w:tcPr>
            <w:tcW w:w="361" w:type="pct"/>
            <w:shd w:val="clear" w:color="auto" w:fill="auto"/>
            <w:vAlign w:val="center"/>
          </w:tcPr>
          <w:p w14:paraId="10D3C22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2051年</w:t>
            </w:r>
          </w:p>
        </w:tc>
        <w:tc>
          <w:tcPr>
            <w:tcW w:w="351" w:type="pct"/>
            <w:shd w:val="clear" w:color="auto" w:fill="auto"/>
            <w:vAlign w:val="center"/>
          </w:tcPr>
          <w:p w14:paraId="2ABED29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2052年</w:t>
            </w:r>
          </w:p>
        </w:tc>
      </w:tr>
      <w:tr w14:paraId="2C2A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361AABB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386" w:type="pct"/>
            <w:shd w:val="clear" w:color="auto" w:fill="auto"/>
            <w:vAlign w:val="center"/>
          </w:tcPr>
          <w:p w14:paraId="43BCCD7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1135" w:type="dxa"/>
            <w:shd w:val="clear" w:color="auto" w:fill="auto"/>
            <w:vAlign w:val="center"/>
          </w:tcPr>
          <w:p w14:paraId="322B52C7">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77,085.28 </w:t>
            </w:r>
          </w:p>
        </w:tc>
        <w:tc>
          <w:tcPr>
            <w:tcW w:w="852" w:type="dxa"/>
            <w:shd w:val="clear" w:color="auto" w:fill="auto"/>
            <w:vAlign w:val="center"/>
          </w:tcPr>
          <w:p w14:paraId="2FC46B3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vAlign w:val="center"/>
          </w:tcPr>
          <w:p w14:paraId="2F41141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2E40AE9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4C7140F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vAlign w:val="center"/>
          </w:tcPr>
          <w:p w14:paraId="014CD81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vAlign w:val="center"/>
          </w:tcPr>
          <w:p w14:paraId="7534FEE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79A181F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470DB8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7B128C9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2ED5481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1919844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vAlign w:val="center"/>
          </w:tcPr>
          <w:p w14:paraId="5B3CA25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4F67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2F4ADD3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6" w:type="pct"/>
            <w:shd w:val="clear" w:color="auto" w:fill="auto"/>
            <w:vAlign w:val="center"/>
          </w:tcPr>
          <w:p w14:paraId="3CCFED3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135" w:type="dxa"/>
            <w:shd w:val="clear" w:color="auto" w:fill="auto"/>
            <w:vAlign w:val="center"/>
          </w:tcPr>
          <w:p w14:paraId="78A3E9E5">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54,701.00 </w:t>
            </w:r>
          </w:p>
        </w:tc>
        <w:tc>
          <w:tcPr>
            <w:tcW w:w="852" w:type="dxa"/>
            <w:shd w:val="clear" w:color="auto" w:fill="auto"/>
            <w:vAlign w:val="center"/>
          </w:tcPr>
          <w:p w14:paraId="7BB604A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vAlign w:val="center"/>
          </w:tcPr>
          <w:p w14:paraId="770F54F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4B24290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7BB7400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vAlign w:val="center"/>
          </w:tcPr>
          <w:p w14:paraId="0EAAE3B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vAlign w:val="center"/>
          </w:tcPr>
          <w:p w14:paraId="71118AD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2E289AB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281C7E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963EFC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738B508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68F7683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vAlign w:val="center"/>
          </w:tcPr>
          <w:p w14:paraId="16988F1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06DF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3BE9C00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386" w:type="pct"/>
            <w:shd w:val="clear" w:color="auto" w:fill="auto"/>
            <w:vAlign w:val="center"/>
          </w:tcPr>
          <w:p w14:paraId="09B9BFA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135" w:type="dxa"/>
            <w:shd w:val="clear" w:color="auto" w:fill="auto"/>
            <w:vAlign w:val="center"/>
          </w:tcPr>
          <w:p w14:paraId="37A63742">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noWrap/>
            <w:vAlign w:val="bottom"/>
          </w:tcPr>
          <w:p w14:paraId="38AB71F0">
            <w:pPr>
              <w:widowControl/>
              <w:spacing w:after="0" w:line="240" w:lineRule="auto"/>
              <w:jc w:val="center"/>
              <w:rPr>
                <w:rFonts w:hint="eastAsia" w:ascii="宋体" w:hAnsi="宋体"/>
                <w:sz w:val="15"/>
                <w:szCs w:val="15"/>
                <w:lang w:val="en-US" w:eastAsia="zh-CN"/>
              </w:rPr>
            </w:pPr>
          </w:p>
        </w:tc>
        <w:tc>
          <w:tcPr>
            <w:tcW w:w="849" w:type="dxa"/>
            <w:shd w:val="clear" w:color="auto" w:fill="auto"/>
            <w:noWrap/>
            <w:vAlign w:val="bottom"/>
          </w:tcPr>
          <w:p w14:paraId="716C96A3">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29FFAA43">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36F9DCB6">
            <w:pPr>
              <w:widowControl/>
              <w:spacing w:after="0" w:line="240" w:lineRule="auto"/>
              <w:jc w:val="center"/>
              <w:rPr>
                <w:rFonts w:hint="eastAsia" w:ascii="宋体" w:hAnsi="宋体"/>
                <w:sz w:val="15"/>
                <w:szCs w:val="15"/>
                <w:lang w:val="en-US" w:eastAsia="zh-CN"/>
              </w:rPr>
            </w:pPr>
          </w:p>
        </w:tc>
        <w:tc>
          <w:tcPr>
            <w:tcW w:w="994" w:type="dxa"/>
            <w:shd w:val="clear" w:color="auto" w:fill="auto"/>
            <w:noWrap/>
            <w:vAlign w:val="bottom"/>
          </w:tcPr>
          <w:p w14:paraId="606A771E">
            <w:pPr>
              <w:widowControl/>
              <w:spacing w:after="0" w:line="240" w:lineRule="auto"/>
              <w:jc w:val="center"/>
              <w:rPr>
                <w:rFonts w:hint="eastAsia" w:ascii="宋体" w:hAnsi="宋体"/>
                <w:sz w:val="15"/>
                <w:szCs w:val="15"/>
                <w:lang w:val="en-US" w:eastAsia="zh-CN"/>
              </w:rPr>
            </w:pPr>
          </w:p>
        </w:tc>
        <w:tc>
          <w:tcPr>
            <w:tcW w:w="811" w:type="dxa"/>
            <w:shd w:val="clear" w:color="auto" w:fill="auto"/>
            <w:noWrap/>
            <w:vAlign w:val="bottom"/>
          </w:tcPr>
          <w:p w14:paraId="5BA2DE64">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3D493E08">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2B9DA17B">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0B8FE9CD">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69910841">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3670D99F">
            <w:pPr>
              <w:widowControl/>
              <w:spacing w:after="0" w:line="240" w:lineRule="auto"/>
              <w:jc w:val="center"/>
              <w:rPr>
                <w:rFonts w:hint="eastAsia" w:ascii="宋体" w:hAnsi="宋体"/>
                <w:sz w:val="15"/>
                <w:szCs w:val="15"/>
                <w:lang w:val="en-US" w:eastAsia="zh-CN"/>
              </w:rPr>
            </w:pPr>
          </w:p>
        </w:tc>
        <w:tc>
          <w:tcPr>
            <w:tcW w:w="974" w:type="dxa"/>
            <w:shd w:val="clear" w:color="auto" w:fill="auto"/>
            <w:noWrap/>
            <w:vAlign w:val="bottom"/>
          </w:tcPr>
          <w:p w14:paraId="1690283F">
            <w:pPr>
              <w:widowControl/>
              <w:spacing w:after="0" w:line="240" w:lineRule="auto"/>
              <w:jc w:val="center"/>
              <w:rPr>
                <w:rFonts w:hint="eastAsia" w:ascii="宋体" w:hAnsi="宋体"/>
                <w:sz w:val="15"/>
                <w:szCs w:val="15"/>
                <w:lang w:val="en-US" w:eastAsia="zh-CN"/>
              </w:rPr>
            </w:pPr>
          </w:p>
        </w:tc>
      </w:tr>
      <w:tr w14:paraId="7430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0C0CCFB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386" w:type="pct"/>
            <w:shd w:val="clear" w:color="auto" w:fill="auto"/>
            <w:vAlign w:val="center"/>
          </w:tcPr>
          <w:p w14:paraId="6D0E264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135" w:type="dxa"/>
            <w:shd w:val="clear" w:color="auto" w:fill="auto"/>
            <w:vAlign w:val="center"/>
          </w:tcPr>
          <w:p w14:paraId="787C0101">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54,701.00 </w:t>
            </w:r>
          </w:p>
        </w:tc>
        <w:tc>
          <w:tcPr>
            <w:tcW w:w="852" w:type="dxa"/>
            <w:shd w:val="clear" w:color="auto" w:fill="auto"/>
            <w:noWrap/>
            <w:vAlign w:val="bottom"/>
          </w:tcPr>
          <w:p w14:paraId="56AD684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49" w:type="dxa"/>
            <w:shd w:val="clear" w:color="auto" w:fill="auto"/>
            <w:noWrap/>
            <w:vAlign w:val="bottom"/>
          </w:tcPr>
          <w:p w14:paraId="40B2B8E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52" w:type="dxa"/>
            <w:shd w:val="clear" w:color="auto" w:fill="auto"/>
            <w:noWrap/>
            <w:vAlign w:val="bottom"/>
          </w:tcPr>
          <w:p w14:paraId="030C6D0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52" w:type="dxa"/>
            <w:shd w:val="clear" w:color="auto" w:fill="auto"/>
            <w:noWrap/>
            <w:vAlign w:val="bottom"/>
          </w:tcPr>
          <w:p w14:paraId="062B139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994" w:type="dxa"/>
            <w:shd w:val="clear" w:color="auto" w:fill="auto"/>
            <w:noWrap/>
            <w:vAlign w:val="bottom"/>
          </w:tcPr>
          <w:p w14:paraId="73BF4E9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11" w:type="dxa"/>
            <w:shd w:val="clear" w:color="auto" w:fill="auto"/>
            <w:noWrap/>
            <w:vAlign w:val="bottom"/>
          </w:tcPr>
          <w:p w14:paraId="772209D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0F5C593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0C55DB6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5369005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76A9FAD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1FC92BC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974" w:type="dxa"/>
            <w:shd w:val="clear" w:color="auto" w:fill="auto"/>
            <w:noWrap/>
            <w:vAlign w:val="bottom"/>
          </w:tcPr>
          <w:p w14:paraId="7EEFD9B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54C2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596C84A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86" w:type="pct"/>
            <w:shd w:val="clear" w:color="auto" w:fill="auto"/>
            <w:vAlign w:val="center"/>
          </w:tcPr>
          <w:p w14:paraId="45E299E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135" w:type="dxa"/>
            <w:shd w:val="clear" w:color="auto" w:fill="auto"/>
            <w:vAlign w:val="center"/>
          </w:tcPr>
          <w:p w14:paraId="44940B94">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852" w:type="dxa"/>
            <w:shd w:val="clear" w:color="auto" w:fill="auto"/>
            <w:vAlign w:val="center"/>
          </w:tcPr>
          <w:p w14:paraId="705FBB6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vAlign w:val="center"/>
          </w:tcPr>
          <w:p w14:paraId="07384CF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138623C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37AFFA6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vAlign w:val="center"/>
          </w:tcPr>
          <w:p w14:paraId="4926F3A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vAlign w:val="center"/>
          </w:tcPr>
          <w:p w14:paraId="7BA65A0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751F7C0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107A409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5A38B9C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52DD77F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99F472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vAlign w:val="center"/>
          </w:tcPr>
          <w:p w14:paraId="072CB6A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0FD0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10BF88B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386" w:type="pct"/>
            <w:shd w:val="clear" w:color="auto" w:fill="auto"/>
            <w:vAlign w:val="center"/>
          </w:tcPr>
          <w:p w14:paraId="3AC8BE8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135" w:type="dxa"/>
            <w:shd w:val="clear" w:color="auto" w:fill="auto"/>
            <w:vAlign w:val="center"/>
          </w:tcPr>
          <w:p w14:paraId="348580A5">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852" w:type="dxa"/>
            <w:shd w:val="clear" w:color="auto" w:fill="auto"/>
            <w:vAlign w:val="center"/>
          </w:tcPr>
          <w:p w14:paraId="77101418">
            <w:pPr>
              <w:widowControl/>
              <w:spacing w:after="0" w:line="240" w:lineRule="auto"/>
              <w:jc w:val="center"/>
              <w:rPr>
                <w:rFonts w:hint="eastAsia" w:ascii="宋体" w:hAnsi="宋体"/>
                <w:sz w:val="15"/>
                <w:szCs w:val="15"/>
                <w:lang w:val="en-US" w:eastAsia="zh-CN"/>
              </w:rPr>
            </w:pPr>
          </w:p>
        </w:tc>
        <w:tc>
          <w:tcPr>
            <w:tcW w:w="849" w:type="dxa"/>
            <w:shd w:val="clear" w:color="auto" w:fill="auto"/>
            <w:vAlign w:val="center"/>
          </w:tcPr>
          <w:p w14:paraId="187CEFEA">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3D66A06E">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2ACD51E5">
            <w:pPr>
              <w:widowControl/>
              <w:spacing w:after="0" w:line="240" w:lineRule="auto"/>
              <w:jc w:val="center"/>
              <w:rPr>
                <w:rFonts w:hint="eastAsia" w:ascii="宋体" w:hAnsi="宋体"/>
                <w:sz w:val="15"/>
                <w:szCs w:val="15"/>
                <w:lang w:val="en-US" w:eastAsia="zh-CN"/>
              </w:rPr>
            </w:pPr>
          </w:p>
        </w:tc>
        <w:tc>
          <w:tcPr>
            <w:tcW w:w="994" w:type="dxa"/>
            <w:shd w:val="clear" w:color="auto" w:fill="auto"/>
            <w:vAlign w:val="center"/>
          </w:tcPr>
          <w:p w14:paraId="6D606E4E">
            <w:pPr>
              <w:widowControl/>
              <w:spacing w:after="0" w:line="240" w:lineRule="auto"/>
              <w:jc w:val="center"/>
              <w:rPr>
                <w:rFonts w:hint="eastAsia" w:ascii="宋体" w:hAnsi="宋体"/>
                <w:sz w:val="15"/>
                <w:szCs w:val="15"/>
                <w:lang w:val="en-US" w:eastAsia="zh-CN"/>
              </w:rPr>
            </w:pPr>
          </w:p>
        </w:tc>
        <w:tc>
          <w:tcPr>
            <w:tcW w:w="811" w:type="dxa"/>
            <w:shd w:val="clear" w:color="auto" w:fill="auto"/>
            <w:vAlign w:val="center"/>
          </w:tcPr>
          <w:p w14:paraId="4F6FAB68">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021A2DA">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77926C8">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3663789C">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1B17B64">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219B271D">
            <w:pPr>
              <w:widowControl/>
              <w:spacing w:after="0" w:line="240" w:lineRule="auto"/>
              <w:jc w:val="center"/>
              <w:rPr>
                <w:rFonts w:hint="eastAsia" w:ascii="宋体" w:hAnsi="宋体"/>
                <w:sz w:val="15"/>
                <w:szCs w:val="15"/>
                <w:lang w:val="en-US" w:eastAsia="zh-CN"/>
              </w:rPr>
            </w:pPr>
          </w:p>
        </w:tc>
        <w:tc>
          <w:tcPr>
            <w:tcW w:w="974" w:type="dxa"/>
            <w:shd w:val="clear" w:color="auto" w:fill="auto"/>
            <w:vAlign w:val="center"/>
          </w:tcPr>
          <w:p w14:paraId="3201FB16">
            <w:pPr>
              <w:widowControl/>
              <w:spacing w:after="0" w:line="240" w:lineRule="auto"/>
              <w:jc w:val="center"/>
              <w:rPr>
                <w:rFonts w:hint="eastAsia" w:ascii="宋体" w:hAnsi="宋体"/>
                <w:sz w:val="15"/>
                <w:szCs w:val="15"/>
                <w:lang w:val="en-US" w:eastAsia="zh-CN"/>
              </w:rPr>
            </w:pPr>
          </w:p>
        </w:tc>
      </w:tr>
      <w:tr w14:paraId="4EC9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2059DF2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386" w:type="pct"/>
            <w:shd w:val="clear" w:color="auto" w:fill="auto"/>
            <w:vAlign w:val="center"/>
          </w:tcPr>
          <w:p w14:paraId="5632A54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135" w:type="dxa"/>
            <w:shd w:val="clear" w:color="auto" w:fill="auto"/>
            <w:vAlign w:val="center"/>
          </w:tcPr>
          <w:p w14:paraId="2D9A1DCB">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vAlign w:val="center"/>
          </w:tcPr>
          <w:p w14:paraId="15E29499">
            <w:pPr>
              <w:widowControl/>
              <w:spacing w:after="0" w:line="240" w:lineRule="auto"/>
              <w:jc w:val="center"/>
              <w:rPr>
                <w:rFonts w:hint="eastAsia" w:ascii="宋体" w:hAnsi="宋体"/>
                <w:sz w:val="15"/>
                <w:szCs w:val="15"/>
                <w:lang w:val="en-US" w:eastAsia="zh-CN"/>
              </w:rPr>
            </w:pPr>
          </w:p>
        </w:tc>
        <w:tc>
          <w:tcPr>
            <w:tcW w:w="849" w:type="dxa"/>
            <w:shd w:val="clear" w:color="auto" w:fill="auto"/>
            <w:vAlign w:val="center"/>
          </w:tcPr>
          <w:p w14:paraId="46BE88DC">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06F18EBD">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28885A67">
            <w:pPr>
              <w:widowControl/>
              <w:spacing w:after="0" w:line="240" w:lineRule="auto"/>
              <w:jc w:val="center"/>
              <w:rPr>
                <w:rFonts w:hint="eastAsia" w:ascii="宋体" w:hAnsi="宋体"/>
                <w:sz w:val="15"/>
                <w:szCs w:val="15"/>
                <w:lang w:val="en-US" w:eastAsia="zh-CN"/>
              </w:rPr>
            </w:pPr>
          </w:p>
        </w:tc>
        <w:tc>
          <w:tcPr>
            <w:tcW w:w="994" w:type="dxa"/>
            <w:shd w:val="clear" w:color="auto" w:fill="auto"/>
            <w:vAlign w:val="center"/>
          </w:tcPr>
          <w:p w14:paraId="69A826C9">
            <w:pPr>
              <w:widowControl/>
              <w:spacing w:after="0" w:line="240" w:lineRule="auto"/>
              <w:jc w:val="center"/>
              <w:rPr>
                <w:rFonts w:hint="eastAsia" w:ascii="宋体" w:hAnsi="宋体"/>
                <w:sz w:val="15"/>
                <w:szCs w:val="15"/>
                <w:lang w:val="en-US" w:eastAsia="zh-CN"/>
              </w:rPr>
            </w:pPr>
          </w:p>
        </w:tc>
        <w:tc>
          <w:tcPr>
            <w:tcW w:w="811" w:type="dxa"/>
            <w:shd w:val="clear" w:color="auto" w:fill="auto"/>
            <w:vAlign w:val="center"/>
          </w:tcPr>
          <w:p w14:paraId="093ED10B">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8794813">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2D6B9C76">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CC5D230">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0A362ACF">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42863890">
            <w:pPr>
              <w:widowControl/>
              <w:spacing w:after="0" w:line="240" w:lineRule="auto"/>
              <w:jc w:val="center"/>
              <w:rPr>
                <w:rFonts w:hint="eastAsia" w:ascii="宋体" w:hAnsi="宋体"/>
                <w:sz w:val="15"/>
                <w:szCs w:val="15"/>
                <w:lang w:val="en-US" w:eastAsia="zh-CN"/>
              </w:rPr>
            </w:pPr>
          </w:p>
        </w:tc>
        <w:tc>
          <w:tcPr>
            <w:tcW w:w="974" w:type="dxa"/>
            <w:shd w:val="clear" w:color="auto" w:fill="auto"/>
            <w:vAlign w:val="center"/>
          </w:tcPr>
          <w:p w14:paraId="11EAF2FB">
            <w:pPr>
              <w:widowControl/>
              <w:spacing w:after="0" w:line="240" w:lineRule="auto"/>
              <w:jc w:val="center"/>
              <w:rPr>
                <w:rFonts w:hint="eastAsia" w:ascii="宋体" w:hAnsi="宋体"/>
                <w:sz w:val="15"/>
                <w:szCs w:val="15"/>
                <w:lang w:val="en-US" w:eastAsia="zh-CN"/>
              </w:rPr>
            </w:pPr>
          </w:p>
        </w:tc>
      </w:tr>
      <w:tr w14:paraId="4BB5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47E1946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86" w:type="pct"/>
            <w:shd w:val="clear" w:color="auto" w:fill="auto"/>
            <w:vAlign w:val="center"/>
          </w:tcPr>
          <w:p w14:paraId="589364E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135" w:type="dxa"/>
            <w:shd w:val="clear" w:color="auto" w:fill="auto"/>
            <w:vAlign w:val="center"/>
          </w:tcPr>
          <w:p w14:paraId="395BEFA7">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8,649.28 </w:t>
            </w:r>
          </w:p>
        </w:tc>
        <w:tc>
          <w:tcPr>
            <w:tcW w:w="852" w:type="dxa"/>
            <w:shd w:val="clear" w:color="auto" w:fill="auto"/>
            <w:vAlign w:val="center"/>
          </w:tcPr>
          <w:p w14:paraId="52288A3C">
            <w:pPr>
              <w:widowControl/>
              <w:spacing w:after="0" w:line="240" w:lineRule="auto"/>
              <w:jc w:val="center"/>
              <w:rPr>
                <w:rFonts w:hint="eastAsia" w:ascii="宋体" w:hAnsi="宋体"/>
                <w:sz w:val="15"/>
                <w:szCs w:val="15"/>
                <w:lang w:val="en-US" w:eastAsia="zh-CN"/>
              </w:rPr>
            </w:pPr>
          </w:p>
        </w:tc>
        <w:tc>
          <w:tcPr>
            <w:tcW w:w="849" w:type="dxa"/>
            <w:shd w:val="clear" w:color="auto" w:fill="auto"/>
            <w:vAlign w:val="center"/>
          </w:tcPr>
          <w:p w14:paraId="121F9B34">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7F355794">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24EB0FA8">
            <w:pPr>
              <w:widowControl/>
              <w:spacing w:after="0" w:line="240" w:lineRule="auto"/>
              <w:jc w:val="center"/>
              <w:rPr>
                <w:rFonts w:hint="eastAsia" w:ascii="宋体" w:hAnsi="宋体"/>
                <w:sz w:val="15"/>
                <w:szCs w:val="15"/>
                <w:lang w:val="en-US" w:eastAsia="zh-CN"/>
              </w:rPr>
            </w:pPr>
          </w:p>
        </w:tc>
        <w:tc>
          <w:tcPr>
            <w:tcW w:w="994" w:type="dxa"/>
            <w:shd w:val="clear" w:color="auto" w:fill="auto"/>
            <w:vAlign w:val="center"/>
          </w:tcPr>
          <w:p w14:paraId="54A7493C">
            <w:pPr>
              <w:widowControl/>
              <w:spacing w:after="0" w:line="240" w:lineRule="auto"/>
              <w:jc w:val="center"/>
              <w:rPr>
                <w:rFonts w:hint="eastAsia" w:ascii="宋体" w:hAnsi="宋体"/>
                <w:sz w:val="15"/>
                <w:szCs w:val="15"/>
                <w:lang w:val="en-US" w:eastAsia="zh-CN"/>
              </w:rPr>
            </w:pPr>
          </w:p>
        </w:tc>
        <w:tc>
          <w:tcPr>
            <w:tcW w:w="811" w:type="dxa"/>
            <w:shd w:val="clear" w:color="auto" w:fill="auto"/>
            <w:vAlign w:val="center"/>
          </w:tcPr>
          <w:p w14:paraId="07242BC6">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F490F1F">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9E1EBAA">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6574B06">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28B6BEAF">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5C57ADD">
            <w:pPr>
              <w:widowControl/>
              <w:spacing w:after="0" w:line="240" w:lineRule="auto"/>
              <w:jc w:val="center"/>
              <w:rPr>
                <w:rFonts w:hint="eastAsia" w:ascii="宋体" w:hAnsi="宋体"/>
                <w:sz w:val="15"/>
                <w:szCs w:val="15"/>
                <w:lang w:val="en-US" w:eastAsia="zh-CN"/>
              </w:rPr>
            </w:pPr>
          </w:p>
        </w:tc>
        <w:tc>
          <w:tcPr>
            <w:tcW w:w="974" w:type="dxa"/>
            <w:shd w:val="clear" w:color="auto" w:fill="auto"/>
            <w:vAlign w:val="center"/>
          </w:tcPr>
          <w:p w14:paraId="20ED5145">
            <w:pPr>
              <w:widowControl/>
              <w:spacing w:after="0" w:line="240" w:lineRule="auto"/>
              <w:jc w:val="center"/>
              <w:rPr>
                <w:rFonts w:hint="eastAsia" w:ascii="宋体" w:hAnsi="宋体"/>
                <w:sz w:val="15"/>
                <w:szCs w:val="15"/>
                <w:lang w:val="en-US" w:eastAsia="zh-CN"/>
              </w:rPr>
            </w:pPr>
          </w:p>
        </w:tc>
      </w:tr>
      <w:tr w14:paraId="291A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59D6FC0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386" w:type="pct"/>
            <w:shd w:val="clear" w:color="auto" w:fill="auto"/>
            <w:vAlign w:val="center"/>
          </w:tcPr>
          <w:p w14:paraId="3A0A035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1135" w:type="dxa"/>
            <w:shd w:val="clear" w:color="auto" w:fill="auto"/>
            <w:vAlign w:val="center"/>
          </w:tcPr>
          <w:p w14:paraId="53D4C790">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39,547.02 </w:t>
            </w:r>
          </w:p>
        </w:tc>
        <w:tc>
          <w:tcPr>
            <w:tcW w:w="852" w:type="dxa"/>
            <w:shd w:val="clear" w:color="auto" w:fill="auto"/>
            <w:vAlign w:val="center"/>
          </w:tcPr>
          <w:p w14:paraId="43D78D8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49" w:type="dxa"/>
            <w:shd w:val="clear" w:color="auto" w:fill="auto"/>
            <w:vAlign w:val="center"/>
          </w:tcPr>
          <w:p w14:paraId="5610919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27A52F1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5B02C81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94" w:type="dxa"/>
            <w:shd w:val="clear" w:color="auto" w:fill="auto"/>
            <w:vAlign w:val="center"/>
          </w:tcPr>
          <w:p w14:paraId="6D46EFC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11" w:type="dxa"/>
            <w:shd w:val="clear" w:color="auto" w:fill="auto"/>
            <w:vAlign w:val="center"/>
          </w:tcPr>
          <w:p w14:paraId="56DC80E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7D3ED8A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642BE15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594B52C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2C72A22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7F21D2B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74" w:type="dxa"/>
            <w:shd w:val="clear" w:color="auto" w:fill="auto"/>
            <w:vAlign w:val="center"/>
          </w:tcPr>
          <w:p w14:paraId="058C3E0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514.96 </w:t>
            </w:r>
          </w:p>
        </w:tc>
      </w:tr>
      <w:tr w14:paraId="000E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394E09B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86" w:type="pct"/>
            <w:shd w:val="clear" w:color="auto" w:fill="auto"/>
            <w:vAlign w:val="center"/>
          </w:tcPr>
          <w:p w14:paraId="140B2EB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135" w:type="dxa"/>
            <w:shd w:val="clear" w:color="auto" w:fill="auto"/>
            <w:vAlign w:val="center"/>
          </w:tcPr>
          <w:p w14:paraId="5F8166F1">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1,094.02 </w:t>
            </w:r>
          </w:p>
        </w:tc>
        <w:tc>
          <w:tcPr>
            <w:tcW w:w="852" w:type="dxa"/>
            <w:shd w:val="clear" w:color="auto" w:fill="auto"/>
            <w:vAlign w:val="center"/>
          </w:tcPr>
          <w:p w14:paraId="69AAA92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vAlign w:val="center"/>
          </w:tcPr>
          <w:p w14:paraId="0B87135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7341DFB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583859E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vAlign w:val="center"/>
          </w:tcPr>
          <w:p w14:paraId="7D09DE4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vAlign w:val="center"/>
          </w:tcPr>
          <w:p w14:paraId="70AE9D9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6C56421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6A1E68E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A3509F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6BEDFEA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304956E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vAlign w:val="center"/>
          </w:tcPr>
          <w:p w14:paraId="32DA268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74E34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1B8CDFF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386" w:type="pct"/>
            <w:shd w:val="clear" w:color="auto" w:fill="auto"/>
            <w:vAlign w:val="center"/>
          </w:tcPr>
          <w:p w14:paraId="0707C12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135" w:type="dxa"/>
            <w:shd w:val="clear" w:color="auto" w:fill="auto"/>
            <w:vAlign w:val="center"/>
          </w:tcPr>
          <w:p w14:paraId="2BCC18E0">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1,094.02 </w:t>
            </w:r>
          </w:p>
        </w:tc>
        <w:tc>
          <w:tcPr>
            <w:tcW w:w="852" w:type="dxa"/>
            <w:shd w:val="clear" w:color="auto" w:fill="auto"/>
            <w:noWrap/>
            <w:vAlign w:val="bottom"/>
          </w:tcPr>
          <w:p w14:paraId="02D23C6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49" w:type="dxa"/>
            <w:shd w:val="clear" w:color="auto" w:fill="auto"/>
            <w:noWrap/>
            <w:vAlign w:val="bottom"/>
          </w:tcPr>
          <w:p w14:paraId="634FD06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52" w:type="dxa"/>
            <w:shd w:val="clear" w:color="auto" w:fill="auto"/>
            <w:noWrap/>
            <w:vAlign w:val="bottom"/>
          </w:tcPr>
          <w:p w14:paraId="3849009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52" w:type="dxa"/>
            <w:shd w:val="clear" w:color="auto" w:fill="auto"/>
            <w:noWrap/>
            <w:vAlign w:val="bottom"/>
          </w:tcPr>
          <w:p w14:paraId="3A21854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994" w:type="dxa"/>
            <w:shd w:val="clear" w:color="auto" w:fill="auto"/>
            <w:noWrap/>
            <w:vAlign w:val="bottom"/>
          </w:tcPr>
          <w:p w14:paraId="1D24161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811" w:type="dxa"/>
            <w:shd w:val="clear" w:color="auto" w:fill="auto"/>
            <w:noWrap/>
            <w:vAlign w:val="bottom"/>
          </w:tcPr>
          <w:p w14:paraId="0CFFE05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72A6D03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7AC1A1A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7E8F753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2E0EC63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1002" w:type="dxa"/>
            <w:shd w:val="clear" w:color="auto" w:fill="auto"/>
            <w:noWrap/>
            <w:vAlign w:val="bottom"/>
          </w:tcPr>
          <w:p w14:paraId="3A8942B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c>
          <w:tcPr>
            <w:tcW w:w="974" w:type="dxa"/>
            <w:shd w:val="clear" w:color="auto" w:fill="auto"/>
            <w:noWrap/>
            <w:vAlign w:val="bottom"/>
          </w:tcPr>
          <w:p w14:paraId="395F1E1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0.00</w:t>
            </w:r>
          </w:p>
        </w:tc>
      </w:tr>
      <w:tr w14:paraId="4D91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1892FA9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386" w:type="pct"/>
            <w:shd w:val="clear" w:color="auto" w:fill="auto"/>
            <w:vAlign w:val="center"/>
          </w:tcPr>
          <w:p w14:paraId="0B39E49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135" w:type="dxa"/>
            <w:shd w:val="clear" w:color="auto" w:fill="auto"/>
            <w:vAlign w:val="center"/>
          </w:tcPr>
          <w:p w14:paraId="5561EF16">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noWrap/>
            <w:vAlign w:val="bottom"/>
          </w:tcPr>
          <w:p w14:paraId="4DB2797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noWrap/>
            <w:vAlign w:val="bottom"/>
          </w:tcPr>
          <w:p w14:paraId="1737385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noWrap/>
            <w:vAlign w:val="bottom"/>
          </w:tcPr>
          <w:p w14:paraId="4DA5AD6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noWrap/>
            <w:vAlign w:val="bottom"/>
          </w:tcPr>
          <w:p w14:paraId="69B71C3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noWrap/>
            <w:vAlign w:val="bottom"/>
          </w:tcPr>
          <w:p w14:paraId="74F429F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noWrap/>
            <w:vAlign w:val="bottom"/>
          </w:tcPr>
          <w:p w14:paraId="31B1B68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42A5CCF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1E4DC6F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7A3E5A2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3025EFA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361C99C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noWrap/>
            <w:vAlign w:val="bottom"/>
          </w:tcPr>
          <w:p w14:paraId="391F214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6BBC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049642DB">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86" w:type="pct"/>
            <w:shd w:val="clear" w:color="auto" w:fill="auto"/>
            <w:vAlign w:val="center"/>
          </w:tcPr>
          <w:p w14:paraId="3B9F6C5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135" w:type="dxa"/>
            <w:shd w:val="clear" w:color="auto" w:fill="auto"/>
            <w:vAlign w:val="center"/>
          </w:tcPr>
          <w:p w14:paraId="648BCE0E">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21,130.71 </w:t>
            </w:r>
          </w:p>
        </w:tc>
        <w:tc>
          <w:tcPr>
            <w:tcW w:w="852" w:type="dxa"/>
            <w:shd w:val="clear" w:color="auto" w:fill="auto"/>
            <w:vAlign w:val="center"/>
          </w:tcPr>
          <w:p w14:paraId="5B1EBA26">
            <w:pPr>
              <w:widowControl/>
              <w:spacing w:after="0" w:line="240" w:lineRule="auto"/>
              <w:jc w:val="center"/>
              <w:rPr>
                <w:rFonts w:hint="eastAsia" w:ascii="宋体" w:hAnsi="宋体"/>
                <w:sz w:val="15"/>
                <w:szCs w:val="15"/>
                <w:lang w:val="en-US" w:eastAsia="zh-CN"/>
              </w:rPr>
            </w:pPr>
          </w:p>
        </w:tc>
        <w:tc>
          <w:tcPr>
            <w:tcW w:w="849" w:type="dxa"/>
            <w:shd w:val="clear" w:color="auto" w:fill="auto"/>
            <w:vAlign w:val="center"/>
          </w:tcPr>
          <w:p w14:paraId="70F800FE">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4DD5D9D0">
            <w:pPr>
              <w:widowControl/>
              <w:spacing w:after="0" w:line="240" w:lineRule="auto"/>
              <w:jc w:val="center"/>
              <w:rPr>
                <w:rFonts w:hint="eastAsia" w:ascii="宋体" w:hAnsi="宋体"/>
                <w:sz w:val="15"/>
                <w:szCs w:val="15"/>
                <w:lang w:val="en-US" w:eastAsia="zh-CN"/>
              </w:rPr>
            </w:pPr>
          </w:p>
        </w:tc>
        <w:tc>
          <w:tcPr>
            <w:tcW w:w="852" w:type="dxa"/>
            <w:shd w:val="clear" w:color="auto" w:fill="auto"/>
            <w:vAlign w:val="center"/>
          </w:tcPr>
          <w:p w14:paraId="5C784984">
            <w:pPr>
              <w:widowControl/>
              <w:spacing w:after="0" w:line="240" w:lineRule="auto"/>
              <w:jc w:val="center"/>
              <w:rPr>
                <w:rFonts w:hint="eastAsia" w:ascii="宋体" w:hAnsi="宋体"/>
                <w:sz w:val="15"/>
                <w:szCs w:val="15"/>
                <w:lang w:val="en-US" w:eastAsia="zh-CN"/>
              </w:rPr>
            </w:pPr>
          </w:p>
        </w:tc>
        <w:tc>
          <w:tcPr>
            <w:tcW w:w="994" w:type="dxa"/>
            <w:shd w:val="clear" w:color="auto" w:fill="auto"/>
            <w:vAlign w:val="center"/>
          </w:tcPr>
          <w:p w14:paraId="2C9F3C87">
            <w:pPr>
              <w:widowControl/>
              <w:spacing w:after="0" w:line="240" w:lineRule="auto"/>
              <w:jc w:val="center"/>
              <w:rPr>
                <w:rFonts w:hint="eastAsia" w:ascii="宋体" w:hAnsi="宋体"/>
                <w:sz w:val="15"/>
                <w:szCs w:val="15"/>
                <w:lang w:val="en-US" w:eastAsia="zh-CN"/>
              </w:rPr>
            </w:pPr>
          </w:p>
        </w:tc>
        <w:tc>
          <w:tcPr>
            <w:tcW w:w="811" w:type="dxa"/>
            <w:shd w:val="clear" w:color="auto" w:fill="auto"/>
            <w:vAlign w:val="center"/>
          </w:tcPr>
          <w:p w14:paraId="20FE64C5">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634DF17B">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43F44528">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79629661">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97ED63D">
            <w:pPr>
              <w:widowControl/>
              <w:spacing w:after="0" w:line="240" w:lineRule="auto"/>
              <w:jc w:val="center"/>
              <w:rPr>
                <w:rFonts w:hint="eastAsia" w:ascii="宋体" w:hAnsi="宋体"/>
                <w:sz w:val="15"/>
                <w:szCs w:val="15"/>
                <w:lang w:val="en-US" w:eastAsia="zh-CN"/>
              </w:rPr>
            </w:pPr>
          </w:p>
        </w:tc>
        <w:tc>
          <w:tcPr>
            <w:tcW w:w="1002" w:type="dxa"/>
            <w:shd w:val="clear" w:color="auto" w:fill="auto"/>
            <w:vAlign w:val="center"/>
          </w:tcPr>
          <w:p w14:paraId="5A7395E7">
            <w:pPr>
              <w:widowControl/>
              <w:spacing w:after="0" w:line="240" w:lineRule="auto"/>
              <w:jc w:val="center"/>
              <w:rPr>
                <w:rFonts w:hint="eastAsia" w:ascii="宋体" w:hAnsi="宋体"/>
                <w:sz w:val="15"/>
                <w:szCs w:val="15"/>
                <w:lang w:val="en-US" w:eastAsia="zh-CN"/>
              </w:rPr>
            </w:pPr>
          </w:p>
        </w:tc>
        <w:tc>
          <w:tcPr>
            <w:tcW w:w="974" w:type="dxa"/>
            <w:shd w:val="clear" w:color="auto" w:fill="auto"/>
            <w:vAlign w:val="center"/>
          </w:tcPr>
          <w:p w14:paraId="4A43420D">
            <w:pPr>
              <w:widowControl/>
              <w:spacing w:after="0" w:line="240" w:lineRule="auto"/>
              <w:jc w:val="center"/>
              <w:rPr>
                <w:rFonts w:hint="eastAsia" w:ascii="宋体" w:hAnsi="宋体"/>
                <w:sz w:val="15"/>
                <w:szCs w:val="15"/>
                <w:lang w:val="en-US" w:eastAsia="zh-CN"/>
              </w:rPr>
            </w:pPr>
          </w:p>
        </w:tc>
      </w:tr>
      <w:tr w14:paraId="3E3B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7F2FED4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86" w:type="pct"/>
            <w:shd w:val="clear" w:color="auto" w:fill="auto"/>
            <w:vAlign w:val="center"/>
          </w:tcPr>
          <w:p w14:paraId="01EB64F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135" w:type="dxa"/>
            <w:shd w:val="clear" w:color="auto" w:fill="auto"/>
            <w:vAlign w:val="center"/>
          </w:tcPr>
          <w:p w14:paraId="2291ADFB">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17,322.29 </w:t>
            </w:r>
          </w:p>
        </w:tc>
        <w:tc>
          <w:tcPr>
            <w:tcW w:w="852" w:type="dxa"/>
            <w:shd w:val="clear" w:color="auto" w:fill="auto"/>
            <w:vAlign w:val="center"/>
          </w:tcPr>
          <w:p w14:paraId="60371F0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49" w:type="dxa"/>
            <w:shd w:val="clear" w:color="auto" w:fill="auto"/>
            <w:vAlign w:val="center"/>
          </w:tcPr>
          <w:p w14:paraId="58EA5E4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3F5C4CE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08CD84F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94" w:type="dxa"/>
            <w:shd w:val="clear" w:color="auto" w:fill="auto"/>
            <w:vAlign w:val="center"/>
          </w:tcPr>
          <w:p w14:paraId="2352E4E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11" w:type="dxa"/>
            <w:shd w:val="clear" w:color="auto" w:fill="auto"/>
            <w:vAlign w:val="center"/>
          </w:tcPr>
          <w:p w14:paraId="5BEA8ED7">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698307A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7256FCD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22475A2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23C1980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4FCF763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74" w:type="dxa"/>
            <w:shd w:val="clear" w:color="auto" w:fill="auto"/>
            <w:vAlign w:val="center"/>
          </w:tcPr>
          <w:p w14:paraId="2EAE4A4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514.96 </w:t>
            </w:r>
          </w:p>
        </w:tc>
      </w:tr>
      <w:tr w14:paraId="7A0B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44E8A76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386" w:type="pct"/>
            <w:shd w:val="clear" w:color="auto" w:fill="auto"/>
            <w:vAlign w:val="center"/>
          </w:tcPr>
          <w:p w14:paraId="5461365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135" w:type="dxa"/>
            <w:shd w:val="clear" w:color="auto" w:fill="auto"/>
            <w:vAlign w:val="center"/>
          </w:tcPr>
          <w:p w14:paraId="02B52B4F">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10.74 </w:t>
            </w:r>
          </w:p>
        </w:tc>
        <w:tc>
          <w:tcPr>
            <w:tcW w:w="852" w:type="dxa"/>
            <w:shd w:val="clear" w:color="auto" w:fill="auto"/>
            <w:noWrap/>
            <w:vAlign w:val="bottom"/>
          </w:tcPr>
          <w:p w14:paraId="16120D5D">
            <w:pPr>
              <w:widowControl/>
              <w:spacing w:after="0" w:line="240" w:lineRule="auto"/>
              <w:jc w:val="center"/>
              <w:rPr>
                <w:rFonts w:hint="eastAsia" w:ascii="宋体" w:hAnsi="宋体"/>
                <w:sz w:val="15"/>
                <w:szCs w:val="15"/>
                <w:lang w:val="en-US" w:eastAsia="zh-CN"/>
              </w:rPr>
            </w:pPr>
          </w:p>
        </w:tc>
        <w:tc>
          <w:tcPr>
            <w:tcW w:w="849" w:type="dxa"/>
            <w:shd w:val="clear" w:color="auto" w:fill="auto"/>
            <w:noWrap/>
            <w:vAlign w:val="bottom"/>
          </w:tcPr>
          <w:p w14:paraId="648A6BD8">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39ECA08E">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21D2FBFF">
            <w:pPr>
              <w:widowControl/>
              <w:spacing w:after="0" w:line="240" w:lineRule="auto"/>
              <w:jc w:val="center"/>
              <w:rPr>
                <w:rFonts w:hint="eastAsia" w:ascii="宋体" w:hAnsi="宋体"/>
                <w:sz w:val="15"/>
                <w:szCs w:val="15"/>
                <w:lang w:val="en-US" w:eastAsia="zh-CN"/>
              </w:rPr>
            </w:pPr>
          </w:p>
        </w:tc>
        <w:tc>
          <w:tcPr>
            <w:tcW w:w="994" w:type="dxa"/>
            <w:shd w:val="clear" w:color="auto" w:fill="auto"/>
            <w:noWrap/>
            <w:vAlign w:val="bottom"/>
          </w:tcPr>
          <w:p w14:paraId="210FEFC8">
            <w:pPr>
              <w:widowControl/>
              <w:spacing w:after="0" w:line="240" w:lineRule="auto"/>
              <w:jc w:val="center"/>
              <w:rPr>
                <w:rFonts w:hint="eastAsia" w:ascii="宋体" w:hAnsi="宋体"/>
                <w:sz w:val="15"/>
                <w:szCs w:val="15"/>
                <w:lang w:val="en-US" w:eastAsia="zh-CN"/>
              </w:rPr>
            </w:pPr>
          </w:p>
        </w:tc>
        <w:tc>
          <w:tcPr>
            <w:tcW w:w="811" w:type="dxa"/>
            <w:shd w:val="clear" w:color="auto" w:fill="auto"/>
            <w:noWrap/>
            <w:vAlign w:val="bottom"/>
          </w:tcPr>
          <w:p w14:paraId="768CC6BF">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04A79756">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664CE871">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1E34D3BB">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06C3D6D0">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38B702E0">
            <w:pPr>
              <w:widowControl/>
              <w:spacing w:after="0" w:line="240" w:lineRule="auto"/>
              <w:jc w:val="center"/>
              <w:rPr>
                <w:rFonts w:hint="eastAsia" w:ascii="宋体" w:hAnsi="宋体"/>
                <w:sz w:val="15"/>
                <w:szCs w:val="15"/>
                <w:lang w:val="en-US" w:eastAsia="zh-CN"/>
              </w:rPr>
            </w:pPr>
          </w:p>
        </w:tc>
        <w:tc>
          <w:tcPr>
            <w:tcW w:w="974" w:type="dxa"/>
            <w:shd w:val="clear" w:color="auto" w:fill="auto"/>
            <w:noWrap/>
            <w:vAlign w:val="bottom"/>
          </w:tcPr>
          <w:p w14:paraId="5E2CC347">
            <w:pPr>
              <w:widowControl/>
              <w:spacing w:after="0" w:line="240" w:lineRule="auto"/>
              <w:jc w:val="center"/>
              <w:rPr>
                <w:rFonts w:hint="eastAsia" w:ascii="宋体" w:hAnsi="宋体"/>
                <w:sz w:val="15"/>
                <w:szCs w:val="15"/>
                <w:lang w:val="en-US" w:eastAsia="zh-CN"/>
              </w:rPr>
            </w:pPr>
          </w:p>
        </w:tc>
      </w:tr>
      <w:tr w14:paraId="0BED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5553F0D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386" w:type="pct"/>
            <w:shd w:val="clear" w:color="auto" w:fill="auto"/>
            <w:vAlign w:val="center"/>
          </w:tcPr>
          <w:p w14:paraId="6FD0A1D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135" w:type="dxa"/>
            <w:shd w:val="clear" w:color="auto" w:fill="auto"/>
            <w:vAlign w:val="center"/>
          </w:tcPr>
          <w:p w14:paraId="372A2F8D">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13,735.00 </w:t>
            </w:r>
          </w:p>
        </w:tc>
        <w:tc>
          <w:tcPr>
            <w:tcW w:w="852" w:type="dxa"/>
            <w:shd w:val="clear" w:color="auto" w:fill="auto"/>
            <w:noWrap/>
            <w:vAlign w:val="bottom"/>
          </w:tcPr>
          <w:p w14:paraId="5484BF1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noWrap/>
            <w:vAlign w:val="bottom"/>
          </w:tcPr>
          <w:p w14:paraId="4809D709">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46E54E5A">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7AAE4E01">
            <w:pPr>
              <w:widowControl/>
              <w:spacing w:after="0" w:line="240" w:lineRule="auto"/>
              <w:jc w:val="center"/>
              <w:rPr>
                <w:rFonts w:hint="eastAsia" w:ascii="宋体" w:hAnsi="宋体"/>
                <w:sz w:val="15"/>
                <w:szCs w:val="15"/>
                <w:lang w:val="en-US" w:eastAsia="zh-CN"/>
              </w:rPr>
            </w:pPr>
          </w:p>
        </w:tc>
        <w:tc>
          <w:tcPr>
            <w:tcW w:w="994" w:type="dxa"/>
            <w:shd w:val="clear" w:color="auto" w:fill="auto"/>
            <w:noWrap/>
            <w:vAlign w:val="bottom"/>
          </w:tcPr>
          <w:p w14:paraId="52B69071">
            <w:pPr>
              <w:widowControl/>
              <w:spacing w:after="0" w:line="240" w:lineRule="auto"/>
              <w:jc w:val="center"/>
              <w:rPr>
                <w:rFonts w:hint="eastAsia" w:ascii="宋体" w:hAnsi="宋体"/>
                <w:sz w:val="15"/>
                <w:szCs w:val="15"/>
                <w:lang w:val="en-US" w:eastAsia="zh-CN"/>
              </w:rPr>
            </w:pPr>
          </w:p>
        </w:tc>
        <w:tc>
          <w:tcPr>
            <w:tcW w:w="811" w:type="dxa"/>
            <w:shd w:val="clear" w:color="auto" w:fill="auto"/>
            <w:noWrap/>
            <w:vAlign w:val="bottom"/>
          </w:tcPr>
          <w:p w14:paraId="2CEE024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708DF03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7B8F173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67D2E04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25032B5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noWrap/>
            <w:vAlign w:val="bottom"/>
          </w:tcPr>
          <w:p w14:paraId="4BA9771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noWrap/>
            <w:vAlign w:val="bottom"/>
          </w:tcPr>
          <w:p w14:paraId="675D8EF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506.00 </w:t>
            </w:r>
          </w:p>
        </w:tc>
      </w:tr>
      <w:tr w14:paraId="50BA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199A656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386" w:type="pct"/>
            <w:shd w:val="clear" w:color="auto" w:fill="auto"/>
            <w:vAlign w:val="center"/>
          </w:tcPr>
          <w:p w14:paraId="0E92A6E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135" w:type="dxa"/>
            <w:shd w:val="clear" w:color="auto" w:fill="auto"/>
            <w:vAlign w:val="center"/>
          </w:tcPr>
          <w:p w14:paraId="143DDFCA">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3,576.55 </w:t>
            </w:r>
          </w:p>
        </w:tc>
        <w:tc>
          <w:tcPr>
            <w:tcW w:w="852" w:type="dxa"/>
            <w:shd w:val="clear" w:color="auto" w:fill="auto"/>
            <w:noWrap/>
            <w:vAlign w:val="bottom"/>
          </w:tcPr>
          <w:p w14:paraId="1278673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49" w:type="dxa"/>
            <w:shd w:val="clear" w:color="auto" w:fill="auto"/>
            <w:noWrap/>
            <w:vAlign w:val="bottom"/>
          </w:tcPr>
          <w:p w14:paraId="6C37A08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noWrap/>
            <w:vAlign w:val="bottom"/>
          </w:tcPr>
          <w:p w14:paraId="08CDCD9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noWrap/>
            <w:vAlign w:val="bottom"/>
          </w:tcPr>
          <w:p w14:paraId="1BC43D8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94" w:type="dxa"/>
            <w:shd w:val="clear" w:color="auto" w:fill="auto"/>
            <w:noWrap/>
            <w:vAlign w:val="bottom"/>
          </w:tcPr>
          <w:p w14:paraId="05F83E4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11" w:type="dxa"/>
            <w:shd w:val="clear" w:color="auto" w:fill="auto"/>
            <w:noWrap/>
            <w:vAlign w:val="bottom"/>
          </w:tcPr>
          <w:p w14:paraId="0F60064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noWrap/>
            <w:vAlign w:val="bottom"/>
          </w:tcPr>
          <w:p w14:paraId="7E1B13E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noWrap/>
            <w:vAlign w:val="bottom"/>
          </w:tcPr>
          <w:p w14:paraId="6A837C3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noWrap/>
            <w:vAlign w:val="bottom"/>
          </w:tcPr>
          <w:p w14:paraId="28CF148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noWrap/>
            <w:vAlign w:val="bottom"/>
          </w:tcPr>
          <w:p w14:paraId="541ED99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noWrap/>
            <w:vAlign w:val="bottom"/>
          </w:tcPr>
          <w:p w14:paraId="43D0AA5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74" w:type="dxa"/>
            <w:shd w:val="clear" w:color="auto" w:fill="auto"/>
            <w:noWrap/>
            <w:vAlign w:val="bottom"/>
          </w:tcPr>
          <w:p w14:paraId="0A9B1F5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8.96 </w:t>
            </w:r>
          </w:p>
        </w:tc>
      </w:tr>
      <w:tr w14:paraId="6774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03ED442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386" w:type="pct"/>
            <w:shd w:val="clear" w:color="auto" w:fill="auto"/>
            <w:vAlign w:val="center"/>
          </w:tcPr>
          <w:p w14:paraId="5908006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135" w:type="dxa"/>
            <w:shd w:val="clear" w:color="auto" w:fill="auto"/>
            <w:vAlign w:val="center"/>
          </w:tcPr>
          <w:p w14:paraId="1C8862BB">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noWrap/>
            <w:vAlign w:val="bottom"/>
          </w:tcPr>
          <w:p w14:paraId="29B6A674">
            <w:pPr>
              <w:widowControl/>
              <w:spacing w:after="0" w:line="240" w:lineRule="auto"/>
              <w:jc w:val="center"/>
              <w:rPr>
                <w:rFonts w:hint="eastAsia" w:ascii="宋体" w:hAnsi="宋体"/>
                <w:sz w:val="15"/>
                <w:szCs w:val="15"/>
                <w:lang w:val="en-US" w:eastAsia="zh-CN"/>
              </w:rPr>
            </w:pPr>
          </w:p>
        </w:tc>
        <w:tc>
          <w:tcPr>
            <w:tcW w:w="849" w:type="dxa"/>
            <w:shd w:val="clear" w:color="auto" w:fill="auto"/>
            <w:noWrap/>
            <w:vAlign w:val="bottom"/>
          </w:tcPr>
          <w:p w14:paraId="4455E31A">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0E3F37A9">
            <w:pPr>
              <w:widowControl/>
              <w:spacing w:after="0" w:line="240" w:lineRule="auto"/>
              <w:jc w:val="center"/>
              <w:rPr>
                <w:rFonts w:hint="eastAsia" w:ascii="宋体" w:hAnsi="宋体"/>
                <w:sz w:val="15"/>
                <w:szCs w:val="15"/>
                <w:lang w:val="en-US" w:eastAsia="zh-CN"/>
              </w:rPr>
            </w:pPr>
          </w:p>
        </w:tc>
        <w:tc>
          <w:tcPr>
            <w:tcW w:w="852" w:type="dxa"/>
            <w:shd w:val="clear" w:color="auto" w:fill="auto"/>
            <w:noWrap/>
            <w:vAlign w:val="bottom"/>
          </w:tcPr>
          <w:p w14:paraId="45EF6EFB">
            <w:pPr>
              <w:widowControl/>
              <w:spacing w:after="0" w:line="240" w:lineRule="auto"/>
              <w:jc w:val="center"/>
              <w:rPr>
                <w:rFonts w:hint="eastAsia" w:ascii="宋体" w:hAnsi="宋体"/>
                <w:sz w:val="15"/>
                <w:szCs w:val="15"/>
                <w:lang w:val="en-US" w:eastAsia="zh-CN"/>
              </w:rPr>
            </w:pPr>
          </w:p>
        </w:tc>
        <w:tc>
          <w:tcPr>
            <w:tcW w:w="994" w:type="dxa"/>
            <w:shd w:val="clear" w:color="auto" w:fill="auto"/>
            <w:noWrap/>
            <w:vAlign w:val="bottom"/>
          </w:tcPr>
          <w:p w14:paraId="43AA3243">
            <w:pPr>
              <w:widowControl/>
              <w:spacing w:after="0" w:line="240" w:lineRule="auto"/>
              <w:jc w:val="center"/>
              <w:rPr>
                <w:rFonts w:hint="eastAsia" w:ascii="宋体" w:hAnsi="宋体"/>
                <w:sz w:val="15"/>
                <w:szCs w:val="15"/>
                <w:lang w:val="en-US" w:eastAsia="zh-CN"/>
              </w:rPr>
            </w:pPr>
          </w:p>
        </w:tc>
        <w:tc>
          <w:tcPr>
            <w:tcW w:w="811" w:type="dxa"/>
            <w:shd w:val="clear" w:color="auto" w:fill="auto"/>
            <w:noWrap/>
            <w:vAlign w:val="bottom"/>
          </w:tcPr>
          <w:p w14:paraId="2A8768ED">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59DDCBB5">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648E37C8">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5396C591">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244AFB12">
            <w:pPr>
              <w:widowControl/>
              <w:spacing w:after="0" w:line="240" w:lineRule="auto"/>
              <w:jc w:val="center"/>
              <w:rPr>
                <w:rFonts w:hint="eastAsia" w:ascii="宋体" w:hAnsi="宋体"/>
                <w:sz w:val="15"/>
                <w:szCs w:val="15"/>
                <w:lang w:val="en-US" w:eastAsia="zh-CN"/>
              </w:rPr>
            </w:pPr>
          </w:p>
        </w:tc>
        <w:tc>
          <w:tcPr>
            <w:tcW w:w="1002" w:type="dxa"/>
            <w:shd w:val="clear" w:color="auto" w:fill="auto"/>
            <w:noWrap/>
            <w:vAlign w:val="bottom"/>
          </w:tcPr>
          <w:p w14:paraId="29B03560">
            <w:pPr>
              <w:widowControl/>
              <w:spacing w:after="0" w:line="240" w:lineRule="auto"/>
              <w:jc w:val="center"/>
              <w:rPr>
                <w:rFonts w:hint="eastAsia" w:ascii="宋体" w:hAnsi="宋体"/>
                <w:sz w:val="15"/>
                <w:szCs w:val="15"/>
                <w:lang w:val="en-US" w:eastAsia="zh-CN"/>
              </w:rPr>
            </w:pPr>
          </w:p>
        </w:tc>
        <w:tc>
          <w:tcPr>
            <w:tcW w:w="974" w:type="dxa"/>
            <w:shd w:val="clear" w:color="auto" w:fill="auto"/>
            <w:noWrap/>
            <w:vAlign w:val="bottom"/>
          </w:tcPr>
          <w:p w14:paraId="3428EFC1">
            <w:pPr>
              <w:widowControl/>
              <w:spacing w:after="0" w:line="240" w:lineRule="auto"/>
              <w:jc w:val="center"/>
              <w:rPr>
                <w:rFonts w:hint="eastAsia" w:ascii="宋体" w:hAnsi="宋体"/>
                <w:sz w:val="15"/>
                <w:szCs w:val="15"/>
                <w:lang w:val="en-US" w:eastAsia="zh-CN"/>
              </w:rPr>
            </w:pPr>
          </w:p>
        </w:tc>
      </w:tr>
      <w:tr w14:paraId="4018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72" w:type="pct"/>
            <w:shd w:val="clear" w:color="auto" w:fill="auto"/>
            <w:vAlign w:val="center"/>
          </w:tcPr>
          <w:p w14:paraId="0ACC196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386" w:type="pct"/>
            <w:shd w:val="clear" w:color="auto" w:fill="auto"/>
            <w:vAlign w:val="center"/>
          </w:tcPr>
          <w:p w14:paraId="5429B51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135" w:type="dxa"/>
            <w:shd w:val="clear" w:color="auto" w:fill="auto"/>
            <w:vAlign w:val="center"/>
          </w:tcPr>
          <w:p w14:paraId="5C6819AD">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vAlign w:val="center"/>
          </w:tcPr>
          <w:p w14:paraId="57F9EA8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49" w:type="dxa"/>
            <w:shd w:val="clear" w:color="auto" w:fill="auto"/>
            <w:vAlign w:val="center"/>
          </w:tcPr>
          <w:p w14:paraId="054802D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5058CBD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52" w:type="dxa"/>
            <w:shd w:val="clear" w:color="auto" w:fill="auto"/>
            <w:vAlign w:val="center"/>
          </w:tcPr>
          <w:p w14:paraId="595092D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94" w:type="dxa"/>
            <w:shd w:val="clear" w:color="auto" w:fill="auto"/>
            <w:vAlign w:val="center"/>
          </w:tcPr>
          <w:p w14:paraId="1C8037E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811" w:type="dxa"/>
            <w:shd w:val="clear" w:color="auto" w:fill="auto"/>
            <w:vAlign w:val="center"/>
          </w:tcPr>
          <w:p w14:paraId="01D3C55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7FC3908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15E7EDD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036DED0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5308B842">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1002" w:type="dxa"/>
            <w:shd w:val="clear" w:color="auto" w:fill="auto"/>
            <w:vAlign w:val="center"/>
          </w:tcPr>
          <w:p w14:paraId="5777EE2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c>
          <w:tcPr>
            <w:tcW w:w="974" w:type="dxa"/>
            <w:shd w:val="clear" w:color="auto" w:fill="auto"/>
            <w:vAlign w:val="center"/>
          </w:tcPr>
          <w:p w14:paraId="1485784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   </w:t>
            </w:r>
          </w:p>
        </w:tc>
      </w:tr>
      <w:tr w14:paraId="6D62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1609080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386" w:type="pct"/>
            <w:shd w:val="clear" w:color="auto" w:fill="auto"/>
            <w:vAlign w:val="center"/>
          </w:tcPr>
          <w:p w14:paraId="5733959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1135" w:type="dxa"/>
            <w:shd w:val="clear" w:color="auto" w:fill="auto"/>
            <w:vAlign w:val="center"/>
          </w:tcPr>
          <w:p w14:paraId="198D20DF">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37,538.26 </w:t>
            </w:r>
          </w:p>
        </w:tc>
        <w:tc>
          <w:tcPr>
            <w:tcW w:w="852" w:type="dxa"/>
            <w:shd w:val="clear" w:color="auto" w:fill="auto"/>
            <w:vAlign w:val="center"/>
          </w:tcPr>
          <w:p w14:paraId="0D749CBE">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49" w:type="dxa"/>
            <w:shd w:val="clear" w:color="auto" w:fill="auto"/>
            <w:vAlign w:val="center"/>
          </w:tcPr>
          <w:p w14:paraId="06CEDF9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1F9F5A8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52" w:type="dxa"/>
            <w:shd w:val="clear" w:color="auto" w:fill="auto"/>
            <w:vAlign w:val="center"/>
          </w:tcPr>
          <w:p w14:paraId="4D54D6D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94" w:type="dxa"/>
            <w:shd w:val="clear" w:color="auto" w:fill="auto"/>
            <w:vAlign w:val="center"/>
          </w:tcPr>
          <w:p w14:paraId="4503A02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811" w:type="dxa"/>
            <w:shd w:val="clear" w:color="auto" w:fill="auto"/>
            <w:vAlign w:val="center"/>
          </w:tcPr>
          <w:p w14:paraId="4643F31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44FB822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5B3A638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75F20368">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05BE258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1002" w:type="dxa"/>
            <w:shd w:val="clear" w:color="auto" w:fill="auto"/>
            <w:vAlign w:val="center"/>
          </w:tcPr>
          <w:p w14:paraId="0AB07E3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-17.91 </w:t>
            </w:r>
          </w:p>
        </w:tc>
        <w:tc>
          <w:tcPr>
            <w:tcW w:w="974" w:type="dxa"/>
            <w:shd w:val="clear" w:color="auto" w:fill="auto"/>
            <w:vAlign w:val="center"/>
          </w:tcPr>
          <w:p w14:paraId="4E529CD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-514.96 </w:t>
            </w:r>
          </w:p>
        </w:tc>
      </w:tr>
      <w:tr w14:paraId="6151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3498A73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386" w:type="pct"/>
            <w:shd w:val="clear" w:color="auto" w:fill="auto"/>
            <w:vAlign w:val="center"/>
          </w:tcPr>
          <w:p w14:paraId="4BAB2AD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1135" w:type="dxa"/>
            <w:shd w:val="clear" w:color="auto" w:fill="auto"/>
            <w:vAlign w:val="center"/>
          </w:tcPr>
          <w:p w14:paraId="1CBEC804">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vAlign w:val="center"/>
          </w:tcPr>
          <w:p w14:paraId="21D8D9B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38,250.23 </w:t>
            </w:r>
          </w:p>
        </w:tc>
        <w:tc>
          <w:tcPr>
            <w:tcW w:w="849" w:type="dxa"/>
            <w:shd w:val="clear" w:color="auto" w:fill="auto"/>
            <w:vAlign w:val="center"/>
          </w:tcPr>
          <w:p w14:paraId="180D69D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38,232.32 </w:t>
            </w:r>
          </w:p>
        </w:tc>
        <w:tc>
          <w:tcPr>
            <w:tcW w:w="852" w:type="dxa"/>
            <w:shd w:val="clear" w:color="auto" w:fill="auto"/>
            <w:vAlign w:val="center"/>
          </w:tcPr>
          <w:p w14:paraId="3639D91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38,214.41 </w:t>
            </w:r>
          </w:p>
        </w:tc>
        <w:tc>
          <w:tcPr>
            <w:tcW w:w="852" w:type="dxa"/>
            <w:shd w:val="clear" w:color="auto" w:fill="auto"/>
            <w:vAlign w:val="center"/>
          </w:tcPr>
          <w:p w14:paraId="67985A14">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38,196.50 </w:t>
            </w:r>
          </w:p>
        </w:tc>
        <w:tc>
          <w:tcPr>
            <w:tcW w:w="994" w:type="dxa"/>
            <w:shd w:val="clear" w:color="auto" w:fill="auto"/>
            <w:vAlign w:val="center"/>
          </w:tcPr>
          <w:p w14:paraId="6C6D4F29">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38,178.59 </w:t>
            </w:r>
          </w:p>
        </w:tc>
        <w:tc>
          <w:tcPr>
            <w:tcW w:w="811" w:type="dxa"/>
            <w:shd w:val="clear" w:color="auto" w:fill="auto"/>
            <w:vAlign w:val="center"/>
          </w:tcPr>
          <w:p w14:paraId="5F6288E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38,160.68 </w:t>
            </w:r>
          </w:p>
        </w:tc>
        <w:tc>
          <w:tcPr>
            <w:tcW w:w="1002" w:type="dxa"/>
            <w:shd w:val="clear" w:color="auto" w:fill="auto"/>
            <w:vAlign w:val="center"/>
          </w:tcPr>
          <w:p w14:paraId="5931082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38,142.77 </w:t>
            </w:r>
          </w:p>
        </w:tc>
        <w:tc>
          <w:tcPr>
            <w:tcW w:w="1002" w:type="dxa"/>
            <w:shd w:val="clear" w:color="auto" w:fill="auto"/>
            <w:vAlign w:val="center"/>
          </w:tcPr>
          <w:p w14:paraId="784B8E5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38,124.86 </w:t>
            </w:r>
          </w:p>
        </w:tc>
        <w:tc>
          <w:tcPr>
            <w:tcW w:w="1002" w:type="dxa"/>
            <w:shd w:val="clear" w:color="auto" w:fill="auto"/>
            <w:vAlign w:val="center"/>
          </w:tcPr>
          <w:p w14:paraId="7DD0653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38,106.95 </w:t>
            </w:r>
          </w:p>
        </w:tc>
        <w:tc>
          <w:tcPr>
            <w:tcW w:w="1002" w:type="dxa"/>
            <w:shd w:val="clear" w:color="auto" w:fill="auto"/>
            <w:vAlign w:val="center"/>
          </w:tcPr>
          <w:p w14:paraId="0BFF5A9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38,089.04 </w:t>
            </w:r>
          </w:p>
        </w:tc>
        <w:tc>
          <w:tcPr>
            <w:tcW w:w="1002" w:type="dxa"/>
            <w:shd w:val="clear" w:color="auto" w:fill="auto"/>
            <w:vAlign w:val="center"/>
          </w:tcPr>
          <w:p w14:paraId="65B477B1">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38,071.13 </w:t>
            </w:r>
          </w:p>
        </w:tc>
        <w:tc>
          <w:tcPr>
            <w:tcW w:w="974" w:type="dxa"/>
            <w:shd w:val="clear" w:color="auto" w:fill="auto"/>
            <w:vAlign w:val="center"/>
          </w:tcPr>
          <w:p w14:paraId="6BE1DD2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38,053.22 </w:t>
            </w:r>
          </w:p>
        </w:tc>
      </w:tr>
      <w:tr w14:paraId="3665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2" w:type="pct"/>
            <w:shd w:val="clear" w:color="auto" w:fill="auto"/>
            <w:vAlign w:val="center"/>
          </w:tcPr>
          <w:p w14:paraId="5032C63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386" w:type="pct"/>
            <w:shd w:val="clear" w:color="auto" w:fill="auto"/>
            <w:vAlign w:val="center"/>
          </w:tcPr>
          <w:p w14:paraId="7271989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1135" w:type="dxa"/>
            <w:shd w:val="clear" w:color="auto" w:fill="auto"/>
            <w:vAlign w:val="center"/>
          </w:tcPr>
          <w:p w14:paraId="57008A7A">
            <w:pPr>
              <w:widowControl/>
              <w:spacing w:after="0" w:line="240" w:lineRule="auto"/>
              <w:jc w:val="center"/>
              <w:rPr>
                <w:rFonts w:ascii="宋体" w:hAnsi="宋体" w:cs="宋体"/>
                <w:color w:val="000000"/>
                <w:kern w:val="0"/>
                <w:sz w:val="18"/>
                <w:szCs w:val="18"/>
              </w:rPr>
            </w:pPr>
            <w:r>
              <w:rPr>
                <w:rFonts w:hint="eastAsia" w:ascii="宋体" w:hAnsi="宋体"/>
                <w:sz w:val="15"/>
                <w:szCs w:val="15"/>
                <w:lang w:val="en-US" w:eastAsia="zh-CN"/>
              </w:rPr>
              <w:t xml:space="preserve"> -- </w:t>
            </w:r>
          </w:p>
        </w:tc>
        <w:tc>
          <w:tcPr>
            <w:tcW w:w="852" w:type="dxa"/>
            <w:shd w:val="clear" w:color="auto" w:fill="auto"/>
            <w:vAlign w:val="center"/>
          </w:tcPr>
          <w:p w14:paraId="5BED863D">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38,232.32 </w:t>
            </w:r>
          </w:p>
        </w:tc>
        <w:tc>
          <w:tcPr>
            <w:tcW w:w="849" w:type="dxa"/>
            <w:shd w:val="clear" w:color="auto" w:fill="auto"/>
            <w:vAlign w:val="center"/>
          </w:tcPr>
          <w:p w14:paraId="67C4F405">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38,214.41 </w:t>
            </w:r>
          </w:p>
        </w:tc>
        <w:tc>
          <w:tcPr>
            <w:tcW w:w="852" w:type="dxa"/>
            <w:shd w:val="clear" w:color="auto" w:fill="auto"/>
            <w:vAlign w:val="center"/>
          </w:tcPr>
          <w:p w14:paraId="1DB4FF7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38,196.50 </w:t>
            </w:r>
          </w:p>
        </w:tc>
        <w:tc>
          <w:tcPr>
            <w:tcW w:w="852" w:type="dxa"/>
            <w:shd w:val="clear" w:color="auto" w:fill="auto"/>
            <w:vAlign w:val="center"/>
          </w:tcPr>
          <w:p w14:paraId="32F04BEC">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38,178.59 </w:t>
            </w:r>
          </w:p>
        </w:tc>
        <w:tc>
          <w:tcPr>
            <w:tcW w:w="994" w:type="dxa"/>
            <w:shd w:val="clear" w:color="auto" w:fill="auto"/>
            <w:vAlign w:val="center"/>
          </w:tcPr>
          <w:p w14:paraId="0E2C2FE3">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38,160.68 </w:t>
            </w:r>
          </w:p>
        </w:tc>
        <w:tc>
          <w:tcPr>
            <w:tcW w:w="811" w:type="dxa"/>
            <w:shd w:val="clear" w:color="auto" w:fill="auto"/>
            <w:vAlign w:val="center"/>
          </w:tcPr>
          <w:p w14:paraId="3A14298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38,142.77 </w:t>
            </w:r>
          </w:p>
        </w:tc>
        <w:tc>
          <w:tcPr>
            <w:tcW w:w="1002" w:type="dxa"/>
            <w:shd w:val="clear" w:color="auto" w:fill="auto"/>
            <w:vAlign w:val="center"/>
          </w:tcPr>
          <w:p w14:paraId="4B4C172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38,124.86 </w:t>
            </w:r>
          </w:p>
        </w:tc>
        <w:tc>
          <w:tcPr>
            <w:tcW w:w="1002" w:type="dxa"/>
            <w:shd w:val="clear" w:color="auto" w:fill="auto"/>
            <w:vAlign w:val="center"/>
          </w:tcPr>
          <w:p w14:paraId="5537DBE0">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38,106.95 </w:t>
            </w:r>
          </w:p>
        </w:tc>
        <w:tc>
          <w:tcPr>
            <w:tcW w:w="1002" w:type="dxa"/>
            <w:shd w:val="clear" w:color="auto" w:fill="auto"/>
            <w:vAlign w:val="center"/>
          </w:tcPr>
          <w:p w14:paraId="5A57B91B">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38,089.04 </w:t>
            </w:r>
          </w:p>
        </w:tc>
        <w:tc>
          <w:tcPr>
            <w:tcW w:w="1002" w:type="dxa"/>
            <w:shd w:val="clear" w:color="auto" w:fill="auto"/>
            <w:vAlign w:val="center"/>
          </w:tcPr>
          <w:p w14:paraId="551098AF">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38,071.13 </w:t>
            </w:r>
          </w:p>
        </w:tc>
        <w:tc>
          <w:tcPr>
            <w:tcW w:w="1002" w:type="dxa"/>
            <w:shd w:val="clear" w:color="auto" w:fill="auto"/>
            <w:vAlign w:val="center"/>
          </w:tcPr>
          <w:p w14:paraId="19782C9A">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38,053.22 </w:t>
            </w:r>
          </w:p>
        </w:tc>
        <w:tc>
          <w:tcPr>
            <w:tcW w:w="974" w:type="dxa"/>
            <w:shd w:val="clear" w:color="auto" w:fill="auto"/>
            <w:vAlign w:val="center"/>
          </w:tcPr>
          <w:p w14:paraId="2BFFEA96">
            <w:pPr>
              <w:widowControl/>
              <w:spacing w:after="0" w:line="240" w:lineRule="auto"/>
              <w:jc w:val="center"/>
              <w:rPr>
                <w:rFonts w:hint="eastAsia" w:ascii="宋体" w:hAnsi="宋体"/>
                <w:sz w:val="15"/>
                <w:szCs w:val="15"/>
                <w:lang w:val="en-US" w:eastAsia="zh-CN"/>
              </w:rPr>
            </w:pPr>
            <w:r>
              <w:rPr>
                <w:rFonts w:hint="eastAsia" w:ascii="宋体" w:hAnsi="宋体"/>
                <w:sz w:val="15"/>
                <w:szCs w:val="15"/>
                <w:lang w:val="en-US" w:eastAsia="zh-CN"/>
              </w:rPr>
              <w:t xml:space="preserve"> 37,538.26 </w:t>
            </w:r>
          </w:p>
        </w:tc>
      </w:tr>
      <w:tr w14:paraId="57A3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887" w:type="pct"/>
            <w:gridSpan w:val="6"/>
            <w:shd w:val="clear" w:color="auto" w:fill="auto"/>
            <w:vAlign w:val="center"/>
          </w:tcPr>
          <w:p w14:paraId="328E828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1" w:type="pct"/>
            <w:gridSpan w:val="9"/>
            <w:shd w:val="clear" w:color="auto" w:fill="auto"/>
            <w:vAlign w:val="center"/>
          </w:tcPr>
          <w:p w14:paraId="5C964D08">
            <w:pPr>
              <w:widowControl/>
              <w:spacing w:after="0" w:line="240" w:lineRule="auto"/>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3</w:t>
            </w:r>
            <w:r>
              <w:rPr>
                <w:rFonts w:ascii="宋体" w:hAnsi="宋体" w:cs="宋体"/>
                <w:color w:val="000000"/>
                <w:kern w:val="0"/>
                <w:sz w:val="18"/>
                <w:szCs w:val="18"/>
              </w:rPr>
              <w:t>.</w:t>
            </w:r>
            <w:r>
              <w:rPr>
                <w:rFonts w:hint="eastAsia" w:ascii="宋体" w:hAnsi="宋体" w:cs="宋体"/>
                <w:color w:val="000000"/>
                <w:kern w:val="0"/>
                <w:sz w:val="18"/>
                <w:szCs w:val="18"/>
                <w:lang w:val="en-US" w:eastAsia="zh-CN"/>
              </w:rPr>
              <w:t>10</w:t>
            </w:r>
          </w:p>
        </w:tc>
      </w:tr>
    </w:tbl>
    <w:p w14:paraId="586DBCB6">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pPr>
    </w:p>
    <w:p w14:paraId="50963C57">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sectPr>
          <w:pgSz w:w="16838" w:h="11906" w:orient="landscape"/>
          <w:pgMar w:top="1701" w:right="1531" w:bottom="1701" w:left="1418" w:header="851" w:footer="992" w:gutter="0"/>
          <w:pgNumType w:fmt="decimal"/>
          <w:cols w:space="425" w:num="1"/>
          <w:docGrid w:type="linesAndChars" w:linePitch="312" w:charSpace="0"/>
        </w:sectPr>
      </w:pPr>
      <w:r>
        <w:rPr>
          <w:rFonts w:hint="eastAsia"/>
          <w:color w:val="000000" w:themeColor="text1"/>
          <w:sz w:val="18"/>
          <w:szCs w:val="18"/>
          <w14:textFill>
            <w14:solidFill>
              <w14:schemeClr w14:val="tx1"/>
            </w14:solidFill>
          </w14:textFill>
        </w:rPr>
        <w:t>注：按照在存续期内预期收入和预期支出测算，该项目在存续期间能够产生持续稳定的净现金流。按照预计条件的资金测算平衡结果，项目存续期内可达到的债券资金覆盖率为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14:textFill>
            <w14:solidFill>
              <w14:schemeClr w14:val="tx1"/>
            </w14:solidFill>
          </w14:textFill>
        </w:rPr>
        <w:t>3</w:t>
      </w:r>
      <w:r>
        <w:rPr>
          <w:rFonts w:hint="eastAsia"/>
          <w:color w:val="000000" w:themeColor="text1"/>
          <w:sz w:val="18"/>
          <w:szCs w:val="18"/>
          <w:lang w:val="en-US" w:eastAsia="zh-CN"/>
          <w14:textFill>
            <w14:solidFill>
              <w14:schemeClr w14:val="tx1"/>
            </w14:solidFill>
          </w14:textFill>
        </w:rPr>
        <w:t>.10</w:t>
      </w:r>
      <w:r>
        <w:rPr>
          <w:rFonts w:hint="eastAsia"/>
          <w:color w:val="000000" w:themeColor="text1"/>
          <w:sz w:val="18"/>
          <w:szCs w:val="18"/>
          <w14:textFill>
            <w14:solidFill>
              <w14:schemeClr w14:val="tx1"/>
            </w14:solidFill>
          </w14:textFill>
        </w:rPr>
        <w:t>倍，还本付息资金有充分保障。</w:t>
      </w:r>
    </w:p>
    <w:p w14:paraId="386EB62F">
      <w:pPr>
        <w:pStyle w:val="20"/>
        <w:keepNext w:val="0"/>
        <w:keepLines w:val="0"/>
        <w:pageBreakBefore w:val="0"/>
        <w:widowControl/>
        <w:kinsoku/>
        <w:wordWrap/>
        <w:overflowPunct/>
        <w:topLinePunct w:val="0"/>
        <w:autoSpaceDE/>
        <w:autoSpaceDN/>
        <w:bidi w:val="0"/>
        <w:adjustRightInd/>
        <w:snapToGrid/>
        <w:spacing w:before="0" w:beforeAutospacing="0" w:after="156" w:afterLines="50" w:afterAutospacing="0" w:line="600" w:lineRule="exact"/>
        <w:ind w:firstLine="560" w:firstLineChars="200"/>
        <w:jc w:val="both"/>
        <w:textAlignment w:val="auto"/>
        <w:rPr>
          <w:color w:val="000000" w:themeColor="text1"/>
          <w:sz w:val="21"/>
          <w:szCs w:val="21"/>
          <w14:textFill>
            <w14:solidFill>
              <w14:schemeClr w14:val="tx1"/>
            </w14:solidFill>
          </w14:textFill>
        </w:rPr>
      </w:pPr>
      <w:r>
        <w:rPr>
          <w:rFonts w:hint="eastAsia"/>
          <w:color w:val="000000" w:themeColor="text1"/>
          <w:sz w:val="28"/>
          <w:szCs w:val="28"/>
          <w14:textFill>
            <w14:solidFill>
              <w14:schemeClr w14:val="tx1"/>
            </w14:solidFill>
          </w14:textFill>
        </w:rPr>
        <w:t>本次发行专项债券各项目预期业务活动现金流入合计</w:t>
      </w:r>
      <w:r>
        <w:rPr>
          <w:color w:val="000000" w:themeColor="text1"/>
          <w:sz w:val="28"/>
          <w:szCs w:val="28"/>
          <w14:textFill>
            <w14:solidFill>
              <w14:schemeClr w14:val="tx1"/>
            </w14:solidFill>
          </w14:textFill>
        </w:rPr>
        <w:t>54,701.00</w:t>
      </w:r>
      <w:r>
        <w:rPr>
          <w:rFonts w:hint="eastAsia"/>
          <w:color w:val="000000" w:themeColor="text1"/>
          <w:sz w:val="28"/>
          <w:szCs w:val="28"/>
          <w14:textFill>
            <w14:solidFill>
              <w14:schemeClr w14:val="tx1"/>
            </w14:solidFill>
          </w14:textFill>
        </w:rPr>
        <w:t>万元，各项业务活动现金流出合计</w:t>
      </w:r>
      <w:r>
        <w:rPr>
          <w:color w:val="000000" w:themeColor="text1"/>
          <w:sz w:val="28"/>
          <w:szCs w:val="28"/>
          <w14:textFill>
            <w14:solidFill>
              <w14:schemeClr w14:val="tx1"/>
            </w14:solidFill>
          </w14:textFill>
        </w:rPr>
        <w:t>1,094.02</w:t>
      </w:r>
      <w:r>
        <w:rPr>
          <w:rFonts w:hint="eastAsia"/>
          <w:color w:val="000000" w:themeColor="text1"/>
          <w:sz w:val="28"/>
          <w:szCs w:val="28"/>
          <w14:textFill>
            <w14:solidFill>
              <w14:schemeClr w14:val="tx1"/>
            </w14:solidFill>
          </w14:textFill>
        </w:rPr>
        <w:t>万元，偿还完债券存续期内债券本金与利息合计</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7</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311</w:t>
      </w:r>
      <w:r>
        <w:rPr>
          <w:color w:val="000000" w:themeColor="text1"/>
          <w:sz w:val="28"/>
          <w:szCs w:val="28"/>
          <w14:textFill>
            <w14:solidFill>
              <w14:schemeClr w14:val="tx1"/>
            </w14:solidFill>
          </w14:textFill>
        </w:rPr>
        <w:t>.55</w:t>
      </w:r>
      <w:r>
        <w:rPr>
          <w:rFonts w:hint="eastAsia"/>
          <w:color w:val="000000" w:themeColor="text1"/>
          <w:sz w:val="28"/>
          <w:szCs w:val="28"/>
          <w14:textFill>
            <w14:solidFill>
              <w14:schemeClr w14:val="tx1"/>
            </w14:solidFill>
          </w14:textFill>
        </w:rPr>
        <w:t>万元</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项目存续期内偿债资金覆盖倍数为3</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10</w:t>
      </w:r>
      <w:r>
        <w:rPr>
          <w:rFonts w:hint="eastAsia"/>
          <w:color w:val="000000" w:themeColor="text1"/>
          <w:sz w:val="28"/>
          <w:szCs w:val="28"/>
          <w14:textFill>
            <w14:solidFill>
              <w14:schemeClr w14:val="tx1"/>
            </w14:solidFill>
          </w14:textFill>
        </w:rPr>
        <w:t>倍，还本付息资金有充分保障，项目实施方案资金计划能够满足发行专项债券资金充足性要求。债券存续期间整体资金流入、流出情况及期末现金如下图所示：</w:t>
      </w:r>
    </w:p>
    <w:p w14:paraId="2A6D0AC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40" w:firstLineChars="200"/>
        <w:jc w:val="right"/>
        <w:textAlignment w:val="auto"/>
        <w:rPr>
          <w:color w:val="000000" w:themeColor="text1"/>
          <w:sz w:val="18"/>
          <w:szCs w:val="18"/>
          <w14:textFill>
            <w14:solidFill>
              <w14:schemeClr w14:val="tx1"/>
            </w14:solidFill>
          </w14:textFill>
        </w:rPr>
      </w:pPr>
      <w:r>
        <w:drawing>
          <wp:inline distT="0" distB="0" distL="114300" distR="114300">
            <wp:extent cx="4434840" cy="3170555"/>
            <wp:effectExtent l="6350" t="6350" r="29210" b="23495"/>
            <wp:docPr id="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color w:val="000000" w:themeColor="text1"/>
          <w:sz w:val="18"/>
          <w:szCs w:val="18"/>
          <w14:textFill>
            <w14:solidFill>
              <w14:schemeClr w14:val="tx1"/>
            </w14:solidFill>
          </w14:textFill>
        </w:rPr>
        <w:t>单位：万元</w:t>
      </w:r>
    </w:p>
    <w:p w14:paraId="7A095107">
      <w:pPr>
        <w:pStyle w:val="20"/>
        <w:spacing w:before="0" w:beforeAutospacing="0" w:after="0" w:afterAutospacing="0" w:line="360" w:lineRule="exact"/>
        <w:ind w:firstLine="360" w:firstLineChars="200"/>
        <w:jc w:val="right"/>
        <w:rPr>
          <w:rFonts w:hint="eastAsia" w:eastAsia="宋体"/>
          <w:color w:val="000000" w:themeColor="text1"/>
          <w:sz w:val="18"/>
          <w:szCs w:val="18"/>
          <w:lang w:eastAsia="zh-CN"/>
          <w14:textFill>
            <w14:solidFill>
              <w14:schemeClr w14:val="tx1"/>
            </w14:solidFill>
          </w14:textFill>
        </w:rPr>
      </w:pPr>
    </w:p>
    <w:p w14:paraId="0988CD17">
      <w:pPr>
        <w:pStyle w:val="20"/>
        <w:spacing w:before="0" w:beforeAutospacing="0" w:after="156" w:afterLines="50" w:afterAutospacing="0" w:line="360" w:lineRule="exact"/>
        <w:ind w:firstLine="420" w:firstLineChars="20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图3-</w:t>
      </w: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债券存续期间现金流情况图</w:t>
      </w:r>
    </w:p>
    <w:p w14:paraId="30B4B4FD">
      <w:pPr>
        <w:widowControl/>
        <w:spacing w:line="560" w:lineRule="exact"/>
        <w:ind w:firstLine="560" w:firstLineChars="200"/>
        <w:jc w:val="left"/>
        <w:outlineLvl w:val="0"/>
        <w:rPr>
          <w:rFonts w:ascii="黑体" w:hAnsi="黑体" w:eastAsia="黑体" w:cs="黑体"/>
          <w:sz w:val="28"/>
          <w:szCs w:val="28"/>
        </w:rPr>
      </w:pPr>
      <w:bookmarkStart w:id="65" w:name="_Toc8193"/>
      <w:r>
        <w:rPr>
          <w:rFonts w:hint="eastAsia" w:ascii="黑体" w:hAnsi="黑体" w:eastAsia="黑体" w:cs="黑体"/>
          <w:sz w:val="28"/>
          <w:szCs w:val="28"/>
        </w:rPr>
        <w:t>四、事前绩效评价</w:t>
      </w:r>
      <w:bookmarkEnd w:id="65"/>
    </w:p>
    <w:p w14:paraId="2F45A6E5">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1、项目实施的必要性、公益性、收益性</w:t>
      </w:r>
    </w:p>
    <w:p w14:paraId="03B62792">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（1）必要性</w:t>
      </w:r>
    </w:p>
    <w:p w14:paraId="7E2F8A4E">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1）项目建设是大力提高人民群众的居住水平，是全面建设小康社会和实现现代化的重要方面与重要内容之一。</w:t>
      </w:r>
    </w:p>
    <w:p w14:paraId="200F3F0C">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5893ACC3">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0B36AC27">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（2）公益性</w:t>
      </w:r>
    </w:p>
    <w:p w14:paraId="7544350F">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71FED5E8">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（3）收益性</w:t>
      </w:r>
    </w:p>
    <w:p w14:paraId="70305562">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本项目实施后，可产生运营收益，根据测算收入约为 54,701.00 万元，可用于偿债的项目收益为 53,606.98 万元，满足资金平衡需求。</w:t>
      </w:r>
    </w:p>
    <w:p w14:paraId="00287DB6">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2、项目建设投资合规性与项目成熟度</w:t>
      </w:r>
    </w:p>
    <w:p w14:paraId="63BD4320">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项目于2021年11月1日已获得南昌县行政审批局《关于南昌县银三角良苑小区二期安置房项目可行性研究报告的批复》（南行审投资投字【2021】380号）。</w:t>
      </w:r>
    </w:p>
    <w:p w14:paraId="001E524B">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项目建设有期充分的必要性，前期手续完善，项目资金为部分项目单位自筹，部分申请政府专项债券资金。项目成熟度、可靠度较高。</w:t>
      </w:r>
    </w:p>
    <w:p w14:paraId="46012CF3">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3、项目资金来源和可到位性</w:t>
      </w:r>
    </w:p>
    <w:p w14:paraId="72EE3EC0">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本项目资金筹措方式包括资本金及政府债券，资本金8,769.28万元，占总投资的 39.00 %；发行专项债券13,735.00万元，期限7年，占总投资的 61.00 %。</w:t>
      </w:r>
    </w:p>
    <w:p w14:paraId="2E5F0723">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4、项目收入、成本、收益预测合理性</w:t>
      </w:r>
    </w:p>
    <w:p w14:paraId="16F657AB">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根据项目可行性研究报告并结合实际情况进行测算，本项目债券存续期内收入包含土地出让收入54,701.00万元。</w:t>
      </w:r>
    </w:p>
    <w:p w14:paraId="6338AD8E">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债券存续期收益已由业主单位盖章确认，预测合理性较高。</w:t>
      </w:r>
    </w:p>
    <w:p w14:paraId="4F5229D7">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5、债券资金需求合理性</w:t>
      </w:r>
    </w:p>
    <w:p w14:paraId="07A9B8BB">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本项目资本金比例39.00%，满足国家发改委对固定资产投资项目资本金比例的要求。项目拟申请债券资金本息额共计1</w:t>
      </w:r>
      <w:r>
        <w:rPr>
          <w:rFonts w:hint="eastAsia" w:asciiTheme="minorEastAsia" w:hAnsiTheme="minorEastAsia" w:eastAsiaTheme="minorEastAsia" w:cstheme="minorEastAsia"/>
          <w:bCs/>
          <w:sz w:val="28"/>
          <w:szCs w:val="28"/>
          <w:lang w:val="en-US" w:eastAsia="zh-CN"/>
        </w:rPr>
        <w:t>7</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val="en-US" w:eastAsia="zh-CN"/>
        </w:rPr>
        <w:t>311</w:t>
      </w:r>
      <w:r>
        <w:rPr>
          <w:rFonts w:hint="eastAsia" w:asciiTheme="minorEastAsia" w:hAnsiTheme="minorEastAsia" w:eastAsiaTheme="minorEastAsia" w:cstheme="minorEastAsia"/>
          <w:bCs/>
          <w:sz w:val="28"/>
          <w:szCs w:val="28"/>
        </w:rPr>
        <w:t>.55万元，项目收益预计为 53,606.98 万元，项目收益对债券本息的覆盖倍数计算为3.</w:t>
      </w:r>
      <w:r>
        <w:rPr>
          <w:rFonts w:hint="eastAsia" w:asciiTheme="minorEastAsia" w:hAnsiTheme="minorEastAsia" w:eastAsiaTheme="minorEastAsia" w:cstheme="minorEastAsia"/>
          <w:bCs/>
          <w:sz w:val="28"/>
          <w:szCs w:val="28"/>
          <w:lang w:val="en-US" w:eastAsia="zh-CN"/>
        </w:rPr>
        <w:t>1</w:t>
      </w:r>
      <w:r>
        <w:rPr>
          <w:rFonts w:hint="eastAsia" w:asciiTheme="minorEastAsia" w:hAnsiTheme="minorEastAsia" w:eastAsiaTheme="minorEastAsia" w:cstheme="minorEastAsia"/>
          <w:bCs/>
          <w:sz w:val="28"/>
          <w:szCs w:val="28"/>
        </w:rPr>
        <w:t>，偿债保障性较高，债券需求额度合理。</w:t>
      </w:r>
    </w:p>
    <w:p w14:paraId="721C2FF9">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6、项目偿债计划可行性和偿债风险</w:t>
      </w:r>
    </w:p>
    <w:p w14:paraId="46ABCDD4">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按照发行方案及筹资计划，本次拟发行项目的总投资为22,384.28万元，通过自筹资金、申请专项债券、其他融资途径解决，其一，自筹资金8,649.28万元；其二，拟发行专项债券13,735.00万元。其中2023年已发行2,500.00万，发行期限7年；2024年506.00万元由2022年江西省高质量发展补短板专项债券（十二期）——2022年江西省政府专项债券（二十期）调整至本项目，发行期限30年，2,494.00万元由2022年江西省政府棚户区改造专项债券（七期）——2022年江西省政府专项债券（二十八期）调整至本项目，发行期限7年；2024年本期计划发行1,400.00万元，发行期限7年；2025年计划发行3,500.00万元，发行年限7年；2026年计划发行2,500.00万元，发行年限7年；2027年计划发行835.00万元，发行年限7年。</w:t>
      </w:r>
    </w:p>
    <w:p w14:paraId="0FCEC0C0">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项目自2027年可实现收益，可满足后续债券各年利息偿还，结余资金转账管理，用于到期一次还本，偿债计划可行。</w:t>
      </w:r>
    </w:p>
    <w:p w14:paraId="07CAA5D5">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7、绩效目标合理性</w:t>
      </w:r>
    </w:p>
    <w:p w14:paraId="58864EAB">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725AC034">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其他需要纳入其他绩效评估的事项</w:t>
      </w:r>
    </w:p>
    <w:p w14:paraId="5A4DEC8E">
      <w:pPr>
        <w:widowControl/>
        <w:spacing w:line="560" w:lineRule="exact"/>
        <w:ind w:firstLine="560" w:firstLineChars="200"/>
        <w:jc w:val="left"/>
        <w:outlineLvl w:val="0"/>
        <w:rPr>
          <w:rFonts w:ascii="黑体" w:hAnsi="黑体" w:eastAsia="黑体" w:cs="黑体"/>
          <w:sz w:val="28"/>
          <w:szCs w:val="28"/>
        </w:rPr>
      </w:pPr>
      <w:bookmarkStart w:id="66" w:name="_Toc32289"/>
      <w:r>
        <w:rPr>
          <w:rFonts w:hint="eastAsia" w:ascii="黑体" w:hAnsi="黑体" w:eastAsia="黑体" w:cs="黑体"/>
          <w:sz w:val="28"/>
          <w:szCs w:val="28"/>
        </w:rPr>
        <w:t>五、项目风险分析</w:t>
      </w:r>
      <w:bookmarkEnd w:id="64"/>
      <w:bookmarkEnd w:id="66"/>
    </w:p>
    <w:p w14:paraId="3614320A">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1、工程风险</w:t>
      </w:r>
    </w:p>
    <w:p w14:paraId="0324A1C0">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3A71FD57">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2、融资风险</w:t>
      </w:r>
    </w:p>
    <w:p w14:paraId="75459403">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6CEB7C62">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3、财务风险</w:t>
      </w:r>
    </w:p>
    <w:p w14:paraId="1263B7B8">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1F38190F">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4、自然风险</w:t>
      </w:r>
    </w:p>
    <w:p w14:paraId="39FB4989">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本项目在经营期间遇到人力不可抗拒的自然灾害是完全可能的，为了降低此间风险，要根据项目的特点制定的相应的措施，以便使不可抗拒自然灾害的风险降到最低。</w:t>
      </w:r>
    </w:p>
    <w:p w14:paraId="292F4B78">
      <w:pPr>
        <w:widowControl/>
        <w:spacing w:line="560" w:lineRule="exact"/>
        <w:ind w:firstLine="560" w:firstLineChars="200"/>
        <w:jc w:val="left"/>
        <w:outlineLvl w:val="0"/>
        <w:rPr>
          <w:rFonts w:ascii="黑体" w:hAnsi="黑体" w:eastAsia="黑体" w:cs="黑体"/>
          <w:sz w:val="28"/>
          <w:szCs w:val="28"/>
        </w:rPr>
      </w:pPr>
      <w:bookmarkStart w:id="67" w:name="_Toc36580116"/>
      <w:bookmarkStart w:id="68" w:name="_Toc11303"/>
      <w:r>
        <w:rPr>
          <w:rFonts w:hint="eastAsia" w:ascii="黑体" w:hAnsi="黑体" w:eastAsia="黑体" w:cs="黑体"/>
          <w:sz w:val="28"/>
          <w:szCs w:val="28"/>
        </w:rPr>
        <w:t>六、专项债发行方案</w:t>
      </w:r>
      <w:bookmarkEnd w:id="67"/>
      <w:bookmarkEnd w:id="68"/>
      <w:bookmarkStart w:id="69" w:name="_Toc521934768"/>
      <w:bookmarkStart w:id="70" w:name="_Toc498551254"/>
      <w:bookmarkStart w:id="71" w:name="_Toc511132341"/>
    </w:p>
    <w:p w14:paraId="0346D9A5">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1、发行主体资格</w:t>
      </w:r>
      <w:bookmarkEnd w:id="69"/>
      <w:bookmarkEnd w:id="70"/>
      <w:bookmarkEnd w:id="71"/>
      <w:bookmarkStart w:id="72" w:name="_Toc511132342"/>
      <w:bookmarkStart w:id="73" w:name="_Toc498551255"/>
      <w:bookmarkStart w:id="74" w:name="_Toc521934769"/>
      <w:r>
        <w:rPr>
          <w:rFonts w:hint="eastAsia" w:asciiTheme="minorEastAsia" w:hAnsiTheme="minorEastAsia" w:eastAsiaTheme="minorEastAsia" w:cstheme="minorEastAsia"/>
          <w:bCs/>
          <w:sz w:val="28"/>
          <w:szCs w:val="28"/>
        </w:rPr>
        <w:t>:根据《关于试点发展项目收益与融资自求平衡的地方政府专项债券品种的通知》（财预[2017]89号）之规定，地方政府专项债券需由江西省人民政府作为发行主体。本项目的实施机构为南昌县</w:t>
      </w:r>
      <w:r>
        <w:rPr>
          <w:rFonts w:hint="eastAsia" w:asciiTheme="minorEastAsia" w:hAnsiTheme="minorEastAsia" w:eastAsiaTheme="minorEastAsia" w:cstheme="minorEastAsia"/>
          <w:bCs/>
          <w:sz w:val="28"/>
          <w:szCs w:val="28"/>
          <w:lang w:val="en-US" w:eastAsia="zh-Hans"/>
        </w:rPr>
        <w:t>住房和城乡建设局</w:t>
      </w:r>
      <w:r>
        <w:rPr>
          <w:rFonts w:hint="eastAsia" w:asciiTheme="minorEastAsia" w:hAnsiTheme="minorEastAsia" w:eastAsiaTheme="minorEastAsia" w:cstheme="minorEastAsia"/>
          <w:bCs/>
          <w:sz w:val="28"/>
          <w:szCs w:val="28"/>
        </w:rPr>
        <w:t>，是依法批准设立的机关单位，具备机关单位法人资格，具有相应的民事权利能力和民事行为能力；项目业主为南昌县城市建设投资发展有限公司,是依法批准设立的企业法人，具备作为项目业主的资格。</w:t>
      </w:r>
    </w:p>
    <w:bookmarkEnd w:id="72"/>
    <w:bookmarkEnd w:id="73"/>
    <w:bookmarkEnd w:id="74"/>
    <w:p w14:paraId="3D20C9D0">
      <w:pPr>
        <w:ind w:left="-141" w:leftChars="-67" w:right="-99" w:rightChars="-47" w:firstLine="439" w:firstLineChars="157"/>
        <w:rPr>
          <w:rFonts w:hint="eastAsia" w:asciiTheme="minorEastAsia" w:hAnsiTheme="minorEastAsia" w:eastAsiaTheme="minorEastAsia" w:cstheme="minorEastAsia"/>
          <w:bCs/>
          <w:sz w:val="28"/>
          <w:szCs w:val="28"/>
        </w:rPr>
      </w:pPr>
      <w:bookmarkStart w:id="75" w:name="_Toc511132345"/>
      <w:bookmarkStart w:id="76" w:name="_Toc521934772"/>
      <w:bookmarkStart w:id="77" w:name="_Toc498551258"/>
      <w:r>
        <w:rPr>
          <w:rFonts w:hint="eastAsia" w:asciiTheme="minorEastAsia" w:hAnsiTheme="minorEastAsia" w:eastAsiaTheme="minorEastAsia" w:cstheme="minorEastAsia"/>
          <w:bCs/>
          <w:sz w:val="28"/>
          <w:szCs w:val="28"/>
        </w:rPr>
        <w:t>2、发行计划</w:t>
      </w:r>
      <w:bookmarkEnd w:id="75"/>
      <w:bookmarkEnd w:id="76"/>
      <w:bookmarkEnd w:id="77"/>
      <w:r>
        <w:rPr>
          <w:rFonts w:hint="eastAsia" w:asciiTheme="minorEastAsia" w:hAnsiTheme="minorEastAsia" w:eastAsiaTheme="minorEastAsia" w:cstheme="minorEastAsia"/>
          <w:bCs/>
          <w:sz w:val="28"/>
          <w:szCs w:val="28"/>
        </w:rPr>
        <w:t>:</w:t>
      </w:r>
      <w:bookmarkStart w:id="78" w:name="_Toc498551259"/>
      <w:bookmarkStart w:id="79" w:name="_Toc498385080"/>
      <w:bookmarkStart w:id="80" w:name="_Toc498385748"/>
      <w:bookmarkStart w:id="81" w:name="_Toc521934773"/>
      <w:bookmarkStart w:id="82" w:name="_Toc511132346"/>
      <w:r>
        <w:rPr>
          <w:rFonts w:hint="eastAsia" w:asciiTheme="minorEastAsia" w:hAnsiTheme="minorEastAsia" w:eastAsiaTheme="minorEastAsia" w:cstheme="minorEastAsia"/>
          <w:bCs/>
          <w:sz w:val="28"/>
          <w:szCs w:val="28"/>
          <w:lang w:val="en-US" w:eastAsia="zh-CN"/>
        </w:rPr>
        <w:t>按照发行方案及筹资计划，本次拟发行项目的总投资为22,384.28万元，通过自筹资金、申请专项债券、其他融资途径解决，其一，自筹资金8,649.28万元；其二，拟发行专项债券13,735.00万元。其中2023年已发行2,500.00万，发行期限7年；2024年506.00万元由2022年江西省高质量发展补短板专项债券（十二期）——2022年江西省政府专项债券（二十期）调整至本项目，发行期限30年，2,494.00万元由2022年江西省政府棚户区改造专项债券（七期）——2022年江西省政府专项债券（二十八期）调整至本项目，发行期限7年；2024年本期计划发行1,400.00万元，发行期限7年；2025年计划发行3,500.00万元，发行年限7年；2026年计划发行2,500.00万元，发行年限7年；2027年计划发行835.00万元，发行年限7年。</w:t>
      </w:r>
    </w:p>
    <w:p w14:paraId="70797ED8">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3、发行场所</w:t>
      </w:r>
      <w:bookmarkEnd w:id="78"/>
      <w:bookmarkEnd w:id="79"/>
      <w:bookmarkEnd w:id="80"/>
      <w:bookmarkEnd w:id="81"/>
      <w:bookmarkEnd w:id="82"/>
      <w:r>
        <w:rPr>
          <w:rFonts w:hint="eastAsia" w:asciiTheme="minorEastAsia" w:hAnsiTheme="minorEastAsia" w:eastAsiaTheme="minorEastAsia" w:cstheme="minorEastAsia"/>
          <w:bCs/>
          <w:sz w:val="28"/>
          <w:szCs w:val="28"/>
        </w:rPr>
        <w:t>:通过全国银行间债券市场、证券交易所债券市场发行。将来条件具备时也可在银行柜台债券市场发行。</w:t>
      </w:r>
      <w:bookmarkStart w:id="83" w:name="_Toc521934775"/>
      <w:bookmarkStart w:id="84" w:name="_Toc498551261"/>
      <w:bookmarkStart w:id="85" w:name="_Toc498385082"/>
      <w:bookmarkStart w:id="86" w:name="_Toc498385750"/>
      <w:bookmarkStart w:id="87" w:name="_Toc511132348"/>
    </w:p>
    <w:p w14:paraId="422E6312">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4、时间安排</w:t>
      </w:r>
      <w:bookmarkEnd w:id="83"/>
      <w:bookmarkEnd w:id="84"/>
      <w:bookmarkEnd w:id="85"/>
      <w:bookmarkEnd w:id="86"/>
      <w:bookmarkEnd w:id="87"/>
      <w:r>
        <w:rPr>
          <w:rFonts w:hint="eastAsia" w:asciiTheme="minorEastAsia" w:hAnsiTheme="minorEastAsia" w:eastAsiaTheme="minorEastAsia" w:cstheme="minorEastAsia"/>
          <w:bCs/>
          <w:sz w:val="28"/>
          <w:szCs w:val="28"/>
        </w:rPr>
        <w:t>:计划发行时间为202</w:t>
      </w: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年0</w:t>
      </w:r>
      <w:r>
        <w:rPr>
          <w:rFonts w:hint="eastAsia" w:asciiTheme="minorEastAsia" w:hAnsiTheme="minorEastAsia" w:eastAsiaTheme="minorEastAsia" w:cstheme="minorEastAsia"/>
          <w:bCs/>
          <w:sz w:val="28"/>
          <w:szCs w:val="28"/>
          <w:lang w:val="en-US" w:eastAsia="zh-CN"/>
        </w:rPr>
        <w:t>9</w:t>
      </w:r>
      <w:r>
        <w:rPr>
          <w:rFonts w:hint="eastAsia" w:asciiTheme="minorEastAsia" w:hAnsiTheme="minorEastAsia" w:eastAsiaTheme="minorEastAsia" w:cstheme="minorEastAsia"/>
          <w:bCs/>
          <w:sz w:val="28"/>
          <w:szCs w:val="28"/>
        </w:rPr>
        <w:t>月，以后年度结合当年发债计划安排。</w:t>
      </w:r>
    </w:p>
    <w:p w14:paraId="48438920">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5、信息披露：在专项债发行日前5个工作日通过</w:t>
      </w:r>
      <w:bookmarkStart w:id="88" w:name="dttl"/>
      <w:r>
        <w:rPr>
          <w:rFonts w:hint="eastAsia" w:asciiTheme="minorEastAsia" w:hAnsiTheme="minorEastAsia" w:eastAsiaTheme="minorEastAsia" w:cstheme="minorEastAsia"/>
          <w:bCs/>
          <w:sz w:val="28"/>
          <w:szCs w:val="28"/>
        </w:rPr>
        <w:fldChar w:fldCharType="begin"/>
      </w:r>
      <w:r>
        <w:rPr>
          <w:rFonts w:hint="eastAsia" w:asciiTheme="minorEastAsia" w:hAnsiTheme="minorEastAsia" w:eastAsiaTheme="minorEastAsia" w:cstheme="minorEastAsia"/>
          <w:bCs/>
          <w:sz w:val="28"/>
          <w:szCs w:val="28"/>
        </w:rPr>
        <w:instrText xml:space="preserve"> HYPERLINK "https://www.sogou.com/link?url=DSOYnZeCC_pzE53eXNhcqFoov_MuMQYQreaVHN88tHY." \t "https://www.sogou.com/_blank" </w:instrText>
      </w:r>
      <w:r>
        <w:rPr>
          <w:rFonts w:hint="eastAsia" w:asciiTheme="minorEastAsia" w:hAnsiTheme="minorEastAsia" w:eastAsiaTheme="minorEastAsia" w:cstheme="minorEastAsia"/>
          <w:bCs/>
          <w:sz w:val="28"/>
          <w:szCs w:val="28"/>
        </w:rPr>
        <w:fldChar w:fldCharType="separate"/>
      </w:r>
      <w:r>
        <w:rPr>
          <w:rFonts w:hint="eastAsia" w:asciiTheme="minorEastAsia" w:hAnsiTheme="minorEastAsia" w:eastAsiaTheme="minorEastAsia" w:cstheme="minorEastAsia"/>
          <w:bCs/>
          <w:sz w:val="28"/>
          <w:szCs w:val="28"/>
        </w:rPr>
        <w:t>中国地方政府债券信息公开平台</w:t>
      </w:r>
      <w:bookmarkEnd w:id="88"/>
      <w:r>
        <w:rPr>
          <w:rFonts w:hint="eastAsia" w:asciiTheme="minorEastAsia" w:hAnsiTheme="minorEastAsia" w:eastAsiaTheme="minorEastAsia" w:cstheme="minorEastAsia"/>
          <w:bCs/>
          <w:sz w:val="28"/>
          <w:szCs w:val="28"/>
        </w:rPr>
        <w:fldChar w:fldCharType="end"/>
      </w:r>
      <w:r>
        <w:rPr>
          <w:rFonts w:hint="eastAsia" w:asciiTheme="minorEastAsia" w:hAnsiTheme="minorEastAsia" w:eastAsiaTheme="minorEastAsia" w:cstheme="minorEastAsia"/>
          <w:bCs/>
          <w:sz w:val="28"/>
          <w:szCs w:val="28"/>
        </w:rPr>
        <w:t>、江西省财政厅官方网站和中国债券信息网-中央结算公司官方网站披露（http：//www.chinabond.com.cn/）详细披露债券发行全套信息披露文件。</w:t>
      </w:r>
    </w:p>
    <w:p w14:paraId="5DB2FD0C">
      <w:pPr>
        <w:ind w:left="-141" w:leftChars="-67" w:right="-99"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总体而言，南昌县银三角良苑小区二期安置房项目通过发行专项债可以降低项目融资成本，是现阶段解决建设资金问题的推荐方案。且基于财政部对地方政府发行项目收益与融资自求平衡专项债券的要求，并根据项目重大建设意义，南昌县银三角良苑小区二期安置房项目可以通过申请专项债券的方式进行融资以完成资金筹措。</w:t>
      </w:r>
    </w:p>
    <w:p w14:paraId="6E05F36E">
      <w:pPr>
        <w:ind w:left="-141" w:leftChars="-67" w:right="-99" w:rightChars="-47" w:firstLine="439" w:firstLineChars="157"/>
        <w:rPr>
          <w:rFonts w:hint="eastAsia" w:asciiTheme="minorEastAsia" w:hAnsiTheme="minorEastAsia" w:eastAsiaTheme="minorEastAsia" w:cstheme="minorEastAsia"/>
          <w:bCs/>
          <w:sz w:val="28"/>
          <w:szCs w:val="28"/>
        </w:rPr>
      </w:pPr>
    </w:p>
    <w:p w14:paraId="79A475A1">
      <w:pPr>
        <w:ind w:left="-141" w:leftChars="-67" w:right="-99" w:rightChars="-47" w:firstLine="439" w:firstLineChars="157"/>
        <w:rPr>
          <w:rFonts w:hint="eastAsia" w:asciiTheme="minorEastAsia" w:hAnsiTheme="minorEastAsia" w:eastAsiaTheme="minorEastAsia" w:cstheme="minorEastAsia"/>
          <w:bCs/>
          <w:sz w:val="28"/>
          <w:szCs w:val="28"/>
        </w:rPr>
      </w:pPr>
    </w:p>
    <w:p w14:paraId="1DD0D9ED">
      <w:pPr>
        <w:ind w:left="-141" w:leftChars="-67" w:right="-99" w:rightChars="-47" w:firstLine="439" w:firstLineChars="157"/>
        <w:rPr>
          <w:rFonts w:hint="eastAsia" w:asciiTheme="minorEastAsia" w:hAnsiTheme="minorEastAsia" w:eastAsiaTheme="minorEastAsia" w:cstheme="minorEastAsia"/>
          <w:bCs/>
          <w:sz w:val="28"/>
          <w:szCs w:val="28"/>
        </w:rPr>
      </w:pPr>
    </w:p>
    <w:p w14:paraId="345E20DC">
      <w:pPr>
        <w:ind w:right="-99" w:rightChars="-47"/>
        <w:rPr>
          <w:rFonts w:hint="eastAsia" w:asciiTheme="minorEastAsia" w:hAnsiTheme="minorEastAsia" w:eastAsiaTheme="minorEastAsia" w:cstheme="minorEastAsia"/>
          <w:bCs/>
          <w:sz w:val="28"/>
          <w:szCs w:val="28"/>
        </w:rPr>
        <w:sectPr>
          <w:headerReference r:id="rId19" w:type="default"/>
          <w:footerReference r:id="rId20" w:type="default"/>
          <w:pgSz w:w="11906" w:h="16838"/>
          <w:pgMar w:top="1440" w:right="1133" w:bottom="1440" w:left="1800" w:header="851" w:footer="992" w:gutter="0"/>
          <w:cols w:space="425" w:num="1"/>
          <w:docGrid w:type="lines" w:linePitch="312" w:charSpace="0"/>
        </w:sectPr>
      </w:pPr>
    </w:p>
    <w:p w14:paraId="3E3D7AF0">
      <w:pPr>
        <w:ind w:right="-99" w:rightChars="-47"/>
        <w:rPr>
          <w:rFonts w:hint="eastAsia" w:asciiTheme="minorEastAsia" w:hAnsiTheme="minorEastAsia" w:eastAsiaTheme="minorEastAsia" w:cstheme="minorEastAsia"/>
          <w:bCs/>
          <w:sz w:val="28"/>
          <w:szCs w:val="28"/>
        </w:rPr>
      </w:pPr>
    </w:p>
    <w:p w14:paraId="7F9DB65A">
      <w:pPr>
        <w:jc w:val="both"/>
        <w:rPr>
          <w:rFonts w:ascii="楷体" w:hAnsi="楷体" w:eastAsia="楷体"/>
          <w:b/>
          <w:sz w:val="44"/>
          <w:szCs w:val="44"/>
        </w:rPr>
      </w:pPr>
    </w:p>
    <w:p w14:paraId="5E801BAE">
      <w:pPr>
        <w:widowControl/>
        <w:spacing w:line="480" w:lineRule="auto"/>
        <w:jc w:val="center"/>
        <w:rPr>
          <w:rFonts w:hint="eastAsia" w:ascii="楷体" w:hAnsi="楷体" w:eastAsia="楷体" w:cs="楷体"/>
          <w:b/>
          <w:sz w:val="44"/>
          <w:szCs w:val="44"/>
        </w:rPr>
      </w:pPr>
      <w:r>
        <w:rPr>
          <w:rFonts w:hint="eastAsia" w:ascii="楷体" w:hAnsi="楷体" w:eastAsia="楷体" w:cs="楷体"/>
          <w:b/>
          <w:sz w:val="44"/>
          <w:szCs w:val="44"/>
        </w:rPr>
        <w:t>金湖管理处雄溪村二期一批安置房（城市棚户区改造）项目</w:t>
      </w:r>
    </w:p>
    <w:p w14:paraId="48210C91">
      <w:pPr>
        <w:widowControl/>
        <w:spacing w:line="480" w:lineRule="auto"/>
        <w:jc w:val="center"/>
        <w:rPr>
          <w:rFonts w:hint="eastAsia" w:ascii="楷体" w:hAnsi="楷体" w:eastAsia="楷体" w:cs="楷体"/>
          <w:b/>
          <w:sz w:val="44"/>
          <w:szCs w:val="44"/>
        </w:rPr>
      </w:pPr>
      <w:r>
        <w:rPr>
          <w:rFonts w:hint="eastAsia" w:ascii="楷体" w:hAnsi="楷体" w:eastAsia="楷体" w:cs="楷体"/>
          <w:b/>
          <w:sz w:val="44"/>
          <w:szCs w:val="44"/>
        </w:rPr>
        <w:t>专项债券实施方案</w:t>
      </w:r>
    </w:p>
    <w:p w14:paraId="5BDCA984">
      <w:pPr>
        <w:ind w:left="-141" w:leftChars="-67" w:right="-99" w:rightChars="-47" w:firstLine="690" w:firstLineChars="157"/>
        <w:jc w:val="center"/>
        <w:rPr>
          <w:rFonts w:hint="eastAsia" w:ascii="楷体" w:hAnsi="楷体" w:eastAsia="楷体" w:cs="楷体"/>
          <w:sz w:val="44"/>
          <w:szCs w:val="44"/>
        </w:rPr>
      </w:pPr>
    </w:p>
    <w:p w14:paraId="28FCB0CD">
      <w:pPr>
        <w:ind w:left="-141" w:leftChars="-67" w:right="-99" w:rightChars="-47" w:firstLine="690" w:firstLineChars="157"/>
        <w:jc w:val="center"/>
        <w:rPr>
          <w:rFonts w:hint="eastAsia" w:ascii="楷体" w:hAnsi="楷体" w:eastAsia="楷体" w:cs="楷体"/>
          <w:sz w:val="44"/>
          <w:szCs w:val="44"/>
        </w:rPr>
      </w:pPr>
    </w:p>
    <w:p w14:paraId="30E6D510">
      <w:pPr>
        <w:ind w:left="-141" w:leftChars="-67" w:right="-99" w:rightChars="-47" w:firstLine="439" w:firstLineChars="157"/>
        <w:rPr>
          <w:rFonts w:ascii="宋体" w:hAnsi="宋体" w:eastAsia="宋体"/>
          <w:sz w:val="28"/>
          <w:szCs w:val="28"/>
        </w:rPr>
      </w:pPr>
    </w:p>
    <w:p w14:paraId="76261267">
      <w:pPr>
        <w:ind w:left="-141" w:leftChars="-67" w:right="-99" w:rightChars="-47" w:firstLine="439" w:firstLineChars="157"/>
        <w:rPr>
          <w:rFonts w:ascii="宋体" w:hAnsi="宋体" w:eastAsia="宋体"/>
          <w:sz w:val="28"/>
          <w:szCs w:val="28"/>
          <w:u w:val="single"/>
        </w:rPr>
      </w:pPr>
    </w:p>
    <w:p w14:paraId="4337FA13">
      <w:pPr>
        <w:ind w:left="-141" w:leftChars="-67" w:right="-99" w:rightChars="-47" w:firstLine="439" w:firstLineChars="157"/>
        <w:rPr>
          <w:rFonts w:ascii="宋体" w:hAnsi="宋体" w:eastAsia="宋体"/>
          <w:sz w:val="28"/>
          <w:szCs w:val="28"/>
          <w:u w:val="single"/>
        </w:rPr>
      </w:pPr>
    </w:p>
    <w:p w14:paraId="1A6E4205">
      <w:pPr>
        <w:ind w:left="-141" w:leftChars="-67" w:right="-99" w:rightChars="-47" w:firstLine="502" w:firstLineChars="157"/>
        <w:rPr>
          <w:sz w:val="32"/>
          <w:szCs w:val="32"/>
          <w:u w:val="single"/>
        </w:rPr>
      </w:pPr>
    </w:p>
    <w:p w14:paraId="3973AAC0">
      <w:pPr>
        <w:ind w:left="-141" w:leftChars="-67" w:right="-99" w:rightChars="-47" w:firstLine="502" w:firstLineChars="157"/>
        <w:rPr>
          <w:sz w:val="32"/>
          <w:szCs w:val="32"/>
          <w:u w:val="single"/>
        </w:rPr>
      </w:pPr>
    </w:p>
    <w:p w14:paraId="7EE8231B">
      <w:pPr>
        <w:spacing w:line="360" w:lineRule="auto"/>
        <w:jc w:val="center"/>
        <w:rPr>
          <w:rFonts w:ascii="仿宋" w:hAnsi="仿宋" w:eastAsia="楷体"/>
          <w:b/>
          <w:sz w:val="44"/>
          <w:szCs w:val="44"/>
        </w:rPr>
      </w:pPr>
    </w:p>
    <w:p w14:paraId="6307F750">
      <w:pPr>
        <w:spacing w:line="360" w:lineRule="auto"/>
        <w:jc w:val="center"/>
        <w:rPr>
          <w:rFonts w:ascii="仿宋" w:hAnsi="仿宋" w:eastAsia="楷体"/>
          <w:b/>
          <w:sz w:val="44"/>
          <w:szCs w:val="44"/>
        </w:rPr>
      </w:pPr>
    </w:p>
    <w:p w14:paraId="01D69C11">
      <w:pPr>
        <w:spacing w:line="360" w:lineRule="auto"/>
        <w:jc w:val="both"/>
        <w:rPr>
          <w:rFonts w:hint="eastAsia" w:ascii="仿宋" w:hAnsi="仿宋" w:eastAsia="楷体"/>
          <w:b/>
          <w:sz w:val="44"/>
          <w:szCs w:val="44"/>
        </w:rPr>
      </w:pPr>
    </w:p>
    <w:p w14:paraId="66C31A16">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06C1654E">
      <w:pPr>
        <w:spacing w:line="360" w:lineRule="auto"/>
        <w:jc w:val="center"/>
        <w:rPr>
          <w:rFonts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Hans"/>
        </w:rPr>
        <w:t>九</w:t>
      </w:r>
      <w:r>
        <w:rPr>
          <w:rFonts w:hint="eastAsia" w:ascii="仿宋" w:hAnsi="仿宋" w:eastAsia="楷体"/>
          <w:b/>
          <w:sz w:val="44"/>
          <w:szCs w:val="44"/>
        </w:rPr>
        <w:t>月</w:t>
      </w:r>
    </w:p>
    <w:p w14:paraId="1261B827">
      <w:pPr>
        <w:ind w:right="-99" w:rightChars="-47"/>
        <w:jc w:val="center"/>
        <w:rPr>
          <w:rFonts w:ascii="楷体" w:hAnsi="楷体" w:eastAsia="楷体"/>
          <w:b/>
          <w:sz w:val="44"/>
          <w:szCs w:val="44"/>
        </w:rPr>
      </w:pPr>
    </w:p>
    <w:p w14:paraId="02121241">
      <w:pPr>
        <w:pStyle w:val="13"/>
        <w:rPr>
          <w:rFonts w:ascii="楷体" w:hAnsi="楷体" w:eastAsia="楷体"/>
          <w:b/>
          <w:sz w:val="44"/>
          <w:szCs w:val="44"/>
        </w:rPr>
      </w:pPr>
    </w:p>
    <w:p w14:paraId="7639D79B">
      <w:pPr>
        <w:pStyle w:val="72"/>
        <w:sectPr>
          <w:pgSz w:w="11906" w:h="16838"/>
          <w:pgMar w:top="1440" w:right="1133" w:bottom="1440" w:left="1800" w:header="851" w:footer="992" w:gutter="0"/>
          <w:cols w:space="425" w:num="1"/>
          <w:docGrid w:type="lines" w:linePitch="312" w:charSpace="0"/>
        </w:sectPr>
      </w:pPr>
    </w:p>
    <w:p w14:paraId="3B907540">
      <w:pPr>
        <w:pStyle w:val="72"/>
      </w:pPr>
    </w:p>
    <w:p w14:paraId="44EA009B">
      <w:pPr>
        <w:ind w:right="-99" w:rightChars="-47"/>
        <w:jc w:val="center"/>
        <w:rPr>
          <w:rFonts w:ascii="楷体" w:hAnsi="楷体" w:eastAsia="楷体"/>
          <w:b/>
          <w:sz w:val="44"/>
          <w:szCs w:val="44"/>
        </w:rPr>
      </w:pPr>
      <w:r>
        <w:rPr>
          <w:rFonts w:hint="eastAsia" w:ascii="楷体" w:hAnsi="楷体" w:eastAsia="楷体"/>
          <w:b/>
          <w:sz w:val="44"/>
          <w:szCs w:val="44"/>
        </w:rPr>
        <w:t>前言</w:t>
      </w:r>
    </w:p>
    <w:p w14:paraId="3BC5EBF8">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2023年是全面贯彻落实党的二十大精神的开局之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2013D921">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。金湖管理处雄溪村二期一批安置房（城市棚户区改造）项目拟于申请发行地方政府专项债</w:t>
      </w:r>
      <w:r>
        <w:rPr>
          <w:rFonts w:ascii="楷体" w:hAnsi="楷体" w:eastAsia="楷体" w:cs="楷体"/>
          <w:bCs/>
          <w:sz w:val="28"/>
          <w:szCs w:val="28"/>
        </w:rPr>
        <w:t>融资</w:t>
      </w:r>
      <w:r>
        <w:rPr>
          <w:rFonts w:hint="eastAsia" w:ascii="楷体" w:hAnsi="楷体" w:eastAsia="楷体" w:cs="楷体"/>
          <w:bCs/>
          <w:sz w:val="28"/>
          <w:szCs w:val="28"/>
        </w:rPr>
        <w:t>2.6537亿</w:t>
      </w:r>
      <w:r>
        <w:rPr>
          <w:rFonts w:ascii="楷体" w:hAnsi="楷体" w:eastAsia="楷体" w:cs="楷体"/>
          <w:bCs/>
          <w:sz w:val="28"/>
          <w:szCs w:val="28"/>
        </w:rPr>
        <w:t>元</w:t>
      </w:r>
      <w:r>
        <w:rPr>
          <w:rFonts w:hint="eastAsia" w:ascii="楷体" w:hAnsi="楷体" w:eastAsia="楷体" w:cs="楷体"/>
          <w:bCs/>
          <w:sz w:val="28"/>
          <w:szCs w:val="28"/>
        </w:rPr>
        <w:t>，拟本期申请发行0.</w:t>
      </w:r>
      <w:r>
        <w:rPr>
          <w:rFonts w:hint="eastAsia" w:ascii="楷体" w:hAnsi="楷体" w:eastAsia="楷体" w:cs="楷体"/>
          <w:bCs/>
          <w:sz w:val="28"/>
          <w:szCs w:val="28"/>
          <w:lang w:val="en-US" w:eastAsia="zh-CN"/>
        </w:rPr>
        <w:t>4</w:t>
      </w:r>
      <w:r>
        <w:rPr>
          <w:rFonts w:hint="eastAsia" w:ascii="楷体" w:hAnsi="楷体" w:eastAsia="楷体" w:cs="楷体"/>
          <w:bCs/>
          <w:sz w:val="28"/>
          <w:szCs w:val="28"/>
        </w:rPr>
        <w:t>5亿元。</w:t>
      </w:r>
    </w:p>
    <w:p w14:paraId="39CDDA5D">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2EB7DF88">
      <w:pPr>
        <w:widowControl/>
        <w:spacing w:line="360" w:lineRule="auto"/>
        <w:ind w:left="-141" w:leftChars="-67" w:right="-99" w:rightChars="-47" w:firstLine="439" w:firstLineChars="157"/>
        <w:jc w:val="left"/>
        <w:rPr>
          <w:rFonts w:ascii="宋体" w:hAnsi="宋体" w:eastAsia="宋体"/>
          <w:sz w:val="28"/>
          <w:szCs w:val="28"/>
        </w:rPr>
        <w:sectPr>
          <w:footerReference r:id="rId21" w:type="default"/>
          <w:pgSz w:w="11906" w:h="16838"/>
          <w:pgMar w:top="1440" w:right="1133" w:bottom="1440" w:left="1800" w:header="851" w:footer="992" w:gutter="0"/>
          <w:pgNumType w:fmt="decimal" w:start="1"/>
          <w:cols w:space="425" w:num="1"/>
          <w:docGrid w:type="lines" w:linePitch="312" w:charSpace="0"/>
        </w:sectPr>
      </w:pPr>
    </w:p>
    <w:p w14:paraId="2C38ABFD">
      <w:pPr>
        <w:widowControl/>
        <w:spacing w:line="560" w:lineRule="exact"/>
        <w:ind w:firstLine="560" w:firstLineChars="200"/>
        <w:jc w:val="left"/>
        <w:outlineLvl w:val="0"/>
        <w:rPr>
          <w:rFonts w:ascii="黑体" w:hAnsi="黑体" w:eastAsia="黑体" w:cs="黑体"/>
          <w:sz w:val="28"/>
          <w:szCs w:val="28"/>
        </w:rPr>
      </w:pPr>
      <w:bookmarkStart w:id="89" w:name="_Toc14594"/>
      <w:r>
        <w:rPr>
          <w:rFonts w:hint="eastAsia" w:ascii="黑体" w:hAnsi="黑体" w:eastAsia="黑体" w:cs="黑体"/>
          <w:sz w:val="28"/>
          <w:szCs w:val="28"/>
        </w:rPr>
        <w:t>一、项目概况</w:t>
      </w:r>
      <w:bookmarkEnd w:id="89"/>
    </w:p>
    <w:p w14:paraId="72C5C388">
      <w:pPr>
        <w:widowControl/>
        <w:spacing w:line="560" w:lineRule="exact"/>
        <w:ind w:firstLine="560" w:firstLineChars="200"/>
        <w:jc w:val="left"/>
        <w:outlineLvl w:val="1"/>
        <w:rPr>
          <w:rFonts w:ascii="楷体" w:hAnsi="楷体" w:eastAsia="楷体" w:cs="楷体"/>
          <w:b/>
          <w:bCs/>
          <w:sz w:val="28"/>
          <w:szCs w:val="28"/>
        </w:rPr>
      </w:pPr>
      <w:bookmarkStart w:id="90" w:name="_Toc8397"/>
      <w:r>
        <w:rPr>
          <w:rFonts w:hint="eastAsia" w:ascii="楷体" w:hAnsi="楷体" w:eastAsia="楷体" w:cs="楷体"/>
          <w:b/>
          <w:bCs/>
          <w:sz w:val="28"/>
          <w:szCs w:val="28"/>
        </w:rPr>
        <w:t>（一）项目所在地基本情况</w:t>
      </w:r>
      <w:bookmarkEnd w:id="90"/>
    </w:p>
    <w:p w14:paraId="125BC201">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1、所在地情况</w:t>
      </w:r>
    </w:p>
    <w:p w14:paraId="1114FD04">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37F81E68">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南昌县面积1810.7平方公里；辖7个乡9个镇、1个国家级开发区和银三角管委会；2017年，户籍总人口1039778人，全县地区生产总值（GDP）782亿，按可比价格计算，比2016年增长9.2%。</w:t>
      </w:r>
    </w:p>
    <w:p w14:paraId="49911718">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78DF5009">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1EDFB9C8">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2、财政收支情况</w:t>
      </w:r>
    </w:p>
    <w:p w14:paraId="32621A1C">
      <w:pPr>
        <w:widowControl/>
        <w:spacing w:before="100" w:beforeAutospacing="1" w:after="100" w:afterAutospacing="1"/>
        <w:ind w:firstLine="480"/>
        <w:jc w:val="center"/>
        <w:rPr>
          <w:rFonts w:ascii="宋体" w:hAnsi="宋体" w:eastAsia="宋体" w:cs="宋体"/>
          <w:kern w:val="0"/>
          <w:sz w:val="24"/>
          <w:szCs w:val="24"/>
        </w:rPr>
      </w:pPr>
      <w:r>
        <w:rPr>
          <w:rFonts w:ascii="宋体" w:hAnsi="宋体" w:eastAsia="宋体" w:cs="宋体"/>
          <w:kern w:val="0"/>
          <w:sz w:val="24"/>
          <w:szCs w:val="24"/>
        </w:rPr>
        <w:t>南昌县财政支出情况</w:t>
      </w:r>
    </w:p>
    <w:p w14:paraId="09A47226">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247EF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04A255FA">
            <w:pPr>
              <w:widowControl/>
              <w:spacing w:before="100" w:beforeAutospacing="1" w:after="100" w:afterAutospacing="1"/>
              <w:jc w:val="center"/>
              <w:rPr>
                <w:rFonts w:ascii="宋体" w:hAnsi="宋体" w:eastAsia="宋体" w:cs="宋体"/>
                <w:kern w:val="0"/>
                <w:sz w:val="24"/>
                <w:szCs w:val="24"/>
              </w:rPr>
            </w:pPr>
            <w:bookmarkStart w:id="91" w:name="_Toc30473"/>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20E5F28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126B013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7DD5063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4C567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3F4A43C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6A93852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11D432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1CF4F47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337A3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1E55C5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597F44B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ACB83F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5EAE8BB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00368E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7684E19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76144A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0DCCCD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365F428B">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1719C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19DCDF1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0163FF6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1ADBAB1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130D8E35">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7D28B3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3FC79C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B7E6B6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74B3A02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54FBDEC3">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21090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2B5FE3A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72FA6AE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2A0BE8FA">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374D60C7">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161378E3">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（二）项目实施背景</w:t>
      </w:r>
      <w:bookmarkEnd w:id="91"/>
    </w:p>
    <w:p w14:paraId="05F1B0D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5128A29F">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012F1427">
      <w:pPr>
        <w:widowControl/>
        <w:spacing w:line="560" w:lineRule="exact"/>
        <w:ind w:firstLine="560" w:firstLineChars="200"/>
        <w:jc w:val="left"/>
        <w:outlineLvl w:val="1"/>
        <w:rPr>
          <w:rFonts w:ascii="楷体" w:hAnsi="楷体" w:eastAsia="楷体" w:cs="楷体"/>
          <w:b/>
          <w:bCs/>
          <w:sz w:val="28"/>
          <w:szCs w:val="28"/>
        </w:rPr>
      </w:pPr>
      <w:bookmarkStart w:id="92" w:name="_Toc15919"/>
      <w:r>
        <w:rPr>
          <w:rFonts w:hint="eastAsia" w:ascii="楷体" w:hAnsi="楷体" w:eastAsia="楷体" w:cs="楷体"/>
          <w:b/>
          <w:bCs/>
          <w:sz w:val="28"/>
          <w:szCs w:val="28"/>
        </w:rPr>
        <w:t>（三）项目基本情况</w:t>
      </w:r>
      <w:bookmarkEnd w:id="92"/>
    </w:p>
    <w:p w14:paraId="29B9601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项目名称：金湖管理处雄溪村二期一批安置房（城市棚户区改造）项目</w:t>
      </w:r>
    </w:p>
    <w:p w14:paraId="4DD43646">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建设单位：南昌县城市建设投资发展有限公司</w:t>
      </w:r>
    </w:p>
    <w:p w14:paraId="0B0F871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建设内容：本项目为金湖管理处雄溪村二期一批安置房（城市棚户区改造），项目建筑内容包括新建7栋高层住宅楼、配套公共建筑（含社区服务用房、卫生服务用房、养老用房、物业用房、大门、地下室出地面楼梯间、文化活动中心、消防控制室、开闭所、垃圾中转站、沿街商业等）及地下停车库等组成，项目共安置699户。项目总用地面积约30663.07㎡，总建筑面积约97279.24㎡，其中：计容建筑面积约77148.15㎡（含公共建筑面积约5170.21㎡、住宅建筑面积约71977.94㎡），不计容建筑面积约20131.09㎡，建筑密度16.57%，容积率2.52，绿地率27%，机动车停车位704辆（与主体同步实施配建充电设备的停车位的配置比例占总停车位的20.7%，剩余79.7%充电桩车位预留建设条件），非机动车停车位1010辆。</w:t>
      </w:r>
    </w:p>
    <w:p w14:paraId="5733E2AD">
      <w:pPr>
        <w:widowControl/>
        <w:spacing w:line="560" w:lineRule="exact"/>
        <w:ind w:firstLine="560" w:firstLineChars="200"/>
        <w:jc w:val="left"/>
        <w:outlineLvl w:val="1"/>
        <w:rPr>
          <w:rFonts w:ascii="楷体" w:hAnsi="楷体" w:eastAsia="楷体" w:cs="楷体"/>
          <w:b/>
          <w:bCs/>
          <w:sz w:val="28"/>
          <w:szCs w:val="28"/>
        </w:rPr>
      </w:pPr>
      <w:bookmarkStart w:id="93" w:name="_Toc29473"/>
      <w:r>
        <w:rPr>
          <w:rFonts w:hint="eastAsia" w:ascii="楷体" w:hAnsi="楷体" w:eastAsia="楷体" w:cs="楷体"/>
          <w:b/>
          <w:bCs/>
          <w:sz w:val="28"/>
          <w:szCs w:val="28"/>
        </w:rPr>
        <w:t>（四）项目总投资额</w:t>
      </w:r>
      <w:bookmarkEnd w:id="93"/>
    </w:p>
    <w:p w14:paraId="15A688A3">
      <w:pPr>
        <w:ind w:left="-140" w:leftChars="-67" w:right="-98" w:rightChars="-47" w:firstLine="439" w:firstLineChars="157"/>
        <w:rPr>
          <w:rFonts w:hint="eastAsia" w:asciiTheme="minorEastAsia" w:hAnsiTheme="minorEastAsia" w:eastAsiaTheme="minorEastAsia" w:cstheme="minorEastAsia"/>
          <w:bCs/>
          <w:sz w:val="28"/>
          <w:szCs w:val="28"/>
        </w:rPr>
      </w:pPr>
      <w:bookmarkStart w:id="94" w:name="_Toc15692"/>
      <w:r>
        <w:rPr>
          <w:rFonts w:hint="eastAsia" w:asciiTheme="minorEastAsia" w:hAnsiTheme="minorEastAsia" w:eastAsiaTheme="minorEastAsia" w:cstheme="minorEastAsia"/>
          <w:bCs/>
          <w:sz w:val="28"/>
          <w:szCs w:val="28"/>
        </w:rPr>
        <w:t>金湖管理处雄溪村二期一批安置房（城市棚户区改造）工程专项债券的申报单位是南昌县住房和城乡建设局，统一社会信用代码为：11360121MB1550493K，负责人为廖峰，地址为南昌县莲塘镇莲塘南大道1148号。</w:t>
      </w:r>
    </w:p>
    <w:p w14:paraId="6C1BEEEB">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金湖管理处雄溪村二期一批安置房（城市棚户区改造）工程为基建项目，根据南昌县行政审批局《关于对金湖管理处雄溪村二期一批安置房（城市棚户区改造）工程可行性研究报告的批复》（南行审投资投字〔2022〕406号）核定总投资为34,543.02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194"/>
        <w:gridCol w:w="1744"/>
        <w:gridCol w:w="1301"/>
        <w:gridCol w:w="1481"/>
        <w:gridCol w:w="1301"/>
        <w:gridCol w:w="1122"/>
      </w:tblGrid>
      <w:tr w14:paraId="32C82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31" w:type="pct"/>
            <w:shd w:val="clear" w:color="auto" w:fill="auto"/>
            <w:noWrap/>
            <w:vAlign w:val="center"/>
          </w:tcPr>
          <w:p w14:paraId="0AF0079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85" w:type="pct"/>
            <w:shd w:val="clear" w:color="auto" w:fill="auto"/>
            <w:noWrap/>
            <w:vAlign w:val="center"/>
          </w:tcPr>
          <w:p w14:paraId="4EDE4A1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1000" w:type="pct"/>
            <w:shd w:val="clear" w:color="auto" w:fill="auto"/>
            <w:noWrap/>
            <w:vAlign w:val="center"/>
          </w:tcPr>
          <w:p w14:paraId="0A5DD23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45" w:type="pct"/>
            <w:shd w:val="clear" w:color="auto" w:fill="auto"/>
            <w:noWrap/>
            <w:vAlign w:val="center"/>
          </w:tcPr>
          <w:p w14:paraId="0F97CB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849" w:type="pct"/>
            <w:shd w:val="clear" w:color="auto" w:fill="auto"/>
            <w:noWrap/>
            <w:vAlign w:val="center"/>
          </w:tcPr>
          <w:p w14:paraId="2B1BBC2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745" w:type="pct"/>
            <w:shd w:val="clear" w:color="auto" w:fill="auto"/>
            <w:noWrap/>
            <w:vAlign w:val="center"/>
          </w:tcPr>
          <w:p w14:paraId="7F7E8CB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642" w:type="pct"/>
            <w:shd w:val="clear" w:color="auto" w:fill="auto"/>
            <w:noWrap/>
            <w:vAlign w:val="center"/>
          </w:tcPr>
          <w:p w14:paraId="2450609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7430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331" w:type="pct"/>
            <w:shd w:val="clear" w:color="auto" w:fill="auto"/>
            <w:noWrap/>
            <w:vAlign w:val="center"/>
          </w:tcPr>
          <w:p w14:paraId="67A8E9A4">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85" w:type="pct"/>
            <w:shd w:val="clear" w:color="auto" w:fill="auto"/>
            <w:vAlign w:val="center"/>
          </w:tcPr>
          <w:p w14:paraId="4E87961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南昌县住房和城乡建设局</w:t>
            </w:r>
          </w:p>
        </w:tc>
        <w:tc>
          <w:tcPr>
            <w:tcW w:w="1000" w:type="pct"/>
            <w:shd w:val="clear" w:color="auto" w:fill="auto"/>
            <w:vAlign w:val="center"/>
          </w:tcPr>
          <w:p w14:paraId="1C1EDFF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金湖管理处雄溪村二期一批安置房（城市棚户区改造）工程</w:t>
            </w:r>
          </w:p>
        </w:tc>
        <w:tc>
          <w:tcPr>
            <w:tcW w:w="1301" w:type="dxa"/>
            <w:shd w:val="clear" w:color="auto" w:fill="auto"/>
            <w:noWrap/>
            <w:vAlign w:val="center"/>
          </w:tcPr>
          <w:p w14:paraId="423350A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34,543.02</w:t>
            </w:r>
          </w:p>
        </w:tc>
        <w:tc>
          <w:tcPr>
            <w:tcW w:w="1481" w:type="dxa"/>
            <w:shd w:val="clear" w:color="auto" w:fill="auto"/>
            <w:vAlign w:val="center"/>
          </w:tcPr>
          <w:p w14:paraId="2C76CBA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2,490.10</w:t>
            </w:r>
          </w:p>
        </w:tc>
        <w:tc>
          <w:tcPr>
            <w:tcW w:w="1301" w:type="dxa"/>
            <w:shd w:val="clear" w:color="auto" w:fill="auto"/>
            <w:noWrap/>
            <w:vAlign w:val="center"/>
          </w:tcPr>
          <w:p w14:paraId="5D57436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23.49</w:t>
            </w:r>
          </w:p>
        </w:tc>
        <w:tc>
          <w:tcPr>
            <w:tcW w:w="1121" w:type="dxa"/>
            <w:shd w:val="clear" w:color="auto" w:fill="auto"/>
            <w:noWrap/>
            <w:vAlign w:val="center"/>
          </w:tcPr>
          <w:p w14:paraId="01D7480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37,056.61</w:t>
            </w:r>
          </w:p>
        </w:tc>
      </w:tr>
    </w:tbl>
    <w:p w14:paraId="4EC06D49">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为了保障以上建设项目合理的融资需求，更好地发挥专项债券对本项目的支持作用，本次项目计划通过自筹资金及发行地方政府专项债券的方式完成项目建设。赣江新区金力开发建设有限公司申请地方政府专项债券的明细情况见下表：</w:t>
      </w:r>
    </w:p>
    <w:p w14:paraId="713B1B2E">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9956" w:type="dxa"/>
        <w:tblInd w:w="-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286"/>
        <w:gridCol w:w="1098"/>
        <w:gridCol w:w="1001"/>
        <w:gridCol w:w="1248"/>
        <w:gridCol w:w="1001"/>
        <w:gridCol w:w="1001"/>
        <w:gridCol w:w="1001"/>
        <w:gridCol w:w="1008"/>
      </w:tblGrid>
      <w:tr w14:paraId="340E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1312" w:type="dxa"/>
            <w:vMerge w:val="restart"/>
            <w:shd w:val="clear" w:color="auto" w:fill="auto"/>
            <w:noWrap/>
            <w:vAlign w:val="center"/>
          </w:tcPr>
          <w:p w14:paraId="6CEDB75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1286" w:type="dxa"/>
            <w:vMerge w:val="restart"/>
            <w:shd w:val="clear" w:color="auto" w:fill="auto"/>
            <w:vAlign w:val="center"/>
          </w:tcPr>
          <w:p w14:paraId="45E3CA5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7358" w:type="dxa"/>
            <w:gridSpan w:val="7"/>
            <w:vAlign w:val="center"/>
          </w:tcPr>
          <w:p w14:paraId="0E6C22C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37D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1312" w:type="dxa"/>
            <w:vMerge w:val="continue"/>
            <w:vAlign w:val="center"/>
          </w:tcPr>
          <w:p w14:paraId="1947E027">
            <w:pPr>
              <w:widowControl/>
              <w:jc w:val="center"/>
              <w:rPr>
                <w:rFonts w:ascii="宋体" w:hAnsi="宋体" w:cs="宋体"/>
                <w:b/>
                <w:bCs/>
                <w:color w:val="000000"/>
                <w:kern w:val="0"/>
                <w:sz w:val="18"/>
                <w:szCs w:val="18"/>
              </w:rPr>
            </w:pPr>
          </w:p>
        </w:tc>
        <w:tc>
          <w:tcPr>
            <w:tcW w:w="1286" w:type="dxa"/>
            <w:vMerge w:val="continue"/>
            <w:vAlign w:val="center"/>
          </w:tcPr>
          <w:p w14:paraId="147CEB17">
            <w:pPr>
              <w:widowControl/>
              <w:jc w:val="center"/>
              <w:rPr>
                <w:rFonts w:ascii="宋体" w:hAnsi="宋体" w:cs="宋体"/>
                <w:b/>
                <w:bCs/>
                <w:color w:val="000000"/>
                <w:kern w:val="0"/>
                <w:sz w:val="18"/>
                <w:szCs w:val="18"/>
              </w:rPr>
            </w:pPr>
          </w:p>
        </w:tc>
        <w:tc>
          <w:tcPr>
            <w:tcW w:w="1098" w:type="dxa"/>
            <w:shd w:val="clear" w:color="auto" w:fill="auto"/>
            <w:vAlign w:val="center"/>
          </w:tcPr>
          <w:p w14:paraId="42E819D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1001" w:type="dxa"/>
            <w:vAlign w:val="center"/>
          </w:tcPr>
          <w:p w14:paraId="7DA8E57F">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2023年</w:t>
            </w:r>
          </w:p>
        </w:tc>
        <w:tc>
          <w:tcPr>
            <w:tcW w:w="1248" w:type="dxa"/>
            <w:shd w:val="clear" w:color="auto" w:fill="auto"/>
            <w:noWrap/>
            <w:vAlign w:val="center"/>
          </w:tcPr>
          <w:p w14:paraId="5CF13B4F">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2024年调整</w:t>
            </w:r>
          </w:p>
        </w:tc>
        <w:tc>
          <w:tcPr>
            <w:tcW w:w="1001" w:type="dxa"/>
            <w:shd w:val="clear" w:color="auto" w:fill="auto"/>
            <w:noWrap/>
            <w:vAlign w:val="center"/>
          </w:tcPr>
          <w:p w14:paraId="1AD05E43">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2024年</w:t>
            </w:r>
          </w:p>
        </w:tc>
        <w:tc>
          <w:tcPr>
            <w:tcW w:w="1001" w:type="dxa"/>
            <w:shd w:val="clear" w:color="auto" w:fill="auto"/>
            <w:noWrap/>
            <w:vAlign w:val="center"/>
          </w:tcPr>
          <w:p w14:paraId="73387FDF">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2025年</w:t>
            </w:r>
          </w:p>
        </w:tc>
        <w:tc>
          <w:tcPr>
            <w:tcW w:w="1001" w:type="dxa"/>
            <w:shd w:val="clear" w:color="auto" w:fill="auto"/>
            <w:noWrap/>
            <w:vAlign w:val="center"/>
          </w:tcPr>
          <w:p w14:paraId="2D1FBA83">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2026年</w:t>
            </w:r>
          </w:p>
        </w:tc>
        <w:tc>
          <w:tcPr>
            <w:tcW w:w="1008" w:type="dxa"/>
            <w:shd w:val="clear" w:color="auto" w:fill="auto"/>
            <w:noWrap/>
            <w:vAlign w:val="center"/>
          </w:tcPr>
          <w:p w14:paraId="795A351E">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2027年</w:t>
            </w:r>
          </w:p>
        </w:tc>
      </w:tr>
      <w:tr w14:paraId="12AB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 w:hRule="atLeast"/>
        </w:trPr>
        <w:tc>
          <w:tcPr>
            <w:tcW w:w="1312" w:type="dxa"/>
            <w:shd w:val="clear" w:color="auto" w:fill="auto"/>
            <w:noWrap/>
            <w:vAlign w:val="center"/>
          </w:tcPr>
          <w:p w14:paraId="2191998A">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bidi="ar"/>
              </w:rPr>
              <w:t>37,056.61</w:t>
            </w:r>
          </w:p>
        </w:tc>
        <w:tc>
          <w:tcPr>
            <w:tcW w:w="1286" w:type="dxa"/>
            <w:shd w:val="clear" w:color="auto" w:fill="auto"/>
            <w:noWrap/>
            <w:vAlign w:val="center"/>
          </w:tcPr>
          <w:p w14:paraId="78DAC8E6">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bidi="ar"/>
              </w:rPr>
              <w:t>10,519.61</w:t>
            </w:r>
          </w:p>
        </w:tc>
        <w:tc>
          <w:tcPr>
            <w:tcW w:w="1098" w:type="dxa"/>
            <w:shd w:val="clear" w:color="auto" w:fill="auto"/>
            <w:vAlign w:val="center"/>
          </w:tcPr>
          <w:p w14:paraId="438E652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c>
          <w:tcPr>
            <w:tcW w:w="1001" w:type="dxa"/>
            <w:vAlign w:val="center"/>
          </w:tcPr>
          <w:p w14:paraId="71B2388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c>
          <w:tcPr>
            <w:tcW w:w="1248" w:type="dxa"/>
            <w:shd w:val="clear" w:color="auto" w:fill="auto"/>
            <w:vAlign w:val="center"/>
          </w:tcPr>
          <w:p w14:paraId="58884EB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01" w:type="dxa"/>
            <w:shd w:val="clear" w:color="auto" w:fill="auto"/>
            <w:vAlign w:val="center"/>
          </w:tcPr>
          <w:p w14:paraId="6294C09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4,500.00</w:t>
            </w:r>
          </w:p>
        </w:tc>
        <w:tc>
          <w:tcPr>
            <w:tcW w:w="1001" w:type="dxa"/>
            <w:shd w:val="clear" w:color="auto" w:fill="auto"/>
            <w:vAlign w:val="center"/>
          </w:tcPr>
          <w:p w14:paraId="6887F4B8">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8,950.00</w:t>
            </w:r>
          </w:p>
        </w:tc>
        <w:tc>
          <w:tcPr>
            <w:tcW w:w="1001" w:type="dxa"/>
            <w:shd w:val="clear" w:color="auto" w:fill="auto"/>
            <w:vAlign w:val="center"/>
          </w:tcPr>
          <w:p w14:paraId="474E0F4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5,000.00</w:t>
            </w:r>
          </w:p>
        </w:tc>
        <w:tc>
          <w:tcPr>
            <w:tcW w:w="1008" w:type="dxa"/>
            <w:shd w:val="clear" w:color="auto" w:fill="auto"/>
            <w:vAlign w:val="center"/>
          </w:tcPr>
          <w:p w14:paraId="55514BA5">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1,537.00</w:t>
            </w:r>
          </w:p>
        </w:tc>
      </w:tr>
    </w:tbl>
    <w:p w14:paraId="786F922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按照发行方案及筹资计划，本次拟发行项目的总投资为</w:t>
      </w:r>
      <w:r>
        <w:rPr>
          <w:rFonts w:hint="eastAsia" w:asciiTheme="minorEastAsia" w:hAnsiTheme="minorEastAsia" w:eastAsiaTheme="minorEastAsia" w:cstheme="minorEastAsia"/>
          <w:bCs/>
          <w:sz w:val="28"/>
          <w:szCs w:val="28"/>
          <w:lang w:eastAsia="zh-CN"/>
        </w:rPr>
        <w:t>37,056.61</w:t>
      </w:r>
      <w:r>
        <w:rPr>
          <w:rFonts w:hint="eastAsia" w:asciiTheme="minorEastAsia" w:hAnsiTheme="minorEastAsia" w:eastAsiaTheme="minorEastAsia" w:cstheme="minorEastAsia"/>
          <w:bCs/>
          <w:sz w:val="28"/>
          <w:szCs w:val="28"/>
        </w:rPr>
        <w:t>万元，通过自筹资金、申请专项债券、其他合规性融资等途径解决，其一，自筹资金</w:t>
      </w:r>
      <w:r>
        <w:rPr>
          <w:rFonts w:hint="eastAsia" w:asciiTheme="minorEastAsia" w:hAnsiTheme="minorEastAsia" w:eastAsiaTheme="minorEastAsia" w:cstheme="minorEastAsia"/>
          <w:bCs/>
          <w:sz w:val="28"/>
          <w:szCs w:val="28"/>
          <w:lang w:eastAsia="zh-CN"/>
        </w:rPr>
        <w:t>10,519.61</w:t>
      </w:r>
      <w:r>
        <w:rPr>
          <w:rFonts w:hint="eastAsia" w:asciiTheme="minorEastAsia" w:hAnsiTheme="minorEastAsia" w:eastAsiaTheme="minorEastAsia" w:cstheme="minorEastAsia"/>
          <w:bCs/>
          <w:sz w:val="28"/>
          <w:szCs w:val="28"/>
        </w:rPr>
        <w:t>万元。其二，拟发行专项债券26,537.00万元，其中，2023年已发行3,500.00万元，发行期限5年，利率2.60%；2024年申请专项债7,550.00万元，3,050.00万元由2022年江西省高质量发展补短板专项债券（十二期）——2022年江西省政府专项债券（二十期）调整至本项目，发行期限28年，利率3.43%；2024年本期申请专项债4,500.00万元，利率3.90%；2025年申请专项债8,950.00万元，利率3.90%;2026年申请专项债5.000.00万元，利率3.90%;2027年申请专项债1,537.00万元，利率3.90%。</w:t>
      </w:r>
    </w:p>
    <w:p w14:paraId="0B016B38">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金湖管理处雄溪村二期一批安置房（城市棚户区改造）工程可行性研究报告》（以下简称“可研报告”），项目建设内容为：项目建设规模及内容:项目总用地面积约30663.07㎡，总建筑面积约97279.24㎡，其中：计容建筑面积约77148.15㎡（含公共建筑面积约5170.21㎡、住宅建筑面积约71977.94㎡），不计容建筑面积约20131.09㎡，建筑密度16.57%，容积率2.52，绿地率27%，机动车停车位704辆（与主体同步实施配建充电设备的停车位的配置比例占总停车位的20.7%，剩余79.7%充电桩车位预留建设条件），非机动车停车位1010辆。</w:t>
      </w:r>
    </w:p>
    <w:p w14:paraId="0049C97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根据可研报告及其批复，本项目投资估算详见表1-1；项目建设期内的年度资金计划表详见表1-2。</w:t>
      </w:r>
    </w:p>
    <w:p w14:paraId="2A19A4A4">
      <w:pPr>
        <w:spacing w:before="156" w:beforeLines="50" w:line="360" w:lineRule="auto"/>
        <w:ind w:firstLine="420" w:firstLineChars="200"/>
        <w:jc w:val="center"/>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表1-</w:t>
      </w:r>
      <w:r>
        <w:rPr>
          <w:b/>
          <w:color w:val="000000" w:themeColor="text1"/>
          <w:szCs w:val="21"/>
          <w14:textFill>
            <w14:solidFill>
              <w14:schemeClr w14:val="tx1"/>
            </w14:solidFill>
          </w14:textFill>
        </w:rPr>
        <w:t xml:space="preserve">1  </w:t>
      </w:r>
      <w:r>
        <w:rPr>
          <w:rFonts w:hint="eastAsia"/>
          <w:b/>
          <w:color w:val="000000" w:themeColor="text1"/>
          <w:szCs w:val="21"/>
          <w14:textFill>
            <w14:solidFill>
              <w14:schemeClr w14:val="tx1"/>
            </w14:solidFill>
          </w14:textFill>
        </w:rPr>
        <w:t>项目总投资估算表</w:t>
      </w:r>
    </w:p>
    <w:p w14:paraId="28198F0B">
      <w:pPr>
        <w:pStyle w:val="20"/>
        <w:spacing w:before="0" w:beforeAutospacing="0" w:after="156" w:afterLines="50" w:afterAutospacing="0" w:line="360" w:lineRule="exact"/>
        <w:ind w:firstLine="360" w:firstLineChars="200"/>
        <w:jc w:val="right"/>
        <w:rPr>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4419"/>
        <w:gridCol w:w="2757"/>
      </w:tblGrid>
      <w:tr w14:paraId="1882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884" w:type="pct"/>
            <w:shd w:val="clear" w:color="auto" w:fill="auto"/>
            <w:noWrap/>
            <w:vAlign w:val="center"/>
          </w:tcPr>
          <w:p w14:paraId="135BE1C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2534" w:type="pct"/>
            <w:shd w:val="clear" w:color="auto" w:fill="auto"/>
            <w:noWrap/>
            <w:vAlign w:val="center"/>
          </w:tcPr>
          <w:p w14:paraId="3B8C55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1581" w:type="pct"/>
            <w:shd w:val="clear" w:color="auto" w:fill="auto"/>
            <w:noWrap/>
            <w:vAlign w:val="center"/>
          </w:tcPr>
          <w:p w14:paraId="2D2DFBD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r>
      <w:tr w14:paraId="2C5A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884" w:type="pct"/>
            <w:shd w:val="clear" w:color="auto" w:fill="auto"/>
            <w:noWrap/>
            <w:vAlign w:val="center"/>
          </w:tcPr>
          <w:p w14:paraId="509CBF1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2534" w:type="pct"/>
            <w:shd w:val="clear" w:color="auto" w:fill="auto"/>
            <w:vAlign w:val="center"/>
          </w:tcPr>
          <w:p w14:paraId="61A151B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工程费用</w:t>
            </w:r>
          </w:p>
        </w:tc>
        <w:tc>
          <w:tcPr>
            <w:tcW w:w="2757" w:type="dxa"/>
            <w:shd w:val="clear" w:color="auto" w:fill="auto"/>
            <w:vAlign w:val="center"/>
          </w:tcPr>
          <w:p w14:paraId="0D84BC6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30,464.53</w:t>
            </w:r>
          </w:p>
        </w:tc>
      </w:tr>
      <w:tr w14:paraId="2FF2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884" w:type="pct"/>
            <w:shd w:val="clear" w:color="auto" w:fill="auto"/>
            <w:noWrap/>
            <w:vAlign w:val="center"/>
          </w:tcPr>
          <w:p w14:paraId="0562D3B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2534" w:type="pct"/>
            <w:shd w:val="clear" w:color="auto" w:fill="auto"/>
            <w:vAlign w:val="center"/>
          </w:tcPr>
          <w:p w14:paraId="53A41FC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工程建设其他费用</w:t>
            </w:r>
          </w:p>
        </w:tc>
        <w:tc>
          <w:tcPr>
            <w:tcW w:w="2757" w:type="dxa"/>
            <w:shd w:val="clear" w:color="auto" w:fill="auto"/>
            <w:vAlign w:val="center"/>
          </w:tcPr>
          <w:p w14:paraId="111CA49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2,555.26</w:t>
            </w:r>
          </w:p>
        </w:tc>
      </w:tr>
      <w:tr w14:paraId="60F0C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884" w:type="pct"/>
            <w:shd w:val="clear" w:color="auto" w:fill="auto"/>
            <w:noWrap/>
            <w:vAlign w:val="center"/>
          </w:tcPr>
          <w:p w14:paraId="2BA2FFF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2534" w:type="pct"/>
            <w:shd w:val="clear" w:color="auto" w:fill="auto"/>
            <w:vAlign w:val="center"/>
          </w:tcPr>
          <w:p w14:paraId="6EE4169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预备费</w:t>
            </w:r>
          </w:p>
        </w:tc>
        <w:tc>
          <w:tcPr>
            <w:tcW w:w="2757" w:type="dxa"/>
            <w:shd w:val="clear" w:color="auto" w:fill="auto"/>
            <w:vAlign w:val="center"/>
          </w:tcPr>
          <w:p w14:paraId="05F7F21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1,523.23</w:t>
            </w:r>
          </w:p>
        </w:tc>
      </w:tr>
      <w:tr w14:paraId="5732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3418" w:type="pct"/>
            <w:gridSpan w:val="2"/>
            <w:shd w:val="clear" w:color="auto" w:fill="auto"/>
            <w:noWrap/>
            <w:vAlign w:val="center"/>
          </w:tcPr>
          <w:p w14:paraId="5806CED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项目总投资</w:t>
            </w:r>
          </w:p>
        </w:tc>
        <w:tc>
          <w:tcPr>
            <w:tcW w:w="2757" w:type="dxa"/>
            <w:shd w:val="clear" w:color="auto" w:fill="auto"/>
            <w:vAlign w:val="center"/>
          </w:tcPr>
          <w:p w14:paraId="5F04652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34,543.02</w:t>
            </w:r>
          </w:p>
        </w:tc>
      </w:tr>
    </w:tbl>
    <w:p w14:paraId="51648512">
      <w:pPr>
        <w:spacing w:before="156" w:beforeLines="50" w:line="360" w:lineRule="auto"/>
        <w:ind w:firstLine="420" w:firstLineChars="200"/>
        <w:jc w:val="center"/>
        <w:rPr>
          <w:rFonts w:ascii="宋体" w:hAnsi="宋体" w:cs="仿宋"/>
          <w:b/>
          <w:bCs/>
          <w:color w:val="000000" w:themeColor="text1"/>
          <w:szCs w:val="28"/>
          <w14:textFill>
            <w14:solidFill>
              <w14:schemeClr w14:val="tx1"/>
            </w14:solidFill>
          </w14:textFill>
        </w:rPr>
      </w:pPr>
      <w:r>
        <w:rPr>
          <w:rFonts w:hint="eastAsia" w:ascii="宋体" w:hAnsi="宋体" w:cs="仿宋"/>
          <w:b/>
          <w:bCs/>
          <w:color w:val="000000" w:themeColor="text1"/>
          <w:szCs w:val="28"/>
          <w14:textFill>
            <w14:solidFill>
              <w14:schemeClr w14:val="tx1"/>
            </w14:solidFill>
          </w14:textFill>
        </w:rPr>
        <w:t>表1-2</w:t>
      </w:r>
      <w:r>
        <w:rPr>
          <w:rFonts w:ascii="宋体" w:hAnsi="宋体" w:cs="仿宋"/>
          <w:b/>
          <w:bCs/>
          <w:color w:val="000000" w:themeColor="text1"/>
          <w:szCs w:val="28"/>
          <w14:textFill>
            <w14:solidFill>
              <w14:schemeClr w14:val="tx1"/>
            </w14:solidFill>
          </w14:textFill>
        </w:rPr>
        <w:t xml:space="preserve"> </w:t>
      </w:r>
      <w:r>
        <w:rPr>
          <w:rFonts w:hint="eastAsia" w:ascii="宋体" w:hAnsi="宋体" w:cs="仿宋"/>
          <w:b/>
          <w:bCs/>
          <w:color w:val="000000" w:themeColor="text1"/>
          <w:szCs w:val="28"/>
          <w14:textFill>
            <w14:solidFill>
              <w14:schemeClr w14:val="tx1"/>
            </w14:solidFill>
          </w14:textFill>
        </w:rPr>
        <w:t xml:space="preserve"> 项目分年度支出计划表</w:t>
      </w:r>
    </w:p>
    <w:p w14:paraId="01F19682">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790"/>
        <w:gridCol w:w="1116"/>
        <w:gridCol w:w="1016"/>
        <w:gridCol w:w="1120"/>
        <w:gridCol w:w="1019"/>
        <w:gridCol w:w="1017"/>
        <w:gridCol w:w="1017"/>
      </w:tblGrid>
      <w:tr w14:paraId="4955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357" w:type="pct"/>
            <w:shd w:val="clear" w:color="auto" w:fill="auto"/>
            <w:vAlign w:val="center"/>
          </w:tcPr>
          <w:p w14:paraId="3F3F3E8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026" w:type="pct"/>
            <w:shd w:val="clear" w:color="auto" w:fill="auto"/>
            <w:vAlign w:val="center"/>
          </w:tcPr>
          <w:p w14:paraId="3740FAC1">
            <w:pPr>
              <w:widowControl/>
              <w:jc w:val="center"/>
              <w:textAlignment w:val="bottom"/>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640" w:type="pct"/>
            <w:shd w:val="clear" w:color="auto" w:fill="auto"/>
            <w:vAlign w:val="center"/>
          </w:tcPr>
          <w:p w14:paraId="5355027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83" w:type="pct"/>
            <w:shd w:val="clear" w:color="auto" w:fill="auto"/>
            <w:vAlign w:val="center"/>
          </w:tcPr>
          <w:p w14:paraId="6F1A1A20">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2023年</w:t>
            </w:r>
          </w:p>
        </w:tc>
        <w:tc>
          <w:tcPr>
            <w:tcW w:w="1117" w:type="dxa"/>
            <w:shd w:val="clear" w:color="auto" w:fill="auto"/>
            <w:vAlign w:val="center"/>
          </w:tcPr>
          <w:p w14:paraId="507E5E92">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2024年</w:t>
            </w:r>
          </w:p>
        </w:tc>
        <w:tc>
          <w:tcPr>
            <w:tcW w:w="1017" w:type="dxa"/>
            <w:shd w:val="clear" w:color="auto" w:fill="auto"/>
            <w:vAlign w:val="center"/>
          </w:tcPr>
          <w:p w14:paraId="54A46B3F">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2025年</w:t>
            </w:r>
          </w:p>
        </w:tc>
        <w:tc>
          <w:tcPr>
            <w:tcW w:w="583" w:type="pct"/>
            <w:shd w:val="clear" w:color="auto" w:fill="auto"/>
            <w:vAlign w:val="center"/>
          </w:tcPr>
          <w:p w14:paraId="4F290E05">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2026年</w:t>
            </w:r>
          </w:p>
        </w:tc>
        <w:tc>
          <w:tcPr>
            <w:tcW w:w="583" w:type="pct"/>
            <w:shd w:val="clear" w:color="auto" w:fill="auto"/>
            <w:vAlign w:val="center"/>
          </w:tcPr>
          <w:p w14:paraId="4134903C">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2027年</w:t>
            </w:r>
          </w:p>
        </w:tc>
      </w:tr>
      <w:tr w14:paraId="0DEB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357" w:type="pct"/>
            <w:shd w:val="clear" w:color="auto" w:fill="auto"/>
            <w:vAlign w:val="center"/>
          </w:tcPr>
          <w:p w14:paraId="4AA4384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1026" w:type="pct"/>
            <w:shd w:val="clear" w:color="auto" w:fill="auto"/>
            <w:vAlign w:val="center"/>
          </w:tcPr>
          <w:p w14:paraId="6221BD86">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建设工程费用</w:t>
            </w:r>
          </w:p>
        </w:tc>
        <w:tc>
          <w:tcPr>
            <w:tcW w:w="640" w:type="pct"/>
            <w:shd w:val="clear" w:color="auto" w:fill="auto"/>
            <w:noWrap/>
            <w:vAlign w:val="center"/>
          </w:tcPr>
          <w:p w14:paraId="2424353C">
            <w:pPr>
              <w:widowControl/>
              <w:jc w:val="center"/>
              <w:textAlignment w:val="center"/>
              <w:rPr>
                <w:rFonts w:ascii="宋体" w:hAnsi="宋体" w:cs="Arial"/>
                <w:kern w:val="0"/>
                <w:sz w:val="18"/>
                <w:szCs w:val="18"/>
              </w:rPr>
            </w:pPr>
            <w:r>
              <w:rPr>
                <w:rFonts w:hint="eastAsia" w:ascii="宋体" w:hAnsi="宋体" w:cs="宋体"/>
                <w:color w:val="000000"/>
                <w:kern w:val="0"/>
                <w:sz w:val="18"/>
                <w:szCs w:val="18"/>
                <w:lang w:bidi="ar"/>
              </w:rPr>
              <w:t>30,464.53</w:t>
            </w:r>
          </w:p>
        </w:tc>
        <w:tc>
          <w:tcPr>
            <w:tcW w:w="1016" w:type="dxa"/>
            <w:shd w:val="clear" w:color="auto" w:fill="auto"/>
            <w:vAlign w:val="center"/>
          </w:tcPr>
          <w:p w14:paraId="27948FCD">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4,018.01</w:t>
            </w:r>
          </w:p>
        </w:tc>
        <w:tc>
          <w:tcPr>
            <w:tcW w:w="1117" w:type="dxa"/>
            <w:shd w:val="clear" w:color="auto" w:fill="auto"/>
            <w:vAlign w:val="center"/>
          </w:tcPr>
          <w:p w14:paraId="4B16411E">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,104.02</w:t>
            </w:r>
          </w:p>
        </w:tc>
        <w:tc>
          <w:tcPr>
            <w:tcW w:w="1017" w:type="dxa"/>
            <w:shd w:val="clear" w:color="auto" w:fill="auto"/>
            <w:vAlign w:val="center"/>
          </w:tcPr>
          <w:p w14:paraId="2C8EE86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9,838.01</w:t>
            </w:r>
          </w:p>
        </w:tc>
        <w:tc>
          <w:tcPr>
            <w:tcW w:w="1017" w:type="dxa"/>
            <w:shd w:val="clear" w:color="auto" w:fill="auto"/>
            <w:vAlign w:val="center"/>
          </w:tcPr>
          <w:p w14:paraId="30EEE97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5,740.01</w:t>
            </w:r>
          </w:p>
        </w:tc>
        <w:tc>
          <w:tcPr>
            <w:tcW w:w="1017" w:type="dxa"/>
            <w:shd w:val="clear" w:color="auto" w:fill="auto"/>
            <w:vAlign w:val="center"/>
          </w:tcPr>
          <w:p w14:paraId="3CB1054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1,764.48</w:t>
            </w:r>
          </w:p>
        </w:tc>
      </w:tr>
      <w:tr w14:paraId="6451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357" w:type="pct"/>
            <w:shd w:val="clear" w:color="auto" w:fill="auto"/>
            <w:vAlign w:val="center"/>
          </w:tcPr>
          <w:p w14:paraId="2F5D00E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1026" w:type="pct"/>
            <w:shd w:val="clear" w:color="auto" w:fill="auto"/>
            <w:vAlign w:val="center"/>
          </w:tcPr>
          <w:p w14:paraId="571C4D27">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640" w:type="pct"/>
            <w:shd w:val="clear" w:color="auto" w:fill="auto"/>
            <w:noWrap/>
            <w:vAlign w:val="center"/>
          </w:tcPr>
          <w:p w14:paraId="47BE287D">
            <w:pPr>
              <w:widowControl/>
              <w:jc w:val="center"/>
              <w:textAlignment w:val="center"/>
              <w:rPr>
                <w:rFonts w:ascii="宋体" w:hAnsi="宋体" w:cs="Arial"/>
                <w:kern w:val="0"/>
                <w:sz w:val="18"/>
                <w:szCs w:val="18"/>
              </w:rPr>
            </w:pPr>
            <w:r>
              <w:rPr>
                <w:rFonts w:hint="eastAsia" w:ascii="宋体" w:hAnsi="宋体" w:cs="宋体"/>
                <w:color w:val="000000"/>
                <w:kern w:val="0"/>
                <w:sz w:val="18"/>
                <w:szCs w:val="18"/>
                <w:lang w:bidi="ar"/>
              </w:rPr>
              <w:t>2,555.26</w:t>
            </w:r>
          </w:p>
        </w:tc>
        <w:tc>
          <w:tcPr>
            <w:tcW w:w="1016" w:type="dxa"/>
            <w:shd w:val="clear" w:color="auto" w:fill="auto"/>
            <w:vAlign w:val="center"/>
          </w:tcPr>
          <w:p w14:paraId="41D32DD9">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337.02</w:t>
            </w:r>
          </w:p>
        </w:tc>
        <w:tc>
          <w:tcPr>
            <w:tcW w:w="1117" w:type="dxa"/>
            <w:shd w:val="clear" w:color="auto" w:fill="auto"/>
            <w:vAlign w:val="center"/>
          </w:tcPr>
          <w:p w14:paraId="756288A4">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1,011.05</w:t>
            </w:r>
          </w:p>
        </w:tc>
        <w:tc>
          <w:tcPr>
            <w:tcW w:w="1017" w:type="dxa"/>
            <w:shd w:val="clear" w:color="auto" w:fill="auto"/>
            <w:vAlign w:val="center"/>
          </w:tcPr>
          <w:p w14:paraId="4A71D86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577.74</w:t>
            </w:r>
          </w:p>
        </w:tc>
        <w:tc>
          <w:tcPr>
            <w:tcW w:w="1017" w:type="dxa"/>
            <w:shd w:val="clear" w:color="auto" w:fill="auto"/>
            <w:vAlign w:val="center"/>
          </w:tcPr>
          <w:p w14:paraId="6DCF35A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481.45</w:t>
            </w:r>
          </w:p>
        </w:tc>
        <w:tc>
          <w:tcPr>
            <w:tcW w:w="1017" w:type="dxa"/>
            <w:shd w:val="clear" w:color="auto" w:fill="auto"/>
            <w:vAlign w:val="center"/>
          </w:tcPr>
          <w:p w14:paraId="3F0A1CD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148.00</w:t>
            </w:r>
          </w:p>
        </w:tc>
      </w:tr>
      <w:tr w14:paraId="7167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357" w:type="pct"/>
            <w:shd w:val="clear" w:color="auto" w:fill="auto"/>
            <w:vAlign w:val="center"/>
          </w:tcPr>
          <w:p w14:paraId="1AE509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1026" w:type="pct"/>
            <w:shd w:val="clear" w:color="auto" w:fill="auto"/>
            <w:vAlign w:val="center"/>
          </w:tcPr>
          <w:p w14:paraId="033B4D90">
            <w:pPr>
              <w:widowControl/>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640" w:type="pct"/>
            <w:shd w:val="clear" w:color="auto" w:fill="auto"/>
            <w:noWrap/>
            <w:vAlign w:val="center"/>
          </w:tcPr>
          <w:p w14:paraId="6A221900">
            <w:pPr>
              <w:widowControl/>
              <w:jc w:val="center"/>
              <w:textAlignment w:val="center"/>
              <w:rPr>
                <w:rFonts w:ascii="宋体" w:hAnsi="宋体" w:cs="Arial"/>
                <w:kern w:val="0"/>
                <w:sz w:val="18"/>
                <w:szCs w:val="18"/>
              </w:rPr>
            </w:pPr>
            <w:r>
              <w:rPr>
                <w:rFonts w:hint="eastAsia" w:ascii="宋体" w:hAnsi="宋体" w:cs="宋体"/>
                <w:color w:val="000000"/>
                <w:kern w:val="0"/>
                <w:sz w:val="18"/>
                <w:szCs w:val="18"/>
                <w:lang w:bidi="ar"/>
              </w:rPr>
              <w:t>1,523.23</w:t>
            </w:r>
          </w:p>
        </w:tc>
        <w:tc>
          <w:tcPr>
            <w:tcW w:w="1016" w:type="dxa"/>
            <w:shd w:val="clear" w:color="auto" w:fill="auto"/>
            <w:vAlign w:val="center"/>
          </w:tcPr>
          <w:p w14:paraId="3819FFF8">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200.90</w:t>
            </w:r>
          </w:p>
        </w:tc>
        <w:tc>
          <w:tcPr>
            <w:tcW w:w="1117" w:type="dxa"/>
            <w:shd w:val="clear" w:color="auto" w:fill="auto"/>
            <w:vAlign w:val="center"/>
          </w:tcPr>
          <w:p w14:paraId="4DF449FA">
            <w:pPr>
              <w:keepNext w:val="0"/>
              <w:keepLines w:val="0"/>
              <w:widowControl/>
              <w:suppressLineNumbers w:val="0"/>
              <w:jc w:val="center"/>
              <w:textAlignment w:val="center"/>
              <w:rPr>
                <w:rFonts w:hint="eastAsia"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602.70</w:t>
            </w:r>
          </w:p>
        </w:tc>
        <w:tc>
          <w:tcPr>
            <w:tcW w:w="1017" w:type="dxa"/>
            <w:shd w:val="clear" w:color="auto" w:fill="auto"/>
            <w:vAlign w:val="center"/>
          </w:tcPr>
          <w:p w14:paraId="183F2DE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344.40</w:t>
            </w:r>
          </w:p>
        </w:tc>
        <w:tc>
          <w:tcPr>
            <w:tcW w:w="1017" w:type="dxa"/>
            <w:shd w:val="clear" w:color="auto" w:fill="auto"/>
            <w:vAlign w:val="center"/>
          </w:tcPr>
          <w:p w14:paraId="38C8A9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287.00</w:t>
            </w:r>
          </w:p>
        </w:tc>
        <w:tc>
          <w:tcPr>
            <w:tcW w:w="1017" w:type="dxa"/>
            <w:shd w:val="clear" w:color="auto" w:fill="auto"/>
            <w:vAlign w:val="center"/>
          </w:tcPr>
          <w:p w14:paraId="6A279CD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88.23</w:t>
            </w:r>
          </w:p>
        </w:tc>
      </w:tr>
      <w:tr w14:paraId="2FF4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384" w:type="pct"/>
            <w:gridSpan w:val="2"/>
            <w:shd w:val="clear" w:color="auto" w:fill="auto"/>
            <w:vAlign w:val="center"/>
          </w:tcPr>
          <w:p w14:paraId="10AC8EB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640" w:type="pct"/>
            <w:shd w:val="clear" w:color="auto" w:fill="auto"/>
            <w:vAlign w:val="center"/>
          </w:tcPr>
          <w:p w14:paraId="46D26C84">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34,543.02</w:t>
            </w:r>
          </w:p>
        </w:tc>
        <w:tc>
          <w:tcPr>
            <w:tcW w:w="1016" w:type="dxa"/>
            <w:shd w:val="clear" w:color="auto" w:fill="auto"/>
            <w:vAlign w:val="center"/>
          </w:tcPr>
          <w:p w14:paraId="3E90FA64">
            <w:pPr>
              <w:keepNext w:val="0"/>
              <w:keepLines w:val="0"/>
              <w:widowControl/>
              <w:suppressLineNumbers w:val="0"/>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4,555.93</w:t>
            </w:r>
          </w:p>
        </w:tc>
        <w:tc>
          <w:tcPr>
            <w:tcW w:w="1117" w:type="dxa"/>
            <w:shd w:val="clear" w:color="auto" w:fill="auto"/>
            <w:vAlign w:val="center"/>
          </w:tcPr>
          <w:p w14:paraId="1FEA204E">
            <w:pPr>
              <w:keepNext w:val="0"/>
              <w:keepLines w:val="0"/>
              <w:widowControl/>
              <w:suppressLineNumbers w:val="0"/>
              <w:jc w:val="center"/>
              <w:textAlignment w:val="center"/>
              <w:rPr>
                <w:rFonts w:hint="eastAsia" w:ascii="宋体" w:hAnsi="宋体" w:eastAsia="宋体" w:cs="宋体"/>
                <w:b/>
                <w:bCs/>
                <w:color w:val="000000"/>
                <w:kern w:val="0"/>
                <w:sz w:val="18"/>
                <w:szCs w:val="18"/>
              </w:rPr>
            </w:pPr>
            <w:r>
              <w:rPr>
                <w:rFonts w:hint="eastAsia" w:ascii="宋体" w:hAnsi="宋体" w:cs="宋体"/>
                <w:b/>
                <w:bCs/>
                <w:i w:val="0"/>
                <w:iCs w:val="0"/>
                <w:color w:val="000000"/>
                <w:kern w:val="0"/>
                <w:sz w:val="18"/>
                <w:szCs w:val="18"/>
                <w:u w:val="none"/>
                <w:lang w:val="en-US" w:eastAsia="zh-CN" w:bidi="ar"/>
              </w:rPr>
              <w:t>10</w:t>
            </w:r>
            <w:r>
              <w:rPr>
                <w:rFonts w:hint="eastAsia" w:ascii="宋体" w:hAnsi="宋体" w:eastAsia="宋体" w:cs="宋体"/>
                <w:b/>
                <w:bCs/>
                <w:i w:val="0"/>
                <w:iCs w:val="0"/>
                <w:color w:val="000000"/>
                <w:kern w:val="0"/>
                <w:sz w:val="18"/>
                <w:szCs w:val="18"/>
                <w:u w:val="none"/>
                <w:lang w:val="en-US" w:eastAsia="zh-CN" w:bidi="ar"/>
              </w:rPr>
              <w:t>,717.77</w:t>
            </w:r>
          </w:p>
        </w:tc>
        <w:tc>
          <w:tcPr>
            <w:tcW w:w="1017" w:type="dxa"/>
            <w:shd w:val="clear" w:color="auto" w:fill="auto"/>
            <w:vAlign w:val="center"/>
          </w:tcPr>
          <w:p w14:paraId="5A484F8D">
            <w:pPr>
              <w:keepNext w:val="0"/>
              <w:keepLines w:val="0"/>
              <w:widowControl/>
              <w:suppressLineNumbers w:val="0"/>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i w:val="0"/>
                <w:iCs w:val="0"/>
                <w:color w:val="000000"/>
                <w:kern w:val="0"/>
                <w:sz w:val="18"/>
                <w:szCs w:val="18"/>
                <w:u w:val="none"/>
                <w:lang w:val="en-US" w:eastAsia="zh-CN" w:bidi="ar"/>
              </w:rPr>
              <w:t>10,760.15</w:t>
            </w:r>
          </w:p>
        </w:tc>
        <w:tc>
          <w:tcPr>
            <w:tcW w:w="1017" w:type="dxa"/>
            <w:shd w:val="clear" w:color="auto" w:fill="auto"/>
            <w:vAlign w:val="center"/>
          </w:tcPr>
          <w:p w14:paraId="7E096E26">
            <w:pPr>
              <w:keepNext w:val="0"/>
              <w:keepLines w:val="0"/>
              <w:widowControl/>
              <w:suppressLineNumbers w:val="0"/>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i w:val="0"/>
                <w:iCs w:val="0"/>
                <w:color w:val="000000"/>
                <w:kern w:val="0"/>
                <w:sz w:val="18"/>
                <w:szCs w:val="18"/>
                <w:u w:val="none"/>
                <w:lang w:val="en-US" w:eastAsia="zh-CN" w:bidi="ar"/>
              </w:rPr>
              <w:t>6,508.46</w:t>
            </w:r>
          </w:p>
        </w:tc>
        <w:tc>
          <w:tcPr>
            <w:tcW w:w="1017" w:type="dxa"/>
            <w:shd w:val="clear" w:color="auto" w:fill="auto"/>
            <w:vAlign w:val="center"/>
          </w:tcPr>
          <w:p w14:paraId="2E84DE83">
            <w:pPr>
              <w:keepNext w:val="0"/>
              <w:keepLines w:val="0"/>
              <w:widowControl/>
              <w:suppressLineNumbers w:val="0"/>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i w:val="0"/>
                <w:iCs w:val="0"/>
                <w:color w:val="000000"/>
                <w:kern w:val="0"/>
                <w:sz w:val="18"/>
                <w:szCs w:val="18"/>
                <w:u w:val="none"/>
                <w:lang w:val="en-US" w:eastAsia="zh-CN" w:bidi="ar"/>
              </w:rPr>
              <w:t>2,000.71</w:t>
            </w:r>
          </w:p>
        </w:tc>
      </w:tr>
    </w:tbl>
    <w:p w14:paraId="29235355">
      <w:pPr>
        <w:pStyle w:val="20"/>
        <w:spacing w:before="0" w:beforeAutospacing="0" w:after="156"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注：项目建设周期为48个月。</w:t>
      </w:r>
    </w:p>
    <w:p w14:paraId="48CC36DD">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二、项目投资估算及资金筹措方案</w:t>
      </w:r>
      <w:bookmarkEnd w:id="94"/>
    </w:p>
    <w:p w14:paraId="6309B8EE">
      <w:pPr>
        <w:widowControl/>
        <w:spacing w:line="560" w:lineRule="exact"/>
        <w:ind w:firstLine="560" w:firstLineChars="200"/>
        <w:jc w:val="left"/>
        <w:outlineLvl w:val="1"/>
        <w:rPr>
          <w:rFonts w:ascii="楷体" w:hAnsi="楷体" w:eastAsia="楷体" w:cs="楷体"/>
          <w:b/>
          <w:bCs/>
          <w:sz w:val="28"/>
          <w:szCs w:val="28"/>
        </w:rPr>
      </w:pPr>
      <w:bookmarkStart w:id="95" w:name="_Toc19251"/>
      <w:r>
        <w:rPr>
          <w:rFonts w:hint="eastAsia" w:ascii="楷体" w:hAnsi="楷体" w:eastAsia="楷体" w:cs="楷体"/>
          <w:b/>
          <w:bCs/>
          <w:sz w:val="28"/>
          <w:szCs w:val="28"/>
        </w:rPr>
        <w:t>（一）投资估算</w:t>
      </w:r>
      <w:bookmarkEnd w:id="95"/>
    </w:p>
    <w:p w14:paraId="2189BF4A">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1、估算编制依据</w:t>
      </w:r>
    </w:p>
    <w:p w14:paraId="2839365A">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1)关于南昌县行政审批局《关于金湖管理处雄溪村二期一批安置房（城市棚户区改造）项目可行性研究报告的批复》（南行审投资投字【2022】406号)</w:t>
      </w:r>
    </w:p>
    <w:p w14:paraId="07EBA5DE">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2)财政部《关于试点发展项目收益与融资自求平衡的地方政府专项债券品种的通知》（财预〔2017〕89号文）；</w:t>
      </w:r>
    </w:p>
    <w:p w14:paraId="3712F7CB">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3)财政部《关于做好2018年地方政府债券发行工作的意见》（财库〔2018〕61号）；</w:t>
      </w:r>
    </w:p>
    <w:p w14:paraId="4B1F6C43">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4)《国家鼓励发展的资源节约综合利用和环境保护技术》（国家发展改革委令[2005]第65号）；</w:t>
      </w:r>
    </w:p>
    <w:p w14:paraId="5BF08B6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5)《中华人民共和国电力法（2015年修正）》（国家主席令[2015]第24号）；</w:t>
      </w:r>
    </w:p>
    <w:p w14:paraId="4650E9F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6)《水利建设项目经济评价规范》（SL72-2013）；</w:t>
      </w:r>
    </w:p>
    <w:p w14:paraId="79477911">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7)《水电建设项目经济评价规范》（DL/T5441-2010）；</w:t>
      </w:r>
    </w:p>
    <w:p w14:paraId="1E0E72E3">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8) 《唐村一期安置房可行性研究报告》；</w:t>
      </w:r>
    </w:p>
    <w:p w14:paraId="2B3F66F2">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9)建设工程规划设计要求（蓝协（2018）第001号）；</w:t>
      </w:r>
    </w:p>
    <w:p w14:paraId="6CDB015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2、费率及参数</w:t>
      </w:r>
    </w:p>
    <w:p w14:paraId="77E41ADE">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本项目从客观、谨慎角度出发、发行利率取3.9%进行测算，本次债券发行按照每一年付息，到期一次性还本的方式。另外，按0.1%费率计算债券发行费用，符合专项债发行现状。</w:t>
      </w:r>
    </w:p>
    <w:p w14:paraId="04BA361B">
      <w:pPr>
        <w:widowControl/>
        <w:spacing w:line="560" w:lineRule="exact"/>
        <w:ind w:firstLine="560" w:firstLineChars="200"/>
        <w:jc w:val="left"/>
        <w:outlineLvl w:val="1"/>
        <w:rPr>
          <w:rFonts w:ascii="楷体" w:hAnsi="楷体" w:eastAsia="楷体" w:cs="楷体"/>
          <w:b/>
          <w:bCs/>
          <w:sz w:val="28"/>
          <w:szCs w:val="28"/>
        </w:rPr>
      </w:pPr>
      <w:bookmarkStart w:id="96" w:name="_Toc9723"/>
      <w:r>
        <w:rPr>
          <w:rFonts w:hint="eastAsia" w:ascii="楷体" w:hAnsi="楷体" w:eastAsia="楷体" w:cs="楷体"/>
          <w:b/>
          <w:bCs/>
          <w:sz w:val="28"/>
          <w:szCs w:val="28"/>
        </w:rPr>
        <w:t>（二）资金筹措方案</w:t>
      </w:r>
      <w:bookmarkEnd w:id="96"/>
    </w:p>
    <w:p w14:paraId="3F8B8CC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1、资金筹措原则</w:t>
      </w:r>
    </w:p>
    <w:p w14:paraId="1BCBC25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本次资金筹措遵循以下原则：</w:t>
      </w:r>
    </w:p>
    <w:p w14:paraId="1778D10C">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（1）项目投入一定资本金，保证项目顺利开工及后续融资的可能；</w:t>
      </w:r>
    </w:p>
    <w:p w14:paraId="6C34A42A">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（2）发行地方政府专项债券、其他融资。</w:t>
      </w:r>
    </w:p>
    <w:p w14:paraId="4B16413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2、资金筹措方案</w:t>
      </w:r>
    </w:p>
    <w:p w14:paraId="44F78A83">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考虑资金成本，结合本次发行项目实际情况，为降低资金成本，减轻财务负担，提高资金流动性，保障项目现金流最大化，本项目投资人根据国家相关规定，初步确定项目资金来源如下：</w:t>
      </w:r>
    </w:p>
    <w:tbl>
      <w:tblPr>
        <w:tblStyle w:val="24"/>
        <w:tblW w:w="9956" w:type="dxa"/>
        <w:tblInd w:w="-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286"/>
        <w:gridCol w:w="1098"/>
        <w:gridCol w:w="1001"/>
        <w:gridCol w:w="1248"/>
        <w:gridCol w:w="1001"/>
        <w:gridCol w:w="1001"/>
        <w:gridCol w:w="1001"/>
        <w:gridCol w:w="1008"/>
      </w:tblGrid>
      <w:tr w14:paraId="3871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1312" w:type="dxa"/>
            <w:vMerge w:val="restart"/>
            <w:shd w:val="clear" w:color="auto" w:fill="auto"/>
            <w:noWrap/>
            <w:vAlign w:val="center"/>
          </w:tcPr>
          <w:p w14:paraId="56451CB4">
            <w:pPr>
              <w:widowControl/>
              <w:jc w:val="center"/>
              <w:rPr>
                <w:rFonts w:ascii="宋体" w:hAnsi="宋体" w:cs="宋体"/>
                <w:b/>
                <w:bCs/>
                <w:color w:val="000000"/>
                <w:kern w:val="0"/>
                <w:sz w:val="18"/>
                <w:szCs w:val="18"/>
              </w:rPr>
            </w:pPr>
            <w:bookmarkStart w:id="97" w:name="_Toc27422"/>
            <w:r>
              <w:rPr>
                <w:rFonts w:hint="eastAsia" w:ascii="宋体" w:hAnsi="宋体" w:cs="宋体"/>
                <w:b/>
                <w:bCs/>
                <w:color w:val="000000"/>
                <w:kern w:val="0"/>
                <w:sz w:val="18"/>
                <w:szCs w:val="18"/>
              </w:rPr>
              <w:t>总投资估算</w:t>
            </w:r>
          </w:p>
        </w:tc>
        <w:tc>
          <w:tcPr>
            <w:tcW w:w="1286" w:type="dxa"/>
            <w:vMerge w:val="restart"/>
            <w:shd w:val="clear" w:color="auto" w:fill="auto"/>
            <w:vAlign w:val="center"/>
          </w:tcPr>
          <w:p w14:paraId="2D8AD90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7358" w:type="dxa"/>
            <w:gridSpan w:val="7"/>
            <w:vAlign w:val="center"/>
          </w:tcPr>
          <w:p w14:paraId="50E04EB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666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trPr>
        <w:tc>
          <w:tcPr>
            <w:tcW w:w="1312" w:type="dxa"/>
            <w:vMerge w:val="continue"/>
            <w:vAlign w:val="center"/>
          </w:tcPr>
          <w:p w14:paraId="38B85F8C">
            <w:pPr>
              <w:widowControl/>
              <w:jc w:val="center"/>
              <w:rPr>
                <w:rFonts w:ascii="宋体" w:hAnsi="宋体" w:cs="宋体"/>
                <w:b/>
                <w:bCs/>
                <w:color w:val="000000"/>
                <w:kern w:val="0"/>
                <w:sz w:val="18"/>
                <w:szCs w:val="18"/>
              </w:rPr>
            </w:pPr>
          </w:p>
        </w:tc>
        <w:tc>
          <w:tcPr>
            <w:tcW w:w="1286" w:type="dxa"/>
            <w:vMerge w:val="continue"/>
            <w:vAlign w:val="center"/>
          </w:tcPr>
          <w:p w14:paraId="5234292B">
            <w:pPr>
              <w:widowControl/>
              <w:jc w:val="center"/>
              <w:rPr>
                <w:rFonts w:ascii="宋体" w:hAnsi="宋体" w:cs="宋体"/>
                <w:b/>
                <w:bCs/>
                <w:color w:val="000000"/>
                <w:kern w:val="0"/>
                <w:sz w:val="18"/>
                <w:szCs w:val="18"/>
              </w:rPr>
            </w:pPr>
          </w:p>
        </w:tc>
        <w:tc>
          <w:tcPr>
            <w:tcW w:w="1098" w:type="dxa"/>
            <w:shd w:val="clear" w:color="auto" w:fill="auto"/>
            <w:vAlign w:val="center"/>
          </w:tcPr>
          <w:p w14:paraId="0DAE1D8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1001" w:type="dxa"/>
            <w:vAlign w:val="center"/>
          </w:tcPr>
          <w:p w14:paraId="115D456D">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2023年</w:t>
            </w:r>
          </w:p>
        </w:tc>
        <w:tc>
          <w:tcPr>
            <w:tcW w:w="1248" w:type="dxa"/>
            <w:shd w:val="clear" w:color="auto" w:fill="auto"/>
            <w:noWrap/>
            <w:vAlign w:val="center"/>
          </w:tcPr>
          <w:p w14:paraId="2D9DE3DC">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2024年调整</w:t>
            </w:r>
          </w:p>
        </w:tc>
        <w:tc>
          <w:tcPr>
            <w:tcW w:w="1001" w:type="dxa"/>
            <w:shd w:val="clear" w:color="auto" w:fill="auto"/>
            <w:noWrap/>
            <w:vAlign w:val="center"/>
          </w:tcPr>
          <w:p w14:paraId="1F2E0B0C">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2024年</w:t>
            </w:r>
          </w:p>
        </w:tc>
        <w:tc>
          <w:tcPr>
            <w:tcW w:w="1001" w:type="dxa"/>
            <w:shd w:val="clear" w:color="auto" w:fill="auto"/>
            <w:noWrap/>
            <w:vAlign w:val="center"/>
          </w:tcPr>
          <w:p w14:paraId="3D1050FB">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2025年</w:t>
            </w:r>
          </w:p>
        </w:tc>
        <w:tc>
          <w:tcPr>
            <w:tcW w:w="1001" w:type="dxa"/>
            <w:shd w:val="clear" w:color="auto" w:fill="auto"/>
            <w:noWrap/>
            <w:vAlign w:val="center"/>
          </w:tcPr>
          <w:p w14:paraId="0F71C811">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2026年</w:t>
            </w:r>
          </w:p>
        </w:tc>
        <w:tc>
          <w:tcPr>
            <w:tcW w:w="1008" w:type="dxa"/>
            <w:shd w:val="clear" w:color="auto" w:fill="auto"/>
            <w:noWrap/>
            <w:vAlign w:val="center"/>
          </w:tcPr>
          <w:p w14:paraId="04F00725">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2027年</w:t>
            </w:r>
          </w:p>
        </w:tc>
      </w:tr>
      <w:tr w14:paraId="5784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 w:hRule="atLeast"/>
        </w:trPr>
        <w:tc>
          <w:tcPr>
            <w:tcW w:w="1312" w:type="dxa"/>
            <w:shd w:val="clear" w:color="auto" w:fill="auto"/>
            <w:noWrap/>
            <w:vAlign w:val="center"/>
          </w:tcPr>
          <w:p w14:paraId="5D059BC6">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bidi="ar"/>
              </w:rPr>
              <w:t>37,056.61</w:t>
            </w:r>
          </w:p>
        </w:tc>
        <w:tc>
          <w:tcPr>
            <w:tcW w:w="1286" w:type="dxa"/>
            <w:shd w:val="clear" w:color="auto" w:fill="auto"/>
            <w:noWrap/>
            <w:vAlign w:val="center"/>
          </w:tcPr>
          <w:p w14:paraId="072BCA5C">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bidi="ar"/>
              </w:rPr>
              <w:t>10,519.61</w:t>
            </w:r>
          </w:p>
        </w:tc>
        <w:tc>
          <w:tcPr>
            <w:tcW w:w="1098" w:type="dxa"/>
            <w:shd w:val="clear" w:color="auto" w:fill="auto"/>
            <w:vAlign w:val="center"/>
          </w:tcPr>
          <w:p w14:paraId="076642F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c>
          <w:tcPr>
            <w:tcW w:w="1001" w:type="dxa"/>
            <w:vAlign w:val="center"/>
          </w:tcPr>
          <w:p w14:paraId="7E1414B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c>
          <w:tcPr>
            <w:tcW w:w="1248" w:type="dxa"/>
            <w:shd w:val="clear" w:color="auto" w:fill="auto"/>
            <w:vAlign w:val="center"/>
          </w:tcPr>
          <w:p w14:paraId="52E45CB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01" w:type="dxa"/>
            <w:shd w:val="clear" w:color="auto" w:fill="auto"/>
            <w:vAlign w:val="center"/>
          </w:tcPr>
          <w:p w14:paraId="492D4B7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4,500.00</w:t>
            </w:r>
          </w:p>
        </w:tc>
        <w:tc>
          <w:tcPr>
            <w:tcW w:w="1001" w:type="dxa"/>
            <w:shd w:val="clear" w:color="auto" w:fill="auto"/>
            <w:vAlign w:val="center"/>
          </w:tcPr>
          <w:p w14:paraId="42CAAD39">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8,950.00</w:t>
            </w:r>
          </w:p>
        </w:tc>
        <w:tc>
          <w:tcPr>
            <w:tcW w:w="1001" w:type="dxa"/>
            <w:shd w:val="clear" w:color="auto" w:fill="auto"/>
            <w:vAlign w:val="center"/>
          </w:tcPr>
          <w:p w14:paraId="57DF8612">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5,000.00</w:t>
            </w:r>
          </w:p>
        </w:tc>
        <w:tc>
          <w:tcPr>
            <w:tcW w:w="1008" w:type="dxa"/>
            <w:shd w:val="clear" w:color="auto" w:fill="auto"/>
            <w:vAlign w:val="center"/>
          </w:tcPr>
          <w:p w14:paraId="12E07078">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1,537.00</w:t>
            </w:r>
          </w:p>
        </w:tc>
      </w:tr>
    </w:tbl>
    <w:p w14:paraId="7F3E36FB">
      <w:pPr>
        <w:widowControl/>
        <w:spacing w:line="560" w:lineRule="exact"/>
        <w:ind w:firstLine="560" w:firstLineChars="200"/>
        <w:jc w:val="left"/>
        <w:outlineLvl w:val="0"/>
        <w:rPr>
          <w:rFonts w:hint="eastAsia" w:ascii="黑体" w:hAnsi="黑体" w:eastAsia="黑体" w:cs="黑体"/>
          <w:sz w:val="28"/>
          <w:szCs w:val="28"/>
        </w:rPr>
      </w:pPr>
    </w:p>
    <w:p w14:paraId="501689B9">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三、项目预期收益、成本及融资平衡情况</w:t>
      </w:r>
      <w:bookmarkEnd w:id="97"/>
    </w:p>
    <w:p w14:paraId="31EC9961">
      <w:pPr>
        <w:widowControl/>
        <w:spacing w:line="560" w:lineRule="exact"/>
        <w:ind w:firstLine="560" w:firstLineChars="200"/>
        <w:jc w:val="left"/>
        <w:outlineLvl w:val="1"/>
        <w:rPr>
          <w:rFonts w:ascii="楷体" w:hAnsi="楷体" w:eastAsia="楷体" w:cs="楷体"/>
          <w:b/>
          <w:bCs/>
          <w:sz w:val="28"/>
          <w:szCs w:val="28"/>
        </w:rPr>
      </w:pPr>
      <w:bookmarkStart w:id="98" w:name="_Toc12912"/>
      <w:r>
        <w:rPr>
          <w:rFonts w:hint="eastAsia" w:ascii="楷体" w:hAnsi="楷体" w:eastAsia="楷体" w:cs="楷体"/>
          <w:b/>
          <w:bCs/>
          <w:sz w:val="28"/>
          <w:szCs w:val="28"/>
        </w:rPr>
        <w:t>（一）收入测算</w:t>
      </w:r>
      <w:bookmarkEnd w:id="98"/>
    </w:p>
    <w:p w14:paraId="77847125">
      <w:pPr>
        <w:ind w:left="-140" w:leftChars="-67" w:right="-98" w:rightChars="-47" w:firstLine="439" w:firstLineChars="157"/>
        <w:rPr>
          <w:rFonts w:hint="eastAsia" w:asciiTheme="minorEastAsia" w:hAnsiTheme="minorEastAsia" w:eastAsiaTheme="minorEastAsia" w:cstheme="minorEastAsia"/>
          <w:bCs/>
          <w:sz w:val="28"/>
          <w:szCs w:val="28"/>
        </w:rPr>
      </w:pPr>
      <w:bookmarkStart w:id="99" w:name="_Toc4791"/>
      <w:r>
        <w:rPr>
          <w:rFonts w:hint="eastAsia" w:asciiTheme="minorEastAsia" w:hAnsiTheme="minorEastAsia" w:eastAsiaTheme="minorEastAsia" w:cstheme="minorEastAsia"/>
          <w:bCs/>
          <w:sz w:val="28"/>
          <w:szCs w:val="28"/>
        </w:rPr>
        <w:t>本次申请发行的2024年江西省金湖管理处雄溪村二期一批安置房（城市棚户区改造）工程，在债券存续期内合理预计业务活动现金流入合计76,684.11万元，其中：土地出让收入76,684.11万元。项目自运营期（2027年3月）开始至债券到期的项目收益年度分布情况如下：</w:t>
      </w:r>
    </w:p>
    <w:p w14:paraId="35BD03F1">
      <w:pPr>
        <w:spacing w:before="156" w:beforeLines="50" w:line="360" w:lineRule="auto"/>
        <w:ind w:firstLine="420" w:firstLineChars="20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表3-</w:t>
      </w:r>
      <w:r>
        <w:rPr>
          <w:b/>
          <w:color w:val="000000" w:themeColor="text1"/>
          <w:szCs w:val="21"/>
          <w14:textFill>
            <w14:solidFill>
              <w14:schemeClr w14:val="tx1"/>
            </w14:solidFill>
          </w14:textFill>
        </w:rPr>
        <w:t xml:space="preserve">1  </w:t>
      </w:r>
      <w:r>
        <w:rPr>
          <w:rFonts w:hint="eastAsia"/>
          <w:b/>
          <w:color w:val="000000" w:themeColor="text1"/>
          <w:szCs w:val="21"/>
          <w14:textFill>
            <w14:solidFill>
              <w14:schemeClr w14:val="tx1"/>
            </w14:solidFill>
          </w14:textFill>
        </w:rPr>
        <w:t>项目收益年度分布情况分析</w:t>
      </w:r>
    </w:p>
    <w:p w14:paraId="385B5C58">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3410"/>
        <w:gridCol w:w="3209"/>
      </w:tblGrid>
      <w:tr w14:paraId="7464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203" w:type="pct"/>
            <w:shd w:val="clear" w:color="auto" w:fill="auto"/>
            <w:noWrap/>
            <w:vAlign w:val="center"/>
          </w:tcPr>
          <w:p w14:paraId="6CD641B2">
            <w:pPr>
              <w:widowControl/>
              <w:jc w:val="center"/>
              <w:textAlignment w:val="center"/>
              <w:rPr>
                <w:rFonts w:ascii="宋体" w:hAnsi="宋体" w:cs="宋体"/>
                <w:b/>
                <w:bCs/>
                <w:kern w:val="0"/>
                <w:sz w:val="18"/>
                <w:szCs w:val="18"/>
              </w:rPr>
            </w:pPr>
            <w:r>
              <w:rPr>
                <w:rFonts w:hint="eastAsia" w:ascii="宋体" w:hAnsi="宋体" w:cs="宋体"/>
                <w:b/>
                <w:bCs/>
                <w:color w:val="000000"/>
                <w:kern w:val="0"/>
                <w:sz w:val="18"/>
                <w:szCs w:val="18"/>
                <w:lang w:bidi="ar"/>
              </w:rPr>
              <w:t>年份</w:t>
            </w:r>
          </w:p>
        </w:tc>
        <w:tc>
          <w:tcPr>
            <w:tcW w:w="1955" w:type="pct"/>
            <w:shd w:val="clear" w:color="auto" w:fill="auto"/>
            <w:noWrap/>
            <w:vAlign w:val="center"/>
          </w:tcPr>
          <w:p w14:paraId="7AB75C95">
            <w:pPr>
              <w:widowControl/>
              <w:jc w:val="center"/>
              <w:textAlignment w:val="center"/>
              <w:rPr>
                <w:rFonts w:ascii="宋体" w:hAnsi="宋体" w:cs="宋体"/>
                <w:b/>
                <w:bCs/>
                <w:kern w:val="0"/>
                <w:sz w:val="18"/>
                <w:szCs w:val="18"/>
              </w:rPr>
            </w:pPr>
            <w:r>
              <w:rPr>
                <w:rFonts w:hint="eastAsia" w:ascii="宋体" w:hAnsi="宋体" w:cs="宋体"/>
                <w:b/>
                <w:bCs/>
                <w:color w:val="000000"/>
                <w:kern w:val="0"/>
                <w:sz w:val="18"/>
                <w:szCs w:val="18"/>
                <w:lang w:bidi="ar"/>
              </w:rPr>
              <w:t>土地出让收入</w:t>
            </w:r>
          </w:p>
        </w:tc>
        <w:tc>
          <w:tcPr>
            <w:tcW w:w="1840" w:type="pct"/>
            <w:shd w:val="clear" w:color="auto" w:fill="auto"/>
            <w:noWrap/>
            <w:vAlign w:val="center"/>
          </w:tcPr>
          <w:p w14:paraId="50F97B2D">
            <w:pPr>
              <w:widowControl/>
              <w:jc w:val="center"/>
              <w:textAlignment w:val="center"/>
              <w:rPr>
                <w:rFonts w:ascii="宋体" w:hAnsi="宋体" w:cs="宋体"/>
                <w:b/>
                <w:bCs/>
                <w:kern w:val="0"/>
                <w:sz w:val="18"/>
                <w:szCs w:val="18"/>
              </w:rPr>
            </w:pPr>
            <w:r>
              <w:rPr>
                <w:rFonts w:hint="eastAsia" w:ascii="宋体" w:hAnsi="宋体" w:cs="宋体"/>
                <w:b/>
                <w:bCs/>
                <w:color w:val="000000"/>
                <w:kern w:val="0"/>
                <w:sz w:val="18"/>
                <w:szCs w:val="18"/>
                <w:lang w:bidi="ar"/>
              </w:rPr>
              <w:t>合计</w:t>
            </w:r>
          </w:p>
        </w:tc>
      </w:tr>
      <w:tr w14:paraId="6117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1203" w:type="pct"/>
            <w:shd w:val="clear" w:color="auto" w:fill="auto"/>
            <w:noWrap/>
            <w:vAlign w:val="center"/>
          </w:tcPr>
          <w:p w14:paraId="225DAD22">
            <w:pPr>
              <w:widowControl/>
              <w:jc w:val="center"/>
              <w:textAlignment w:val="bottom"/>
              <w:rPr>
                <w:rFonts w:ascii="宋体" w:hAnsi="宋体" w:cs="宋体"/>
                <w:kern w:val="0"/>
                <w:sz w:val="18"/>
                <w:szCs w:val="18"/>
              </w:rPr>
            </w:pPr>
            <w:r>
              <w:rPr>
                <w:rFonts w:hint="eastAsia" w:ascii="宋体" w:hAnsi="宋体" w:cs="宋体"/>
                <w:color w:val="000000"/>
                <w:kern w:val="0"/>
                <w:sz w:val="18"/>
                <w:szCs w:val="18"/>
                <w:lang w:bidi="ar"/>
              </w:rPr>
              <w:t>2027年</w:t>
            </w:r>
          </w:p>
        </w:tc>
        <w:tc>
          <w:tcPr>
            <w:tcW w:w="1955" w:type="pct"/>
            <w:shd w:val="clear" w:color="auto" w:fill="auto"/>
            <w:noWrap/>
            <w:vAlign w:val="center"/>
          </w:tcPr>
          <w:p w14:paraId="5B2B6876">
            <w:pPr>
              <w:widowControl/>
              <w:jc w:val="center"/>
              <w:textAlignment w:val="bottom"/>
              <w:rPr>
                <w:rFonts w:ascii="宋体" w:hAnsi="宋体" w:cs="宋体"/>
                <w:kern w:val="0"/>
                <w:sz w:val="18"/>
                <w:szCs w:val="18"/>
              </w:rPr>
            </w:pPr>
            <w:r>
              <w:rPr>
                <w:rFonts w:hint="eastAsia" w:ascii="宋体" w:hAnsi="宋体" w:cs="宋体"/>
                <w:color w:val="000000"/>
                <w:kern w:val="0"/>
                <w:sz w:val="18"/>
                <w:szCs w:val="18"/>
                <w:lang w:bidi="ar"/>
              </w:rPr>
              <w:t>45,809.78</w:t>
            </w:r>
          </w:p>
        </w:tc>
        <w:tc>
          <w:tcPr>
            <w:tcW w:w="1840" w:type="pct"/>
            <w:shd w:val="clear" w:color="auto" w:fill="auto"/>
            <w:noWrap/>
            <w:vAlign w:val="center"/>
          </w:tcPr>
          <w:p w14:paraId="684D2571">
            <w:pPr>
              <w:widowControl/>
              <w:jc w:val="center"/>
              <w:textAlignment w:val="bottom"/>
              <w:rPr>
                <w:rFonts w:ascii="宋体" w:hAnsi="宋体" w:cs="宋体"/>
                <w:kern w:val="0"/>
                <w:sz w:val="18"/>
                <w:szCs w:val="18"/>
              </w:rPr>
            </w:pPr>
            <w:r>
              <w:rPr>
                <w:rFonts w:hint="eastAsia" w:ascii="宋体" w:hAnsi="宋体" w:cs="宋体"/>
                <w:color w:val="000000"/>
                <w:kern w:val="0"/>
                <w:sz w:val="18"/>
                <w:szCs w:val="18"/>
                <w:lang w:bidi="ar"/>
              </w:rPr>
              <w:t>45,809.78</w:t>
            </w:r>
          </w:p>
        </w:tc>
      </w:tr>
      <w:tr w14:paraId="1237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1203" w:type="pct"/>
            <w:shd w:val="clear" w:color="auto" w:fill="auto"/>
            <w:noWrap/>
            <w:vAlign w:val="center"/>
          </w:tcPr>
          <w:p w14:paraId="0E56F4BB">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2029年</w:t>
            </w:r>
          </w:p>
        </w:tc>
        <w:tc>
          <w:tcPr>
            <w:tcW w:w="1955" w:type="pct"/>
            <w:shd w:val="clear" w:color="auto" w:fill="auto"/>
            <w:noWrap/>
            <w:vAlign w:val="center"/>
          </w:tcPr>
          <w:p w14:paraId="4A0D0063">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30,874.33</w:t>
            </w:r>
          </w:p>
        </w:tc>
        <w:tc>
          <w:tcPr>
            <w:tcW w:w="1840" w:type="pct"/>
            <w:shd w:val="clear" w:color="auto" w:fill="auto"/>
            <w:noWrap/>
            <w:vAlign w:val="center"/>
          </w:tcPr>
          <w:p w14:paraId="33231593">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30,874.33</w:t>
            </w:r>
          </w:p>
        </w:tc>
      </w:tr>
      <w:tr w14:paraId="5A1C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203" w:type="pct"/>
            <w:shd w:val="clear" w:color="auto" w:fill="auto"/>
            <w:noWrap/>
            <w:vAlign w:val="center"/>
          </w:tcPr>
          <w:p w14:paraId="2766AED9">
            <w:pPr>
              <w:widowControl/>
              <w:jc w:val="center"/>
              <w:textAlignment w:val="bottom"/>
              <w:rPr>
                <w:rFonts w:ascii="宋体" w:hAnsi="宋体" w:cs="宋体"/>
                <w:kern w:val="0"/>
                <w:sz w:val="18"/>
                <w:szCs w:val="18"/>
              </w:rPr>
            </w:pPr>
            <w:r>
              <w:rPr>
                <w:rFonts w:hint="eastAsia" w:ascii="宋体" w:hAnsi="宋体" w:cs="宋体"/>
                <w:b/>
                <w:bCs/>
                <w:color w:val="000000"/>
                <w:kern w:val="0"/>
                <w:sz w:val="18"/>
                <w:szCs w:val="18"/>
                <w:lang w:bidi="ar"/>
              </w:rPr>
              <w:t>合计</w:t>
            </w:r>
          </w:p>
        </w:tc>
        <w:tc>
          <w:tcPr>
            <w:tcW w:w="1955" w:type="pct"/>
            <w:shd w:val="clear" w:color="auto" w:fill="auto"/>
            <w:noWrap/>
            <w:vAlign w:val="center"/>
          </w:tcPr>
          <w:p w14:paraId="75038E77">
            <w:pPr>
              <w:widowControl/>
              <w:jc w:val="center"/>
              <w:textAlignment w:val="center"/>
              <w:rPr>
                <w:rFonts w:ascii="宋体" w:hAnsi="宋体" w:cs="宋体"/>
                <w:kern w:val="0"/>
                <w:sz w:val="18"/>
                <w:szCs w:val="18"/>
              </w:rPr>
            </w:pPr>
            <w:r>
              <w:rPr>
                <w:rFonts w:hint="eastAsia" w:ascii="宋体" w:hAnsi="宋体" w:cs="宋体"/>
                <w:b/>
                <w:bCs/>
                <w:color w:val="000000"/>
                <w:kern w:val="0"/>
                <w:sz w:val="18"/>
                <w:szCs w:val="18"/>
                <w:lang w:bidi="ar"/>
              </w:rPr>
              <w:t>76,684.11</w:t>
            </w:r>
          </w:p>
        </w:tc>
        <w:tc>
          <w:tcPr>
            <w:tcW w:w="1840" w:type="pct"/>
            <w:shd w:val="clear" w:color="auto" w:fill="auto"/>
            <w:noWrap/>
            <w:vAlign w:val="center"/>
          </w:tcPr>
          <w:p w14:paraId="74ECAF43">
            <w:pPr>
              <w:widowControl/>
              <w:jc w:val="center"/>
              <w:textAlignment w:val="center"/>
              <w:rPr>
                <w:rFonts w:ascii="宋体" w:hAnsi="宋体" w:cs="宋体"/>
                <w:kern w:val="0"/>
                <w:sz w:val="18"/>
                <w:szCs w:val="18"/>
              </w:rPr>
            </w:pPr>
            <w:r>
              <w:rPr>
                <w:rFonts w:hint="eastAsia" w:ascii="宋体" w:hAnsi="宋体" w:cs="宋体"/>
                <w:b/>
                <w:bCs/>
                <w:color w:val="000000"/>
                <w:kern w:val="0"/>
                <w:sz w:val="18"/>
                <w:szCs w:val="18"/>
                <w:lang w:bidi="ar"/>
              </w:rPr>
              <w:t>76,684.11</w:t>
            </w:r>
          </w:p>
        </w:tc>
      </w:tr>
    </w:tbl>
    <w:p w14:paraId="5BB25E5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本项目经营收入的估算依据如下：</w:t>
      </w:r>
    </w:p>
    <w:p w14:paraId="1BD7882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（1）土地出让收入</w:t>
      </w:r>
    </w:p>
    <w:p w14:paraId="759198F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地块价格参照南昌县2021年成交南昌县范围内东岳大道以南、银城路以东、老抚河以西地块成交价为380万元/亩，结合时间因素，配套因素和地块的区位因素，并考虑地理位置及土地性质、使用年限等确定权重值。计算出让区域内住宅、商用土地2027年综合地价。根据项目建设及出让计划,拟2027年进行土地出让。得出本项目2027年土地出让价格为741.96万元。</w:t>
      </w:r>
    </w:p>
    <w:p w14:paraId="1D9CB3E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土地出让面积，金湖管理处雄溪村二期一批安置房（城市棚户区改造）工程项目根据建设及出让计划，可出让士地约165.07亩(其中小蓝金湖管理处雄溪村地块1约98.61亩，小蓝金湖管理处雄溪村地块2约66.46亩)。现预测项目出让区土地价格如下:</w:t>
      </w:r>
    </w:p>
    <w:p w14:paraId="3619ED48">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单位：万元/亩</w:t>
      </w:r>
    </w:p>
    <w:tbl>
      <w:tblPr>
        <w:tblStyle w:val="24"/>
        <w:tblW w:w="5000" w:type="pct"/>
        <w:tblInd w:w="0" w:type="dxa"/>
        <w:tblLayout w:type="autofit"/>
        <w:tblCellMar>
          <w:top w:w="0" w:type="dxa"/>
          <w:left w:w="108" w:type="dxa"/>
          <w:bottom w:w="0" w:type="dxa"/>
          <w:right w:w="108" w:type="dxa"/>
        </w:tblCellMar>
      </w:tblPr>
      <w:tblGrid>
        <w:gridCol w:w="651"/>
        <w:gridCol w:w="4410"/>
        <w:gridCol w:w="802"/>
        <w:gridCol w:w="802"/>
        <w:gridCol w:w="802"/>
        <w:gridCol w:w="1253"/>
      </w:tblGrid>
      <w:tr w14:paraId="6BA21081">
        <w:trPr>
          <w:trHeight w:val="283" w:hRule="atLeast"/>
        </w:trPr>
        <w:tc>
          <w:tcPr>
            <w:tcW w:w="382" w:type="pct"/>
            <w:tcBorders>
              <w:top w:val="single" w:color="auto" w:sz="4" w:space="0"/>
              <w:left w:val="single" w:color="auto" w:sz="4" w:space="0"/>
              <w:bottom w:val="single" w:color="auto" w:sz="4" w:space="0"/>
              <w:right w:val="single" w:color="auto" w:sz="4" w:space="0"/>
            </w:tcBorders>
            <w:shd w:val="clear" w:color="auto" w:fill="auto"/>
            <w:vAlign w:val="center"/>
          </w:tcPr>
          <w:p w14:paraId="4AA9E9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2536" w:type="pct"/>
            <w:tcBorders>
              <w:top w:val="single" w:color="auto" w:sz="4" w:space="0"/>
              <w:left w:val="nil"/>
              <w:bottom w:val="single" w:color="auto" w:sz="4" w:space="0"/>
              <w:right w:val="single" w:color="auto" w:sz="4" w:space="0"/>
            </w:tcBorders>
            <w:shd w:val="clear" w:color="auto" w:fill="auto"/>
            <w:noWrap/>
            <w:vAlign w:val="center"/>
          </w:tcPr>
          <w:p w14:paraId="1FDBD64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w:t>
            </w:r>
          </w:p>
        </w:tc>
        <w:tc>
          <w:tcPr>
            <w:tcW w:w="461" w:type="pct"/>
            <w:tcBorders>
              <w:top w:val="single" w:color="auto" w:sz="4" w:space="0"/>
              <w:left w:val="nil"/>
              <w:bottom w:val="single" w:color="auto" w:sz="4" w:space="0"/>
              <w:right w:val="single" w:color="auto" w:sz="4" w:space="0"/>
            </w:tcBorders>
            <w:shd w:val="clear" w:color="auto" w:fill="auto"/>
            <w:noWrap/>
            <w:vAlign w:val="center"/>
          </w:tcPr>
          <w:p w14:paraId="15C67B4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462" w:type="pct"/>
            <w:tcBorders>
              <w:top w:val="single" w:color="auto" w:sz="4" w:space="0"/>
              <w:left w:val="nil"/>
              <w:bottom w:val="single" w:color="auto" w:sz="4" w:space="0"/>
              <w:right w:val="single" w:color="auto" w:sz="4" w:space="0"/>
            </w:tcBorders>
            <w:shd w:val="clear" w:color="auto" w:fill="auto"/>
            <w:noWrap/>
            <w:vAlign w:val="center"/>
          </w:tcPr>
          <w:p w14:paraId="2410F43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462" w:type="pct"/>
            <w:tcBorders>
              <w:top w:val="single" w:color="auto" w:sz="4" w:space="0"/>
              <w:left w:val="nil"/>
              <w:bottom w:val="single" w:color="auto" w:sz="4" w:space="0"/>
              <w:right w:val="single" w:color="auto" w:sz="4" w:space="0"/>
            </w:tcBorders>
            <w:shd w:val="clear" w:color="auto" w:fill="auto"/>
            <w:noWrap/>
            <w:vAlign w:val="center"/>
          </w:tcPr>
          <w:p w14:paraId="4A24711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694" w:type="pct"/>
            <w:tcBorders>
              <w:top w:val="single" w:color="auto" w:sz="4" w:space="0"/>
              <w:left w:val="nil"/>
              <w:bottom w:val="single" w:color="auto" w:sz="4" w:space="0"/>
              <w:right w:val="single" w:color="auto" w:sz="4" w:space="0"/>
            </w:tcBorders>
            <w:shd w:val="clear" w:color="auto" w:fill="auto"/>
            <w:noWrap/>
            <w:vAlign w:val="center"/>
          </w:tcPr>
          <w:p w14:paraId="5BFBC81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增长率（%）</w:t>
            </w:r>
          </w:p>
        </w:tc>
      </w:tr>
      <w:tr w14:paraId="31139946">
        <w:trPr>
          <w:trHeight w:val="283" w:hRule="atLeast"/>
        </w:trPr>
        <w:tc>
          <w:tcPr>
            <w:tcW w:w="382" w:type="pct"/>
            <w:tcBorders>
              <w:top w:val="nil"/>
              <w:left w:val="single" w:color="auto" w:sz="4" w:space="0"/>
              <w:bottom w:val="single" w:color="auto" w:sz="4" w:space="0"/>
              <w:right w:val="single" w:color="auto" w:sz="4" w:space="0"/>
            </w:tcBorders>
            <w:shd w:val="clear" w:color="auto" w:fill="auto"/>
            <w:vAlign w:val="center"/>
          </w:tcPr>
          <w:p w14:paraId="0557AEF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2536" w:type="pct"/>
            <w:tcBorders>
              <w:top w:val="nil"/>
              <w:left w:val="nil"/>
              <w:bottom w:val="single" w:color="auto" w:sz="4" w:space="0"/>
              <w:right w:val="single" w:color="auto" w:sz="4" w:space="0"/>
            </w:tcBorders>
            <w:shd w:val="clear" w:color="auto" w:fill="auto"/>
            <w:vAlign w:val="center"/>
          </w:tcPr>
          <w:p w14:paraId="5F97DFCA">
            <w:pPr>
              <w:widowControl/>
              <w:jc w:val="center"/>
              <w:rPr>
                <w:rFonts w:ascii="宋体" w:hAnsi="宋体" w:cs="宋体"/>
                <w:color w:val="000000"/>
                <w:kern w:val="0"/>
                <w:sz w:val="18"/>
                <w:szCs w:val="18"/>
              </w:rPr>
            </w:pPr>
            <w:r>
              <w:rPr>
                <w:rFonts w:hint="eastAsia"/>
                <w:color w:val="000000" w:themeColor="text1"/>
                <w:szCs w:val="21"/>
                <w14:textFill>
                  <w14:solidFill>
                    <w14:schemeClr w14:val="tx1"/>
                  </w14:solidFill>
                </w14:textFill>
              </w:rPr>
              <w:t>金湖管理处雄溪村二期一批安置房（城市棚户区改造）工程</w:t>
            </w:r>
          </w:p>
        </w:tc>
        <w:tc>
          <w:tcPr>
            <w:tcW w:w="461" w:type="pct"/>
            <w:tcBorders>
              <w:top w:val="nil"/>
              <w:left w:val="nil"/>
              <w:bottom w:val="single" w:color="auto" w:sz="4" w:space="0"/>
              <w:right w:val="single" w:color="auto" w:sz="4" w:space="0"/>
            </w:tcBorders>
            <w:shd w:val="clear" w:color="auto" w:fill="auto"/>
            <w:noWrap/>
            <w:vAlign w:val="center"/>
          </w:tcPr>
          <w:p w14:paraId="48095824">
            <w:pPr>
              <w:widowControl/>
              <w:jc w:val="center"/>
              <w:rPr>
                <w:rFonts w:ascii="宋体" w:hAnsi="宋体" w:cs="宋体"/>
                <w:color w:val="000000"/>
                <w:kern w:val="0"/>
                <w:sz w:val="18"/>
                <w:szCs w:val="18"/>
              </w:rPr>
            </w:pPr>
            <w:r>
              <w:rPr>
                <w:rFonts w:hint="eastAsia" w:ascii="宋体" w:hAnsi="宋体" w:cs="宋体"/>
                <w:color w:val="000000"/>
                <w:kern w:val="0"/>
                <w:sz w:val="18"/>
                <w:szCs w:val="18"/>
              </w:rPr>
              <w:t>380.00</w:t>
            </w:r>
          </w:p>
        </w:tc>
        <w:tc>
          <w:tcPr>
            <w:tcW w:w="462" w:type="pct"/>
            <w:tcBorders>
              <w:top w:val="nil"/>
              <w:left w:val="nil"/>
              <w:bottom w:val="single" w:color="auto" w:sz="4" w:space="0"/>
              <w:right w:val="single" w:color="auto" w:sz="4" w:space="0"/>
            </w:tcBorders>
            <w:shd w:val="clear" w:color="auto" w:fill="auto"/>
            <w:noWrap/>
            <w:vAlign w:val="center"/>
          </w:tcPr>
          <w:p w14:paraId="3D62126B">
            <w:pPr>
              <w:widowControl/>
              <w:jc w:val="center"/>
              <w:rPr>
                <w:rFonts w:ascii="宋体" w:hAnsi="宋体" w:cs="宋体"/>
                <w:color w:val="000000"/>
                <w:kern w:val="0"/>
                <w:sz w:val="18"/>
                <w:szCs w:val="18"/>
              </w:rPr>
            </w:pPr>
            <w:r>
              <w:rPr>
                <w:rFonts w:hint="eastAsia" w:ascii="宋体" w:hAnsi="宋体" w:cs="宋体"/>
                <w:color w:val="000000"/>
                <w:kern w:val="0"/>
                <w:sz w:val="18"/>
                <w:szCs w:val="18"/>
              </w:rPr>
              <w:t>464.56</w:t>
            </w:r>
          </w:p>
        </w:tc>
        <w:tc>
          <w:tcPr>
            <w:tcW w:w="462" w:type="pct"/>
            <w:tcBorders>
              <w:top w:val="nil"/>
              <w:left w:val="nil"/>
              <w:bottom w:val="single" w:color="auto" w:sz="4" w:space="0"/>
              <w:right w:val="single" w:color="auto" w:sz="4" w:space="0"/>
            </w:tcBorders>
            <w:shd w:val="clear" w:color="auto" w:fill="auto"/>
            <w:noWrap/>
            <w:vAlign w:val="center"/>
          </w:tcPr>
          <w:p w14:paraId="49E40CC5">
            <w:pPr>
              <w:widowControl/>
              <w:jc w:val="center"/>
              <w:rPr>
                <w:rFonts w:ascii="宋体" w:hAnsi="宋体" w:cs="宋体"/>
                <w:color w:val="000000"/>
                <w:kern w:val="0"/>
                <w:sz w:val="18"/>
                <w:szCs w:val="18"/>
              </w:rPr>
            </w:pPr>
            <w:r>
              <w:rPr>
                <w:rFonts w:hint="eastAsia" w:ascii="宋体" w:hAnsi="宋体" w:cs="宋体"/>
                <w:color w:val="000000"/>
                <w:kern w:val="0"/>
                <w:sz w:val="18"/>
                <w:szCs w:val="18"/>
              </w:rPr>
              <w:t>464.56</w:t>
            </w:r>
          </w:p>
        </w:tc>
        <w:tc>
          <w:tcPr>
            <w:tcW w:w="694" w:type="pct"/>
            <w:tcBorders>
              <w:top w:val="nil"/>
              <w:left w:val="nil"/>
              <w:bottom w:val="single" w:color="auto" w:sz="4" w:space="0"/>
              <w:right w:val="single" w:color="auto" w:sz="4" w:space="0"/>
            </w:tcBorders>
            <w:shd w:val="clear" w:color="auto" w:fill="auto"/>
            <w:noWrap/>
            <w:vAlign w:val="center"/>
          </w:tcPr>
          <w:p w14:paraId="7FA5E76C">
            <w:pPr>
              <w:widowControl/>
              <w:jc w:val="center"/>
              <w:rPr>
                <w:rFonts w:ascii="宋体" w:hAnsi="宋体" w:cs="宋体"/>
                <w:color w:val="000000"/>
                <w:kern w:val="0"/>
                <w:sz w:val="18"/>
                <w:szCs w:val="18"/>
              </w:rPr>
            </w:pPr>
            <w:r>
              <w:rPr>
                <w:rFonts w:hint="eastAsia" w:ascii="宋体" w:hAnsi="宋体" w:cs="宋体"/>
                <w:color w:val="000000"/>
                <w:kern w:val="0"/>
                <w:sz w:val="18"/>
                <w:szCs w:val="18"/>
              </w:rPr>
              <w:t>4.10%</w:t>
            </w:r>
          </w:p>
        </w:tc>
      </w:tr>
    </w:tbl>
    <w:p w14:paraId="7BFAC040">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南昌县住房和城乡建设局综合考虑适度增长因素，保守预测了2026-2028年的收入、支出，在本项目的实施过程中，可以产生持续稳定的收益，各年现金流入及现金流出均保持了稳定的增长，且保持了各年现金结余的总体增长。</w:t>
      </w:r>
    </w:p>
    <w:p w14:paraId="417DED46">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（二）项目运营成本测算</w:t>
      </w:r>
      <w:bookmarkEnd w:id="99"/>
    </w:p>
    <w:p w14:paraId="79008A25">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1、运营成本</w:t>
      </w:r>
    </w:p>
    <w:p w14:paraId="35B765D1">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项目支出按照支出用途分类可分为：经营成本支出、其他支出及固定资产投资支出，本项目建成后的经营成本主要包括省级统筹资金各项费用支出，因充足性分析主要依据对现金流量进行分析，故对于不需付现的费用（如折旧摊销等）暂不在支出情况预测表中反映。</w:t>
      </w:r>
    </w:p>
    <w:p w14:paraId="239D49FA">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可研报告及《实施方案》中明确了各项成本的估算标准如下：</w:t>
      </w:r>
    </w:p>
    <w:p w14:paraId="761F448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（1）土地出让扣减项目:省级统筹资金：按土地出让收入的2%计算。</w:t>
      </w:r>
    </w:p>
    <w:p w14:paraId="7E53E024">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业务活动支出及投资建设支出预测情况如下表3-4所示：</w:t>
      </w:r>
    </w:p>
    <w:p w14:paraId="7D0B4EAE">
      <w:pPr>
        <w:pStyle w:val="20"/>
        <w:spacing w:before="0" w:beforeAutospacing="0" w:after="156" w:afterLines="50" w:afterAutospacing="0" w:line="360" w:lineRule="exact"/>
        <w:ind w:firstLine="420" w:firstLineChars="20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表3-3</w:t>
      </w:r>
      <w:r>
        <w:rPr>
          <w:b/>
          <w:color w:val="000000" w:themeColor="text1"/>
          <w:sz w:val="21"/>
          <w:szCs w:val="21"/>
          <w14:textFill>
            <w14:solidFill>
              <w14:schemeClr w14:val="tx1"/>
            </w14:solidFill>
          </w14:textFill>
        </w:rPr>
        <w:t xml:space="preserve">  2026</w:t>
      </w:r>
      <w:r>
        <w:rPr>
          <w:rFonts w:hint="eastAsia"/>
          <w:b/>
          <w:color w:val="000000" w:themeColor="text1"/>
          <w:sz w:val="21"/>
          <w:szCs w:val="21"/>
          <w14:textFill>
            <w14:solidFill>
              <w14:schemeClr w14:val="tx1"/>
            </w14:solidFill>
          </w14:textFill>
        </w:rPr>
        <w:t>-</w:t>
      </w:r>
      <w:r>
        <w:rPr>
          <w:b/>
          <w:color w:val="000000" w:themeColor="text1"/>
          <w:sz w:val="21"/>
          <w:szCs w:val="21"/>
          <w14:textFill>
            <w14:solidFill>
              <w14:schemeClr w14:val="tx1"/>
            </w14:solidFill>
          </w14:textFill>
        </w:rPr>
        <w:t>20</w:t>
      </w:r>
      <w:r>
        <w:rPr>
          <w:rFonts w:hint="eastAsia"/>
          <w:b/>
          <w:color w:val="000000" w:themeColor="text1"/>
          <w:sz w:val="21"/>
          <w:szCs w:val="21"/>
          <w14:textFill>
            <w14:solidFill>
              <w14:schemeClr w14:val="tx1"/>
            </w14:solidFill>
          </w14:textFill>
        </w:rPr>
        <w:t>51年支出情况预测表</w:t>
      </w:r>
    </w:p>
    <w:p w14:paraId="0EA1C2CF">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1493"/>
        <w:gridCol w:w="5298"/>
        <w:gridCol w:w="1929"/>
      </w:tblGrid>
      <w:tr w14:paraId="1204A288">
        <w:trPr>
          <w:trHeight w:val="283" w:hRule="atLeast"/>
        </w:trPr>
        <w:tc>
          <w:tcPr>
            <w:tcW w:w="856" w:type="pct"/>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4CD03128">
            <w:pPr>
              <w:widowControl/>
              <w:jc w:val="center"/>
              <w:rPr>
                <w:rFonts w:ascii="宋体" w:hAnsi="宋体" w:cs="宋体"/>
                <w:b/>
                <w:bCs/>
                <w:kern w:val="0"/>
                <w:sz w:val="18"/>
                <w:szCs w:val="18"/>
              </w:rPr>
            </w:pPr>
            <w:r>
              <w:rPr>
                <w:rFonts w:hint="eastAsia" w:ascii="宋体" w:hAnsi="宋体" w:cs="宋体"/>
                <w:b/>
                <w:bCs/>
                <w:kern w:val="0"/>
                <w:sz w:val="18"/>
                <w:szCs w:val="18"/>
              </w:rPr>
              <w:t>年份</w:t>
            </w:r>
          </w:p>
        </w:tc>
        <w:tc>
          <w:tcPr>
            <w:tcW w:w="3037" w:type="pct"/>
            <w:tcBorders>
              <w:top w:val="single" w:color="auto" w:sz="4" w:space="0"/>
              <w:left w:val="nil"/>
              <w:bottom w:val="single" w:color="auto" w:sz="4" w:space="0"/>
              <w:right w:val="single" w:color="auto" w:sz="4" w:space="0"/>
            </w:tcBorders>
            <w:shd w:val="clear" w:color="000000" w:fill="FFFFFF"/>
            <w:noWrap/>
            <w:vAlign w:val="center"/>
          </w:tcPr>
          <w:p w14:paraId="5A0C1881">
            <w:pPr>
              <w:widowControl/>
              <w:jc w:val="center"/>
              <w:rPr>
                <w:rFonts w:ascii="宋体" w:hAnsi="宋体" w:cs="宋体"/>
                <w:b/>
                <w:bCs/>
                <w:kern w:val="0"/>
                <w:sz w:val="18"/>
                <w:szCs w:val="18"/>
              </w:rPr>
            </w:pPr>
            <w:r>
              <w:rPr>
                <w:rFonts w:hint="eastAsia" w:ascii="宋体" w:hAnsi="宋体" w:cs="宋体"/>
                <w:b/>
                <w:bCs/>
                <w:kern w:val="0"/>
                <w:sz w:val="18"/>
                <w:szCs w:val="18"/>
              </w:rPr>
              <w:t>运营成本</w:t>
            </w:r>
          </w:p>
        </w:tc>
        <w:tc>
          <w:tcPr>
            <w:tcW w:w="1106" w:type="pct"/>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3743BEDE">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583E44B5">
        <w:trPr>
          <w:trHeight w:val="283" w:hRule="atLeast"/>
        </w:trPr>
        <w:tc>
          <w:tcPr>
            <w:tcW w:w="856" w:type="pct"/>
            <w:vMerge w:val="continue"/>
            <w:tcBorders>
              <w:top w:val="single" w:color="auto" w:sz="4" w:space="0"/>
              <w:left w:val="single" w:color="auto" w:sz="4" w:space="0"/>
              <w:bottom w:val="single" w:color="auto" w:sz="4" w:space="0"/>
              <w:right w:val="single" w:color="auto" w:sz="4" w:space="0"/>
            </w:tcBorders>
            <w:vAlign w:val="center"/>
          </w:tcPr>
          <w:p w14:paraId="6DD67EA6">
            <w:pPr>
              <w:widowControl/>
              <w:jc w:val="center"/>
              <w:rPr>
                <w:rFonts w:ascii="宋体" w:hAnsi="宋体" w:cs="宋体"/>
                <w:b/>
                <w:bCs/>
                <w:kern w:val="0"/>
                <w:sz w:val="18"/>
                <w:szCs w:val="18"/>
              </w:rPr>
            </w:pPr>
          </w:p>
        </w:tc>
        <w:tc>
          <w:tcPr>
            <w:tcW w:w="3037" w:type="pct"/>
            <w:tcBorders>
              <w:top w:val="nil"/>
              <w:left w:val="nil"/>
              <w:bottom w:val="single" w:color="auto" w:sz="4" w:space="0"/>
              <w:right w:val="single" w:color="auto" w:sz="4" w:space="0"/>
            </w:tcBorders>
            <w:shd w:val="clear" w:color="000000" w:fill="FFFFFF"/>
            <w:vAlign w:val="center"/>
          </w:tcPr>
          <w:p w14:paraId="6E9489EC">
            <w:pPr>
              <w:widowControl/>
              <w:jc w:val="center"/>
              <w:rPr>
                <w:rFonts w:ascii="宋体" w:hAnsi="宋体" w:cs="宋体"/>
                <w:b/>
                <w:bCs/>
                <w:kern w:val="0"/>
                <w:sz w:val="18"/>
                <w:szCs w:val="18"/>
              </w:rPr>
            </w:pPr>
            <w:r>
              <w:rPr>
                <w:rFonts w:hint="eastAsia" w:ascii="宋体" w:hAnsi="宋体" w:cs="宋体"/>
                <w:b/>
                <w:bCs/>
                <w:kern w:val="0"/>
                <w:sz w:val="18"/>
                <w:szCs w:val="18"/>
              </w:rPr>
              <w:t>土地出让扣减项目:省级统筹资金</w:t>
            </w:r>
          </w:p>
        </w:tc>
        <w:tc>
          <w:tcPr>
            <w:tcW w:w="1106" w:type="pct"/>
            <w:vMerge w:val="continue"/>
            <w:tcBorders>
              <w:top w:val="single" w:color="auto" w:sz="4" w:space="0"/>
              <w:left w:val="single" w:color="auto" w:sz="4" w:space="0"/>
              <w:bottom w:val="single" w:color="auto" w:sz="4" w:space="0"/>
              <w:right w:val="single" w:color="auto" w:sz="4" w:space="0"/>
            </w:tcBorders>
            <w:vAlign w:val="center"/>
          </w:tcPr>
          <w:p w14:paraId="7D3311DC">
            <w:pPr>
              <w:widowControl/>
              <w:jc w:val="center"/>
              <w:rPr>
                <w:rFonts w:ascii="宋体" w:hAnsi="宋体" w:cs="宋体"/>
                <w:b/>
                <w:bCs/>
                <w:kern w:val="0"/>
                <w:sz w:val="18"/>
                <w:szCs w:val="18"/>
              </w:rPr>
            </w:pPr>
          </w:p>
        </w:tc>
      </w:tr>
      <w:tr w14:paraId="161C0E46">
        <w:trPr>
          <w:trHeight w:val="283" w:hRule="atLeast"/>
        </w:trPr>
        <w:tc>
          <w:tcPr>
            <w:tcW w:w="856" w:type="pct"/>
            <w:tcBorders>
              <w:top w:val="nil"/>
              <w:left w:val="single" w:color="auto" w:sz="4" w:space="0"/>
              <w:bottom w:val="single" w:color="auto" w:sz="4" w:space="0"/>
              <w:right w:val="single" w:color="auto" w:sz="4" w:space="0"/>
            </w:tcBorders>
            <w:shd w:val="clear" w:color="000000" w:fill="FFFFFF"/>
            <w:noWrap/>
            <w:vAlign w:val="center"/>
          </w:tcPr>
          <w:p w14:paraId="2CC91FA9">
            <w:pPr>
              <w:widowControl/>
              <w:jc w:val="center"/>
              <w:textAlignment w:val="bottom"/>
              <w:rPr>
                <w:rFonts w:ascii="宋体" w:hAnsi="宋体" w:cs="宋体"/>
                <w:kern w:val="0"/>
                <w:sz w:val="18"/>
                <w:szCs w:val="18"/>
              </w:rPr>
            </w:pPr>
            <w:r>
              <w:rPr>
                <w:rFonts w:hint="eastAsia" w:ascii="宋体" w:hAnsi="宋体" w:cs="宋体"/>
                <w:color w:val="000000"/>
                <w:kern w:val="0"/>
                <w:sz w:val="18"/>
                <w:szCs w:val="18"/>
                <w:lang w:bidi="ar"/>
              </w:rPr>
              <w:t>2027年</w:t>
            </w:r>
          </w:p>
        </w:tc>
        <w:tc>
          <w:tcPr>
            <w:tcW w:w="3037" w:type="pct"/>
            <w:tcBorders>
              <w:top w:val="nil"/>
              <w:left w:val="nil"/>
              <w:bottom w:val="single" w:color="auto" w:sz="4" w:space="0"/>
              <w:right w:val="single" w:color="auto" w:sz="4" w:space="0"/>
            </w:tcBorders>
            <w:shd w:val="clear" w:color="000000" w:fill="FFFFFF"/>
            <w:noWrap/>
            <w:vAlign w:val="center"/>
          </w:tcPr>
          <w:p w14:paraId="7D2E116B">
            <w:pPr>
              <w:widowControl/>
              <w:jc w:val="center"/>
              <w:textAlignment w:val="center"/>
              <w:rPr>
                <w:rFonts w:ascii="宋体" w:hAnsi="宋体" w:cs="宋体"/>
                <w:kern w:val="0"/>
                <w:sz w:val="18"/>
                <w:szCs w:val="18"/>
              </w:rPr>
            </w:pPr>
            <w:r>
              <w:rPr>
                <w:rFonts w:hint="eastAsia" w:ascii="宋体" w:hAnsi="宋体" w:cs="宋体"/>
                <w:color w:val="000000"/>
                <w:kern w:val="0"/>
                <w:sz w:val="18"/>
                <w:szCs w:val="18"/>
                <w:lang w:bidi="ar"/>
              </w:rPr>
              <w:t>916.19</w:t>
            </w:r>
          </w:p>
        </w:tc>
        <w:tc>
          <w:tcPr>
            <w:tcW w:w="1106" w:type="pct"/>
            <w:tcBorders>
              <w:top w:val="nil"/>
              <w:left w:val="nil"/>
              <w:bottom w:val="single" w:color="auto" w:sz="4" w:space="0"/>
              <w:right w:val="single" w:color="auto" w:sz="4" w:space="0"/>
            </w:tcBorders>
            <w:shd w:val="clear" w:color="000000" w:fill="FFFFFF"/>
            <w:noWrap/>
            <w:vAlign w:val="center"/>
          </w:tcPr>
          <w:p w14:paraId="40B5FBC3">
            <w:pPr>
              <w:widowControl/>
              <w:jc w:val="center"/>
              <w:textAlignment w:val="center"/>
              <w:rPr>
                <w:rFonts w:ascii="宋体" w:hAnsi="宋体" w:cs="宋体"/>
                <w:kern w:val="0"/>
                <w:sz w:val="18"/>
                <w:szCs w:val="18"/>
              </w:rPr>
            </w:pPr>
            <w:r>
              <w:rPr>
                <w:rFonts w:hint="eastAsia" w:ascii="宋体" w:hAnsi="宋体" w:cs="宋体"/>
                <w:color w:val="000000"/>
                <w:kern w:val="0"/>
                <w:sz w:val="18"/>
                <w:szCs w:val="18"/>
                <w:lang w:bidi="ar"/>
              </w:rPr>
              <w:t>916.19</w:t>
            </w:r>
          </w:p>
        </w:tc>
      </w:tr>
      <w:tr w14:paraId="1FD973C8">
        <w:trPr>
          <w:trHeight w:val="283" w:hRule="atLeast"/>
        </w:trPr>
        <w:tc>
          <w:tcPr>
            <w:tcW w:w="856" w:type="pct"/>
            <w:tcBorders>
              <w:top w:val="nil"/>
              <w:left w:val="single" w:color="auto" w:sz="4" w:space="0"/>
              <w:bottom w:val="single" w:color="auto" w:sz="4" w:space="0"/>
              <w:right w:val="single" w:color="auto" w:sz="4" w:space="0"/>
            </w:tcBorders>
            <w:shd w:val="clear" w:color="000000" w:fill="FFFFFF"/>
            <w:noWrap/>
            <w:vAlign w:val="center"/>
          </w:tcPr>
          <w:p w14:paraId="23E50D81">
            <w:pPr>
              <w:widowControl/>
              <w:jc w:val="center"/>
              <w:textAlignment w:val="bottom"/>
              <w:rPr>
                <w:rFonts w:ascii="宋体" w:hAnsi="宋体" w:cs="宋体"/>
                <w:kern w:val="0"/>
                <w:sz w:val="18"/>
                <w:szCs w:val="18"/>
              </w:rPr>
            </w:pPr>
            <w:r>
              <w:rPr>
                <w:rFonts w:hint="eastAsia" w:ascii="宋体" w:hAnsi="宋体" w:cs="宋体"/>
                <w:color w:val="000000"/>
                <w:kern w:val="0"/>
                <w:sz w:val="18"/>
                <w:szCs w:val="18"/>
                <w:lang w:bidi="ar"/>
              </w:rPr>
              <w:t>2029年</w:t>
            </w:r>
          </w:p>
        </w:tc>
        <w:tc>
          <w:tcPr>
            <w:tcW w:w="3037" w:type="pct"/>
            <w:tcBorders>
              <w:top w:val="nil"/>
              <w:left w:val="nil"/>
              <w:bottom w:val="single" w:color="auto" w:sz="4" w:space="0"/>
              <w:right w:val="single" w:color="auto" w:sz="4" w:space="0"/>
            </w:tcBorders>
            <w:shd w:val="clear" w:color="000000" w:fill="FFFFFF"/>
            <w:noWrap/>
            <w:vAlign w:val="center"/>
          </w:tcPr>
          <w:p w14:paraId="150D8196">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617.49</w:t>
            </w:r>
          </w:p>
        </w:tc>
        <w:tc>
          <w:tcPr>
            <w:tcW w:w="1106" w:type="pct"/>
            <w:tcBorders>
              <w:top w:val="nil"/>
              <w:left w:val="nil"/>
              <w:bottom w:val="single" w:color="auto" w:sz="4" w:space="0"/>
              <w:right w:val="single" w:color="auto" w:sz="4" w:space="0"/>
            </w:tcBorders>
            <w:shd w:val="clear" w:color="000000" w:fill="FFFFFF"/>
            <w:noWrap/>
            <w:vAlign w:val="center"/>
          </w:tcPr>
          <w:p w14:paraId="14232311">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617.49</w:t>
            </w:r>
          </w:p>
        </w:tc>
      </w:tr>
      <w:tr w14:paraId="1819B5F3">
        <w:trPr>
          <w:trHeight w:val="283" w:hRule="atLeast"/>
        </w:trPr>
        <w:tc>
          <w:tcPr>
            <w:tcW w:w="856" w:type="pct"/>
            <w:tcBorders>
              <w:top w:val="nil"/>
              <w:left w:val="single" w:color="auto" w:sz="4" w:space="0"/>
              <w:bottom w:val="single" w:color="auto" w:sz="4" w:space="0"/>
              <w:right w:val="single" w:color="auto" w:sz="4" w:space="0"/>
            </w:tcBorders>
            <w:shd w:val="clear" w:color="000000" w:fill="FFFFFF"/>
            <w:noWrap/>
            <w:vAlign w:val="center"/>
          </w:tcPr>
          <w:p w14:paraId="6D873CBA">
            <w:pPr>
              <w:widowControl/>
              <w:jc w:val="center"/>
              <w:textAlignment w:val="bottom"/>
              <w:rPr>
                <w:rFonts w:ascii="宋体" w:hAnsi="宋体" w:cs="宋体"/>
                <w:b/>
                <w:bCs/>
                <w:kern w:val="0"/>
                <w:sz w:val="18"/>
                <w:szCs w:val="18"/>
              </w:rPr>
            </w:pPr>
            <w:r>
              <w:rPr>
                <w:rFonts w:hint="eastAsia" w:ascii="宋体" w:hAnsi="宋体" w:cs="宋体"/>
                <w:b/>
                <w:bCs/>
                <w:color w:val="000000"/>
                <w:kern w:val="0"/>
                <w:sz w:val="18"/>
                <w:szCs w:val="18"/>
                <w:lang w:bidi="ar"/>
              </w:rPr>
              <w:t>合计</w:t>
            </w:r>
          </w:p>
        </w:tc>
        <w:tc>
          <w:tcPr>
            <w:tcW w:w="3037" w:type="pct"/>
            <w:tcBorders>
              <w:top w:val="nil"/>
              <w:left w:val="nil"/>
              <w:bottom w:val="single" w:color="auto" w:sz="4" w:space="0"/>
              <w:right w:val="single" w:color="auto" w:sz="4" w:space="0"/>
            </w:tcBorders>
            <w:shd w:val="clear" w:color="000000" w:fill="FFFFFF"/>
            <w:noWrap/>
            <w:vAlign w:val="center"/>
          </w:tcPr>
          <w:p w14:paraId="591771B3">
            <w:pPr>
              <w:widowControl/>
              <w:jc w:val="center"/>
              <w:textAlignment w:val="center"/>
              <w:rPr>
                <w:rFonts w:ascii="宋体" w:hAnsi="宋体" w:cs="宋体"/>
                <w:b/>
                <w:bCs/>
                <w:kern w:val="0"/>
                <w:sz w:val="18"/>
                <w:szCs w:val="18"/>
              </w:rPr>
            </w:pPr>
            <w:r>
              <w:rPr>
                <w:rFonts w:hint="eastAsia" w:ascii="宋体" w:hAnsi="宋体" w:cs="宋体"/>
                <w:b/>
                <w:bCs/>
                <w:color w:val="000000"/>
                <w:kern w:val="0"/>
                <w:sz w:val="18"/>
                <w:szCs w:val="18"/>
                <w:lang w:bidi="ar"/>
              </w:rPr>
              <w:t>1,533.68</w:t>
            </w:r>
          </w:p>
        </w:tc>
        <w:tc>
          <w:tcPr>
            <w:tcW w:w="1106" w:type="pct"/>
            <w:tcBorders>
              <w:top w:val="nil"/>
              <w:left w:val="nil"/>
              <w:bottom w:val="single" w:color="auto" w:sz="4" w:space="0"/>
              <w:right w:val="single" w:color="auto" w:sz="4" w:space="0"/>
            </w:tcBorders>
            <w:shd w:val="clear" w:color="000000" w:fill="FFFFFF"/>
            <w:noWrap/>
            <w:vAlign w:val="center"/>
          </w:tcPr>
          <w:p w14:paraId="3D3DECE7">
            <w:pPr>
              <w:widowControl/>
              <w:jc w:val="center"/>
              <w:textAlignment w:val="center"/>
              <w:rPr>
                <w:rFonts w:ascii="宋体" w:hAnsi="宋体" w:cs="宋体"/>
                <w:b/>
                <w:bCs/>
                <w:kern w:val="0"/>
                <w:sz w:val="18"/>
                <w:szCs w:val="18"/>
              </w:rPr>
            </w:pPr>
            <w:r>
              <w:rPr>
                <w:rFonts w:hint="eastAsia" w:ascii="宋体" w:hAnsi="宋体" w:cs="宋体"/>
                <w:b/>
                <w:bCs/>
                <w:color w:val="000000"/>
                <w:kern w:val="0"/>
                <w:sz w:val="18"/>
                <w:szCs w:val="18"/>
                <w:lang w:bidi="ar"/>
              </w:rPr>
              <w:t>1,533.68</w:t>
            </w:r>
          </w:p>
        </w:tc>
      </w:tr>
    </w:tbl>
    <w:p w14:paraId="1BF1A60D">
      <w:pPr>
        <w:pStyle w:val="20"/>
        <w:spacing w:before="0" w:beforeAutospacing="0" w:after="156" w:afterLines="50" w:afterAutospacing="0" w:line="360" w:lineRule="exact"/>
        <w:ind w:firstLine="360" w:firstLineChars="200"/>
        <w:jc w:val="both"/>
        <w:rPr>
          <w:rFonts w:hint="eastAsia" w:ascii="楷体" w:hAnsi="楷体" w:eastAsia="楷体" w:cs="楷体"/>
          <w:bCs/>
          <w:sz w:val="28"/>
          <w:szCs w:val="28"/>
        </w:rPr>
      </w:pPr>
      <w:r>
        <w:rPr>
          <w:rFonts w:hint="eastAsia"/>
          <w:color w:val="000000" w:themeColor="text1"/>
          <w:sz w:val="18"/>
          <w:szCs w:val="18"/>
          <w14:textFill>
            <w14:solidFill>
              <w14:schemeClr w14:val="tx1"/>
            </w14:solidFill>
          </w14:textFill>
        </w:rPr>
        <w:t>注：1.支出情况预测表主要体现的是需要支付现金的成本费用部分，故对于不需付现的费用（如折旧摊销等）进行了剔除，暂不在上表中反映。</w:t>
      </w:r>
    </w:p>
    <w:p w14:paraId="46AD1827">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2、财务费用</w:t>
      </w:r>
    </w:p>
    <w:p w14:paraId="41E14EDD">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本次拟发行金湖管理处雄溪村二期一批安置房（城市棚户区改造）项目地方政府专项债券以满足项目投资需求，债券计划在202</w:t>
      </w: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年发行，年利率按照3.9%计算。根据债券发行计划及利率计算每年财务费用。按照债券发行要求，专项债券每一年偿还债券利息，到期一次性偿还本金。</w:t>
      </w:r>
    </w:p>
    <w:p w14:paraId="7EE3E44A">
      <w:pPr>
        <w:widowControl/>
        <w:spacing w:line="560" w:lineRule="exact"/>
        <w:ind w:firstLine="560" w:firstLineChars="200"/>
        <w:jc w:val="left"/>
        <w:outlineLvl w:val="1"/>
        <w:rPr>
          <w:rFonts w:ascii="楷体" w:hAnsi="楷体" w:eastAsia="楷体" w:cs="楷体"/>
          <w:b/>
          <w:bCs/>
          <w:sz w:val="28"/>
          <w:szCs w:val="28"/>
        </w:rPr>
      </w:pPr>
      <w:bookmarkStart w:id="100" w:name="_Toc8156"/>
      <w:r>
        <w:rPr>
          <w:rFonts w:hint="eastAsia" w:ascii="楷体" w:hAnsi="楷体" w:eastAsia="楷体" w:cs="楷体"/>
          <w:b/>
          <w:bCs/>
          <w:sz w:val="28"/>
          <w:szCs w:val="28"/>
        </w:rPr>
        <w:t>（三）项目资金测算平衡表</w:t>
      </w:r>
      <w:bookmarkEnd w:id="100"/>
    </w:p>
    <w:p w14:paraId="6D99F287">
      <w:pPr>
        <w:ind w:left="-140" w:leftChars="-67" w:right="-98" w:rightChars="-47" w:firstLine="439" w:firstLineChars="157"/>
        <w:rPr>
          <w:rFonts w:hint="eastAsia" w:asciiTheme="minorEastAsia" w:hAnsiTheme="minorEastAsia" w:eastAsiaTheme="minorEastAsia" w:cstheme="minorEastAsia"/>
          <w:bCs/>
          <w:sz w:val="28"/>
          <w:szCs w:val="28"/>
        </w:rPr>
      </w:pPr>
      <w:bookmarkStart w:id="101" w:name="_Toc29272"/>
      <w:r>
        <w:rPr>
          <w:rFonts w:hint="eastAsia" w:asciiTheme="minorEastAsia" w:hAnsiTheme="minorEastAsia" w:eastAsiaTheme="minorEastAsia" w:cstheme="minorEastAsia"/>
          <w:bCs/>
          <w:sz w:val="28"/>
          <w:szCs w:val="28"/>
        </w:rPr>
        <w:t>本次南昌县住房和城乡建设局组织申报发行金湖管理处雄溪村二期一批安置房（城市棚户区改造）工程专项债券项目的总投资额</w:t>
      </w:r>
      <w:r>
        <w:rPr>
          <w:rFonts w:hint="eastAsia" w:asciiTheme="minorEastAsia" w:hAnsiTheme="minorEastAsia" w:eastAsiaTheme="minorEastAsia" w:cstheme="minorEastAsia"/>
          <w:bCs/>
          <w:sz w:val="28"/>
          <w:szCs w:val="28"/>
          <w:lang w:eastAsia="zh-CN"/>
        </w:rPr>
        <w:t>37,056.61</w:t>
      </w:r>
      <w:r>
        <w:rPr>
          <w:rFonts w:hint="eastAsia" w:asciiTheme="minorEastAsia" w:hAnsiTheme="minorEastAsia" w:eastAsiaTheme="minorEastAsia" w:cstheme="minorEastAsia"/>
          <w:bCs/>
          <w:sz w:val="28"/>
          <w:szCs w:val="28"/>
        </w:rPr>
        <w:t>万元。计划发行专项债券金额26,537.00万元，其中：2023年已发行3,500.00万元，发行期限5年，利率2.60%；2024年申请专项债7,550.00万元，3,050.00万元由2022年江西省高质量发展补短板专项债券（十二期）——2022年江西省政府专项债券（二十期）调整至本项目，发行期限28年，利率3.43%；2024年本期申请专项债4,500.00万元，利率3.90%;2025年申请专项债8,950.00万元，利率3.90%;2026年申请专项债5.000.00万元，利率3.90%;2027年申请专项债1,537.00万元，利率3.90%。从客观、谨慎角度出发，7年期债券利率预计3.90%,发行费率暂按照0.10%测算，据此预计专项债券利息合计为9,163.16万元，预计发行费用为23.49万元。</w:t>
      </w:r>
    </w:p>
    <w:p w14:paraId="4CC6F642">
      <w:pPr>
        <w:ind w:left="-140" w:leftChars="-67" w:right="-98" w:rightChars="-47" w:firstLine="439" w:firstLineChars="157"/>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按照该项目专项债券发行计划，2024年发行7年期债券以年利率3.90%预计每年利息支出；2023-2052年计划发行债券5年期以年利率3.70%预计每年利息支出，每半年支付一次利息，到期一次还本，本项目专项债券还本付息情况如下表所示：</w:t>
      </w:r>
    </w:p>
    <w:p w14:paraId="024F6B64">
      <w:pPr>
        <w:jc w:val="center"/>
        <w:rPr>
          <w:rFonts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w:t>
      </w:r>
      <w:r>
        <w:rPr>
          <w:rFonts w:hint="eastAsia" w:ascii="宋体" w:hAnsi="宋体"/>
          <w:b/>
          <w:color w:val="000000" w:themeColor="text1"/>
          <w:szCs w:val="24"/>
          <w14:textFill>
            <w14:solidFill>
              <w14:schemeClr w14:val="tx1"/>
            </w14:solidFill>
          </w14:textFill>
        </w:rPr>
        <w:t xml:space="preserve"> </w:t>
      </w:r>
      <w:r>
        <w:rPr>
          <w:rFonts w:ascii="宋体" w:hAnsi="宋体"/>
          <w:b/>
          <w:color w:val="000000" w:themeColor="text1"/>
          <w:szCs w:val="24"/>
          <w14:textFill>
            <w14:solidFill>
              <w14:schemeClr w14:val="tx1"/>
            </w14:solidFill>
          </w14:textFill>
        </w:rPr>
        <w:t xml:space="preserve"> 202</w:t>
      </w:r>
      <w:r>
        <w:rPr>
          <w:rFonts w:hint="eastAsia" w:ascii="宋体" w:hAnsi="宋体"/>
          <w:b/>
          <w:color w:val="000000" w:themeColor="text1"/>
          <w:szCs w:val="24"/>
          <w14:textFill>
            <w14:solidFill>
              <w14:schemeClr w14:val="tx1"/>
            </w14:solidFill>
          </w14:textFill>
        </w:rPr>
        <w:t>3</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w:t>
      </w:r>
      <w:r>
        <w:rPr>
          <w:rFonts w:hint="eastAsia" w:ascii="宋体" w:hAnsi="宋体" w:cs="仿宋"/>
          <w:b/>
          <w:color w:val="000000" w:themeColor="text1"/>
          <w:szCs w:val="24"/>
          <w14:textFill>
            <w14:solidFill>
              <w14:schemeClr w14:val="tx1"/>
            </w14:solidFill>
          </w14:textFill>
        </w:rPr>
        <w:t>52年专项债券还本付息情况预测表</w:t>
      </w:r>
    </w:p>
    <w:p w14:paraId="7B7D70EB">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1400"/>
        <w:gridCol w:w="1113"/>
        <w:gridCol w:w="1012"/>
        <w:gridCol w:w="1034"/>
        <w:gridCol w:w="1114"/>
        <w:gridCol w:w="1403"/>
      </w:tblGrid>
      <w:tr w14:paraId="0919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trPr>
        <w:tc>
          <w:tcPr>
            <w:tcW w:w="940" w:type="pct"/>
            <w:shd w:val="clear" w:color="auto" w:fill="auto"/>
            <w:vAlign w:val="center"/>
          </w:tcPr>
          <w:p w14:paraId="2C56905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803" w:type="pct"/>
            <w:shd w:val="clear" w:color="auto" w:fill="auto"/>
            <w:vAlign w:val="center"/>
          </w:tcPr>
          <w:p w14:paraId="44982E9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638" w:type="pct"/>
            <w:shd w:val="clear" w:color="auto" w:fill="auto"/>
            <w:vAlign w:val="center"/>
          </w:tcPr>
          <w:p w14:paraId="27F910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580" w:type="pct"/>
            <w:shd w:val="clear" w:color="auto" w:fill="auto"/>
            <w:vAlign w:val="center"/>
          </w:tcPr>
          <w:p w14:paraId="0D9900C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593" w:type="pct"/>
            <w:shd w:val="clear" w:color="auto" w:fill="auto"/>
            <w:vAlign w:val="center"/>
          </w:tcPr>
          <w:p w14:paraId="03930A8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639" w:type="pct"/>
            <w:shd w:val="clear" w:color="auto" w:fill="auto"/>
            <w:vAlign w:val="center"/>
          </w:tcPr>
          <w:p w14:paraId="3B99481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804" w:type="pct"/>
            <w:shd w:val="clear" w:color="auto" w:fill="auto"/>
            <w:vAlign w:val="center"/>
          </w:tcPr>
          <w:p w14:paraId="325774D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672D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1C95FEA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2023年</w:t>
            </w:r>
          </w:p>
        </w:tc>
        <w:tc>
          <w:tcPr>
            <w:tcW w:w="1359" w:type="dxa"/>
            <w:shd w:val="clear" w:color="auto" w:fill="auto"/>
            <w:vAlign w:val="center"/>
          </w:tcPr>
          <w:p w14:paraId="68EC22D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79" w:type="dxa"/>
            <w:shd w:val="clear" w:color="auto" w:fill="auto"/>
            <w:vAlign w:val="center"/>
          </w:tcPr>
          <w:p w14:paraId="17F6038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c>
          <w:tcPr>
            <w:tcW w:w="981" w:type="dxa"/>
            <w:shd w:val="clear" w:color="auto" w:fill="auto"/>
            <w:vAlign w:val="center"/>
          </w:tcPr>
          <w:p w14:paraId="35B84F7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w:t>
            </w:r>
          </w:p>
        </w:tc>
        <w:tc>
          <w:tcPr>
            <w:tcW w:w="1033" w:type="dxa"/>
            <w:shd w:val="clear" w:color="auto" w:fill="auto"/>
            <w:vAlign w:val="center"/>
          </w:tcPr>
          <w:p w14:paraId="1C641F5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81" w:type="dxa"/>
            <w:shd w:val="clear" w:color="auto" w:fill="auto"/>
            <w:vAlign w:val="center"/>
          </w:tcPr>
          <w:p w14:paraId="45B1B61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4856E67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r>
      <w:tr w14:paraId="4293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5F1B7E4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2024年调整发行</w:t>
            </w:r>
          </w:p>
        </w:tc>
        <w:tc>
          <w:tcPr>
            <w:tcW w:w="1359" w:type="dxa"/>
            <w:shd w:val="clear" w:color="auto" w:fill="auto"/>
            <w:vAlign w:val="center"/>
          </w:tcPr>
          <w:p w14:paraId="6C3E141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c>
          <w:tcPr>
            <w:tcW w:w="1079" w:type="dxa"/>
            <w:shd w:val="clear" w:color="auto" w:fill="auto"/>
            <w:vAlign w:val="center"/>
          </w:tcPr>
          <w:p w14:paraId="4DAD6BC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981" w:type="dxa"/>
            <w:shd w:val="clear" w:color="auto" w:fill="auto"/>
            <w:vAlign w:val="center"/>
          </w:tcPr>
          <w:p w14:paraId="5002238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33" w:type="dxa"/>
            <w:shd w:val="clear" w:color="auto" w:fill="auto"/>
            <w:vAlign w:val="center"/>
          </w:tcPr>
          <w:p w14:paraId="748CDD3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151.64</w:t>
            </w:r>
          </w:p>
        </w:tc>
        <w:tc>
          <w:tcPr>
            <w:tcW w:w="1081" w:type="dxa"/>
            <w:shd w:val="clear" w:color="auto" w:fill="auto"/>
            <w:vAlign w:val="center"/>
          </w:tcPr>
          <w:p w14:paraId="5DFEA45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4FF0251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6,550.00</w:t>
            </w:r>
          </w:p>
        </w:tc>
      </w:tr>
      <w:tr w14:paraId="53A2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4B70A3B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2024年</w:t>
            </w:r>
          </w:p>
        </w:tc>
        <w:tc>
          <w:tcPr>
            <w:tcW w:w="1359" w:type="dxa"/>
            <w:shd w:val="clear" w:color="auto" w:fill="auto"/>
            <w:vAlign w:val="center"/>
          </w:tcPr>
          <w:p w14:paraId="0392A3A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6,550.00</w:t>
            </w:r>
          </w:p>
        </w:tc>
        <w:tc>
          <w:tcPr>
            <w:tcW w:w="1079" w:type="dxa"/>
            <w:shd w:val="clear" w:color="auto" w:fill="auto"/>
            <w:vAlign w:val="center"/>
          </w:tcPr>
          <w:p w14:paraId="2BCA223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4,500.00</w:t>
            </w:r>
          </w:p>
        </w:tc>
        <w:tc>
          <w:tcPr>
            <w:tcW w:w="981" w:type="dxa"/>
            <w:shd w:val="clear" w:color="auto" w:fill="auto"/>
            <w:vAlign w:val="center"/>
          </w:tcPr>
          <w:p w14:paraId="5369098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4.50</w:t>
            </w:r>
          </w:p>
        </w:tc>
        <w:tc>
          <w:tcPr>
            <w:tcW w:w="1033" w:type="dxa"/>
            <w:shd w:val="clear" w:color="auto" w:fill="auto"/>
            <w:vAlign w:val="center"/>
          </w:tcPr>
          <w:p w14:paraId="2E54438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81" w:type="dxa"/>
            <w:shd w:val="clear" w:color="auto" w:fill="auto"/>
            <w:vAlign w:val="center"/>
          </w:tcPr>
          <w:p w14:paraId="444BB4EA">
            <w:pPr>
              <w:jc w:val="center"/>
              <w:rPr>
                <w:rFonts w:ascii="宋体" w:hAnsi="宋体" w:cs="宋体"/>
                <w:color w:val="000000"/>
                <w:kern w:val="0"/>
                <w:sz w:val="18"/>
                <w:szCs w:val="18"/>
              </w:rPr>
            </w:pPr>
          </w:p>
        </w:tc>
        <w:tc>
          <w:tcPr>
            <w:tcW w:w="1362" w:type="dxa"/>
            <w:shd w:val="clear" w:color="auto" w:fill="auto"/>
            <w:vAlign w:val="center"/>
          </w:tcPr>
          <w:p w14:paraId="334907C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11,050.00</w:t>
            </w:r>
          </w:p>
        </w:tc>
      </w:tr>
      <w:tr w14:paraId="5B18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4D7D2FB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2025年</w:t>
            </w:r>
          </w:p>
        </w:tc>
        <w:tc>
          <w:tcPr>
            <w:tcW w:w="1359" w:type="dxa"/>
            <w:shd w:val="clear" w:color="auto" w:fill="auto"/>
            <w:vAlign w:val="center"/>
          </w:tcPr>
          <w:p w14:paraId="49DFFF3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11,050.00</w:t>
            </w:r>
          </w:p>
        </w:tc>
        <w:tc>
          <w:tcPr>
            <w:tcW w:w="1079" w:type="dxa"/>
            <w:shd w:val="clear" w:color="auto" w:fill="auto"/>
            <w:vAlign w:val="center"/>
          </w:tcPr>
          <w:p w14:paraId="1A2C9D2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8,950.00</w:t>
            </w:r>
          </w:p>
        </w:tc>
        <w:tc>
          <w:tcPr>
            <w:tcW w:w="981" w:type="dxa"/>
            <w:shd w:val="clear" w:color="auto" w:fill="auto"/>
            <w:vAlign w:val="center"/>
          </w:tcPr>
          <w:p w14:paraId="77EDC23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8.95</w:t>
            </w:r>
          </w:p>
        </w:tc>
        <w:tc>
          <w:tcPr>
            <w:tcW w:w="1033" w:type="dxa"/>
            <w:shd w:val="clear" w:color="auto" w:fill="auto"/>
            <w:vAlign w:val="center"/>
          </w:tcPr>
          <w:p w14:paraId="56EA140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555.65</w:t>
            </w:r>
          </w:p>
        </w:tc>
        <w:tc>
          <w:tcPr>
            <w:tcW w:w="1081" w:type="dxa"/>
            <w:shd w:val="clear" w:color="auto" w:fill="auto"/>
            <w:vAlign w:val="center"/>
          </w:tcPr>
          <w:p w14:paraId="6665376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69EF71E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20,000.00</w:t>
            </w:r>
          </w:p>
        </w:tc>
      </w:tr>
      <w:tr w14:paraId="4D75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1AF3EE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2026年</w:t>
            </w:r>
          </w:p>
        </w:tc>
        <w:tc>
          <w:tcPr>
            <w:tcW w:w="1359" w:type="dxa"/>
            <w:shd w:val="clear" w:color="auto" w:fill="auto"/>
            <w:vAlign w:val="center"/>
          </w:tcPr>
          <w:p w14:paraId="7C9BD18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20,000.00</w:t>
            </w:r>
          </w:p>
        </w:tc>
        <w:tc>
          <w:tcPr>
            <w:tcW w:w="1079" w:type="dxa"/>
            <w:shd w:val="clear" w:color="auto" w:fill="auto"/>
            <w:vAlign w:val="center"/>
          </w:tcPr>
          <w:p w14:paraId="7BC7443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5,000.00</w:t>
            </w:r>
          </w:p>
        </w:tc>
        <w:tc>
          <w:tcPr>
            <w:tcW w:w="981" w:type="dxa"/>
            <w:shd w:val="clear" w:color="auto" w:fill="auto"/>
            <w:vAlign w:val="center"/>
          </w:tcPr>
          <w:p w14:paraId="0D7C914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5.00</w:t>
            </w:r>
          </w:p>
        </w:tc>
        <w:tc>
          <w:tcPr>
            <w:tcW w:w="1033" w:type="dxa"/>
            <w:shd w:val="clear" w:color="auto" w:fill="auto"/>
            <w:vAlign w:val="center"/>
          </w:tcPr>
          <w:p w14:paraId="788C095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827.67</w:t>
            </w:r>
          </w:p>
        </w:tc>
        <w:tc>
          <w:tcPr>
            <w:tcW w:w="1081" w:type="dxa"/>
            <w:shd w:val="clear" w:color="auto" w:fill="auto"/>
            <w:vAlign w:val="center"/>
          </w:tcPr>
          <w:p w14:paraId="0DFEC52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3C0B942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25,000.00</w:t>
            </w:r>
          </w:p>
        </w:tc>
      </w:tr>
      <w:tr w14:paraId="64BA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28C610C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2027年</w:t>
            </w:r>
          </w:p>
        </w:tc>
        <w:tc>
          <w:tcPr>
            <w:tcW w:w="1359" w:type="dxa"/>
            <w:shd w:val="clear" w:color="auto" w:fill="auto"/>
            <w:vAlign w:val="center"/>
          </w:tcPr>
          <w:p w14:paraId="096D751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25,000.00</w:t>
            </w:r>
          </w:p>
        </w:tc>
        <w:tc>
          <w:tcPr>
            <w:tcW w:w="1079" w:type="dxa"/>
            <w:shd w:val="clear" w:color="auto" w:fill="auto"/>
            <w:vAlign w:val="center"/>
          </w:tcPr>
          <w:p w14:paraId="23AAE73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1,537.00</w:t>
            </w:r>
          </w:p>
        </w:tc>
        <w:tc>
          <w:tcPr>
            <w:tcW w:w="981" w:type="dxa"/>
            <w:shd w:val="clear" w:color="auto" w:fill="auto"/>
            <w:vAlign w:val="center"/>
          </w:tcPr>
          <w:p w14:paraId="2420686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1.54</w:t>
            </w:r>
          </w:p>
        </w:tc>
        <w:tc>
          <w:tcPr>
            <w:tcW w:w="1033" w:type="dxa"/>
            <w:shd w:val="clear" w:color="auto" w:fill="auto"/>
            <w:vAlign w:val="center"/>
          </w:tcPr>
          <w:p w14:paraId="0098ECB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955.14</w:t>
            </w:r>
          </w:p>
        </w:tc>
        <w:tc>
          <w:tcPr>
            <w:tcW w:w="1081" w:type="dxa"/>
            <w:shd w:val="clear" w:color="auto" w:fill="auto"/>
            <w:vAlign w:val="center"/>
          </w:tcPr>
          <w:p w14:paraId="2E0BA1F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7895951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r>
      <w:tr w14:paraId="15A2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700B259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2028年</w:t>
            </w:r>
          </w:p>
        </w:tc>
        <w:tc>
          <w:tcPr>
            <w:tcW w:w="1359" w:type="dxa"/>
            <w:shd w:val="clear" w:color="auto" w:fill="auto"/>
            <w:vAlign w:val="center"/>
          </w:tcPr>
          <w:p w14:paraId="241ABC1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c>
          <w:tcPr>
            <w:tcW w:w="1079" w:type="dxa"/>
            <w:shd w:val="clear" w:color="auto" w:fill="auto"/>
            <w:vAlign w:val="center"/>
          </w:tcPr>
          <w:p w14:paraId="50932D9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981" w:type="dxa"/>
            <w:shd w:val="clear" w:color="auto" w:fill="auto"/>
            <w:vAlign w:val="center"/>
          </w:tcPr>
          <w:p w14:paraId="71955BD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33" w:type="dxa"/>
            <w:shd w:val="clear" w:color="auto" w:fill="auto"/>
            <w:vAlign w:val="center"/>
          </w:tcPr>
          <w:p w14:paraId="3C52FA3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985.11</w:t>
            </w:r>
          </w:p>
        </w:tc>
        <w:tc>
          <w:tcPr>
            <w:tcW w:w="1081" w:type="dxa"/>
            <w:shd w:val="clear" w:color="auto" w:fill="auto"/>
            <w:vAlign w:val="center"/>
          </w:tcPr>
          <w:p w14:paraId="4E602B5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65CFF0B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r>
      <w:tr w14:paraId="606A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2B7287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2029年</w:t>
            </w:r>
          </w:p>
        </w:tc>
        <w:tc>
          <w:tcPr>
            <w:tcW w:w="1359" w:type="dxa"/>
            <w:shd w:val="clear" w:color="auto" w:fill="auto"/>
            <w:vAlign w:val="center"/>
          </w:tcPr>
          <w:p w14:paraId="40847A5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c>
          <w:tcPr>
            <w:tcW w:w="1079" w:type="dxa"/>
            <w:shd w:val="clear" w:color="auto" w:fill="auto"/>
            <w:vAlign w:val="center"/>
          </w:tcPr>
          <w:p w14:paraId="6D44E0D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981" w:type="dxa"/>
            <w:shd w:val="clear" w:color="auto" w:fill="auto"/>
            <w:vAlign w:val="center"/>
          </w:tcPr>
          <w:p w14:paraId="7BD2A5E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33" w:type="dxa"/>
            <w:shd w:val="clear" w:color="auto" w:fill="auto"/>
            <w:vAlign w:val="center"/>
          </w:tcPr>
          <w:p w14:paraId="10F8F95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985.11</w:t>
            </w:r>
          </w:p>
        </w:tc>
        <w:tc>
          <w:tcPr>
            <w:tcW w:w="1081" w:type="dxa"/>
            <w:shd w:val="clear" w:color="auto" w:fill="auto"/>
            <w:vAlign w:val="center"/>
          </w:tcPr>
          <w:p w14:paraId="4AEB8B8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362" w:type="dxa"/>
            <w:shd w:val="clear" w:color="auto" w:fill="auto"/>
            <w:vAlign w:val="center"/>
          </w:tcPr>
          <w:p w14:paraId="1F77A60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r>
      <w:tr w14:paraId="13C3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247CADB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2030年</w:t>
            </w:r>
          </w:p>
        </w:tc>
        <w:tc>
          <w:tcPr>
            <w:tcW w:w="1359" w:type="dxa"/>
            <w:shd w:val="clear" w:color="auto" w:fill="auto"/>
            <w:vAlign w:val="center"/>
          </w:tcPr>
          <w:p w14:paraId="34B009B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26,537.00</w:t>
            </w:r>
          </w:p>
        </w:tc>
        <w:tc>
          <w:tcPr>
            <w:tcW w:w="1079" w:type="dxa"/>
            <w:shd w:val="clear" w:color="auto" w:fill="auto"/>
            <w:vAlign w:val="center"/>
          </w:tcPr>
          <w:p w14:paraId="4857634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981" w:type="dxa"/>
            <w:shd w:val="clear" w:color="auto" w:fill="auto"/>
            <w:vAlign w:val="center"/>
          </w:tcPr>
          <w:p w14:paraId="452F1DB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c>
          <w:tcPr>
            <w:tcW w:w="1033" w:type="dxa"/>
            <w:shd w:val="clear" w:color="auto" w:fill="auto"/>
            <w:vAlign w:val="center"/>
          </w:tcPr>
          <w:p w14:paraId="094D036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985.11</w:t>
            </w:r>
          </w:p>
        </w:tc>
        <w:tc>
          <w:tcPr>
            <w:tcW w:w="1081" w:type="dxa"/>
            <w:shd w:val="clear" w:color="auto" w:fill="auto"/>
            <w:vAlign w:val="center"/>
          </w:tcPr>
          <w:p w14:paraId="6A85494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3,500.00</w:t>
            </w:r>
          </w:p>
        </w:tc>
        <w:tc>
          <w:tcPr>
            <w:tcW w:w="1362" w:type="dxa"/>
            <w:shd w:val="clear" w:color="auto" w:fill="auto"/>
            <w:vAlign w:val="center"/>
          </w:tcPr>
          <w:p w14:paraId="48CF994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23,037.00</w:t>
            </w:r>
          </w:p>
        </w:tc>
      </w:tr>
      <w:tr w14:paraId="49CF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75169DCC">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2031年</w:t>
            </w:r>
          </w:p>
        </w:tc>
        <w:tc>
          <w:tcPr>
            <w:tcW w:w="1359" w:type="dxa"/>
            <w:shd w:val="clear" w:color="auto" w:fill="auto"/>
            <w:vAlign w:val="center"/>
          </w:tcPr>
          <w:p w14:paraId="3120209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23,037.00</w:t>
            </w:r>
          </w:p>
        </w:tc>
        <w:tc>
          <w:tcPr>
            <w:tcW w:w="1079" w:type="dxa"/>
            <w:shd w:val="clear" w:color="auto" w:fill="auto"/>
            <w:vAlign w:val="center"/>
          </w:tcPr>
          <w:p w14:paraId="52E11A9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6FE062C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C02B82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887.46</w:t>
            </w:r>
          </w:p>
        </w:tc>
        <w:tc>
          <w:tcPr>
            <w:tcW w:w="1081" w:type="dxa"/>
            <w:shd w:val="clear" w:color="auto" w:fill="auto"/>
            <w:vAlign w:val="center"/>
          </w:tcPr>
          <w:p w14:paraId="6DDBB564">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4,500.00</w:t>
            </w:r>
          </w:p>
        </w:tc>
        <w:tc>
          <w:tcPr>
            <w:tcW w:w="1362" w:type="dxa"/>
            <w:shd w:val="clear" w:color="auto" w:fill="auto"/>
            <w:vAlign w:val="center"/>
          </w:tcPr>
          <w:p w14:paraId="16322B5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18,537.00</w:t>
            </w:r>
          </w:p>
        </w:tc>
      </w:tr>
      <w:tr w14:paraId="3442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4233324">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2032年</w:t>
            </w:r>
          </w:p>
        </w:tc>
        <w:tc>
          <w:tcPr>
            <w:tcW w:w="1359" w:type="dxa"/>
            <w:shd w:val="clear" w:color="auto" w:fill="auto"/>
            <w:vAlign w:val="center"/>
          </w:tcPr>
          <w:p w14:paraId="0DE3470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18,537.00</w:t>
            </w:r>
          </w:p>
        </w:tc>
        <w:tc>
          <w:tcPr>
            <w:tcW w:w="1079" w:type="dxa"/>
            <w:shd w:val="clear" w:color="auto" w:fill="auto"/>
            <w:vAlign w:val="center"/>
          </w:tcPr>
          <w:p w14:paraId="0E7C893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2FC1735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1968B1F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537.44</w:t>
            </w:r>
          </w:p>
        </w:tc>
        <w:tc>
          <w:tcPr>
            <w:tcW w:w="1081" w:type="dxa"/>
            <w:shd w:val="clear" w:color="auto" w:fill="auto"/>
            <w:vAlign w:val="center"/>
          </w:tcPr>
          <w:p w14:paraId="7AFFEFF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8,950.00</w:t>
            </w:r>
          </w:p>
        </w:tc>
        <w:tc>
          <w:tcPr>
            <w:tcW w:w="1362" w:type="dxa"/>
            <w:shd w:val="clear" w:color="auto" w:fill="auto"/>
            <w:vAlign w:val="center"/>
          </w:tcPr>
          <w:p w14:paraId="4F136EB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9,587.00</w:t>
            </w:r>
          </w:p>
        </w:tc>
      </w:tr>
      <w:tr w14:paraId="3020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6F0F518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2033年</w:t>
            </w:r>
          </w:p>
        </w:tc>
        <w:tc>
          <w:tcPr>
            <w:tcW w:w="1359" w:type="dxa"/>
            <w:shd w:val="clear" w:color="auto" w:fill="auto"/>
            <w:vAlign w:val="center"/>
          </w:tcPr>
          <w:p w14:paraId="627D00C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9,587.00</w:t>
            </w:r>
          </w:p>
        </w:tc>
        <w:tc>
          <w:tcPr>
            <w:tcW w:w="1079" w:type="dxa"/>
            <w:shd w:val="clear" w:color="auto" w:fill="auto"/>
            <w:vAlign w:val="center"/>
          </w:tcPr>
          <w:p w14:paraId="0269A80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763B8997">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15027C6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265.41</w:t>
            </w:r>
          </w:p>
        </w:tc>
        <w:tc>
          <w:tcPr>
            <w:tcW w:w="1081" w:type="dxa"/>
            <w:shd w:val="clear" w:color="auto" w:fill="auto"/>
            <w:vAlign w:val="center"/>
          </w:tcPr>
          <w:p w14:paraId="61E42BD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5,000.00</w:t>
            </w:r>
          </w:p>
        </w:tc>
        <w:tc>
          <w:tcPr>
            <w:tcW w:w="1362" w:type="dxa"/>
            <w:shd w:val="clear" w:color="auto" w:fill="auto"/>
            <w:vAlign w:val="center"/>
          </w:tcPr>
          <w:p w14:paraId="134CAC9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4,587.00</w:t>
            </w:r>
          </w:p>
        </w:tc>
      </w:tr>
      <w:tr w14:paraId="67F5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57B6F24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2034年</w:t>
            </w:r>
          </w:p>
        </w:tc>
        <w:tc>
          <w:tcPr>
            <w:tcW w:w="1359" w:type="dxa"/>
            <w:shd w:val="clear" w:color="auto" w:fill="auto"/>
            <w:vAlign w:val="center"/>
          </w:tcPr>
          <w:p w14:paraId="3E24A9B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4,587.00</w:t>
            </w:r>
          </w:p>
        </w:tc>
        <w:tc>
          <w:tcPr>
            <w:tcW w:w="1079" w:type="dxa"/>
            <w:shd w:val="clear" w:color="auto" w:fill="auto"/>
            <w:vAlign w:val="center"/>
          </w:tcPr>
          <w:p w14:paraId="4904B13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064D3C1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1D76161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137.94</w:t>
            </w:r>
          </w:p>
        </w:tc>
        <w:tc>
          <w:tcPr>
            <w:tcW w:w="1081" w:type="dxa"/>
            <w:shd w:val="clear" w:color="auto" w:fill="auto"/>
            <w:vAlign w:val="center"/>
          </w:tcPr>
          <w:p w14:paraId="6CC1A0B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1,537.00</w:t>
            </w:r>
          </w:p>
        </w:tc>
        <w:tc>
          <w:tcPr>
            <w:tcW w:w="1362" w:type="dxa"/>
            <w:shd w:val="clear" w:color="auto" w:fill="auto"/>
            <w:vAlign w:val="center"/>
          </w:tcPr>
          <w:p w14:paraId="49CB001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4A23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78B4B11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2035年</w:t>
            </w:r>
          </w:p>
        </w:tc>
        <w:tc>
          <w:tcPr>
            <w:tcW w:w="1359" w:type="dxa"/>
            <w:shd w:val="clear" w:color="auto" w:fill="auto"/>
            <w:vAlign w:val="center"/>
          </w:tcPr>
          <w:p w14:paraId="19C9B5D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66A6E2B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790F720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5956C50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52A28FA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4DF06E2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59844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7446DD8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2036年</w:t>
            </w:r>
          </w:p>
        </w:tc>
        <w:tc>
          <w:tcPr>
            <w:tcW w:w="1359" w:type="dxa"/>
            <w:shd w:val="clear" w:color="auto" w:fill="auto"/>
            <w:vAlign w:val="center"/>
          </w:tcPr>
          <w:p w14:paraId="16AE596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3C6D1FB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5C61DB7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004F023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3463B7A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7132CB3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4FD3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1390C3E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2037年</w:t>
            </w:r>
          </w:p>
        </w:tc>
        <w:tc>
          <w:tcPr>
            <w:tcW w:w="1359" w:type="dxa"/>
            <w:shd w:val="clear" w:color="auto" w:fill="auto"/>
            <w:vAlign w:val="center"/>
          </w:tcPr>
          <w:p w14:paraId="056E1B1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04234EC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1E102AFC">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1F7C2AF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47DF181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417227D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42AE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6E48901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2038年</w:t>
            </w:r>
          </w:p>
        </w:tc>
        <w:tc>
          <w:tcPr>
            <w:tcW w:w="1359" w:type="dxa"/>
            <w:shd w:val="clear" w:color="auto" w:fill="auto"/>
            <w:vAlign w:val="center"/>
          </w:tcPr>
          <w:p w14:paraId="3416EE3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0409557C">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4C0B373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214FC98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68B8FB5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4DAB329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0190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29B246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2039年</w:t>
            </w:r>
          </w:p>
        </w:tc>
        <w:tc>
          <w:tcPr>
            <w:tcW w:w="1359" w:type="dxa"/>
            <w:shd w:val="clear" w:color="auto" w:fill="auto"/>
            <w:vAlign w:val="center"/>
          </w:tcPr>
          <w:p w14:paraId="3F570D4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2C9E2C0F">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094B314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2571F2D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50BC8A9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141344E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3A4E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3290FDF">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2040年</w:t>
            </w:r>
          </w:p>
        </w:tc>
        <w:tc>
          <w:tcPr>
            <w:tcW w:w="1359" w:type="dxa"/>
            <w:shd w:val="clear" w:color="auto" w:fill="auto"/>
            <w:vAlign w:val="center"/>
          </w:tcPr>
          <w:p w14:paraId="2917E3F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7BC6C97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640144D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CAB292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446EA85C">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4DBC721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7662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11117077">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2041年</w:t>
            </w:r>
          </w:p>
        </w:tc>
        <w:tc>
          <w:tcPr>
            <w:tcW w:w="1359" w:type="dxa"/>
            <w:shd w:val="clear" w:color="auto" w:fill="auto"/>
            <w:vAlign w:val="center"/>
          </w:tcPr>
          <w:p w14:paraId="3A5FCBD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2423652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72E11B0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6A2F316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1AC0366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511BC14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208F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36BFBFC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2042年</w:t>
            </w:r>
          </w:p>
        </w:tc>
        <w:tc>
          <w:tcPr>
            <w:tcW w:w="1359" w:type="dxa"/>
            <w:shd w:val="clear" w:color="auto" w:fill="auto"/>
            <w:vAlign w:val="center"/>
          </w:tcPr>
          <w:p w14:paraId="2F67F93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6F7C7BE7">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45BAD3E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62AC49E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2924B1A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01E2818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702D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48D7C0B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2043年</w:t>
            </w:r>
          </w:p>
        </w:tc>
        <w:tc>
          <w:tcPr>
            <w:tcW w:w="1359" w:type="dxa"/>
            <w:shd w:val="clear" w:color="auto" w:fill="auto"/>
            <w:vAlign w:val="center"/>
          </w:tcPr>
          <w:p w14:paraId="78C7A05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6467AA3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0862372F">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3E80E1A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0E05694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72D2B92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55A3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0C5928B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2044年</w:t>
            </w:r>
          </w:p>
        </w:tc>
        <w:tc>
          <w:tcPr>
            <w:tcW w:w="1359" w:type="dxa"/>
            <w:shd w:val="clear" w:color="auto" w:fill="auto"/>
            <w:vAlign w:val="center"/>
          </w:tcPr>
          <w:p w14:paraId="75A3D43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5660C66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49A0C2D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4DE926E1">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62BACBE1">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4B884F1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2B95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63D2BFB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2045年</w:t>
            </w:r>
          </w:p>
        </w:tc>
        <w:tc>
          <w:tcPr>
            <w:tcW w:w="1359" w:type="dxa"/>
            <w:shd w:val="clear" w:color="auto" w:fill="auto"/>
            <w:vAlign w:val="center"/>
          </w:tcPr>
          <w:p w14:paraId="41F79DA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10D1B72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7FE135E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E4B15D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340C88E0">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72B70D0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0B75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4A48E05F">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2046年</w:t>
            </w:r>
          </w:p>
        </w:tc>
        <w:tc>
          <w:tcPr>
            <w:tcW w:w="1359" w:type="dxa"/>
            <w:shd w:val="clear" w:color="auto" w:fill="auto"/>
            <w:vAlign w:val="center"/>
          </w:tcPr>
          <w:p w14:paraId="6D4B27E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4EC2ADE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6D9CD7C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3F39C0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5812332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7A2A71F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08B2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629B429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2047年</w:t>
            </w:r>
          </w:p>
        </w:tc>
        <w:tc>
          <w:tcPr>
            <w:tcW w:w="1359" w:type="dxa"/>
            <w:shd w:val="clear" w:color="auto" w:fill="auto"/>
            <w:vAlign w:val="center"/>
          </w:tcPr>
          <w:p w14:paraId="4350B14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04B8FF9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323CEAC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20B5345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466B1A4D">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640B538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311A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3FFEB6E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2048年</w:t>
            </w:r>
          </w:p>
        </w:tc>
        <w:tc>
          <w:tcPr>
            <w:tcW w:w="1359" w:type="dxa"/>
            <w:shd w:val="clear" w:color="auto" w:fill="auto"/>
            <w:vAlign w:val="center"/>
          </w:tcPr>
          <w:p w14:paraId="5FB032B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2C45DD93">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3742943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1FE65D3B">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53F0A15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606BF8D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3E15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12018417">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2049年</w:t>
            </w:r>
          </w:p>
        </w:tc>
        <w:tc>
          <w:tcPr>
            <w:tcW w:w="1359" w:type="dxa"/>
            <w:shd w:val="clear" w:color="auto" w:fill="auto"/>
            <w:vAlign w:val="center"/>
          </w:tcPr>
          <w:p w14:paraId="367E775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71C9C67C">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0AC79C1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CD65BF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3826E4B9">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0675485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04F1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5C1633B7">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2050年</w:t>
            </w:r>
          </w:p>
        </w:tc>
        <w:tc>
          <w:tcPr>
            <w:tcW w:w="1359" w:type="dxa"/>
            <w:shd w:val="clear" w:color="auto" w:fill="auto"/>
            <w:vAlign w:val="center"/>
          </w:tcPr>
          <w:p w14:paraId="092CACD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2653349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0C9C9B3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F67DE1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1A44EADF">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7ED1820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1F5F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2731B19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2051年</w:t>
            </w:r>
          </w:p>
        </w:tc>
        <w:tc>
          <w:tcPr>
            <w:tcW w:w="1359" w:type="dxa"/>
            <w:shd w:val="clear" w:color="auto" w:fill="auto"/>
            <w:vAlign w:val="center"/>
          </w:tcPr>
          <w:p w14:paraId="17105EC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4DC3BA8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58E7899E">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6D2A7C6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107.97</w:t>
            </w:r>
          </w:p>
        </w:tc>
        <w:tc>
          <w:tcPr>
            <w:tcW w:w="1081" w:type="dxa"/>
            <w:shd w:val="clear" w:color="auto" w:fill="auto"/>
            <w:vAlign w:val="center"/>
          </w:tcPr>
          <w:p w14:paraId="5CE3AEB6">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362" w:type="dxa"/>
            <w:shd w:val="clear" w:color="auto" w:fill="auto"/>
            <w:vAlign w:val="center"/>
          </w:tcPr>
          <w:p w14:paraId="5A5C7AC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r>
      <w:tr w14:paraId="0C5BC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2CEE1758">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2052年</w:t>
            </w:r>
          </w:p>
        </w:tc>
        <w:tc>
          <w:tcPr>
            <w:tcW w:w="1359" w:type="dxa"/>
            <w:shd w:val="clear" w:color="auto" w:fill="auto"/>
            <w:vAlign w:val="center"/>
          </w:tcPr>
          <w:p w14:paraId="10628B5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3,050.00</w:t>
            </w:r>
          </w:p>
        </w:tc>
        <w:tc>
          <w:tcPr>
            <w:tcW w:w="1079" w:type="dxa"/>
            <w:shd w:val="clear" w:color="auto" w:fill="auto"/>
            <w:vAlign w:val="center"/>
          </w:tcPr>
          <w:p w14:paraId="0EF706E2">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981" w:type="dxa"/>
            <w:shd w:val="clear" w:color="auto" w:fill="auto"/>
            <w:vAlign w:val="center"/>
          </w:tcPr>
          <w:p w14:paraId="75F8B57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w:t>
            </w:r>
          </w:p>
        </w:tc>
        <w:tc>
          <w:tcPr>
            <w:tcW w:w="1033" w:type="dxa"/>
            <w:shd w:val="clear" w:color="auto" w:fill="auto"/>
            <w:vAlign w:val="center"/>
          </w:tcPr>
          <w:p w14:paraId="70E4AD1A">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53.99</w:t>
            </w:r>
          </w:p>
        </w:tc>
        <w:tc>
          <w:tcPr>
            <w:tcW w:w="1081" w:type="dxa"/>
            <w:shd w:val="clear" w:color="auto" w:fill="auto"/>
            <w:vAlign w:val="center"/>
          </w:tcPr>
          <w:p w14:paraId="18A7C315">
            <w:pPr>
              <w:widowControl/>
              <w:jc w:val="center"/>
              <w:textAlignment w:val="center"/>
              <w:rPr>
                <w:rFonts w:ascii="宋体" w:hAnsi="宋体" w:cs="宋体"/>
                <w:b/>
                <w:bCs/>
                <w:color w:val="000000"/>
                <w:kern w:val="0"/>
                <w:sz w:val="18"/>
                <w:szCs w:val="18"/>
                <w:lang w:bidi="ar"/>
              </w:rPr>
            </w:pPr>
            <w:r>
              <w:rPr>
                <w:rFonts w:hint="eastAsia" w:ascii="宋体" w:hAnsi="宋体" w:cs="宋体"/>
                <w:color w:val="000000"/>
                <w:kern w:val="0"/>
                <w:sz w:val="18"/>
                <w:szCs w:val="18"/>
                <w:lang w:bidi="ar"/>
              </w:rPr>
              <w:t>3,050.00</w:t>
            </w:r>
          </w:p>
        </w:tc>
        <w:tc>
          <w:tcPr>
            <w:tcW w:w="1362" w:type="dxa"/>
            <w:shd w:val="clear" w:color="auto" w:fill="auto"/>
            <w:vAlign w:val="center"/>
          </w:tcPr>
          <w:p w14:paraId="264C0BC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w:t>
            </w:r>
          </w:p>
        </w:tc>
      </w:tr>
      <w:tr w14:paraId="0C1F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594" w:type="dxa"/>
            <w:shd w:val="clear" w:color="auto" w:fill="auto"/>
            <w:vAlign w:val="center"/>
          </w:tcPr>
          <w:p w14:paraId="46DAD281">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合计</w:t>
            </w:r>
          </w:p>
        </w:tc>
        <w:tc>
          <w:tcPr>
            <w:tcW w:w="1359" w:type="dxa"/>
            <w:shd w:val="clear" w:color="auto" w:fill="auto"/>
            <w:vAlign w:val="center"/>
          </w:tcPr>
          <w:p w14:paraId="4D805714">
            <w:pPr>
              <w:jc w:val="center"/>
              <w:rPr>
                <w:rFonts w:ascii="宋体" w:hAnsi="宋体" w:cs="宋体"/>
                <w:color w:val="000000"/>
                <w:kern w:val="0"/>
                <w:sz w:val="18"/>
                <w:szCs w:val="18"/>
              </w:rPr>
            </w:pPr>
          </w:p>
        </w:tc>
        <w:tc>
          <w:tcPr>
            <w:tcW w:w="1079" w:type="dxa"/>
            <w:shd w:val="clear" w:color="auto" w:fill="auto"/>
            <w:vAlign w:val="center"/>
          </w:tcPr>
          <w:p w14:paraId="5C3CF66D">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26,537.00</w:t>
            </w:r>
          </w:p>
        </w:tc>
        <w:tc>
          <w:tcPr>
            <w:tcW w:w="981" w:type="dxa"/>
            <w:shd w:val="clear" w:color="auto" w:fill="auto"/>
            <w:vAlign w:val="center"/>
          </w:tcPr>
          <w:p w14:paraId="4DF3E566">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23.49</w:t>
            </w:r>
          </w:p>
        </w:tc>
        <w:tc>
          <w:tcPr>
            <w:tcW w:w="1033" w:type="dxa"/>
            <w:shd w:val="clear" w:color="auto" w:fill="auto"/>
            <w:vAlign w:val="center"/>
          </w:tcPr>
          <w:p w14:paraId="3B4321F2">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9,163.16</w:t>
            </w:r>
          </w:p>
        </w:tc>
        <w:tc>
          <w:tcPr>
            <w:tcW w:w="1081" w:type="dxa"/>
            <w:shd w:val="clear" w:color="auto" w:fill="auto"/>
            <w:vAlign w:val="center"/>
          </w:tcPr>
          <w:p w14:paraId="7F66C0EB">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26,537.00</w:t>
            </w:r>
          </w:p>
        </w:tc>
        <w:tc>
          <w:tcPr>
            <w:tcW w:w="1362" w:type="dxa"/>
            <w:shd w:val="clear" w:color="auto" w:fill="auto"/>
            <w:vAlign w:val="center"/>
          </w:tcPr>
          <w:p w14:paraId="18378024">
            <w:pPr>
              <w:jc w:val="center"/>
              <w:rPr>
                <w:rFonts w:ascii="宋体" w:hAnsi="宋体" w:cs="宋体"/>
                <w:color w:val="000000"/>
                <w:kern w:val="0"/>
                <w:sz w:val="18"/>
                <w:szCs w:val="18"/>
              </w:rPr>
            </w:pPr>
          </w:p>
        </w:tc>
      </w:tr>
    </w:tbl>
    <w:p w14:paraId="0383C126">
      <w:pPr>
        <w:pStyle w:val="20"/>
        <w:spacing w:before="0" w:beforeAutospacing="0" w:after="156" w:afterLines="50" w:afterAutospacing="0" w:line="360" w:lineRule="exact"/>
        <w:ind w:firstLine="360" w:firstLineChars="200"/>
        <w:jc w:val="both"/>
        <w:rPr>
          <w:rFonts w:hint="eastAsia"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注：30年期债券从债券发行年份的当年起按照每半年支付一次债券利息，5年期债券从债券发行年份的次年起按照每年支付一次债券利息。</w:t>
      </w:r>
    </w:p>
    <w:p w14:paraId="5850343E">
      <w:pPr>
        <w:pStyle w:val="20"/>
        <w:spacing w:before="0" w:beforeAutospacing="0" w:after="156" w:afterLines="50" w:afterAutospacing="0" w:line="360" w:lineRule="exact"/>
        <w:ind w:firstLine="560" w:firstLineChars="200"/>
        <w:jc w:val="both"/>
        <w:rPr>
          <w:rFonts w:hint="eastAsia" w:asciiTheme="minorEastAsia" w:hAnsiTheme="minorEastAsia" w:eastAsiaTheme="minorEastAsia" w:cstheme="minorEastAsia"/>
          <w:bCs/>
          <w:kern w:val="2"/>
          <w:sz w:val="28"/>
          <w:szCs w:val="28"/>
          <w:lang w:val="en-US" w:eastAsia="zh-CN" w:bidi="ar-SA"/>
        </w:rPr>
      </w:pPr>
      <w:r>
        <w:rPr>
          <w:rFonts w:hint="eastAsia" w:asciiTheme="minorEastAsia" w:hAnsiTheme="minorEastAsia" w:eastAsiaTheme="minorEastAsia" w:cstheme="minorEastAsia"/>
          <w:bCs/>
          <w:kern w:val="2"/>
          <w:sz w:val="28"/>
          <w:szCs w:val="28"/>
          <w:lang w:val="en-US" w:eastAsia="zh-CN" w:bidi="ar-SA"/>
        </w:rPr>
        <w:t>2024年江西省金湖管理处雄溪村二期一批安置房（城市棚户区改造）工程专项债券项目实施方案资金充足性分析情况具体如下表3-4及图3-1所示：</w:t>
      </w:r>
    </w:p>
    <w:p w14:paraId="67DA58E0">
      <w:pPr>
        <w:pStyle w:val="20"/>
        <w:spacing w:before="0" w:beforeAutospacing="0" w:after="156" w:afterLines="50" w:afterAutospacing="0" w:line="360" w:lineRule="exact"/>
        <w:ind w:firstLine="420" w:firstLineChars="200"/>
        <w:jc w:val="both"/>
        <w:rPr>
          <w:color w:val="000000" w:themeColor="text1"/>
          <w:sz w:val="21"/>
          <w:szCs w:val="21"/>
          <w14:textFill>
            <w14:solidFill>
              <w14:schemeClr w14:val="tx1"/>
            </w14:solidFill>
          </w14:textFill>
        </w:rPr>
        <w:sectPr>
          <w:pgSz w:w="11906" w:h="16838"/>
          <w:pgMar w:top="1531" w:right="1701" w:bottom="1418" w:left="1701" w:header="851" w:footer="992" w:gutter="0"/>
          <w:pgNumType w:fmt="decimal"/>
          <w:cols w:space="425" w:num="1"/>
          <w:docGrid w:type="linesAndChars" w:linePitch="312" w:charSpace="0"/>
        </w:sectPr>
      </w:pPr>
    </w:p>
    <w:p w14:paraId="76F298EE">
      <w:pPr>
        <w:pStyle w:val="20"/>
        <w:spacing w:after="156" w:afterLines="50" w:afterAutospacing="0" w:line="360" w:lineRule="exact"/>
        <w:ind w:firstLine="440" w:firstLineChars="20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表3-4 </w:t>
      </w:r>
      <w:r>
        <w:rPr>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2024年江西省金湖管理处雄溪村二期一批安置房（城市棚户区改造）工程专项债券项目实施方案资金充足性分析情况表</w:t>
      </w:r>
    </w:p>
    <w:p w14:paraId="5C285F42">
      <w:pPr>
        <w:pStyle w:val="20"/>
        <w:spacing w:before="0" w:beforeAutospacing="0" w:after="156" w:afterLines="5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1897"/>
        <w:gridCol w:w="1279"/>
        <w:gridCol w:w="1073"/>
        <w:gridCol w:w="1073"/>
        <w:gridCol w:w="1174"/>
        <w:gridCol w:w="1073"/>
        <w:gridCol w:w="1174"/>
        <w:gridCol w:w="1174"/>
        <w:gridCol w:w="1174"/>
        <w:gridCol w:w="1174"/>
        <w:gridCol w:w="1174"/>
      </w:tblGrid>
      <w:tr w14:paraId="153C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234" w:type="pct"/>
            <w:shd w:val="clear" w:color="auto" w:fill="auto"/>
            <w:vAlign w:val="center"/>
          </w:tcPr>
          <w:p w14:paraId="0CBC0BB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序号</w:t>
            </w:r>
          </w:p>
        </w:tc>
        <w:tc>
          <w:tcPr>
            <w:tcW w:w="672" w:type="pct"/>
            <w:shd w:val="clear" w:color="auto" w:fill="auto"/>
            <w:vAlign w:val="center"/>
          </w:tcPr>
          <w:p w14:paraId="35030E0E">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453" w:type="pct"/>
            <w:shd w:val="clear" w:color="auto" w:fill="auto"/>
            <w:vAlign w:val="center"/>
          </w:tcPr>
          <w:p w14:paraId="68E234A0">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合计</w:t>
            </w:r>
          </w:p>
        </w:tc>
        <w:tc>
          <w:tcPr>
            <w:tcW w:w="380" w:type="pct"/>
            <w:shd w:val="clear" w:color="auto" w:fill="auto"/>
            <w:vAlign w:val="center"/>
          </w:tcPr>
          <w:p w14:paraId="191CBE65">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2023年</w:t>
            </w:r>
          </w:p>
        </w:tc>
        <w:tc>
          <w:tcPr>
            <w:tcW w:w="380" w:type="pct"/>
            <w:shd w:val="clear" w:color="auto" w:fill="auto"/>
            <w:vAlign w:val="center"/>
          </w:tcPr>
          <w:p w14:paraId="2489C9AB">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2024年</w:t>
            </w:r>
          </w:p>
        </w:tc>
        <w:tc>
          <w:tcPr>
            <w:tcW w:w="416" w:type="pct"/>
            <w:shd w:val="clear" w:color="auto" w:fill="auto"/>
            <w:vAlign w:val="center"/>
          </w:tcPr>
          <w:p w14:paraId="7E9417B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2025年</w:t>
            </w:r>
          </w:p>
        </w:tc>
        <w:tc>
          <w:tcPr>
            <w:tcW w:w="380" w:type="pct"/>
            <w:shd w:val="clear" w:color="auto" w:fill="auto"/>
            <w:vAlign w:val="center"/>
          </w:tcPr>
          <w:p w14:paraId="14B498B5">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2026年</w:t>
            </w:r>
          </w:p>
        </w:tc>
        <w:tc>
          <w:tcPr>
            <w:tcW w:w="416" w:type="pct"/>
            <w:shd w:val="clear" w:color="auto" w:fill="auto"/>
            <w:vAlign w:val="center"/>
          </w:tcPr>
          <w:p w14:paraId="16E6D88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2027年</w:t>
            </w:r>
          </w:p>
        </w:tc>
        <w:tc>
          <w:tcPr>
            <w:tcW w:w="416" w:type="pct"/>
            <w:shd w:val="clear" w:color="auto" w:fill="auto"/>
            <w:vAlign w:val="center"/>
          </w:tcPr>
          <w:p w14:paraId="7FDCEB49">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2028年</w:t>
            </w:r>
          </w:p>
        </w:tc>
        <w:tc>
          <w:tcPr>
            <w:tcW w:w="416" w:type="pct"/>
            <w:shd w:val="clear" w:color="auto" w:fill="auto"/>
            <w:vAlign w:val="center"/>
          </w:tcPr>
          <w:p w14:paraId="03E53CAC">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2029年</w:t>
            </w:r>
          </w:p>
        </w:tc>
        <w:tc>
          <w:tcPr>
            <w:tcW w:w="416" w:type="pct"/>
            <w:shd w:val="clear" w:color="auto" w:fill="auto"/>
            <w:vAlign w:val="center"/>
          </w:tcPr>
          <w:p w14:paraId="2DF9E05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2030年</w:t>
            </w:r>
          </w:p>
        </w:tc>
        <w:tc>
          <w:tcPr>
            <w:tcW w:w="416" w:type="pct"/>
            <w:shd w:val="clear" w:color="auto" w:fill="auto"/>
            <w:vAlign w:val="center"/>
          </w:tcPr>
          <w:p w14:paraId="59805C46">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2031年</w:t>
            </w:r>
          </w:p>
        </w:tc>
      </w:tr>
      <w:tr w14:paraId="1120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03D72373">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一</w:t>
            </w:r>
          </w:p>
        </w:tc>
        <w:tc>
          <w:tcPr>
            <w:tcW w:w="672" w:type="pct"/>
            <w:shd w:val="clear" w:color="auto" w:fill="auto"/>
            <w:vAlign w:val="center"/>
          </w:tcPr>
          <w:p w14:paraId="469070BF">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现金流入</w:t>
            </w:r>
          </w:p>
        </w:tc>
        <w:tc>
          <w:tcPr>
            <w:tcW w:w="1279" w:type="dxa"/>
            <w:shd w:val="clear" w:color="auto" w:fill="auto"/>
            <w:vAlign w:val="center"/>
          </w:tcPr>
          <w:p w14:paraId="1695D54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113,740.72</w:t>
            </w:r>
          </w:p>
        </w:tc>
        <w:tc>
          <w:tcPr>
            <w:tcW w:w="1073" w:type="dxa"/>
            <w:shd w:val="clear" w:color="auto" w:fill="auto"/>
            <w:vAlign w:val="center"/>
          </w:tcPr>
          <w:p w14:paraId="5EA66D44">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4,559.43</w:t>
            </w:r>
          </w:p>
        </w:tc>
        <w:tc>
          <w:tcPr>
            <w:tcW w:w="1073" w:type="dxa"/>
            <w:shd w:val="clear" w:color="auto" w:fill="auto"/>
            <w:vAlign w:val="center"/>
          </w:tcPr>
          <w:p w14:paraId="1C05BB6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10,873.91</w:t>
            </w:r>
          </w:p>
        </w:tc>
        <w:tc>
          <w:tcPr>
            <w:tcW w:w="1174" w:type="dxa"/>
            <w:shd w:val="clear" w:color="auto" w:fill="auto"/>
            <w:vAlign w:val="center"/>
          </w:tcPr>
          <w:p w14:paraId="03709544">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11,324.75</w:t>
            </w:r>
          </w:p>
        </w:tc>
        <w:tc>
          <w:tcPr>
            <w:tcW w:w="1073" w:type="dxa"/>
            <w:shd w:val="clear" w:color="auto" w:fill="auto"/>
            <w:vAlign w:val="center"/>
          </w:tcPr>
          <w:p w14:paraId="06D8C99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7,341.13</w:t>
            </w:r>
          </w:p>
        </w:tc>
        <w:tc>
          <w:tcPr>
            <w:tcW w:w="1174" w:type="dxa"/>
            <w:shd w:val="clear" w:color="auto" w:fill="auto"/>
            <w:vAlign w:val="center"/>
          </w:tcPr>
          <w:p w14:paraId="17E7E75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48,767.17</w:t>
            </w:r>
          </w:p>
        </w:tc>
        <w:tc>
          <w:tcPr>
            <w:tcW w:w="1174" w:type="dxa"/>
            <w:shd w:val="clear" w:color="auto" w:fill="auto"/>
            <w:vAlign w:val="center"/>
          </w:tcPr>
          <w:p w14:paraId="3A97653A">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47473C7">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30,874.33</w:t>
            </w:r>
          </w:p>
        </w:tc>
        <w:tc>
          <w:tcPr>
            <w:tcW w:w="1174" w:type="dxa"/>
            <w:shd w:val="clear" w:color="auto" w:fill="auto"/>
            <w:vAlign w:val="center"/>
          </w:tcPr>
          <w:p w14:paraId="3836B5A7">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2688210">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5C4F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3FE2AA1D">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72" w:type="pct"/>
            <w:shd w:val="clear" w:color="auto" w:fill="auto"/>
            <w:vAlign w:val="center"/>
          </w:tcPr>
          <w:p w14:paraId="20CE6C9C">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279" w:type="dxa"/>
            <w:shd w:val="clear" w:color="auto" w:fill="auto"/>
            <w:vAlign w:val="center"/>
          </w:tcPr>
          <w:p w14:paraId="1AF2B365">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76,684.11</w:t>
            </w:r>
          </w:p>
        </w:tc>
        <w:tc>
          <w:tcPr>
            <w:tcW w:w="1073" w:type="dxa"/>
            <w:shd w:val="clear" w:color="auto" w:fill="auto"/>
            <w:vAlign w:val="center"/>
          </w:tcPr>
          <w:p w14:paraId="2E83ABB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9551D7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5BA04C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D42557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42CEFE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45,809.78</w:t>
            </w:r>
          </w:p>
        </w:tc>
        <w:tc>
          <w:tcPr>
            <w:tcW w:w="1174" w:type="dxa"/>
            <w:shd w:val="clear" w:color="auto" w:fill="auto"/>
            <w:vAlign w:val="center"/>
          </w:tcPr>
          <w:p w14:paraId="6831146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6D73C06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30,874.33</w:t>
            </w:r>
          </w:p>
        </w:tc>
        <w:tc>
          <w:tcPr>
            <w:tcW w:w="1174" w:type="dxa"/>
            <w:shd w:val="clear" w:color="auto" w:fill="auto"/>
            <w:vAlign w:val="center"/>
          </w:tcPr>
          <w:p w14:paraId="16106F4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6634062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0B08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55376906">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72" w:type="pct"/>
            <w:shd w:val="clear" w:color="auto" w:fill="auto"/>
            <w:vAlign w:val="center"/>
          </w:tcPr>
          <w:p w14:paraId="32DEF1ED">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279" w:type="dxa"/>
            <w:shd w:val="clear" w:color="auto" w:fill="auto"/>
            <w:vAlign w:val="center"/>
          </w:tcPr>
          <w:p w14:paraId="3A0B8961">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4D00B2EB">
            <w:pPr>
              <w:jc w:val="center"/>
              <w:rPr>
                <w:rFonts w:ascii="宋体" w:hAnsi="宋体" w:cs="宋体"/>
                <w:color w:val="000000"/>
                <w:kern w:val="0"/>
                <w:sz w:val="18"/>
                <w:szCs w:val="18"/>
              </w:rPr>
            </w:pPr>
          </w:p>
        </w:tc>
        <w:tc>
          <w:tcPr>
            <w:tcW w:w="1073" w:type="dxa"/>
            <w:shd w:val="clear" w:color="auto" w:fill="auto"/>
            <w:vAlign w:val="center"/>
          </w:tcPr>
          <w:p w14:paraId="3AD37AEB">
            <w:pPr>
              <w:jc w:val="center"/>
              <w:rPr>
                <w:rFonts w:ascii="宋体" w:hAnsi="宋体" w:cs="宋体"/>
                <w:color w:val="000000"/>
                <w:kern w:val="0"/>
                <w:sz w:val="18"/>
                <w:szCs w:val="18"/>
              </w:rPr>
            </w:pPr>
          </w:p>
        </w:tc>
        <w:tc>
          <w:tcPr>
            <w:tcW w:w="1174" w:type="dxa"/>
            <w:shd w:val="clear" w:color="auto" w:fill="auto"/>
            <w:vAlign w:val="center"/>
          </w:tcPr>
          <w:p w14:paraId="64EA9A3E">
            <w:pPr>
              <w:jc w:val="center"/>
              <w:rPr>
                <w:rFonts w:ascii="宋体" w:hAnsi="宋体" w:cs="宋体"/>
                <w:color w:val="000000"/>
                <w:kern w:val="0"/>
                <w:sz w:val="18"/>
                <w:szCs w:val="18"/>
              </w:rPr>
            </w:pPr>
          </w:p>
        </w:tc>
        <w:tc>
          <w:tcPr>
            <w:tcW w:w="1073" w:type="dxa"/>
            <w:shd w:val="clear" w:color="auto" w:fill="auto"/>
            <w:vAlign w:val="center"/>
          </w:tcPr>
          <w:p w14:paraId="4B67F0A2">
            <w:pPr>
              <w:jc w:val="center"/>
              <w:rPr>
                <w:rFonts w:ascii="宋体" w:hAnsi="宋体" w:cs="宋体"/>
                <w:color w:val="000000"/>
                <w:kern w:val="0"/>
                <w:sz w:val="18"/>
                <w:szCs w:val="18"/>
              </w:rPr>
            </w:pPr>
          </w:p>
        </w:tc>
        <w:tc>
          <w:tcPr>
            <w:tcW w:w="1174" w:type="dxa"/>
            <w:shd w:val="clear" w:color="auto" w:fill="auto"/>
            <w:vAlign w:val="center"/>
          </w:tcPr>
          <w:p w14:paraId="0FEAD7E1">
            <w:pPr>
              <w:jc w:val="center"/>
              <w:rPr>
                <w:rFonts w:ascii="宋体" w:hAnsi="宋体" w:cs="宋体"/>
                <w:color w:val="000000"/>
                <w:kern w:val="0"/>
                <w:sz w:val="18"/>
                <w:szCs w:val="18"/>
              </w:rPr>
            </w:pPr>
          </w:p>
        </w:tc>
        <w:tc>
          <w:tcPr>
            <w:tcW w:w="1174" w:type="dxa"/>
            <w:shd w:val="clear" w:color="auto" w:fill="auto"/>
            <w:vAlign w:val="center"/>
          </w:tcPr>
          <w:p w14:paraId="27043A4F">
            <w:pPr>
              <w:jc w:val="center"/>
              <w:rPr>
                <w:rFonts w:ascii="宋体" w:hAnsi="宋体" w:cs="宋体"/>
                <w:color w:val="000000"/>
                <w:kern w:val="0"/>
                <w:sz w:val="18"/>
                <w:szCs w:val="18"/>
              </w:rPr>
            </w:pPr>
          </w:p>
        </w:tc>
        <w:tc>
          <w:tcPr>
            <w:tcW w:w="1174" w:type="dxa"/>
            <w:shd w:val="clear" w:color="auto" w:fill="auto"/>
            <w:vAlign w:val="center"/>
          </w:tcPr>
          <w:p w14:paraId="5F0BE421">
            <w:pPr>
              <w:jc w:val="center"/>
              <w:rPr>
                <w:rFonts w:ascii="宋体" w:hAnsi="宋体" w:cs="宋体"/>
                <w:color w:val="000000"/>
                <w:kern w:val="0"/>
                <w:sz w:val="18"/>
                <w:szCs w:val="18"/>
              </w:rPr>
            </w:pPr>
          </w:p>
        </w:tc>
        <w:tc>
          <w:tcPr>
            <w:tcW w:w="1174" w:type="dxa"/>
            <w:shd w:val="clear" w:color="auto" w:fill="auto"/>
            <w:vAlign w:val="center"/>
          </w:tcPr>
          <w:p w14:paraId="2BBF66E7">
            <w:pPr>
              <w:jc w:val="center"/>
              <w:rPr>
                <w:rFonts w:ascii="宋体" w:hAnsi="宋体" w:cs="宋体"/>
                <w:color w:val="000000"/>
                <w:kern w:val="0"/>
                <w:sz w:val="18"/>
                <w:szCs w:val="18"/>
              </w:rPr>
            </w:pPr>
          </w:p>
        </w:tc>
        <w:tc>
          <w:tcPr>
            <w:tcW w:w="1174" w:type="dxa"/>
            <w:shd w:val="clear" w:color="auto" w:fill="auto"/>
            <w:vAlign w:val="center"/>
          </w:tcPr>
          <w:p w14:paraId="32B03580">
            <w:pPr>
              <w:jc w:val="center"/>
              <w:rPr>
                <w:rFonts w:ascii="宋体" w:hAnsi="宋体" w:eastAsia="宋体" w:cs="宋体"/>
                <w:color w:val="000000"/>
                <w:kern w:val="0"/>
                <w:sz w:val="18"/>
                <w:szCs w:val="18"/>
                <w:lang w:val="en-US" w:eastAsia="zh-CN" w:bidi="ar-SA"/>
              </w:rPr>
            </w:pPr>
          </w:p>
        </w:tc>
      </w:tr>
      <w:tr w14:paraId="012A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54F6DEDB">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72" w:type="pct"/>
            <w:shd w:val="clear" w:color="auto" w:fill="auto"/>
            <w:vAlign w:val="center"/>
          </w:tcPr>
          <w:p w14:paraId="4F97DFD0">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279" w:type="dxa"/>
            <w:shd w:val="clear" w:color="auto" w:fill="auto"/>
            <w:vAlign w:val="center"/>
          </w:tcPr>
          <w:p w14:paraId="42F327E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76,684.11</w:t>
            </w:r>
          </w:p>
        </w:tc>
        <w:tc>
          <w:tcPr>
            <w:tcW w:w="1073" w:type="dxa"/>
            <w:shd w:val="clear" w:color="auto" w:fill="auto"/>
            <w:vAlign w:val="center"/>
          </w:tcPr>
          <w:p w14:paraId="452DFCC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083FF3F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75B8E4F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37E80FF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4FB0AB9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45,809.78</w:t>
            </w:r>
          </w:p>
        </w:tc>
        <w:tc>
          <w:tcPr>
            <w:tcW w:w="1174" w:type="dxa"/>
            <w:shd w:val="clear" w:color="auto" w:fill="auto"/>
            <w:noWrap/>
            <w:vAlign w:val="center"/>
          </w:tcPr>
          <w:p w14:paraId="2168945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7E3DB44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30,874.33</w:t>
            </w:r>
          </w:p>
        </w:tc>
        <w:tc>
          <w:tcPr>
            <w:tcW w:w="1174" w:type="dxa"/>
            <w:shd w:val="clear" w:color="auto" w:fill="auto"/>
            <w:noWrap/>
            <w:vAlign w:val="center"/>
          </w:tcPr>
          <w:p w14:paraId="6E79EA3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6745B5B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4E84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38410B81">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72" w:type="pct"/>
            <w:shd w:val="clear" w:color="auto" w:fill="auto"/>
            <w:vAlign w:val="center"/>
          </w:tcPr>
          <w:p w14:paraId="263AAC7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279" w:type="dxa"/>
            <w:shd w:val="clear" w:color="auto" w:fill="auto"/>
            <w:vAlign w:val="center"/>
          </w:tcPr>
          <w:p w14:paraId="15A3D361">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26,537.00</w:t>
            </w:r>
          </w:p>
        </w:tc>
        <w:tc>
          <w:tcPr>
            <w:tcW w:w="1073" w:type="dxa"/>
            <w:shd w:val="clear" w:color="auto" w:fill="auto"/>
            <w:vAlign w:val="center"/>
          </w:tcPr>
          <w:p w14:paraId="33C3E06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3,500.00</w:t>
            </w:r>
          </w:p>
        </w:tc>
        <w:tc>
          <w:tcPr>
            <w:tcW w:w="1073" w:type="dxa"/>
            <w:shd w:val="clear" w:color="auto" w:fill="auto"/>
            <w:vAlign w:val="center"/>
          </w:tcPr>
          <w:p w14:paraId="0F77187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7,550.00</w:t>
            </w:r>
          </w:p>
        </w:tc>
        <w:tc>
          <w:tcPr>
            <w:tcW w:w="1174" w:type="dxa"/>
            <w:shd w:val="clear" w:color="auto" w:fill="auto"/>
            <w:vAlign w:val="center"/>
          </w:tcPr>
          <w:p w14:paraId="1E13F1D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8,950.00</w:t>
            </w:r>
          </w:p>
        </w:tc>
        <w:tc>
          <w:tcPr>
            <w:tcW w:w="1073" w:type="dxa"/>
            <w:shd w:val="clear" w:color="auto" w:fill="auto"/>
            <w:vAlign w:val="center"/>
          </w:tcPr>
          <w:p w14:paraId="292FAAE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5,000.00</w:t>
            </w:r>
          </w:p>
        </w:tc>
        <w:tc>
          <w:tcPr>
            <w:tcW w:w="1174" w:type="dxa"/>
            <w:shd w:val="clear" w:color="auto" w:fill="auto"/>
            <w:vAlign w:val="center"/>
          </w:tcPr>
          <w:p w14:paraId="19C0B18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1,537.00</w:t>
            </w:r>
          </w:p>
        </w:tc>
        <w:tc>
          <w:tcPr>
            <w:tcW w:w="1174" w:type="dxa"/>
            <w:shd w:val="clear" w:color="auto" w:fill="auto"/>
            <w:vAlign w:val="center"/>
          </w:tcPr>
          <w:p w14:paraId="78F26C5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263F6CE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DF95B5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78B28FD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7B2F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105161AD">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72" w:type="pct"/>
            <w:shd w:val="clear" w:color="auto" w:fill="auto"/>
            <w:vAlign w:val="center"/>
          </w:tcPr>
          <w:p w14:paraId="34538869">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279" w:type="dxa"/>
            <w:shd w:val="clear" w:color="auto" w:fill="auto"/>
            <w:vAlign w:val="center"/>
          </w:tcPr>
          <w:p w14:paraId="4299655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26,537.00</w:t>
            </w:r>
          </w:p>
        </w:tc>
        <w:tc>
          <w:tcPr>
            <w:tcW w:w="1073" w:type="dxa"/>
            <w:shd w:val="clear" w:color="auto" w:fill="auto"/>
            <w:vAlign w:val="center"/>
          </w:tcPr>
          <w:p w14:paraId="576DE50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3,500.00</w:t>
            </w:r>
          </w:p>
        </w:tc>
        <w:tc>
          <w:tcPr>
            <w:tcW w:w="1073" w:type="dxa"/>
            <w:shd w:val="clear" w:color="auto" w:fill="auto"/>
            <w:vAlign w:val="center"/>
          </w:tcPr>
          <w:p w14:paraId="3738F61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7,550.00</w:t>
            </w:r>
          </w:p>
        </w:tc>
        <w:tc>
          <w:tcPr>
            <w:tcW w:w="1174" w:type="dxa"/>
            <w:shd w:val="clear" w:color="auto" w:fill="auto"/>
            <w:vAlign w:val="center"/>
          </w:tcPr>
          <w:p w14:paraId="42DA260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8,950.00</w:t>
            </w:r>
          </w:p>
        </w:tc>
        <w:tc>
          <w:tcPr>
            <w:tcW w:w="1073" w:type="dxa"/>
            <w:shd w:val="clear" w:color="auto" w:fill="auto"/>
            <w:vAlign w:val="center"/>
          </w:tcPr>
          <w:p w14:paraId="2741BB8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5,000.00</w:t>
            </w:r>
          </w:p>
        </w:tc>
        <w:tc>
          <w:tcPr>
            <w:tcW w:w="1174" w:type="dxa"/>
            <w:shd w:val="clear" w:color="auto" w:fill="auto"/>
            <w:vAlign w:val="center"/>
          </w:tcPr>
          <w:p w14:paraId="7688807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1,537.00</w:t>
            </w:r>
          </w:p>
        </w:tc>
        <w:tc>
          <w:tcPr>
            <w:tcW w:w="1174" w:type="dxa"/>
            <w:shd w:val="clear" w:color="auto" w:fill="auto"/>
            <w:vAlign w:val="center"/>
          </w:tcPr>
          <w:p w14:paraId="2E304876">
            <w:pPr>
              <w:jc w:val="center"/>
              <w:rPr>
                <w:rFonts w:ascii="宋体" w:hAnsi="宋体" w:cs="宋体"/>
                <w:color w:val="000000"/>
                <w:kern w:val="0"/>
                <w:sz w:val="18"/>
                <w:szCs w:val="18"/>
              </w:rPr>
            </w:pPr>
          </w:p>
        </w:tc>
        <w:tc>
          <w:tcPr>
            <w:tcW w:w="1174" w:type="dxa"/>
            <w:shd w:val="clear" w:color="auto" w:fill="auto"/>
            <w:vAlign w:val="center"/>
          </w:tcPr>
          <w:p w14:paraId="2F1ACF2D">
            <w:pPr>
              <w:jc w:val="center"/>
              <w:rPr>
                <w:rFonts w:ascii="宋体" w:hAnsi="宋体" w:cs="宋体"/>
                <w:color w:val="000000"/>
                <w:kern w:val="0"/>
                <w:sz w:val="18"/>
                <w:szCs w:val="18"/>
              </w:rPr>
            </w:pPr>
          </w:p>
        </w:tc>
        <w:tc>
          <w:tcPr>
            <w:tcW w:w="1174" w:type="dxa"/>
            <w:shd w:val="clear" w:color="auto" w:fill="auto"/>
            <w:vAlign w:val="center"/>
          </w:tcPr>
          <w:p w14:paraId="75B6C827">
            <w:pPr>
              <w:jc w:val="center"/>
              <w:rPr>
                <w:rFonts w:ascii="宋体" w:hAnsi="宋体" w:cs="宋体"/>
                <w:color w:val="000000"/>
                <w:kern w:val="0"/>
                <w:sz w:val="18"/>
                <w:szCs w:val="18"/>
              </w:rPr>
            </w:pPr>
          </w:p>
        </w:tc>
        <w:tc>
          <w:tcPr>
            <w:tcW w:w="1174" w:type="dxa"/>
            <w:shd w:val="clear" w:color="auto" w:fill="auto"/>
            <w:vAlign w:val="center"/>
          </w:tcPr>
          <w:p w14:paraId="62F36195">
            <w:pPr>
              <w:jc w:val="center"/>
              <w:rPr>
                <w:rFonts w:ascii="宋体" w:hAnsi="宋体" w:eastAsia="宋体" w:cs="宋体"/>
                <w:color w:val="000000"/>
                <w:kern w:val="0"/>
                <w:sz w:val="18"/>
                <w:szCs w:val="18"/>
                <w:lang w:val="en-US" w:eastAsia="zh-CN" w:bidi="ar-SA"/>
              </w:rPr>
            </w:pPr>
          </w:p>
        </w:tc>
      </w:tr>
      <w:tr w14:paraId="6562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2F2EEDE2">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72" w:type="pct"/>
            <w:shd w:val="clear" w:color="auto" w:fill="auto"/>
            <w:vAlign w:val="center"/>
          </w:tcPr>
          <w:p w14:paraId="33B12F8B">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279" w:type="dxa"/>
            <w:shd w:val="clear" w:color="auto" w:fill="auto"/>
            <w:vAlign w:val="center"/>
          </w:tcPr>
          <w:p w14:paraId="38C3027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2FE3A9D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6A2D76F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6FBAD34">
            <w:pPr>
              <w:jc w:val="center"/>
              <w:rPr>
                <w:rFonts w:ascii="宋体" w:hAnsi="宋体" w:cs="宋体"/>
                <w:color w:val="000000"/>
                <w:kern w:val="0"/>
                <w:sz w:val="18"/>
                <w:szCs w:val="18"/>
              </w:rPr>
            </w:pPr>
          </w:p>
        </w:tc>
        <w:tc>
          <w:tcPr>
            <w:tcW w:w="1073" w:type="dxa"/>
            <w:shd w:val="clear" w:color="auto" w:fill="auto"/>
            <w:vAlign w:val="center"/>
          </w:tcPr>
          <w:p w14:paraId="44743B97">
            <w:pPr>
              <w:jc w:val="center"/>
              <w:rPr>
                <w:rFonts w:ascii="宋体" w:hAnsi="宋体" w:cs="宋体"/>
                <w:color w:val="000000"/>
                <w:kern w:val="0"/>
                <w:sz w:val="18"/>
                <w:szCs w:val="18"/>
              </w:rPr>
            </w:pPr>
          </w:p>
        </w:tc>
        <w:tc>
          <w:tcPr>
            <w:tcW w:w="1174" w:type="dxa"/>
            <w:shd w:val="clear" w:color="auto" w:fill="auto"/>
            <w:vAlign w:val="center"/>
          </w:tcPr>
          <w:p w14:paraId="05D77264">
            <w:pPr>
              <w:jc w:val="center"/>
              <w:rPr>
                <w:rFonts w:ascii="宋体" w:hAnsi="宋体" w:cs="宋体"/>
                <w:color w:val="000000"/>
                <w:kern w:val="0"/>
                <w:sz w:val="18"/>
                <w:szCs w:val="18"/>
              </w:rPr>
            </w:pPr>
          </w:p>
        </w:tc>
        <w:tc>
          <w:tcPr>
            <w:tcW w:w="1174" w:type="dxa"/>
            <w:shd w:val="clear" w:color="auto" w:fill="auto"/>
            <w:vAlign w:val="center"/>
          </w:tcPr>
          <w:p w14:paraId="607AA1A4">
            <w:pPr>
              <w:jc w:val="center"/>
              <w:rPr>
                <w:rFonts w:ascii="宋体" w:hAnsi="宋体" w:cs="宋体"/>
                <w:color w:val="000000"/>
                <w:kern w:val="0"/>
                <w:sz w:val="18"/>
                <w:szCs w:val="18"/>
              </w:rPr>
            </w:pPr>
          </w:p>
        </w:tc>
        <w:tc>
          <w:tcPr>
            <w:tcW w:w="1174" w:type="dxa"/>
            <w:shd w:val="clear" w:color="auto" w:fill="auto"/>
            <w:vAlign w:val="center"/>
          </w:tcPr>
          <w:p w14:paraId="12F5681F">
            <w:pPr>
              <w:jc w:val="center"/>
              <w:rPr>
                <w:rFonts w:ascii="宋体" w:hAnsi="宋体" w:cs="宋体"/>
                <w:color w:val="000000"/>
                <w:kern w:val="0"/>
                <w:sz w:val="18"/>
                <w:szCs w:val="18"/>
              </w:rPr>
            </w:pPr>
          </w:p>
        </w:tc>
        <w:tc>
          <w:tcPr>
            <w:tcW w:w="1174" w:type="dxa"/>
            <w:shd w:val="clear" w:color="auto" w:fill="auto"/>
            <w:vAlign w:val="center"/>
          </w:tcPr>
          <w:p w14:paraId="607B2098">
            <w:pPr>
              <w:jc w:val="center"/>
              <w:rPr>
                <w:rFonts w:ascii="宋体" w:hAnsi="宋体" w:cs="宋体"/>
                <w:color w:val="000000"/>
                <w:kern w:val="0"/>
                <w:sz w:val="18"/>
                <w:szCs w:val="18"/>
              </w:rPr>
            </w:pPr>
          </w:p>
        </w:tc>
        <w:tc>
          <w:tcPr>
            <w:tcW w:w="1174" w:type="dxa"/>
            <w:shd w:val="clear" w:color="auto" w:fill="auto"/>
            <w:vAlign w:val="center"/>
          </w:tcPr>
          <w:p w14:paraId="3164DEB6">
            <w:pPr>
              <w:jc w:val="center"/>
              <w:rPr>
                <w:rFonts w:ascii="宋体" w:hAnsi="宋体" w:eastAsia="宋体" w:cs="宋体"/>
                <w:color w:val="000000"/>
                <w:kern w:val="0"/>
                <w:sz w:val="18"/>
                <w:szCs w:val="18"/>
                <w:lang w:val="en-US" w:eastAsia="zh-CN" w:bidi="ar-SA"/>
              </w:rPr>
            </w:pPr>
          </w:p>
        </w:tc>
      </w:tr>
      <w:tr w14:paraId="64090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4AA135A4">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72" w:type="pct"/>
            <w:shd w:val="clear" w:color="auto" w:fill="auto"/>
            <w:vAlign w:val="center"/>
          </w:tcPr>
          <w:p w14:paraId="77B8570D">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279" w:type="dxa"/>
            <w:shd w:val="clear" w:color="auto" w:fill="auto"/>
            <w:vAlign w:val="center"/>
          </w:tcPr>
          <w:p w14:paraId="6E6245BD">
            <w:pPr>
              <w:keepNext w:val="0"/>
              <w:keepLines w:val="0"/>
              <w:widowControl/>
              <w:suppressLineNumbers w:val="0"/>
              <w:jc w:val="center"/>
              <w:textAlignment w:val="center"/>
              <w:rPr>
                <w:rFonts w:hint="eastAsia" w:ascii="宋体" w:hAnsi="宋体" w:eastAsia="宋体" w:cs="宋体"/>
                <w:bCs/>
                <w:color w:val="000000"/>
                <w:kern w:val="0"/>
                <w:sz w:val="18"/>
                <w:szCs w:val="18"/>
                <w:lang w:eastAsia="zh-CN"/>
              </w:rPr>
            </w:pPr>
            <w:r>
              <w:rPr>
                <w:rFonts w:hint="eastAsia" w:ascii="宋体" w:hAnsi="宋体" w:eastAsia="宋体" w:cs="宋体"/>
                <w:i w:val="0"/>
                <w:iCs w:val="0"/>
                <w:color w:val="000000"/>
                <w:kern w:val="0"/>
                <w:sz w:val="18"/>
                <w:szCs w:val="18"/>
                <w:u w:val="none"/>
                <w:lang w:val="en-US" w:eastAsia="zh-CN" w:bidi="ar"/>
              </w:rPr>
              <w:t>10,519.61</w:t>
            </w:r>
          </w:p>
        </w:tc>
        <w:tc>
          <w:tcPr>
            <w:tcW w:w="1073" w:type="dxa"/>
            <w:shd w:val="clear" w:color="auto" w:fill="auto"/>
            <w:vAlign w:val="center"/>
          </w:tcPr>
          <w:p w14:paraId="2338653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1,059.43</w:t>
            </w:r>
          </w:p>
        </w:tc>
        <w:tc>
          <w:tcPr>
            <w:tcW w:w="1073" w:type="dxa"/>
            <w:shd w:val="clear" w:color="auto" w:fill="auto"/>
            <w:vAlign w:val="center"/>
          </w:tcPr>
          <w:p w14:paraId="56E7EC6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3,323.91</w:t>
            </w:r>
          </w:p>
        </w:tc>
        <w:tc>
          <w:tcPr>
            <w:tcW w:w="1174" w:type="dxa"/>
            <w:shd w:val="clear" w:color="auto" w:fill="auto"/>
            <w:vAlign w:val="center"/>
          </w:tcPr>
          <w:p w14:paraId="18F7512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2,374.75</w:t>
            </w:r>
          </w:p>
        </w:tc>
        <w:tc>
          <w:tcPr>
            <w:tcW w:w="1073" w:type="dxa"/>
            <w:shd w:val="clear" w:color="auto" w:fill="auto"/>
            <w:vAlign w:val="center"/>
          </w:tcPr>
          <w:p w14:paraId="77BD340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2,341.13</w:t>
            </w:r>
          </w:p>
        </w:tc>
        <w:tc>
          <w:tcPr>
            <w:tcW w:w="1174" w:type="dxa"/>
            <w:shd w:val="clear" w:color="auto" w:fill="auto"/>
            <w:vAlign w:val="center"/>
          </w:tcPr>
          <w:p w14:paraId="444D6DF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1,420.39</w:t>
            </w:r>
          </w:p>
        </w:tc>
        <w:tc>
          <w:tcPr>
            <w:tcW w:w="1174" w:type="dxa"/>
            <w:shd w:val="clear" w:color="auto" w:fill="auto"/>
            <w:vAlign w:val="center"/>
          </w:tcPr>
          <w:p w14:paraId="1835F384">
            <w:pPr>
              <w:jc w:val="center"/>
              <w:rPr>
                <w:rFonts w:ascii="宋体" w:hAnsi="宋体" w:cs="宋体"/>
                <w:color w:val="000000"/>
                <w:kern w:val="0"/>
                <w:sz w:val="18"/>
                <w:szCs w:val="18"/>
              </w:rPr>
            </w:pPr>
          </w:p>
        </w:tc>
        <w:tc>
          <w:tcPr>
            <w:tcW w:w="1174" w:type="dxa"/>
            <w:shd w:val="clear" w:color="auto" w:fill="auto"/>
            <w:vAlign w:val="center"/>
          </w:tcPr>
          <w:p w14:paraId="4FF43F0F">
            <w:pPr>
              <w:jc w:val="center"/>
              <w:rPr>
                <w:rFonts w:ascii="宋体" w:hAnsi="宋体" w:cs="宋体"/>
                <w:color w:val="000000"/>
                <w:kern w:val="0"/>
                <w:sz w:val="18"/>
                <w:szCs w:val="18"/>
              </w:rPr>
            </w:pPr>
          </w:p>
        </w:tc>
        <w:tc>
          <w:tcPr>
            <w:tcW w:w="1174" w:type="dxa"/>
            <w:shd w:val="clear" w:color="auto" w:fill="auto"/>
            <w:vAlign w:val="center"/>
          </w:tcPr>
          <w:p w14:paraId="258E9C54">
            <w:pPr>
              <w:jc w:val="center"/>
              <w:rPr>
                <w:rFonts w:ascii="宋体" w:hAnsi="宋体" w:cs="宋体"/>
                <w:color w:val="000000"/>
                <w:kern w:val="0"/>
                <w:sz w:val="18"/>
                <w:szCs w:val="18"/>
              </w:rPr>
            </w:pPr>
          </w:p>
        </w:tc>
        <w:tc>
          <w:tcPr>
            <w:tcW w:w="1174" w:type="dxa"/>
            <w:shd w:val="clear" w:color="auto" w:fill="auto"/>
            <w:vAlign w:val="center"/>
          </w:tcPr>
          <w:p w14:paraId="7037DAF3">
            <w:pPr>
              <w:jc w:val="center"/>
              <w:rPr>
                <w:rFonts w:ascii="宋体" w:hAnsi="宋体" w:eastAsia="宋体" w:cs="宋体"/>
                <w:color w:val="000000"/>
                <w:kern w:val="0"/>
                <w:sz w:val="18"/>
                <w:szCs w:val="18"/>
                <w:lang w:val="en-US" w:eastAsia="zh-CN" w:bidi="ar-SA"/>
              </w:rPr>
            </w:pPr>
          </w:p>
        </w:tc>
      </w:tr>
      <w:tr w14:paraId="0D46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7B280164">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二</w:t>
            </w:r>
          </w:p>
        </w:tc>
        <w:tc>
          <w:tcPr>
            <w:tcW w:w="672" w:type="pct"/>
            <w:shd w:val="clear" w:color="auto" w:fill="auto"/>
            <w:vAlign w:val="center"/>
          </w:tcPr>
          <w:p w14:paraId="08D1142F">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现金流出</w:t>
            </w:r>
          </w:p>
        </w:tc>
        <w:tc>
          <w:tcPr>
            <w:tcW w:w="1279" w:type="dxa"/>
            <w:shd w:val="clear" w:color="auto" w:fill="auto"/>
            <w:vAlign w:val="center"/>
          </w:tcPr>
          <w:p w14:paraId="6D5CAA4C">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71,800.35</w:t>
            </w:r>
          </w:p>
        </w:tc>
        <w:tc>
          <w:tcPr>
            <w:tcW w:w="1073" w:type="dxa"/>
            <w:shd w:val="clear" w:color="auto" w:fill="auto"/>
            <w:vAlign w:val="center"/>
          </w:tcPr>
          <w:p w14:paraId="67EBAA08">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4,559.43</w:t>
            </w:r>
          </w:p>
        </w:tc>
        <w:tc>
          <w:tcPr>
            <w:tcW w:w="1073" w:type="dxa"/>
            <w:shd w:val="clear" w:color="auto" w:fill="auto"/>
            <w:vAlign w:val="center"/>
          </w:tcPr>
          <w:p w14:paraId="610EC37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10,873.91</w:t>
            </w:r>
          </w:p>
        </w:tc>
        <w:tc>
          <w:tcPr>
            <w:tcW w:w="1174" w:type="dxa"/>
            <w:shd w:val="clear" w:color="auto" w:fill="auto"/>
            <w:vAlign w:val="center"/>
          </w:tcPr>
          <w:p w14:paraId="1C5643D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11,324.75</w:t>
            </w:r>
          </w:p>
        </w:tc>
        <w:tc>
          <w:tcPr>
            <w:tcW w:w="1073" w:type="dxa"/>
            <w:shd w:val="clear" w:color="auto" w:fill="auto"/>
            <w:vAlign w:val="center"/>
          </w:tcPr>
          <w:p w14:paraId="537D5853">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7,341.13</w:t>
            </w:r>
          </w:p>
        </w:tc>
        <w:tc>
          <w:tcPr>
            <w:tcW w:w="1174" w:type="dxa"/>
            <w:shd w:val="clear" w:color="auto" w:fill="auto"/>
            <w:vAlign w:val="center"/>
          </w:tcPr>
          <w:p w14:paraId="3CAD052B">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3,873.58</w:t>
            </w:r>
          </w:p>
        </w:tc>
        <w:tc>
          <w:tcPr>
            <w:tcW w:w="1174" w:type="dxa"/>
            <w:shd w:val="clear" w:color="auto" w:fill="auto"/>
            <w:vAlign w:val="center"/>
          </w:tcPr>
          <w:p w14:paraId="4B00494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vAlign w:val="center"/>
          </w:tcPr>
          <w:p w14:paraId="63613D61">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1,602.60</w:t>
            </w:r>
          </w:p>
        </w:tc>
        <w:tc>
          <w:tcPr>
            <w:tcW w:w="1174" w:type="dxa"/>
            <w:shd w:val="clear" w:color="auto" w:fill="auto"/>
            <w:vAlign w:val="center"/>
          </w:tcPr>
          <w:p w14:paraId="2704C213">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4,485.11</w:t>
            </w:r>
          </w:p>
        </w:tc>
        <w:tc>
          <w:tcPr>
            <w:tcW w:w="1174" w:type="dxa"/>
            <w:shd w:val="clear" w:color="auto" w:fill="auto"/>
            <w:vAlign w:val="center"/>
          </w:tcPr>
          <w:p w14:paraId="0EA29F81">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5,387.46</w:t>
            </w:r>
          </w:p>
        </w:tc>
      </w:tr>
      <w:tr w14:paraId="68DD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0AC5FDD3">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72" w:type="pct"/>
            <w:shd w:val="clear" w:color="auto" w:fill="auto"/>
            <w:vAlign w:val="center"/>
          </w:tcPr>
          <w:p w14:paraId="5C902FFA">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279" w:type="dxa"/>
            <w:shd w:val="clear" w:color="auto" w:fill="auto"/>
            <w:vAlign w:val="center"/>
          </w:tcPr>
          <w:p w14:paraId="58793E4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1,533.68</w:t>
            </w:r>
          </w:p>
        </w:tc>
        <w:tc>
          <w:tcPr>
            <w:tcW w:w="1073" w:type="dxa"/>
            <w:shd w:val="clear" w:color="auto" w:fill="auto"/>
            <w:vAlign w:val="center"/>
          </w:tcPr>
          <w:p w14:paraId="45FE0AB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4C08B1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2BDAC51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4B4632F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4E22317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916.19</w:t>
            </w:r>
          </w:p>
        </w:tc>
        <w:tc>
          <w:tcPr>
            <w:tcW w:w="1174" w:type="dxa"/>
            <w:shd w:val="clear" w:color="auto" w:fill="auto"/>
            <w:vAlign w:val="center"/>
          </w:tcPr>
          <w:p w14:paraId="23DCE05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CE01F7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617.49</w:t>
            </w:r>
          </w:p>
        </w:tc>
        <w:tc>
          <w:tcPr>
            <w:tcW w:w="1174" w:type="dxa"/>
            <w:shd w:val="clear" w:color="auto" w:fill="auto"/>
            <w:vAlign w:val="center"/>
          </w:tcPr>
          <w:p w14:paraId="0656728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3E172FF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7FD2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1E4C244A">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72" w:type="pct"/>
            <w:shd w:val="clear" w:color="auto" w:fill="auto"/>
            <w:vAlign w:val="center"/>
          </w:tcPr>
          <w:p w14:paraId="2ED5D791">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279" w:type="dxa"/>
            <w:shd w:val="clear" w:color="auto" w:fill="auto"/>
            <w:vAlign w:val="center"/>
          </w:tcPr>
          <w:p w14:paraId="0121F9D9">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1,533.68</w:t>
            </w:r>
          </w:p>
        </w:tc>
        <w:tc>
          <w:tcPr>
            <w:tcW w:w="1073" w:type="dxa"/>
            <w:shd w:val="clear" w:color="auto" w:fill="auto"/>
            <w:vAlign w:val="center"/>
          </w:tcPr>
          <w:p w14:paraId="39A6E23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79D5A78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78182D2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2C3254F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5DCFDFD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916.19</w:t>
            </w:r>
          </w:p>
        </w:tc>
        <w:tc>
          <w:tcPr>
            <w:tcW w:w="1174" w:type="dxa"/>
            <w:shd w:val="clear" w:color="auto" w:fill="auto"/>
            <w:vAlign w:val="center"/>
          </w:tcPr>
          <w:p w14:paraId="0E84444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136D4B6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617.49</w:t>
            </w:r>
          </w:p>
        </w:tc>
        <w:tc>
          <w:tcPr>
            <w:tcW w:w="1174" w:type="dxa"/>
            <w:shd w:val="clear" w:color="auto" w:fill="auto"/>
            <w:vAlign w:val="center"/>
          </w:tcPr>
          <w:p w14:paraId="1544876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513441EF">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1581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39B4AFEC">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72" w:type="pct"/>
            <w:shd w:val="clear" w:color="auto" w:fill="auto"/>
            <w:vAlign w:val="center"/>
          </w:tcPr>
          <w:p w14:paraId="1042CF92">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279" w:type="dxa"/>
            <w:shd w:val="clear" w:color="auto" w:fill="auto"/>
            <w:vAlign w:val="center"/>
          </w:tcPr>
          <w:p w14:paraId="49CBEED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5DDAB0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21F9DC9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5D6D2C5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123DDB2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15B7264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3F208F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0A87A9E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21DB860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488866B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12D0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016B2D88">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72" w:type="pct"/>
            <w:shd w:val="clear" w:color="auto" w:fill="auto"/>
            <w:vAlign w:val="center"/>
          </w:tcPr>
          <w:p w14:paraId="371E84D5">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279" w:type="dxa"/>
            <w:shd w:val="clear" w:color="auto" w:fill="auto"/>
            <w:vAlign w:val="center"/>
          </w:tcPr>
          <w:p w14:paraId="393F5CE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34,543.02</w:t>
            </w:r>
          </w:p>
        </w:tc>
        <w:tc>
          <w:tcPr>
            <w:tcW w:w="1073" w:type="dxa"/>
            <w:shd w:val="clear" w:color="auto" w:fill="auto"/>
            <w:vAlign w:val="center"/>
          </w:tcPr>
          <w:p w14:paraId="4E14D21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4,555.93</w:t>
            </w:r>
          </w:p>
        </w:tc>
        <w:tc>
          <w:tcPr>
            <w:tcW w:w="1073" w:type="dxa"/>
            <w:shd w:val="clear" w:color="auto" w:fill="auto"/>
            <w:vAlign w:val="center"/>
          </w:tcPr>
          <w:p w14:paraId="7A50250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10,717.77</w:t>
            </w:r>
          </w:p>
        </w:tc>
        <w:tc>
          <w:tcPr>
            <w:tcW w:w="1174" w:type="dxa"/>
            <w:shd w:val="clear" w:color="auto" w:fill="auto"/>
            <w:vAlign w:val="center"/>
          </w:tcPr>
          <w:p w14:paraId="3819A80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10,760.15</w:t>
            </w:r>
          </w:p>
        </w:tc>
        <w:tc>
          <w:tcPr>
            <w:tcW w:w="1073" w:type="dxa"/>
            <w:shd w:val="clear" w:color="auto" w:fill="auto"/>
            <w:vAlign w:val="center"/>
          </w:tcPr>
          <w:p w14:paraId="444A5AF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6,508.46</w:t>
            </w:r>
          </w:p>
        </w:tc>
        <w:tc>
          <w:tcPr>
            <w:tcW w:w="1174" w:type="dxa"/>
            <w:shd w:val="clear" w:color="auto" w:fill="auto"/>
            <w:vAlign w:val="center"/>
          </w:tcPr>
          <w:p w14:paraId="2E87287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2,000.71</w:t>
            </w:r>
          </w:p>
        </w:tc>
        <w:tc>
          <w:tcPr>
            <w:tcW w:w="1174" w:type="dxa"/>
            <w:shd w:val="clear" w:color="auto" w:fill="auto"/>
            <w:vAlign w:val="center"/>
          </w:tcPr>
          <w:p w14:paraId="715C3FB8">
            <w:pPr>
              <w:jc w:val="center"/>
              <w:rPr>
                <w:rFonts w:ascii="宋体" w:hAnsi="宋体" w:cs="宋体"/>
                <w:color w:val="000000"/>
                <w:kern w:val="0"/>
                <w:sz w:val="18"/>
                <w:szCs w:val="18"/>
              </w:rPr>
            </w:pPr>
          </w:p>
        </w:tc>
        <w:tc>
          <w:tcPr>
            <w:tcW w:w="1174" w:type="dxa"/>
            <w:shd w:val="clear" w:color="auto" w:fill="auto"/>
            <w:vAlign w:val="center"/>
          </w:tcPr>
          <w:p w14:paraId="2FFDC518">
            <w:pPr>
              <w:jc w:val="center"/>
              <w:rPr>
                <w:rFonts w:ascii="宋体" w:hAnsi="宋体" w:cs="宋体"/>
                <w:color w:val="000000"/>
                <w:kern w:val="0"/>
                <w:sz w:val="18"/>
                <w:szCs w:val="18"/>
              </w:rPr>
            </w:pPr>
          </w:p>
        </w:tc>
        <w:tc>
          <w:tcPr>
            <w:tcW w:w="1174" w:type="dxa"/>
            <w:shd w:val="clear" w:color="auto" w:fill="auto"/>
            <w:vAlign w:val="center"/>
          </w:tcPr>
          <w:p w14:paraId="7BC3C547">
            <w:pPr>
              <w:jc w:val="center"/>
              <w:rPr>
                <w:rFonts w:ascii="宋体" w:hAnsi="宋体" w:cs="宋体"/>
                <w:color w:val="000000"/>
                <w:kern w:val="0"/>
                <w:sz w:val="18"/>
                <w:szCs w:val="18"/>
              </w:rPr>
            </w:pPr>
          </w:p>
        </w:tc>
        <w:tc>
          <w:tcPr>
            <w:tcW w:w="1174" w:type="dxa"/>
            <w:shd w:val="clear" w:color="auto" w:fill="auto"/>
            <w:vAlign w:val="center"/>
          </w:tcPr>
          <w:p w14:paraId="7DE006F2">
            <w:pPr>
              <w:jc w:val="center"/>
              <w:rPr>
                <w:rFonts w:ascii="宋体" w:hAnsi="宋体" w:eastAsia="宋体" w:cs="宋体"/>
                <w:color w:val="000000"/>
                <w:kern w:val="0"/>
                <w:sz w:val="18"/>
                <w:szCs w:val="18"/>
                <w:lang w:val="en-US" w:eastAsia="zh-CN" w:bidi="ar-SA"/>
              </w:rPr>
            </w:pPr>
          </w:p>
        </w:tc>
      </w:tr>
      <w:tr w14:paraId="01BB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7536EA22">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72" w:type="pct"/>
            <w:shd w:val="clear" w:color="auto" w:fill="auto"/>
            <w:vAlign w:val="center"/>
          </w:tcPr>
          <w:p w14:paraId="5EC74E99">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279" w:type="dxa"/>
            <w:shd w:val="clear" w:color="auto" w:fill="auto"/>
            <w:vAlign w:val="center"/>
          </w:tcPr>
          <w:p w14:paraId="75A0BFA3">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35,723.65</w:t>
            </w:r>
          </w:p>
        </w:tc>
        <w:tc>
          <w:tcPr>
            <w:tcW w:w="1073" w:type="dxa"/>
            <w:shd w:val="clear" w:color="auto" w:fill="auto"/>
            <w:vAlign w:val="center"/>
          </w:tcPr>
          <w:p w14:paraId="67B2227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3.50</w:t>
            </w:r>
          </w:p>
        </w:tc>
        <w:tc>
          <w:tcPr>
            <w:tcW w:w="1073" w:type="dxa"/>
            <w:shd w:val="clear" w:color="auto" w:fill="auto"/>
            <w:vAlign w:val="center"/>
          </w:tcPr>
          <w:p w14:paraId="706F3D5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156.14</w:t>
            </w:r>
          </w:p>
        </w:tc>
        <w:tc>
          <w:tcPr>
            <w:tcW w:w="1174" w:type="dxa"/>
            <w:shd w:val="clear" w:color="auto" w:fill="auto"/>
            <w:vAlign w:val="center"/>
          </w:tcPr>
          <w:p w14:paraId="4282A85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564.60</w:t>
            </w:r>
          </w:p>
        </w:tc>
        <w:tc>
          <w:tcPr>
            <w:tcW w:w="1073" w:type="dxa"/>
            <w:shd w:val="clear" w:color="auto" w:fill="auto"/>
            <w:vAlign w:val="center"/>
          </w:tcPr>
          <w:p w14:paraId="61ECA01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832.67</w:t>
            </w:r>
          </w:p>
        </w:tc>
        <w:tc>
          <w:tcPr>
            <w:tcW w:w="1174" w:type="dxa"/>
            <w:shd w:val="clear" w:color="auto" w:fill="auto"/>
            <w:vAlign w:val="center"/>
          </w:tcPr>
          <w:p w14:paraId="02B864B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956.68</w:t>
            </w:r>
          </w:p>
        </w:tc>
        <w:tc>
          <w:tcPr>
            <w:tcW w:w="1174" w:type="dxa"/>
            <w:shd w:val="clear" w:color="auto" w:fill="auto"/>
            <w:vAlign w:val="center"/>
          </w:tcPr>
          <w:p w14:paraId="6D176F3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vAlign w:val="center"/>
          </w:tcPr>
          <w:p w14:paraId="2019608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vAlign w:val="center"/>
          </w:tcPr>
          <w:p w14:paraId="3E7502F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4,485.11</w:t>
            </w:r>
          </w:p>
        </w:tc>
        <w:tc>
          <w:tcPr>
            <w:tcW w:w="1174" w:type="dxa"/>
            <w:shd w:val="clear" w:color="auto" w:fill="auto"/>
            <w:vAlign w:val="center"/>
          </w:tcPr>
          <w:p w14:paraId="0305F8D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5,387.46</w:t>
            </w:r>
          </w:p>
        </w:tc>
      </w:tr>
      <w:tr w14:paraId="5A37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0DEDB62D">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72" w:type="pct"/>
            <w:shd w:val="clear" w:color="auto" w:fill="auto"/>
            <w:vAlign w:val="center"/>
          </w:tcPr>
          <w:p w14:paraId="17E19798">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279" w:type="dxa"/>
            <w:shd w:val="clear" w:color="auto" w:fill="auto"/>
            <w:vAlign w:val="center"/>
          </w:tcPr>
          <w:p w14:paraId="4833864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23.49</w:t>
            </w:r>
          </w:p>
        </w:tc>
        <w:tc>
          <w:tcPr>
            <w:tcW w:w="1073" w:type="dxa"/>
            <w:shd w:val="clear" w:color="auto" w:fill="auto"/>
            <w:vAlign w:val="center"/>
          </w:tcPr>
          <w:p w14:paraId="6BFFC6A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3.50</w:t>
            </w:r>
          </w:p>
        </w:tc>
        <w:tc>
          <w:tcPr>
            <w:tcW w:w="1073" w:type="dxa"/>
            <w:shd w:val="clear" w:color="auto" w:fill="auto"/>
            <w:vAlign w:val="center"/>
          </w:tcPr>
          <w:p w14:paraId="0284B3E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4.50</w:t>
            </w:r>
          </w:p>
        </w:tc>
        <w:tc>
          <w:tcPr>
            <w:tcW w:w="1174" w:type="dxa"/>
            <w:shd w:val="clear" w:color="auto" w:fill="auto"/>
            <w:vAlign w:val="center"/>
          </w:tcPr>
          <w:p w14:paraId="450834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8.95</w:t>
            </w:r>
          </w:p>
        </w:tc>
        <w:tc>
          <w:tcPr>
            <w:tcW w:w="1073" w:type="dxa"/>
            <w:shd w:val="clear" w:color="auto" w:fill="auto"/>
            <w:vAlign w:val="center"/>
          </w:tcPr>
          <w:p w14:paraId="3EB05FD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5.00</w:t>
            </w:r>
          </w:p>
        </w:tc>
        <w:tc>
          <w:tcPr>
            <w:tcW w:w="1174" w:type="dxa"/>
            <w:shd w:val="clear" w:color="auto" w:fill="auto"/>
            <w:vAlign w:val="center"/>
          </w:tcPr>
          <w:p w14:paraId="34026C5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1.54</w:t>
            </w:r>
          </w:p>
        </w:tc>
        <w:tc>
          <w:tcPr>
            <w:tcW w:w="1174" w:type="dxa"/>
            <w:shd w:val="clear" w:color="auto" w:fill="auto"/>
            <w:vAlign w:val="center"/>
          </w:tcPr>
          <w:p w14:paraId="15B941E4">
            <w:pPr>
              <w:jc w:val="center"/>
              <w:rPr>
                <w:rFonts w:ascii="宋体" w:hAnsi="宋体" w:cs="宋体"/>
                <w:color w:val="000000"/>
                <w:kern w:val="0"/>
                <w:sz w:val="18"/>
                <w:szCs w:val="18"/>
              </w:rPr>
            </w:pPr>
          </w:p>
        </w:tc>
        <w:tc>
          <w:tcPr>
            <w:tcW w:w="1174" w:type="dxa"/>
            <w:shd w:val="clear" w:color="auto" w:fill="auto"/>
            <w:vAlign w:val="center"/>
          </w:tcPr>
          <w:p w14:paraId="512CCB29">
            <w:pPr>
              <w:jc w:val="center"/>
              <w:rPr>
                <w:rFonts w:ascii="宋体" w:hAnsi="宋体" w:cs="宋体"/>
                <w:color w:val="000000"/>
                <w:kern w:val="0"/>
                <w:sz w:val="18"/>
                <w:szCs w:val="18"/>
              </w:rPr>
            </w:pPr>
          </w:p>
        </w:tc>
        <w:tc>
          <w:tcPr>
            <w:tcW w:w="1174" w:type="dxa"/>
            <w:shd w:val="clear" w:color="auto" w:fill="auto"/>
            <w:vAlign w:val="center"/>
          </w:tcPr>
          <w:p w14:paraId="4E8616DA">
            <w:pPr>
              <w:jc w:val="center"/>
              <w:rPr>
                <w:rFonts w:ascii="宋体" w:hAnsi="宋体" w:cs="宋体"/>
                <w:color w:val="000000"/>
                <w:kern w:val="0"/>
                <w:sz w:val="18"/>
                <w:szCs w:val="18"/>
              </w:rPr>
            </w:pPr>
          </w:p>
        </w:tc>
        <w:tc>
          <w:tcPr>
            <w:tcW w:w="1174" w:type="dxa"/>
            <w:shd w:val="clear" w:color="auto" w:fill="auto"/>
            <w:vAlign w:val="center"/>
          </w:tcPr>
          <w:p w14:paraId="40E73991">
            <w:pPr>
              <w:jc w:val="center"/>
              <w:rPr>
                <w:rFonts w:ascii="宋体" w:hAnsi="宋体" w:eastAsia="宋体" w:cs="宋体"/>
                <w:color w:val="000000"/>
                <w:kern w:val="0"/>
                <w:sz w:val="18"/>
                <w:szCs w:val="18"/>
                <w:lang w:val="en-US" w:eastAsia="zh-CN" w:bidi="ar-SA"/>
              </w:rPr>
            </w:pPr>
          </w:p>
        </w:tc>
      </w:tr>
      <w:tr w14:paraId="7D4F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64FA8ACB">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72" w:type="pct"/>
            <w:shd w:val="clear" w:color="auto" w:fill="auto"/>
            <w:vAlign w:val="center"/>
          </w:tcPr>
          <w:p w14:paraId="146B70CD">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279" w:type="dxa"/>
            <w:shd w:val="clear" w:color="auto" w:fill="auto"/>
            <w:vAlign w:val="center"/>
          </w:tcPr>
          <w:p w14:paraId="13136EA9">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26,537.00</w:t>
            </w:r>
          </w:p>
        </w:tc>
        <w:tc>
          <w:tcPr>
            <w:tcW w:w="1073" w:type="dxa"/>
            <w:shd w:val="clear" w:color="auto" w:fill="auto"/>
            <w:vAlign w:val="center"/>
          </w:tcPr>
          <w:p w14:paraId="10308E63">
            <w:pPr>
              <w:jc w:val="center"/>
              <w:rPr>
                <w:rFonts w:ascii="宋体" w:hAnsi="宋体" w:cs="宋体"/>
                <w:color w:val="000000"/>
                <w:kern w:val="0"/>
                <w:sz w:val="18"/>
                <w:szCs w:val="18"/>
              </w:rPr>
            </w:pPr>
          </w:p>
        </w:tc>
        <w:tc>
          <w:tcPr>
            <w:tcW w:w="1073" w:type="dxa"/>
            <w:shd w:val="clear" w:color="auto" w:fill="auto"/>
            <w:noWrap/>
            <w:vAlign w:val="center"/>
          </w:tcPr>
          <w:p w14:paraId="1A834898">
            <w:pPr>
              <w:jc w:val="center"/>
              <w:rPr>
                <w:rFonts w:ascii="宋体" w:hAnsi="宋体" w:cs="宋体"/>
                <w:color w:val="000000"/>
                <w:kern w:val="0"/>
                <w:sz w:val="18"/>
                <w:szCs w:val="18"/>
              </w:rPr>
            </w:pPr>
          </w:p>
        </w:tc>
        <w:tc>
          <w:tcPr>
            <w:tcW w:w="1174" w:type="dxa"/>
            <w:shd w:val="clear" w:color="auto" w:fill="auto"/>
            <w:noWrap/>
            <w:vAlign w:val="center"/>
          </w:tcPr>
          <w:p w14:paraId="40DCFF38">
            <w:pPr>
              <w:jc w:val="center"/>
              <w:rPr>
                <w:rFonts w:ascii="宋体" w:hAnsi="宋体" w:cs="宋体"/>
                <w:color w:val="000000"/>
                <w:kern w:val="0"/>
                <w:sz w:val="18"/>
                <w:szCs w:val="18"/>
              </w:rPr>
            </w:pPr>
          </w:p>
        </w:tc>
        <w:tc>
          <w:tcPr>
            <w:tcW w:w="1073" w:type="dxa"/>
            <w:shd w:val="clear" w:color="auto" w:fill="auto"/>
            <w:noWrap/>
            <w:vAlign w:val="center"/>
          </w:tcPr>
          <w:p w14:paraId="262B41A1">
            <w:pPr>
              <w:jc w:val="center"/>
              <w:rPr>
                <w:rFonts w:ascii="宋体" w:hAnsi="宋体" w:cs="宋体"/>
                <w:color w:val="000000"/>
                <w:kern w:val="0"/>
                <w:sz w:val="18"/>
                <w:szCs w:val="18"/>
              </w:rPr>
            </w:pPr>
          </w:p>
        </w:tc>
        <w:tc>
          <w:tcPr>
            <w:tcW w:w="1174" w:type="dxa"/>
            <w:shd w:val="clear" w:color="auto" w:fill="auto"/>
            <w:noWrap/>
            <w:vAlign w:val="center"/>
          </w:tcPr>
          <w:p w14:paraId="2748DBE7">
            <w:pPr>
              <w:jc w:val="center"/>
              <w:rPr>
                <w:rFonts w:ascii="宋体" w:hAnsi="宋体" w:cs="宋体"/>
                <w:color w:val="000000"/>
                <w:kern w:val="0"/>
                <w:sz w:val="18"/>
                <w:szCs w:val="18"/>
              </w:rPr>
            </w:pPr>
          </w:p>
        </w:tc>
        <w:tc>
          <w:tcPr>
            <w:tcW w:w="1174" w:type="dxa"/>
            <w:shd w:val="clear" w:color="auto" w:fill="auto"/>
            <w:noWrap/>
            <w:vAlign w:val="center"/>
          </w:tcPr>
          <w:p w14:paraId="5A347423">
            <w:pPr>
              <w:jc w:val="center"/>
              <w:rPr>
                <w:rFonts w:ascii="宋体" w:hAnsi="宋体" w:cs="宋体"/>
                <w:color w:val="000000"/>
                <w:kern w:val="0"/>
                <w:sz w:val="18"/>
                <w:szCs w:val="18"/>
              </w:rPr>
            </w:pPr>
          </w:p>
        </w:tc>
        <w:tc>
          <w:tcPr>
            <w:tcW w:w="1174" w:type="dxa"/>
            <w:shd w:val="clear" w:color="auto" w:fill="auto"/>
            <w:noWrap/>
            <w:vAlign w:val="center"/>
          </w:tcPr>
          <w:p w14:paraId="72AEEFC6">
            <w:pPr>
              <w:jc w:val="center"/>
              <w:rPr>
                <w:rFonts w:ascii="宋体" w:hAnsi="宋体" w:cs="宋体"/>
                <w:color w:val="000000"/>
                <w:kern w:val="0"/>
                <w:sz w:val="18"/>
                <w:szCs w:val="18"/>
              </w:rPr>
            </w:pPr>
          </w:p>
        </w:tc>
        <w:tc>
          <w:tcPr>
            <w:tcW w:w="1174" w:type="dxa"/>
            <w:shd w:val="clear" w:color="auto" w:fill="auto"/>
            <w:noWrap/>
            <w:vAlign w:val="center"/>
          </w:tcPr>
          <w:p w14:paraId="192D1E0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3,500.00</w:t>
            </w:r>
          </w:p>
        </w:tc>
        <w:tc>
          <w:tcPr>
            <w:tcW w:w="1174" w:type="dxa"/>
            <w:shd w:val="clear" w:color="auto" w:fill="auto"/>
            <w:noWrap/>
            <w:vAlign w:val="center"/>
          </w:tcPr>
          <w:p w14:paraId="7E5D380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4,500.00</w:t>
            </w:r>
          </w:p>
        </w:tc>
      </w:tr>
      <w:tr w14:paraId="31A0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647078AC">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72" w:type="pct"/>
            <w:shd w:val="clear" w:color="auto" w:fill="auto"/>
            <w:vAlign w:val="center"/>
          </w:tcPr>
          <w:p w14:paraId="64244E40">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279" w:type="dxa"/>
            <w:shd w:val="clear" w:color="auto" w:fill="auto"/>
            <w:vAlign w:val="center"/>
          </w:tcPr>
          <w:p w14:paraId="6973F8F8">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9,163.16</w:t>
            </w:r>
          </w:p>
        </w:tc>
        <w:tc>
          <w:tcPr>
            <w:tcW w:w="1073" w:type="dxa"/>
            <w:shd w:val="clear" w:color="auto" w:fill="auto"/>
            <w:vAlign w:val="center"/>
          </w:tcPr>
          <w:p w14:paraId="2AF517C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noWrap/>
            <w:vAlign w:val="center"/>
          </w:tcPr>
          <w:p w14:paraId="070E119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151.64</w:t>
            </w:r>
          </w:p>
        </w:tc>
        <w:tc>
          <w:tcPr>
            <w:tcW w:w="1174" w:type="dxa"/>
            <w:shd w:val="clear" w:color="auto" w:fill="auto"/>
            <w:noWrap/>
            <w:vAlign w:val="center"/>
          </w:tcPr>
          <w:p w14:paraId="69B22C3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555.65</w:t>
            </w:r>
          </w:p>
        </w:tc>
        <w:tc>
          <w:tcPr>
            <w:tcW w:w="1073" w:type="dxa"/>
            <w:shd w:val="clear" w:color="auto" w:fill="auto"/>
            <w:noWrap/>
            <w:vAlign w:val="center"/>
          </w:tcPr>
          <w:p w14:paraId="12230BB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827.67</w:t>
            </w:r>
          </w:p>
        </w:tc>
        <w:tc>
          <w:tcPr>
            <w:tcW w:w="1174" w:type="dxa"/>
            <w:shd w:val="clear" w:color="auto" w:fill="auto"/>
            <w:noWrap/>
            <w:vAlign w:val="center"/>
          </w:tcPr>
          <w:p w14:paraId="7571405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955.14</w:t>
            </w:r>
          </w:p>
        </w:tc>
        <w:tc>
          <w:tcPr>
            <w:tcW w:w="1174" w:type="dxa"/>
            <w:shd w:val="clear" w:color="auto" w:fill="auto"/>
            <w:noWrap/>
            <w:vAlign w:val="center"/>
          </w:tcPr>
          <w:p w14:paraId="58578E7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noWrap/>
            <w:vAlign w:val="center"/>
          </w:tcPr>
          <w:p w14:paraId="4D19BB2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noWrap/>
            <w:vAlign w:val="center"/>
          </w:tcPr>
          <w:p w14:paraId="4680574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noWrap/>
            <w:vAlign w:val="center"/>
          </w:tcPr>
          <w:p w14:paraId="77B424A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887.46</w:t>
            </w:r>
          </w:p>
        </w:tc>
      </w:tr>
      <w:tr w14:paraId="6691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6E2A9629">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72" w:type="pct"/>
            <w:shd w:val="clear" w:color="auto" w:fill="auto"/>
            <w:vAlign w:val="center"/>
          </w:tcPr>
          <w:p w14:paraId="7C585201">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279" w:type="dxa"/>
            <w:shd w:val="clear" w:color="auto" w:fill="auto"/>
            <w:vAlign w:val="center"/>
          </w:tcPr>
          <w:p w14:paraId="58842F4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3CE754B8">
            <w:pPr>
              <w:jc w:val="center"/>
              <w:rPr>
                <w:rFonts w:ascii="宋体" w:hAnsi="宋体" w:cs="宋体"/>
                <w:color w:val="000000"/>
                <w:kern w:val="0"/>
                <w:sz w:val="18"/>
                <w:szCs w:val="18"/>
              </w:rPr>
            </w:pPr>
          </w:p>
        </w:tc>
        <w:tc>
          <w:tcPr>
            <w:tcW w:w="1073" w:type="dxa"/>
            <w:shd w:val="clear" w:color="auto" w:fill="auto"/>
            <w:vAlign w:val="center"/>
          </w:tcPr>
          <w:p w14:paraId="5EA86DFF">
            <w:pPr>
              <w:jc w:val="center"/>
              <w:rPr>
                <w:rFonts w:ascii="宋体" w:hAnsi="宋体" w:cs="宋体"/>
                <w:color w:val="000000"/>
                <w:kern w:val="0"/>
                <w:sz w:val="18"/>
                <w:szCs w:val="18"/>
              </w:rPr>
            </w:pPr>
          </w:p>
        </w:tc>
        <w:tc>
          <w:tcPr>
            <w:tcW w:w="1174" w:type="dxa"/>
            <w:shd w:val="clear" w:color="auto" w:fill="auto"/>
            <w:vAlign w:val="center"/>
          </w:tcPr>
          <w:p w14:paraId="03364C09">
            <w:pPr>
              <w:jc w:val="center"/>
              <w:rPr>
                <w:rFonts w:ascii="宋体" w:hAnsi="宋体" w:cs="宋体"/>
                <w:color w:val="000000"/>
                <w:kern w:val="0"/>
                <w:sz w:val="18"/>
                <w:szCs w:val="18"/>
              </w:rPr>
            </w:pPr>
          </w:p>
        </w:tc>
        <w:tc>
          <w:tcPr>
            <w:tcW w:w="1073" w:type="dxa"/>
            <w:shd w:val="clear" w:color="auto" w:fill="auto"/>
            <w:vAlign w:val="center"/>
          </w:tcPr>
          <w:p w14:paraId="3251D5D0">
            <w:pPr>
              <w:jc w:val="center"/>
              <w:rPr>
                <w:rFonts w:ascii="宋体" w:hAnsi="宋体" w:cs="宋体"/>
                <w:color w:val="000000"/>
                <w:kern w:val="0"/>
                <w:sz w:val="18"/>
                <w:szCs w:val="18"/>
              </w:rPr>
            </w:pPr>
          </w:p>
        </w:tc>
        <w:tc>
          <w:tcPr>
            <w:tcW w:w="1174" w:type="dxa"/>
            <w:shd w:val="clear" w:color="auto" w:fill="auto"/>
            <w:vAlign w:val="center"/>
          </w:tcPr>
          <w:p w14:paraId="4B597BFE">
            <w:pPr>
              <w:jc w:val="center"/>
              <w:rPr>
                <w:rFonts w:ascii="宋体" w:hAnsi="宋体" w:cs="宋体"/>
                <w:color w:val="000000"/>
                <w:kern w:val="0"/>
                <w:sz w:val="18"/>
                <w:szCs w:val="18"/>
              </w:rPr>
            </w:pPr>
          </w:p>
        </w:tc>
        <w:tc>
          <w:tcPr>
            <w:tcW w:w="1174" w:type="dxa"/>
            <w:shd w:val="clear" w:color="auto" w:fill="auto"/>
            <w:noWrap/>
            <w:vAlign w:val="center"/>
          </w:tcPr>
          <w:p w14:paraId="70FCA389">
            <w:pPr>
              <w:jc w:val="center"/>
              <w:rPr>
                <w:rFonts w:ascii="宋体" w:hAnsi="宋体" w:cs="宋体"/>
                <w:color w:val="000000"/>
                <w:kern w:val="0"/>
                <w:sz w:val="18"/>
                <w:szCs w:val="18"/>
              </w:rPr>
            </w:pPr>
          </w:p>
        </w:tc>
        <w:tc>
          <w:tcPr>
            <w:tcW w:w="1174" w:type="dxa"/>
            <w:shd w:val="clear" w:color="auto" w:fill="auto"/>
            <w:noWrap/>
            <w:vAlign w:val="center"/>
          </w:tcPr>
          <w:p w14:paraId="2A4AAE3D">
            <w:pPr>
              <w:jc w:val="center"/>
              <w:rPr>
                <w:rFonts w:ascii="宋体" w:hAnsi="宋体" w:cs="宋体"/>
                <w:color w:val="000000"/>
                <w:kern w:val="0"/>
                <w:sz w:val="18"/>
                <w:szCs w:val="18"/>
              </w:rPr>
            </w:pPr>
          </w:p>
        </w:tc>
        <w:tc>
          <w:tcPr>
            <w:tcW w:w="1174" w:type="dxa"/>
            <w:shd w:val="clear" w:color="auto" w:fill="auto"/>
            <w:noWrap/>
            <w:vAlign w:val="center"/>
          </w:tcPr>
          <w:p w14:paraId="469FEEF2">
            <w:pPr>
              <w:jc w:val="center"/>
              <w:rPr>
                <w:rFonts w:ascii="宋体" w:hAnsi="宋体" w:cs="宋体"/>
                <w:color w:val="000000"/>
                <w:kern w:val="0"/>
                <w:sz w:val="18"/>
                <w:szCs w:val="18"/>
              </w:rPr>
            </w:pPr>
          </w:p>
        </w:tc>
        <w:tc>
          <w:tcPr>
            <w:tcW w:w="1174" w:type="dxa"/>
            <w:shd w:val="clear" w:color="auto" w:fill="auto"/>
            <w:noWrap/>
            <w:vAlign w:val="center"/>
          </w:tcPr>
          <w:p w14:paraId="4CBA09AF">
            <w:pPr>
              <w:jc w:val="center"/>
              <w:rPr>
                <w:rFonts w:ascii="宋体" w:hAnsi="宋体" w:eastAsia="宋体" w:cs="宋体"/>
                <w:color w:val="000000"/>
                <w:kern w:val="0"/>
                <w:sz w:val="18"/>
                <w:szCs w:val="18"/>
                <w:lang w:val="en-US" w:eastAsia="zh-CN" w:bidi="ar-SA"/>
              </w:rPr>
            </w:pPr>
          </w:p>
        </w:tc>
      </w:tr>
      <w:tr w14:paraId="1B04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294184F1">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72" w:type="pct"/>
            <w:shd w:val="clear" w:color="auto" w:fill="auto"/>
            <w:vAlign w:val="center"/>
          </w:tcPr>
          <w:p w14:paraId="30F05D47">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279" w:type="dxa"/>
            <w:shd w:val="clear" w:color="auto" w:fill="auto"/>
            <w:vAlign w:val="center"/>
          </w:tcPr>
          <w:p w14:paraId="1702406B">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7A5F1FD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noWrap/>
            <w:vAlign w:val="center"/>
          </w:tcPr>
          <w:p w14:paraId="1F10731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2068974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noWrap/>
            <w:vAlign w:val="center"/>
          </w:tcPr>
          <w:p w14:paraId="59C28A0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2EE03B0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6585971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0B06AA4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0E11FA7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noWrap/>
            <w:vAlign w:val="center"/>
          </w:tcPr>
          <w:p w14:paraId="7BB09AA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6B85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07C186B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三</w:t>
            </w:r>
          </w:p>
        </w:tc>
        <w:tc>
          <w:tcPr>
            <w:tcW w:w="672" w:type="pct"/>
            <w:shd w:val="clear" w:color="auto" w:fill="auto"/>
            <w:vAlign w:val="center"/>
          </w:tcPr>
          <w:p w14:paraId="72368A07">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当期现金结余</w:t>
            </w:r>
          </w:p>
        </w:tc>
        <w:tc>
          <w:tcPr>
            <w:tcW w:w="1279" w:type="dxa"/>
            <w:shd w:val="clear" w:color="auto" w:fill="auto"/>
            <w:vAlign w:val="center"/>
          </w:tcPr>
          <w:p w14:paraId="0ECC891A">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41,940.37</w:t>
            </w:r>
          </w:p>
        </w:tc>
        <w:tc>
          <w:tcPr>
            <w:tcW w:w="1073" w:type="dxa"/>
            <w:shd w:val="clear" w:color="auto" w:fill="auto"/>
            <w:vAlign w:val="center"/>
          </w:tcPr>
          <w:p w14:paraId="3DB7464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372AAD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68C1353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6D84D02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6C2E91B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44,893.59</w:t>
            </w:r>
          </w:p>
        </w:tc>
        <w:tc>
          <w:tcPr>
            <w:tcW w:w="1174" w:type="dxa"/>
            <w:shd w:val="clear" w:color="auto" w:fill="auto"/>
            <w:vAlign w:val="center"/>
          </w:tcPr>
          <w:p w14:paraId="6311008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-985.11</w:t>
            </w:r>
          </w:p>
        </w:tc>
        <w:tc>
          <w:tcPr>
            <w:tcW w:w="1174" w:type="dxa"/>
            <w:shd w:val="clear" w:color="auto" w:fill="auto"/>
            <w:vAlign w:val="center"/>
          </w:tcPr>
          <w:p w14:paraId="03A0BA7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29,271.73</w:t>
            </w:r>
          </w:p>
        </w:tc>
        <w:tc>
          <w:tcPr>
            <w:tcW w:w="1174" w:type="dxa"/>
            <w:shd w:val="clear" w:color="auto" w:fill="auto"/>
            <w:vAlign w:val="center"/>
          </w:tcPr>
          <w:p w14:paraId="07A3E8E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-4,485.11</w:t>
            </w:r>
          </w:p>
        </w:tc>
        <w:tc>
          <w:tcPr>
            <w:tcW w:w="1174" w:type="dxa"/>
            <w:shd w:val="clear" w:color="auto" w:fill="auto"/>
            <w:vAlign w:val="center"/>
          </w:tcPr>
          <w:p w14:paraId="6C15C57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-5,387.46</w:t>
            </w:r>
          </w:p>
        </w:tc>
      </w:tr>
      <w:tr w14:paraId="17622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2126B5B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四</w:t>
            </w:r>
          </w:p>
        </w:tc>
        <w:tc>
          <w:tcPr>
            <w:tcW w:w="672" w:type="pct"/>
            <w:shd w:val="clear" w:color="auto" w:fill="auto"/>
            <w:vAlign w:val="center"/>
          </w:tcPr>
          <w:p w14:paraId="045F172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期初现金</w:t>
            </w:r>
          </w:p>
        </w:tc>
        <w:tc>
          <w:tcPr>
            <w:tcW w:w="1279" w:type="dxa"/>
            <w:shd w:val="clear" w:color="auto" w:fill="auto"/>
            <w:vAlign w:val="center"/>
          </w:tcPr>
          <w:p w14:paraId="6E811AB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9CE628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396289E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28E6861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5E823AF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2CC803A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453B164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44,893.59</w:t>
            </w:r>
          </w:p>
        </w:tc>
        <w:tc>
          <w:tcPr>
            <w:tcW w:w="1174" w:type="dxa"/>
            <w:shd w:val="clear" w:color="auto" w:fill="auto"/>
            <w:vAlign w:val="center"/>
          </w:tcPr>
          <w:p w14:paraId="47F9995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43,908.48</w:t>
            </w:r>
          </w:p>
        </w:tc>
        <w:tc>
          <w:tcPr>
            <w:tcW w:w="1174" w:type="dxa"/>
            <w:shd w:val="clear" w:color="auto" w:fill="auto"/>
            <w:vAlign w:val="center"/>
          </w:tcPr>
          <w:p w14:paraId="236EB7F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73,180.21</w:t>
            </w:r>
          </w:p>
        </w:tc>
        <w:tc>
          <w:tcPr>
            <w:tcW w:w="1174" w:type="dxa"/>
            <w:shd w:val="clear" w:color="auto" w:fill="auto"/>
            <w:vAlign w:val="center"/>
          </w:tcPr>
          <w:p w14:paraId="1D55BE4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68,695.10</w:t>
            </w:r>
          </w:p>
        </w:tc>
      </w:tr>
      <w:tr w14:paraId="40E84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4" w:type="pct"/>
            <w:shd w:val="clear" w:color="auto" w:fill="auto"/>
            <w:vAlign w:val="center"/>
          </w:tcPr>
          <w:p w14:paraId="52FAA03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五</w:t>
            </w:r>
          </w:p>
        </w:tc>
        <w:tc>
          <w:tcPr>
            <w:tcW w:w="672" w:type="pct"/>
            <w:shd w:val="clear" w:color="auto" w:fill="auto"/>
            <w:vAlign w:val="center"/>
          </w:tcPr>
          <w:p w14:paraId="26DDA34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期末现金</w:t>
            </w:r>
          </w:p>
        </w:tc>
        <w:tc>
          <w:tcPr>
            <w:tcW w:w="1279" w:type="dxa"/>
            <w:shd w:val="clear" w:color="auto" w:fill="auto"/>
            <w:vAlign w:val="center"/>
          </w:tcPr>
          <w:p w14:paraId="15C13EB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70D170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2C743D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3DE102D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3" w:type="dxa"/>
            <w:shd w:val="clear" w:color="auto" w:fill="auto"/>
            <w:vAlign w:val="center"/>
          </w:tcPr>
          <w:p w14:paraId="6E8D1C3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74" w:type="dxa"/>
            <w:shd w:val="clear" w:color="auto" w:fill="auto"/>
            <w:vAlign w:val="center"/>
          </w:tcPr>
          <w:p w14:paraId="7185C82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44,893.59</w:t>
            </w:r>
          </w:p>
        </w:tc>
        <w:tc>
          <w:tcPr>
            <w:tcW w:w="1174" w:type="dxa"/>
            <w:shd w:val="clear" w:color="auto" w:fill="auto"/>
            <w:vAlign w:val="center"/>
          </w:tcPr>
          <w:p w14:paraId="05F51F1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43,908.48</w:t>
            </w:r>
          </w:p>
        </w:tc>
        <w:tc>
          <w:tcPr>
            <w:tcW w:w="1174" w:type="dxa"/>
            <w:shd w:val="clear" w:color="auto" w:fill="auto"/>
            <w:vAlign w:val="center"/>
          </w:tcPr>
          <w:p w14:paraId="34BC94F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73,180.21</w:t>
            </w:r>
          </w:p>
        </w:tc>
        <w:tc>
          <w:tcPr>
            <w:tcW w:w="1174" w:type="dxa"/>
            <w:shd w:val="clear" w:color="auto" w:fill="auto"/>
            <w:vAlign w:val="center"/>
          </w:tcPr>
          <w:p w14:paraId="7AA238E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68,695.10</w:t>
            </w:r>
          </w:p>
        </w:tc>
        <w:tc>
          <w:tcPr>
            <w:tcW w:w="1174" w:type="dxa"/>
            <w:shd w:val="clear" w:color="auto" w:fill="auto"/>
            <w:vAlign w:val="center"/>
          </w:tcPr>
          <w:p w14:paraId="53E66F48">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63,307.64</w:t>
            </w:r>
          </w:p>
        </w:tc>
      </w:tr>
    </w:tbl>
    <w:p w14:paraId="7A057E0D">
      <w:pPr>
        <w:pStyle w:val="20"/>
        <w:spacing w:before="156" w:beforeLines="50" w:beforeAutospacing="0" w:after="156"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1868"/>
        <w:gridCol w:w="1158"/>
        <w:gridCol w:w="1158"/>
        <w:gridCol w:w="1158"/>
        <w:gridCol w:w="1158"/>
        <w:gridCol w:w="1158"/>
        <w:gridCol w:w="1158"/>
        <w:gridCol w:w="1158"/>
        <w:gridCol w:w="1158"/>
        <w:gridCol w:w="1158"/>
        <w:gridCol w:w="1158"/>
      </w:tblGrid>
      <w:tr w14:paraId="6182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trPr>
        <w:tc>
          <w:tcPr>
            <w:tcW w:w="231" w:type="pct"/>
            <w:shd w:val="clear" w:color="auto" w:fill="auto"/>
            <w:vAlign w:val="center"/>
          </w:tcPr>
          <w:p w14:paraId="6519DF0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序号</w:t>
            </w:r>
          </w:p>
        </w:tc>
        <w:tc>
          <w:tcPr>
            <w:tcW w:w="662" w:type="pct"/>
            <w:shd w:val="clear" w:color="auto" w:fill="auto"/>
            <w:vAlign w:val="center"/>
          </w:tcPr>
          <w:p w14:paraId="41A68E17">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410" w:type="pct"/>
            <w:shd w:val="clear" w:color="auto" w:fill="auto"/>
            <w:vAlign w:val="center"/>
          </w:tcPr>
          <w:p w14:paraId="509E0F6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2032年</w:t>
            </w:r>
          </w:p>
        </w:tc>
        <w:tc>
          <w:tcPr>
            <w:tcW w:w="410" w:type="pct"/>
            <w:shd w:val="clear" w:color="auto" w:fill="auto"/>
            <w:vAlign w:val="center"/>
          </w:tcPr>
          <w:p w14:paraId="4CC1D324">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2033年</w:t>
            </w:r>
          </w:p>
        </w:tc>
        <w:tc>
          <w:tcPr>
            <w:tcW w:w="410" w:type="pct"/>
            <w:shd w:val="clear" w:color="auto" w:fill="auto"/>
            <w:vAlign w:val="center"/>
          </w:tcPr>
          <w:p w14:paraId="636B3525">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2034年</w:t>
            </w:r>
          </w:p>
        </w:tc>
        <w:tc>
          <w:tcPr>
            <w:tcW w:w="410" w:type="pct"/>
            <w:shd w:val="clear" w:color="auto" w:fill="auto"/>
            <w:vAlign w:val="center"/>
          </w:tcPr>
          <w:p w14:paraId="433DC34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2035年</w:t>
            </w:r>
          </w:p>
        </w:tc>
        <w:tc>
          <w:tcPr>
            <w:tcW w:w="410" w:type="pct"/>
            <w:shd w:val="clear" w:color="auto" w:fill="auto"/>
            <w:vAlign w:val="center"/>
          </w:tcPr>
          <w:p w14:paraId="10A5B19C">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2036年</w:t>
            </w:r>
          </w:p>
        </w:tc>
        <w:tc>
          <w:tcPr>
            <w:tcW w:w="410" w:type="pct"/>
            <w:shd w:val="clear" w:color="auto" w:fill="auto"/>
            <w:vAlign w:val="center"/>
          </w:tcPr>
          <w:p w14:paraId="2502873D">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2037年</w:t>
            </w:r>
          </w:p>
        </w:tc>
        <w:tc>
          <w:tcPr>
            <w:tcW w:w="410" w:type="pct"/>
            <w:shd w:val="clear" w:color="auto" w:fill="auto"/>
            <w:vAlign w:val="center"/>
          </w:tcPr>
          <w:p w14:paraId="5FF5F1CF">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2038年</w:t>
            </w:r>
          </w:p>
        </w:tc>
        <w:tc>
          <w:tcPr>
            <w:tcW w:w="410" w:type="pct"/>
            <w:shd w:val="clear" w:color="auto" w:fill="auto"/>
            <w:vAlign w:val="center"/>
          </w:tcPr>
          <w:p w14:paraId="5AD8AC28">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2039年</w:t>
            </w:r>
          </w:p>
        </w:tc>
        <w:tc>
          <w:tcPr>
            <w:tcW w:w="410" w:type="pct"/>
            <w:shd w:val="clear" w:color="auto" w:fill="auto"/>
            <w:vAlign w:val="center"/>
          </w:tcPr>
          <w:p w14:paraId="429F4A00">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2040年</w:t>
            </w:r>
          </w:p>
        </w:tc>
        <w:tc>
          <w:tcPr>
            <w:tcW w:w="410" w:type="pct"/>
            <w:shd w:val="clear" w:color="auto" w:fill="auto"/>
            <w:vAlign w:val="center"/>
          </w:tcPr>
          <w:p w14:paraId="76D9F764">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2041年</w:t>
            </w:r>
          </w:p>
        </w:tc>
      </w:tr>
      <w:tr w14:paraId="2032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3FEB884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一</w:t>
            </w:r>
          </w:p>
        </w:tc>
        <w:tc>
          <w:tcPr>
            <w:tcW w:w="662" w:type="pct"/>
            <w:shd w:val="clear" w:color="auto" w:fill="auto"/>
            <w:vAlign w:val="center"/>
          </w:tcPr>
          <w:p w14:paraId="52EE316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现金流入</w:t>
            </w:r>
          </w:p>
        </w:tc>
        <w:tc>
          <w:tcPr>
            <w:tcW w:w="1158" w:type="dxa"/>
            <w:shd w:val="clear" w:color="auto" w:fill="auto"/>
            <w:vAlign w:val="center"/>
          </w:tcPr>
          <w:p w14:paraId="5C928017">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53560176">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9388197">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1CE8934">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579AB45">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DAF884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CB54519">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AAC67C0">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9E484A7">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9C03072">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6296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1F9D256D">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62" w:type="pct"/>
            <w:shd w:val="clear" w:color="auto" w:fill="auto"/>
            <w:vAlign w:val="center"/>
          </w:tcPr>
          <w:p w14:paraId="4A42627B">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158" w:type="dxa"/>
            <w:shd w:val="clear" w:color="auto" w:fill="auto"/>
            <w:vAlign w:val="center"/>
          </w:tcPr>
          <w:p w14:paraId="519E111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9F7EA4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85D463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F35252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1ACE6A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3211FE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56D5D9C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38369B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B8923E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71A760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5669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90243E3">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62" w:type="pct"/>
            <w:shd w:val="clear" w:color="auto" w:fill="auto"/>
            <w:vAlign w:val="center"/>
          </w:tcPr>
          <w:p w14:paraId="77FE439B">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158" w:type="dxa"/>
            <w:shd w:val="clear" w:color="auto" w:fill="auto"/>
            <w:vAlign w:val="center"/>
          </w:tcPr>
          <w:p w14:paraId="03B7539E">
            <w:pPr>
              <w:jc w:val="center"/>
              <w:rPr>
                <w:rFonts w:ascii="宋体" w:hAnsi="宋体" w:cs="宋体"/>
                <w:color w:val="000000"/>
                <w:kern w:val="0"/>
                <w:sz w:val="18"/>
                <w:szCs w:val="18"/>
              </w:rPr>
            </w:pPr>
          </w:p>
        </w:tc>
        <w:tc>
          <w:tcPr>
            <w:tcW w:w="1158" w:type="dxa"/>
            <w:shd w:val="clear" w:color="auto" w:fill="auto"/>
            <w:vAlign w:val="center"/>
          </w:tcPr>
          <w:p w14:paraId="39A10193">
            <w:pPr>
              <w:jc w:val="center"/>
              <w:rPr>
                <w:rFonts w:ascii="宋体" w:hAnsi="宋体" w:cs="宋体"/>
                <w:color w:val="000000"/>
                <w:kern w:val="0"/>
                <w:sz w:val="18"/>
                <w:szCs w:val="18"/>
              </w:rPr>
            </w:pPr>
          </w:p>
        </w:tc>
        <w:tc>
          <w:tcPr>
            <w:tcW w:w="1158" w:type="dxa"/>
            <w:shd w:val="clear" w:color="auto" w:fill="auto"/>
            <w:vAlign w:val="center"/>
          </w:tcPr>
          <w:p w14:paraId="5821BE8A">
            <w:pPr>
              <w:jc w:val="center"/>
              <w:rPr>
                <w:rFonts w:ascii="宋体" w:hAnsi="宋体" w:cs="宋体"/>
                <w:color w:val="000000"/>
                <w:kern w:val="0"/>
                <w:sz w:val="18"/>
                <w:szCs w:val="18"/>
              </w:rPr>
            </w:pPr>
          </w:p>
        </w:tc>
        <w:tc>
          <w:tcPr>
            <w:tcW w:w="1158" w:type="dxa"/>
            <w:shd w:val="clear" w:color="auto" w:fill="auto"/>
            <w:vAlign w:val="center"/>
          </w:tcPr>
          <w:p w14:paraId="328E7520">
            <w:pPr>
              <w:jc w:val="center"/>
              <w:rPr>
                <w:rFonts w:ascii="宋体" w:hAnsi="宋体" w:cs="宋体"/>
                <w:color w:val="000000"/>
                <w:kern w:val="0"/>
                <w:sz w:val="18"/>
                <w:szCs w:val="18"/>
              </w:rPr>
            </w:pPr>
          </w:p>
        </w:tc>
        <w:tc>
          <w:tcPr>
            <w:tcW w:w="1158" w:type="dxa"/>
            <w:shd w:val="clear" w:color="auto" w:fill="auto"/>
            <w:vAlign w:val="center"/>
          </w:tcPr>
          <w:p w14:paraId="45A1FCAE">
            <w:pPr>
              <w:jc w:val="center"/>
              <w:rPr>
                <w:rFonts w:ascii="宋体" w:hAnsi="宋体" w:cs="宋体"/>
                <w:color w:val="000000"/>
                <w:kern w:val="0"/>
                <w:sz w:val="18"/>
                <w:szCs w:val="18"/>
              </w:rPr>
            </w:pPr>
          </w:p>
        </w:tc>
        <w:tc>
          <w:tcPr>
            <w:tcW w:w="1158" w:type="dxa"/>
            <w:shd w:val="clear" w:color="auto" w:fill="auto"/>
            <w:vAlign w:val="center"/>
          </w:tcPr>
          <w:p w14:paraId="61C9F5B3">
            <w:pPr>
              <w:jc w:val="center"/>
              <w:rPr>
                <w:rFonts w:ascii="宋体" w:hAnsi="宋体" w:cs="宋体"/>
                <w:color w:val="000000"/>
                <w:kern w:val="0"/>
                <w:sz w:val="18"/>
                <w:szCs w:val="18"/>
              </w:rPr>
            </w:pPr>
          </w:p>
        </w:tc>
        <w:tc>
          <w:tcPr>
            <w:tcW w:w="1158" w:type="dxa"/>
            <w:shd w:val="clear" w:color="auto" w:fill="auto"/>
            <w:vAlign w:val="center"/>
          </w:tcPr>
          <w:p w14:paraId="2E1D5C1D">
            <w:pPr>
              <w:jc w:val="center"/>
              <w:rPr>
                <w:rFonts w:ascii="宋体" w:hAnsi="宋体" w:cs="宋体"/>
                <w:color w:val="000000"/>
                <w:kern w:val="0"/>
                <w:sz w:val="18"/>
                <w:szCs w:val="18"/>
              </w:rPr>
            </w:pPr>
          </w:p>
        </w:tc>
        <w:tc>
          <w:tcPr>
            <w:tcW w:w="1158" w:type="dxa"/>
            <w:shd w:val="clear" w:color="auto" w:fill="auto"/>
            <w:vAlign w:val="center"/>
          </w:tcPr>
          <w:p w14:paraId="4237D7F0">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33226B7D">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05A95A2D">
            <w:pPr>
              <w:jc w:val="center"/>
              <w:rPr>
                <w:rFonts w:ascii="宋体" w:hAnsi="宋体" w:eastAsia="宋体" w:cs="宋体"/>
                <w:color w:val="000000"/>
                <w:kern w:val="0"/>
                <w:sz w:val="18"/>
                <w:szCs w:val="18"/>
                <w:lang w:val="en-US" w:eastAsia="zh-CN" w:bidi="ar-SA"/>
              </w:rPr>
            </w:pPr>
          </w:p>
        </w:tc>
      </w:tr>
      <w:tr w14:paraId="3239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62CDB62F">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62" w:type="pct"/>
            <w:shd w:val="clear" w:color="auto" w:fill="auto"/>
            <w:vAlign w:val="center"/>
          </w:tcPr>
          <w:p w14:paraId="3F6C59CB">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158" w:type="dxa"/>
            <w:shd w:val="clear" w:color="auto" w:fill="auto"/>
            <w:vAlign w:val="center"/>
          </w:tcPr>
          <w:p w14:paraId="09BD3B3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92BBB0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EC303C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5AEDEE6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366D800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78C2EBE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5DA03EE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0B694B6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6411426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5BCACE9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03AA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7CBC5CFC">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62" w:type="pct"/>
            <w:shd w:val="clear" w:color="auto" w:fill="auto"/>
            <w:vAlign w:val="center"/>
          </w:tcPr>
          <w:p w14:paraId="6CFC4EE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158" w:type="dxa"/>
            <w:shd w:val="clear" w:color="auto" w:fill="auto"/>
            <w:vAlign w:val="center"/>
          </w:tcPr>
          <w:p w14:paraId="5D0E53A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2BCF7E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A8AEFF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A44B63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F3380C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DABA25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7F42FE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9B59FF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4E04EDB">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E9AD4C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2140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0E8EF94C">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62" w:type="pct"/>
            <w:shd w:val="clear" w:color="auto" w:fill="auto"/>
            <w:vAlign w:val="center"/>
          </w:tcPr>
          <w:p w14:paraId="21676242">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158" w:type="dxa"/>
            <w:shd w:val="clear" w:color="auto" w:fill="auto"/>
            <w:vAlign w:val="center"/>
          </w:tcPr>
          <w:p w14:paraId="19B9B7B1">
            <w:pPr>
              <w:jc w:val="center"/>
              <w:rPr>
                <w:rFonts w:ascii="宋体" w:hAnsi="宋体" w:cs="宋体"/>
                <w:color w:val="000000"/>
                <w:kern w:val="0"/>
                <w:sz w:val="18"/>
                <w:szCs w:val="18"/>
              </w:rPr>
            </w:pPr>
          </w:p>
        </w:tc>
        <w:tc>
          <w:tcPr>
            <w:tcW w:w="1158" w:type="dxa"/>
            <w:shd w:val="clear" w:color="auto" w:fill="auto"/>
            <w:vAlign w:val="center"/>
          </w:tcPr>
          <w:p w14:paraId="17A4F844">
            <w:pPr>
              <w:jc w:val="center"/>
              <w:rPr>
                <w:rFonts w:ascii="宋体" w:hAnsi="宋体" w:cs="宋体"/>
                <w:color w:val="000000"/>
                <w:kern w:val="0"/>
                <w:sz w:val="18"/>
                <w:szCs w:val="18"/>
              </w:rPr>
            </w:pPr>
          </w:p>
        </w:tc>
        <w:tc>
          <w:tcPr>
            <w:tcW w:w="1158" w:type="dxa"/>
            <w:shd w:val="clear" w:color="auto" w:fill="auto"/>
            <w:vAlign w:val="center"/>
          </w:tcPr>
          <w:p w14:paraId="0AA3C717">
            <w:pPr>
              <w:jc w:val="center"/>
              <w:rPr>
                <w:rFonts w:ascii="宋体" w:hAnsi="宋体" w:cs="宋体"/>
                <w:color w:val="000000"/>
                <w:kern w:val="0"/>
                <w:sz w:val="18"/>
                <w:szCs w:val="18"/>
              </w:rPr>
            </w:pPr>
          </w:p>
        </w:tc>
        <w:tc>
          <w:tcPr>
            <w:tcW w:w="1158" w:type="dxa"/>
            <w:shd w:val="clear" w:color="auto" w:fill="auto"/>
            <w:vAlign w:val="center"/>
          </w:tcPr>
          <w:p w14:paraId="369A7A3C">
            <w:pPr>
              <w:jc w:val="center"/>
              <w:rPr>
                <w:rFonts w:ascii="宋体" w:hAnsi="宋体" w:cs="宋体"/>
                <w:color w:val="000000"/>
                <w:kern w:val="0"/>
                <w:sz w:val="18"/>
                <w:szCs w:val="18"/>
              </w:rPr>
            </w:pPr>
          </w:p>
        </w:tc>
        <w:tc>
          <w:tcPr>
            <w:tcW w:w="1158" w:type="dxa"/>
            <w:shd w:val="clear" w:color="auto" w:fill="auto"/>
            <w:vAlign w:val="center"/>
          </w:tcPr>
          <w:p w14:paraId="23B482D9">
            <w:pPr>
              <w:jc w:val="center"/>
              <w:rPr>
                <w:rFonts w:ascii="宋体" w:hAnsi="宋体" w:cs="宋体"/>
                <w:color w:val="000000"/>
                <w:kern w:val="0"/>
                <w:sz w:val="18"/>
                <w:szCs w:val="18"/>
              </w:rPr>
            </w:pPr>
          </w:p>
        </w:tc>
        <w:tc>
          <w:tcPr>
            <w:tcW w:w="1158" w:type="dxa"/>
            <w:shd w:val="clear" w:color="auto" w:fill="auto"/>
            <w:vAlign w:val="center"/>
          </w:tcPr>
          <w:p w14:paraId="78EC3514">
            <w:pPr>
              <w:jc w:val="center"/>
              <w:rPr>
                <w:rFonts w:ascii="宋体" w:hAnsi="宋体" w:cs="宋体"/>
                <w:color w:val="000000"/>
                <w:kern w:val="0"/>
                <w:sz w:val="18"/>
                <w:szCs w:val="18"/>
              </w:rPr>
            </w:pPr>
          </w:p>
        </w:tc>
        <w:tc>
          <w:tcPr>
            <w:tcW w:w="1158" w:type="dxa"/>
            <w:shd w:val="clear" w:color="auto" w:fill="auto"/>
            <w:vAlign w:val="center"/>
          </w:tcPr>
          <w:p w14:paraId="14FAEEA4">
            <w:pPr>
              <w:jc w:val="center"/>
              <w:rPr>
                <w:rFonts w:ascii="宋体" w:hAnsi="宋体" w:cs="宋体"/>
                <w:color w:val="000000"/>
                <w:kern w:val="0"/>
                <w:sz w:val="18"/>
                <w:szCs w:val="18"/>
              </w:rPr>
            </w:pPr>
          </w:p>
        </w:tc>
        <w:tc>
          <w:tcPr>
            <w:tcW w:w="1158" w:type="dxa"/>
            <w:shd w:val="clear" w:color="auto" w:fill="auto"/>
            <w:vAlign w:val="center"/>
          </w:tcPr>
          <w:p w14:paraId="476752E1">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0E7804A1">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2C71D692">
            <w:pPr>
              <w:jc w:val="center"/>
              <w:rPr>
                <w:rFonts w:ascii="宋体" w:hAnsi="宋体" w:eastAsia="宋体" w:cs="宋体"/>
                <w:color w:val="000000"/>
                <w:kern w:val="0"/>
                <w:sz w:val="18"/>
                <w:szCs w:val="18"/>
                <w:lang w:val="en-US" w:eastAsia="zh-CN" w:bidi="ar-SA"/>
              </w:rPr>
            </w:pPr>
          </w:p>
        </w:tc>
      </w:tr>
      <w:tr w14:paraId="3D42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02611C22">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62" w:type="pct"/>
            <w:shd w:val="clear" w:color="auto" w:fill="auto"/>
            <w:vAlign w:val="center"/>
          </w:tcPr>
          <w:p w14:paraId="1B9043F6">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158" w:type="dxa"/>
            <w:shd w:val="clear" w:color="auto" w:fill="auto"/>
            <w:vAlign w:val="center"/>
          </w:tcPr>
          <w:p w14:paraId="5BBEA085">
            <w:pPr>
              <w:jc w:val="center"/>
              <w:rPr>
                <w:rFonts w:ascii="宋体" w:hAnsi="宋体" w:cs="宋体"/>
                <w:color w:val="000000"/>
                <w:kern w:val="0"/>
                <w:sz w:val="18"/>
                <w:szCs w:val="18"/>
              </w:rPr>
            </w:pPr>
          </w:p>
        </w:tc>
        <w:tc>
          <w:tcPr>
            <w:tcW w:w="1158" w:type="dxa"/>
            <w:shd w:val="clear" w:color="auto" w:fill="auto"/>
            <w:vAlign w:val="center"/>
          </w:tcPr>
          <w:p w14:paraId="048F379B">
            <w:pPr>
              <w:jc w:val="center"/>
              <w:rPr>
                <w:rFonts w:ascii="宋体" w:hAnsi="宋体" w:cs="宋体"/>
                <w:color w:val="000000"/>
                <w:kern w:val="0"/>
                <w:sz w:val="18"/>
                <w:szCs w:val="18"/>
              </w:rPr>
            </w:pPr>
          </w:p>
        </w:tc>
        <w:tc>
          <w:tcPr>
            <w:tcW w:w="1158" w:type="dxa"/>
            <w:shd w:val="clear" w:color="auto" w:fill="auto"/>
            <w:vAlign w:val="center"/>
          </w:tcPr>
          <w:p w14:paraId="50543092">
            <w:pPr>
              <w:jc w:val="center"/>
              <w:rPr>
                <w:rFonts w:ascii="宋体" w:hAnsi="宋体" w:cs="宋体"/>
                <w:color w:val="000000"/>
                <w:kern w:val="0"/>
                <w:sz w:val="18"/>
                <w:szCs w:val="18"/>
              </w:rPr>
            </w:pPr>
          </w:p>
        </w:tc>
        <w:tc>
          <w:tcPr>
            <w:tcW w:w="1158" w:type="dxa"/>
            <w:shd w:val="clear" w:color="auto" w:fill="auto"/>
            <w:vAlign w:val="center"/>
          </w:tcPr>
          <w:p w14:paraId="78E0E197">
            <w:pPr>
              <w:jc w:val="center"/>
              <w:rPr>
                <w:rFonts w:ascii="宋体" w:hAnsi="宋体" w:cs="宋体"/>
                <w:color w:val="000000"/>
                <w:kern w:val="0"/>
                <w:sz w:val="18"/>
                <w:szCs w:val="18"/>
              </w:rPr>
            </w:pPr>
          </w:p>
        </w:tc>
        <w:tc>
          <w:tcPr>
            <w:tcW w:w="1158" w:type="dxa"/>
            <w:shd w:val="clear" w:color="auto" w:fill="auto"/>
            <w:vAlign w:val="center"/>
          </w:tcPr>
          <w:p w14:paraId="6B58E775">
            <w:pPr>
              <w:jc w:val="center"/>
              <w:rPr>
                <w:rFonts w:ascii="宋体" w:hAnsi="宋体" w:cs="宋体"/>
                <w:color w:val="000000"/>
                <w:kern w:val="0"/>
                <w:sz w:val="18"/>
                <w:szCs w:val="18"/>
              </w:rPr>
            </w:pPr>
          </w:p>
        </w:tc>
        <w:tc>
          <w:tcPr>
            <w:tcW w:w="1158" w:type="dxa"/>
            <w:shd w:val="clear" w:color="auto" w:fill="auto"/>
            <w:vAlign w:val="center"/>
          </w:tcPr>
          <w:p w14:paraId="2B90E12E">
            <w:pPr>
              <w:jc w:val="center"/>
              <w:rPr>
                <w:rFonts w:ascii="宋体" w:hAnsi="宋体" w:cs="宋体"/>
                <w:color w:val="000000"/>
                <w:kern w:val="0"/>
                <w:sz w:val="18"/>
                <w:szCs w:val="18"/>
              </w:rPr>
            </w:pPr>
          </w:p>
        </w:tc>
        <w:tc>
          <w:tcPr>
            <w:tcW w:w="1158" w:type="dxa"/>
            <w:shd w:val="clear" w:color="auto" w:fill="auto"/>
            <w:vAlign w:val="center"/>
          </w:tcPr>
          <w:p w14:paraId="64EE222D">
            <w:pPr>
              <w:jc w:val="center"/>
              <w:rPr>
                <w:rFonts w:ascii="宋体" w:hAnsi="宋体" w:cs="宋体"/>
                <w:color w:val="000000"/>
                <w:kern w:val="0"/>
                <w:sz w:val="18"/>
                <w:szCs w:val="18"/>
              </w:rPr>
            </w:pPr>
          </w:p>
        </w:tc>
        <w:tc>
          <w:tcPr>
            <w:tcW w:w="1158" w:type="dxa"/>
            <w:shd w:val="clear" w:color="auto" w:fill="auto"/>
            <w:vAlign w:val="center"/>
          </w:tcPr>
          <w:p w14:paraId="1EE150D2">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1E8E2C4E">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339BE123">
            <w:pPr>
              <w:jc w:val="center"/>
              <w:rPr>
                <w:rFonts w:ascii="宋体" w:hAnsi="宋体" w:eastAsia="宋体" w:cs="宋体"/>
                <w:color w:val="000000"/>
                <w:kern w:val="0"/>
                <w:sz w:val="18"/>
                <w:szCs w:val="18"/>
                <w:lang w:val="en-US" w:eastAsia="zh-CN" w:bidi="ar-SA"/>
              </w:rPr>
            </w:pPr>
          </w:p>
        </w:tc>
      </w:tr>
      <w:tr w14:paraId="74C1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315219CD">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62" w:type="pct"/>
            <w:shd w:val="clear" w:color="auto" w:fill="auto"/>
            <w:vAlign w:val="center"/>
          </w:tcPr>
          <w:p w14:paraId="7B968488">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158" w:type="dxa"/>
            <w:shd w:val="clear" w:color="auto" w:fill="auto"/>
            <w:vAlign w:val="center"/>
          </w:tcPr>
          <w:p w14:paraId="4C863D9F">
            <w:pPr>
              <w:jc w:val="center"/>
              <w:rPr>
                <w:rFonts w:ascii="宋体" w:hAnsi="宋体" w:cs="宋体"/>
                <w:color w:val="000000"/>
                <w:kern w:val="0"/>
                <w:sz w:val="18"/>
                <w:szCs w:val="18"/>
              </w:rPr>
            </w:pPr>
          </w:p>
        </w:tc>
        <w:tc>
          <w:tcPr>
            <w:tcW w:w="1158" w:type="dxa"/>
            <w:shd w:val="clear" w:color="auto" w:fill="auto"/>
            <w:vAlign w:val="center"/>
          </w:tcPr>
          <w:p w14:paraId="31F5CC8F">
            <w:pPr>
              <w:jc w:val="center"/>
              <w:rPr>
                <w:rFonts w:ascii="宋体" w:hAnsi="宋体" w:cs="宋体"/>
                <w:color w:val="000000"/>
                <w:kern w:val="0"/>
                <w:sz w:val="18"/>
                <w:szCs w:val="18"/>
              </w:rPr>
            </w:pPr>
          </w:p>
        </w:tc>
        <w:tc>
          <w:tcPr>
            <w:tcW w:w="1158" w:type="dxa"/>
            <w:shd w:val="clear" w:color="auto" w:fill="auto"/>
            <w:vAlign w:val="center"/>
          </w:tcPr>
          <w:p w14:paraId="368546D6">
            <w:pPr>
              <w:jc w:val="center"/>
              <w:rPr>
                <w:rFonts w:ascii="宋体" w:hAnsi="宋体" w:cs="宋体"/>
                <w:color w:val="000000"/>
                <w:kern w:val="0"/>
                <w:sz w:val="18"/>
                <w:szCs w:val="18"/>
              </w:rPr>
            </w:pPr>
          </w:p>
        </w:tc>
        <w:tc>
          <w:tcPr>
            <w:tcW w:w="1158" w:type="dxa"/>
            <w:shd w:val="clear" w:color="auto" w:fill="auto"/>
            <w:vAlign w:val="center"/>
          </w:tcPr>
          <w:p w14:paraId="35C7ABA1">
            <w:pPr>
              <w:jc w:val="center"/>
              <w:rPr>
                <w:rFonts w:ascii="宋体" w:hAnsi="宋体" w:cs="宋体"/>
                <w:color w:val="000000"/>
                <w:kern w:val="0"/>
                <w:sz w:val="18"/>
                <w:szCs w:val="18"/>
              </w:rPr>
            </w:pPr>
          </w:p>
        </w:tc>
        <w:tc>
          <w:tcPr>
            <w:tcW w:w="1158" w:type="dxa"/>
            <w:shd w:val="clear" w:color="auto" w:fill="auto"/>
            <w:vAlign w:val="center"/>
          </w:tcPr>
          <w:p w14:paraId="0643ACF5">
            <w:pPr>
              <w:jc w:val="center"/>
              <w:rPr>
                <w:rFonts w:ascii="宋体" w:hAnsi="宋体" w:cs="宋体"/>
                <w:color w:val="000000"/>
                <w:kern w:val="0"/>
                <w:sz w:val="18"/>
                <w:szCs w:val="18"/>
              </w:rPr>
            </w:pPr>
          </w:p>
        </w:tc>
        <w:tc>
          <w:tcPr>
            <w:tcW w:w="1158" w:type="dxa"/>
            <w:shd w:val="clear" w:color="auto" w:fill="auto"/>
            <w:vAlign w:val="center"/>
          </w:tcPr>
          <w:p w14:paraId="3CD24440">
            <w:pPr>
              <w:jc w:val="center"/>
              <w:rPr>
                <w:rFonts w:ascii="宋体" w:hAnsi="宋体" w:cs="宋体"/>
                <w:color w:val="000000"/>
                <w:kern w:val="0"/>
                <w:sz w:val="18"/>
                <w:szCs w:val="18"/>
              </w:rPr>
            </w:pPr>
          </w:p>
        </w:tc>
        <w:tc>
          <w:tcPr>
            <w:tcW w:w="1158" w:type="dxa"/>
            <w:shd w:val="clear" w:color="auto" w:fill="auto"/>
            <w:vAlign w:val="center"/>
          </w:tcPr>
          <w:p w14:paraId="4405AD85">
            <w:pPr>
              <w:jc w:val="center"/>
              <w:rPr>
                <w:rFonts w:ascii="宋体" w:hAnsi="宋体" w:cs="宋体"/>
                <w:color w:val="000000"/>
                <w:kern w:val="0"/>
                <w:sz w:val="18"/>
                <w:szCs w:val="18"/>
              </w:rPr>
            </w:pPr>
          </w:p>
        </w:tc>
        <w:tc>
          <w:tcPr>
            <w:tcW w:w="1158" w:type="dxa"/>
            <w:shd w:val="clear" w:color="auto" w:fill="auto"/>
            <w:vAlign w:val="center"/>
          </w:tcPr>
          <w:p w14:paraId="03FC6979">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5F2E1D6C">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5660632E">
            <w:pPr>
              <w:jc w:val="center"/>
              <w:rPr>
                <w:rFonts w:ascii="宋体" w:hAnsi="宋体" w:eastAsia="宋体" w:cs="宋体"/>
                <w:color w:val="000000"/>
                <w:kern w:val="0"/>
                <w:sz w:val="18"/>
                <w:szCs w:val="18"/>
                <w:lang w:val="en-US" w:eastAsia="zh-CN" w:bidi="ar-SA"/>
              </w:rPr>
            </w:pPr>
          </w:p>
        </w:tc>
      </w:tr>
      <w:tr w14:paraId="6D52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2F8DDC2D">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二</w:t>
            </w:r>
          </w:p>
        </w:tc>
        <w:tc>
          <w:tcPr>
            <w:tcW w:w="662" w:type="pct"/>
            <w:shd w:val="clear" w:color="auto" w:fill="auto"/>
            <w:vAlign w:val="center"/>
          </w:tcPr>
          <w:p w14:paraId="1B9EC78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现金流出</w:t>
            </w:r>
          </w:p>
        </w:tc>
        <w:tc>
          <w:tcPr>
            <w:tcW w:w="1158" w:type="dxa"/>
            <w:shd w:val="clear" w:color="auto" w:fill="auto"/>
            <w:vAlign w:val="center"/>
          </w:tcPr>
          <w:p w14:paraId="056989E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9,487.44</w:t>
            </w:r>
          </w:p>
        </w:tc>
        <w:tc>
          <w:tcPr>
            <w:tcW w:w="1158" w:type="dxa"/>
            <w:shd w:val="clear" w:color="auto" w:fill="auto"/>
            <w:vAlign w:val="center"/>
          </w:tcPr>
          <w:p w14:paraId="571C8CF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5,265.41</w:t>
            </w:r>
          </w:p>
        </w:tc>
        <w:tc>
          <w:tcPr>
            <w:tcW w:w="1158" w:type="dxa"/>
            <w:shd w:val="clear" w:color="auto" w:fill="auto"/>
            <w:vAlign w:val="center"/>
          </w:tcPr>
          <w:p w14:paraId="773B2BBF">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1,674.94</w:t>
            </w:r>
          </w:p>
        </w:tc>
        <w:tc>
          <w:tcPr>
            <w:tcW w:w="1158" w:type="dxa"/>
            <w:shd w:val="clear" w:color="auto" w:fill="auto"/>
            <w:vAlign w:val="center"/>
          </w:tcPr>
          <w:p w14:paraId="31C54291">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40C85905">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6F305CD2">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1214505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6D263BEC">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57AFE966">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2BCB1207">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r>
      <w:tr w14:paraId="795F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0E4B750B">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62" w:type="pct"/>
            <w:shd w:val="clear" w:color="auto" w:fill="auto"/>
            <w:vAlign w:val="center"/>
          </w:tcPr>
          <w:p w14:paraId="571E0669">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158" w:type="dxa"/>
            <w:shd w:val="clear" w:color="auto" w:fill="auto"/>
            <w:vAlign w:val="center"/>
          </w:tcPr>
          <w:p w14:paraId="425FC82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4983FB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F55B9D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542D9EF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11D412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CF986B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18D3E6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2DAFC8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E6A79A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2EB5D2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7F7D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83D0EDB">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62" w:type="pct"/>
            <w:shd w:val="clear" w:color="auto" w:fill="auto"/>
            <w:vAlign w:val="center"/>
          </w:tcPr>
          <w:p w14:paraId="285A290A">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158" w:type="dxa"/>
            <w:shd w:val="clear" w:color="auto" w:fill="auto"/>
            <w:vAlign w:val="center"/>
          </w:tcPr>
          <w:p w14:paraId="7E69EBD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65968D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ADEB9B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24735C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8AD804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1E4CA60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D4D32F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36A3F82B">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0F1FAD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567FA1B">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6790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0EC28AF9">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62" w:type="pct"/>
            <w:shd w:val="clear" w:color="auto" w:fill="auto"/>
            <w:vAlign w:val="center"/>
          </w:tcPr>
          <w:p w14:paraId="113FA264">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158" w:type="dxa"/>
            <w:shd w:val="clear" w:color="auto" w:fill="auto"/>
            <w:vAlign w:val="center"/>
          </w:tcPr>
          <w:p w14:paraId="5BB8638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292A2F6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BBAA24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7FBDCDE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1CFC78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3E76E0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6CA4792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796E5D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0B465DC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vAlign w:val="center"/>
          </w:tcPr>
          <w:p w14:paraId="4AAD29F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418C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1B0BCBF">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62" w:type="pct"/>
            <w:shd w:val="clear" w:color="auto" w:fill="auto"/>
            <w:vAlign w:val="center"/>
          </w:tcPr>
          <w:p w14:paraId="36989D86">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158" w:type="dxa"/>
            <w:shd w:val="clear" w:color="auto" w:fill="auto"/>
            <w:vAlign w:val="center"/>
          </w:tcPr>
          <w:p w14:paraId="37DD06C0">
            <w:pPr>
              <w:jc w:val="center"/>
              <w:rPr>
                <w:rFonts w:ascii="宋体" w:hAnsi="宋体" w:cs="宋体"/>
                <w:color w:val="000000"/>
                <w:kern w:val="0"/>
                <w:sz w:val="18"/>
                <w:szCs w:val="18"/>
              </w:rPr>
            </w:pPr>
          </w:p>
        </w:tc>
        <w:tc>
          <w:tcPr>
            <w:tcW w:w="1158" w:type="dxa"/>
            <w:shd w:val="clear" w:color="auto" w:fill="auto"/>
            <w:vAlign w:val="center"/>
          </w:tcPr>
          <w:p w14:paraId="35701D50">
            <w:pPr>
              <w:jc w:val="center"/>
              <w:rPr>
                <w:rFonts w:ascii="宋体" w:hAnsi="宋体" w:cs="宋体"/>
                <w:color w:val="000000"/>
                <w:kern w:val="0"/>
                <w:sz w:val="18"/>
                <w:szCs w:val="18"/>
              </w:rPr>
            </w:pPr>
          </w:p>
        </w:tc>
        <w:tc>
          <w:tcPr>
            <w:tcW w:w="1158" w:type="dxa"/>
            <w:shd w:val="clear" w:color="auto" w:fill="auto"/>
            <w:vAlign w:val="center"/>
          </w:tcPr>
          <w:p w14:paraId="546A53F2">
            <w:pPr>
              <w:jc w:val="center"/>
              <w:rPr>
                <w:rFonts w:ascii="宋体" w:hAnsi="宋体" w:cs="宋体"/>
                <w:color w:val="000000"/>
                <w:kern w:val="0"/>
                <w:sz w:val="18"/>
                <w:szCs w:val="18"/>
              </w:rPr>
            </w:pPr>
          </w:p>
        </w:tc>
        <w:tc>
          <w:tcPr>
            <w:tcW w:w="1158" w:type="dxa"/>
            <w:shd w:val="clear" w:color="auto" w:fill="auto"/>
            <w:vAlign w:val="center"/>
          </w:tcPr>
          <w:p w14:paraId="2C6F17FA">
            <w:pPr>
              <w:jc w:val="center"/>
              <w:rPr>
                <w:rFonts w:ascii="宋体" w:hAnsi="宋体" w:cs="宋体"/>
                <w:color w:val="000000"/>
                <w:kern w:val="0"/>
                <w:sz w:val="18"/>
                <w:szCs w:val="18"/>
              </w:rPr>
            </w:pPr>
          </w:p>
        </w:tc>
        <w:tc>
          <w:tcPr>
            <w:tcW w:w="1158" w:type="dxa"/>
            <w:shd w:val="clear" w:color="auto" w:fill="auto"/>
            <w:vAlign w:val="center"/>
          </w:tcPr>
          <w:p w14:paraId="6838C04E">
            <w:pPr>
              <w:jc w:val="center"/>
              <w:rPr>
                <w:rFonts w:ascii="宋体" w:hAnsi="宋体" w:cs="宋体"/>
                <w:color w:val="000000"/>
                <w:kern w:val="0"/>
                <w:sz w:val="18"/>
                <w:szCs w:val="18"/>
              </w:rPr>
            </w:pPr>
          </w:p>
        </w:tc>
        <w:tc>
          <w:tcPr>
            <w:tcW w:w="1158" w:type="dxa"/>
            <w:shd w:val="clear" w:color="auto" w:fill="auto"/>
            <w:vAlign w:val="center"/>
          </w:tcPr>
          <w:p w14:paraId="422B4728">
            <w:pPr>
              <w:jc w:val="center"/>
              <w:rPr>
                <w:rFonts w:ascii="宋体" w:hAnsi="宋体" w:cs="宋体"/>
                <w:color w:val="000000"/>
                <w:kern w:val="0"/>
                <w:sz w:val="18"/>
                <w:szCs w:val="18"/>
              </w:rPr>
            </w:pPr>
          </w:p>
        </w:tc>
        <w:tc>
          <w:tcPr>
            <w:tcW w:w="1158" w:type="dxa"/>
            <w:shd w:val="clear" w:color="auto" w:fill="auto"/>
            <w:vAlign w:val="center"/>
          </w:tcPr>
          <w:p w14:paraId="0A4E8720">
            <w:pPr>
              <w:jc w:val="center"/>
              <w:rPr>
                <w:rFonts w:ascii="宋体" w:hAnsi="宋体" w:cs="宋体"/>
                <w:color w:val="000000"/>
                <w:kern w:val="0"/>
                <w:sz w:val="18"/>
                <w:szCs w:val="18"/>
              </w:rPr>
            </w:pPr>
          </w:p>
        </w:tc>
        <w:tc>
          <w:tcPr>
            <w:tcW w:w="1158" w:type="dxa"/>
            <w:shd w:val="clear" w:color="auto" w:fill="auto"/>
            <w:vAlign w:val="center"/>
          </w:tcPr>
          <w:p w14:paraId="37AA0DFD">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7F9EC0C6">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550A235F">
            <w:pPr>
              <w:jc w:val="center"/>
              <w:rPr>
                <w:rFonts w:ascii="宋体" w:hAnsi="宋体" w:eastAsia="宋体" w:cs="宋体"/>
                <w:color w:val="000000"/>
                <w:kern w:val="0"/>
                <w:sz w:val="18"/>
                <w:szCs w:val="18"/>
                <w:lang w:val="en-US" w:eastAsia="zh-CN" w:bidi="ar-SA"/>
              </w:rPr>
            </w:pPr>
          </w:p>
        </w:tc>
      </w:tr>
      <w:tr w14:paraId="2C95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7C4FF60D">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62" w:type="pct"/>
            <w:shd w:val="clear" w:color="auto" w:fill="auto"/>
            <w:vAlign w:val="center"/>
          </w:tcPr>
          <w:p w14:paraId="4F868DF3">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158" w:type="dxa"/>
            <w:shd w:val="clear" w:color="auto" w:fill="auto"/>
            <w:vAlign w:val="center"/>
          </w:tcPr>
          <w:p w14:paraId="67D2448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9,487.44</w:t>
            </w:r>
          </w:p>
        </w:tc>
        <w:tc>
          <w:tcPr>
            <w:tcW w:w="1158" w:type="dxa"/>
            <w:shd w:val="clear" w:color="auto" w:fill="auto"/>
            <w:vAlign w:val="center"/>
          </w:tcPr>
          <w:p w14:paraId="1AF46C7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5,265.41</w:t>
            </w:r>
          </w:p>
        </w:tc>
        <w:tc>
          <w:tcPr>
            <w:tcW w:w="1158" w:type="dxa"/>
            <w:shd w:val="clear" w:color="auto" w:fill="auto"/>
            <w:vAlign w:val="center"/>
          </w:tcPr>
          <w:p w14:paraId="07CC54C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1,674.94</w:t>
            </w:r>
          </w:p>
        </w:tc>
        <w:tc>
          <w:tcPr>
            <w:tcW w:w="1158" w:type="dxa"/>
            <w:shd w:val="clear" w:color="auto" w:fill="auto"/>
            <w:vAlign w:val="center"/>
          </w:tcPr>
          <w:p w14:paraId="6B2021F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73E0EF6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7D0C69B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0F04727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0251202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2FAA666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0698D11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r>
      <w:tr w14:paraId="6126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CECEFD9">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62" w:type="pct"/>
            <w:shd w:val="clear" w:color="auto" w:fill="auto"/>
            <w:vAlign w:val="center"/>
          </w:tcPr>
          <w:p w14:paraId="1421F1DB">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158" w:type="dxa"/>
            <w:shd w:val="clear" w:color="auto" w:fill="auto"/>
            <w:vAlign w:val="center"/>
          </w:tcPr>
          <w:p w14:paraId="4BAFCA0A">
            <w:pPr>
              <w:jc w:val="center"/>
              <w:rPr>
                <w:rFonts w:ascii="宋体" w:hAnsi="宋体" w:cs="宋体"/>
                <w:color w:val="000000"/>
                <w:kern w:val="0"/>
                <w:sz w:val="18"/>
                <w:szCs w:val="18"/>
              </w:rPr>
            </w:pPr>
          </w:p>
        </w:tc>
        <w:tc>
          <w:tcPr>
            <w:tcW w:w="1158" w:type="dxa"/>
            <w:shd w:val="clear" w:color="auto" w:fill="auto"/>
            <w:vAlign w:val="center"/>
          </w:tcPr>
          <w:p w14:paraId="6892E424">
            <w:pPr>
              <w:jc w:val="center"/>
              <w:rPr>
                <w:rFonts w:ascii="宋体" w:hAnsi="宋体" w:cs="宋体"/>
                <w:color w:val="000000"/>
                <w:kern w:val="0"/>
                <w:sz w:val="18"/>
                <w:szCs w:val="18"/>
              </w:rPr>
            </w:pPr>
          </w:p>
        </w:tc>
        <w:tc>
          <w:tcPr>
            <w:tcW w:w="1158" w:type="dxa"/>
            <w:shd w:val="clear" w:color="auto" w:fill="auto"/>
            <w:vAlign w:val="center"/>
          </w:tcPr>
          <w:p w14:paraId="4ADFB9E3">
            <w:pPr>
              <w:jc w:val="center"/>
              <w:rPr>
                <w:rFonts w:ascii="宋体" w:hAnsi="宋体" w:cs="宋体"/>
                <w:color w:val="000000"/>
                <w:kern w:val="0"/>
                <w:sz w:val="18"/>
                <w:szCs w:val="18"/>
              </w:rPr>
            </w:pPr>
          </w:p>
        </w:tc>
        <w:tc>
          <w:tcPr>
            <w:tcW w:w="1158" w:type="dxa"/>
            <w:shd w:val="clear" w:color="auto" w:fill="auto"/>
            <w:vAlign w:val="center"/>
          </w:tcPr>
          <w:p w14:paraId="364742FD">
            <w:pPr>
              <w:jc w:val="center"/>
              <w:rPr>
                <w:rFonts w:ascii="宋体" w:hAnsi="宋体" w:cs="宋体"/>
                <w:color w:val="000000"/>
                <w:kern w:val="0"/>
                <w:sz w:val="18"/>
                <w:szCs w:val="18"/>
              </w:rPr>
            </w:pPr>
          </w:p>
        </w:tc>
        <w:tc>
          <w:tcPr>
            <w:tcW w:w="1158" w:type="dxa"/>
            <w:shd w:val="clear" w:color="auto" w:fill="auto"/>
            <w:vAlign w:val="center"/>
          </w:tcPr>
          <w:p w14:paraId="7D5AE837">
            <w:pPr>
              <w:jc w:val="center"/>
              <w:rPr>
                <w:rFonts w:ascii="宋体" w:hAnsi="宋体" w:cs="宋体"/>
                <w:color w:val="000000"/>
                <w:kern w:val="0"/>
                <w:sz w:val="18"/>
                <w:szCs w:val="18"/>
              </w:rPr>
            </w:pPr>
          </w:p>
        </w:tc>
        <w:tc>
          <w:tcPr>
            <w:tcW w:w="1158" w:type="dxa"/>
            <w:shd w:val="clear" w:color="auto" w:fill="auto"/>
            <w:vAlign w:val="center"/>
          </w:tcPr>
          <w:p w14:paraId="75207AE4">
            <w:pPr>
              <w:jc w:val="center"/>
              <w:rPr>
                <w:rFonts w:ascii="宋体" w:hAnsi="宋体" w:cs="宋体"/>
                <w:color w:val="000000"/>
                <w:kern w:val="0"/>
                <w:sz w:val="18"/>
                <w:szCs w:val="18"/>
              </w:rPr>
            </w:pPr>
          </w:p>
        </w:tc>
        <w:tc>
          <w:tcPr>
            <w:tcW w:w="1158" w:type="dxa"/>
            <w:shd w:val="clear" w:color="auto" w:fill="auto"/>
            <w:vAlign w:val="center"/>
          </w:tcPr>
          <w:p w14:paraId="671ECF42">
            <w:pPr>
              <w:jc w:val="center"/>
              <w:rPr>
                <w:rFonts w:ascii="宋体" w:hAnsi="宋体" w:cs="宋体"/>
                <w:color w:val="000000"/>
                <w:kern w:val="0"/>
                <w:sz w:val="18"/>
                <w:szCs w:val="18"/>
              </w:rPr>
            </w:pPr>
          </w:p>
        </w:tc>
        <w:tc>
          <w:tcPr>
            <w:tcW w:w="1158" w:type="dxa"/>
            <w:shd w:val="clear" w:color="auto" w:fill="auto"/>
            <w:vAlign w:val="center"/>
          </w:tcPr>
          <w:p w14:paraId="761ADDF7">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32469F86">
            <w:pPr>
              <w:jc w:val="center"/>
              <w:rPr>
                <w:rFonts w:ascii="宋体" w:hAnsi="宋体" w:eastAsia="宋体" w:cs="宋体"/>
                <w:color w:val="000000"/>
                <w:kern w:val="0"/>
                <w:sz w:val="18"/>
                <w:szCs w:val="18"/>
                <w:lang w:val="en-US" w:eastAsia="zh-CN" w:bidi="ar-SA"/>
              </w:rPr>
            </w:pPr>
          </w:p>
        </w:tc>
        <w:tc>
          <w:tcPr>
            <w:tcW w:w="1158" w:type="dxa"/>
            <w:shd w:val="clear" w:color="auto" w:fill="auto"/>
            <w:vAlign w:val="center"/>
          </w:tcPr>
          <w:p w14:paraId="5D43B346">
            <w:pPr>
              <w:jc w:val="center"/>
              <w:rPr>
                <w:rFonts w:ascii="宋体" w:hAnsi="宋体" w:eastAsia="宋体" w:cs="宋体"/>
                <w:color w:val="000000"/>
                <w:kern w:val="0"/>
                <w:sz w:val="18"/>
                <w:szCs w:val="18"/>
                <w:lang w:val="en-US" w:eastAsia="zh-CN" w:bidi="ar-SA"/>
              </w:rPr>
            </w:pPr>
          </w:p>
        </w:tc>
      </w:tr>
      <w:tr w14:paraId="3B08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1F35479D">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62" w:type="pct"/>
            <w:shd w:val="clear" w:color="auto" w:fill="auto"/>
            <w:vAlign w:val="center"/>
          </w:tcPr>
          <w:p w14:paraId="1B2EC7A2">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158" w:type="dxa"/>
            <w:shd w:val="clear" w:color="auto" w:fill="auto"/>
            <w:noWrap/>
            <w:vAlign w:val="center"/>
          </w:tcPr>
          <w:p w14:paraId="0C27065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8,950.00</w:t>
            </w:r>
          </w:p>
        </w:tc>
        <w:tc>
          <w:tcPr>
            <w:tcW w:w="1158" w:type="dxa"/>
            <w:shd w:val="clear" w:color="auto" w:fill="auto"/>
            <w:noWrap/>
            <w:vAlign w:val="center"/>
          </w:tcPr>
          <w:p w14:paraId="15F4971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5,000.00</w:t>
            </w:r>
          </w:p>
        </w:tc>
        <w:tc>
          <w:tcPr>
            <w:tcW w:w="1158" w:type="dxa"/>
            <w:shd w:val="clear" w:color="auto" w:fill="auto"/>
            <w:noWrap/>
            <w:vAlign w:val="center"/>
          </w:tcPr>
          <w:p w14:paraId="3573E2D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1,537.00</w:t>
            </w:r>
          </w:p>
        </w:tc>
        <w:tc>
          <w:tcPr>
            <w:tcW w:w="1158" w:type="dxa"/>
            <w:shd w:val="clear" w:color="auto" w:fill="auto"/>
            <w:noWrap/>
            <w:vAlign w:val="center"/>
          </w:tcPr>
          <w:p w14:paraId="00E939AC">
            <w:pPr>
              <w:jc w:val="center"/>
              <w:rPr>
                <w:rFonts w:ascii="宋体" w:hAnsi="宋体" w:cs="宋体"/>
                <w:color w:val="000000"/>
                <w:kern w:val="0"/>
                <w:sz w:val="18"/>
                <w:szCs w:val="18"/>
              </w:rPr>
            </w:pPr>
          </w:p>
        </w:tc>
        <w:tc>
          <w:tcPr>
            <w:tcW w:w="1158" w:type="dxa"/>
            <w:shd w:val="clear" w:color="auto" w:fill="auto"/>
            <w:noWrap/>
            <w:vAlign w:val="center"/>
          </w:tcPr>
          <w:p w14:paraId="677D2FCF">
            <w:pPr>
              <w:jc w:val="center"/>
              <w:rPr>
                <w:rFonts w:ascii="宋体" w:hAnsi="宋体" w:cs="宋体"/>
                <w:color w:val="000000"/>
                <w:kern w:val="0"/>
                <w:sz w:val="18"/>
                <w:szCs w:val="18"/>
              </w:rPr>
            </w:pPr>
          </w:p>
        </w:tc>
        <w:tc>
          <w:tcPr>
            <w:tcW w:w="1158" w:type="dxa"/>
            <w:shd w:val="clear" w:color="auto" w:fill="auto"/>
            <w:noWrap/>
            <w:vAlign w:val="center"/>
          </w:tcPr>
          <w:p w14:paraId="07F9C8CB">
            <w:pPr>
              <w:jc w:val="center"/>
              <w:rPr>
                <w:rFonts w:ascii="宋体" w:hAnsi="宋体" w:cs="宋体"/>
                <w:color w:val="000000"/>
                <w:kern w:val="0"/>
                <w:sz w:val="18"/>
                <w:szCs w:val="18"/>
              </w:rPr>
            </w:pPr>
          </w:p>
        </w:tc>
        <w:tc>
          <w:tcPr>
            <w:tcW w:w="1158" w:type="dxa"/>
            <w:shd w:val="clear" w:color="auto" w:fill="auto"/>
            <w:noWrap/>
            <w:vAlign w:val="center"/>
          </w:tcPr>
          <w:p w14:paraId="6157CCFD">
            <w:pPr>
              <w:jc w:val="center"/>
              <w:rPr>
                <w:rFonts w:ascii="宋体" w:hAnsi="宋体" w:cs="宋体"/>
                <w:color w:val="000000"/>
                <w:kern w:val="0"/>
                <w:sz w:val="18"/>
                <w:szCs w:val="18"/>
              </w:rPr>
            </w:pPr>
          </w:p>
        </w:tc>
        <w:tc>
          <w:tcPr>
            <w:tcW w:w="1158" w:type="dxa"/>
            <w:shd w:val="clear" w:color="auto" w:fill="auto"/>
            <w:noWrap/>
            <w:vAlign w:val="center"/>
          </w:tcPr>
          <w:p w14:paraId="09788A10">
            <w:pPr>
              <w:keepNext w:val="0"/>
              <w:keepLines w:val="0"/>
              <w:widowControl/>
              <w:suppressLineNumbers w:val="0"/>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426FDC38">
            <w:pPr>
              <w:jc w:val="center"/>
              <w:rPr>
                <w:rFonts w:ascii="宋体" w:hAnsi="宋体" w:eastAsia="宋体" w:cs="宋体"/>
                <w:color w:val="000000"/>
                <w:kern w:val="0"/>
                <w:sz w:val="18"/>
                <w:szCs w:val="18"/>
                <w:lang w:val="en-US" w:eastAsia="zh-CN" w:bidi="ar-SA"/>
              </w:rPr>
            </w:pPr>
          </w:p>
        </w:tc>
        <w:tc>
          <w:tcPr>
            <w:tcW w:w="1158" w:type="dxa"/>
            <w:shd w:val="clear" w:color="auto" w:fill="auto"/>
            <w:noWrap/>
            <w:vAlign w:val="center"/>
          </w:tcPr>
          <w:p w14:paraId="1C582B80">
            <w:pPr>
              <w:jc w:val="center"/>
              <w:rPr>
                <w:rFonts w:ascii="宋体" w:hAnsi="宋体" w:eastAsia="宋体" w:cs="宋体"/>
                <w:color w:val="000000"/>
                <w:kern w:val="0"/>
                <w:sz w:val="18"/>
                <w:szCs w:val="18"/>
                <w:lang w:val="en-US" w:eastAsia="zh-CN" w:bidi="ar-SA"/>
              </w:rPr>
            </w:pPr>
          </w:p>
        </w:tc>
      </w:tr>
      <w:tr w14:paraId="6E6A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56DDFFA8">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62" w:type="pct"/>
            <w:shd w:val="clear" w:color="auto" w:fill="auto"/>
            <w:vAlign w:val="center"/>
          </w:tcPr>
          <w:p w14:paraId="591D5232">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158" w:type="dxa"/>
            <w:shd w:val="clear" w:color="auto" w:fill="auto"/>
            <w:noWrap/>
            <w:vAlign w:val="center"/>
          </w:tcPr>
          <w:p w14:paraId="755E246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537.44</w:t>
            </w:r>
          </w:p>
        </w:tc>
        <w:tc>
          <w:tcPr>
            <w:tcW w:w="1158" w:type="dxa"/>
            <w:shd w:val="clear" w:color="auto" w:fill="auto"/>
            <w:noWrap/>
            <w:vAlign w:val="center"/>
          </w:tcPr>
          <w:p w14:paraId="6AD2C08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265.41</w:t>
            </w:r>
          </w:p>
        </w:tc>
        <w:tc>
          <w:tcPr>
            <w:tcW w:w="1158" w:type="dxa"/>
            <w:shd w:val="clear" w:color="auto" w:fill="auto"/>
            <w:noWrap/>
            <w:vAlign w:val="center"/>
          </w:tcPr>
          <w:p w14:paraId="58C93D6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137.94</w:t>
            </w:r>
          </w:p>
        </w:tc>
        <w:tc>
          <w:tcPr>
            <w:tcW w:w="1158" w:type="dxa"/>
            <w:shd w:val="clear" w:color="auto" w:fill="auto"/>
            <w:noWrap/>
            <w:vAlign w:val="center"/>
          </w:tcPr>
          <w:p w14:paraId="54C7D08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6629BAD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658C98F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6BA2CBF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255E986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4A72747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noWrap/>
            <w:vAlign w:val="center"/>
          </w:tcPr>
          <w:p w14:paraId="330768F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r>
      <w:tr w14:paraId="1AC36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2BDFC0F3">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62" w:type="pct"/>
            <w:shd w:val="clear" w:color="auto" w:fill="auto"/>
            <w:vAlign w:val="center"/>
          </w:tcPr>
          <w:p w14:paraId="5566E3D0">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158" w:type="dxa"/>
            <w:shd w:val="clear" w:color="auto" w:fill="auto"/>
            <w:vAlign w:val="center"/>
          </w:tcPr>
          <w:p w14:paraId="2E6716CE">
            <w:pPr>
              <w:jc w:val="center"/>
              <w:rPr>
                <w:rFonts w:ascii="宋体" w:hAnsi="宋体" w:cs="宋体"/>
                <w:color w:val="000000"/>
                <w:kern w:val="0"/>
                <w:sz w:val="18"/>
                <w:szCs w:val="18"/>
              </w:rPr>
            </w:pPr>
          </w:p>
        </w:tc>
        <w:tc>
          <w:tcPr>
            <w:tcW w:w="1158" w:type="dxa"/>
            <w:shd w:val="clear" w:color="auto" w:fill="auto"/>
            <w:vAlign w:val="center"/>
          </w:tcPr>
          <w:p w14:paraId="05ACD837">
            <w:pPr>
              <w:jc w:val="center"/>
              <w:rPr>
                <w:rFonts w:ascii="宋体" w:hAnsi="宋体" w:cs="宋体"/>
                <w:color w:val="000000"/>
                <w:kern w:val="0"/>
                <w:sz w:val="18"/>
                <w:szCs w:val="18"/>
              </w:rPr>
            </w:pPr>
          </w:p>
        </w:tc>
        <w:tc>
          <w:tcPr>
            <w:tcW w:w="1158" w:type="dxa"/>
            <w:shd w:val="clear" w:color="auto" w:fill="auto"/>
            <w:vAlign w:val="center"/>
          </w:tcPr>
          <w:p w14:paraId="28F824DE">
            <w:pPr>
              <w:jc w:val="center"/>
              <w:rPr>
                <w:rFonts w:ascii="宋体" w:hAnsi="宋体" w:cs="宋体"/>
                <w:color w:val="000000"/>
                <w:kern w:val="0"/>
                <w:sz w:val="18"/>
                <w:szCs w:val="18"/>
              </w:rPr>
            </w:pPr>
          </w:p>
        </w:tc>
        <w:tc>
          <w:tcPr>
            <w:tcW w:w="1158" w:type="dxa"/>
            <w:shd w:val="clear" w:color="auto" w:fill="auto"/>
            <w:vAlign w:val="center"/>
          </w:tcPr>
          <w:p w14:paraId="611B975A">
            <w:pPr>
              <w:jc w:val="center"/>
              <w:rPr>
                <w:rFonts w:ascii="宋体" w:hAnsi="宋体" w:cs="宋体"/>
                <w:color w:val="000000"/>
                <w:kern w:val="0"/>
                <w:sz w:val="18"/>
                <w:szCs w:val="18"/>
              </w:rPr>
            </w:pPr>
          </w:p>
        </w:tc>
        <w:tc>
          <w:tcPr>
            <w:tcW w:w="1158" w:type="dxa"/>
            <w:shd w:val="clear" w:color="auto" w:fill="auto"/>
            <w:noWrap/>
            <w:vAlign w:val="center"/>
          </w:tcPr>
          <w:p w14:paraId="003E2291">
            <w:pPr>
              <w:jc w:val="center"/>
              <w:rPr>
                <w:rFonts w:ascii="宋体" w:hAnsi="宋体" w:cs="宋体"/>
                <w:color w:val="000000"/>
                <w:kern w:val="0"/>
                <w:sz w:val="18"/>
                <w:szCs w:val="18"/>
              </w:rPr>
            </w:pPr>
          </w:p>
        </w:tc>
        <w:tc>
          <w:tcPr>
            <w:tcW w:w="1158" w:type="dxa"/>
            <w:shd w:val="clear" w:color="auto" w:fill="auto"/>
            <w:noWrap/>
            <w:vAlign w:val="center"/>
          </w:tcPr>
          <w:p w14:paraId="56B342BC">
            <w:pPr>
              <w:jc w:val="center"/>
              <w:rPr>
                <w:rFonts w:ascii="宋体" w:hAnsi="宋体" w:cs="宋体"/>
                <w:color w:val="000000"/>
                <w:kern w:val="0"/>
                <w:sz w:val="18"/>
                <w:szCs w:val="18"/>
              </w:rPr>
            </w:pPr>
          </w:p>
        </w:tc>
        <w:tc>
          <w:tcPr>
            <w:tcW w:w="1158" w:type="dxa"/>
            <w:shd w:val="clear" w:color="auto" w:fill="auto"/>
            <w:noWrap/>
            <w:vAlign w:val="center"/>
          </w:tcPr>
          <w:p w14:paraId="74BD5E2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4AB6E8E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31ED14D2">
            <w:pPr>
              <w:jc w:val="center"/>
              <w:rPr>
                <w:rFonts w:hint="eastAsia" w:ascii="宋体" w:hAnsi="宋体" w:eastAsia="宋体" w:cs="宋体"/>
                <w:color w:val="000000"/>
                <w:kern w:val="0"/>
                <w:sz w:val="18"/>
                <w:szCs w:val="18"/>
                <w:lang w:val="en-US" w:eastAsia="zh-CN" w:bidi="ar-SA"/>
              </w:rPr>
            </w:pPr>
          </w:p>
        </w:tc>
        <w:tc>
          <w:tcPr>
            <w:tcW w:w="1158" w:type="dxa"/>
            <w:shd w:val="clear" w:color="auto" w:fill="auto"/>
            <w:noWrap/>
            <w:vAlign w:val="center"/>
          </w:tcPr>
          <w:p w14:paraId="0FD29B75">
            <w:pPr>
              <w:jc w:val="center"/>
              <w:rPr>
                <w:rFonts w:hint="eastAsia" w:ascii="宋体" w:hAnsi="宋体" w:eastAsia="宋体" w:cs="宋体"/>
                <w:color w:val="000000"/>
                <w:kern w:val="0"/>
                <w:sz w:val="18"/>
                <w:szCs w:val="18"/>
                <w:lang w:val="en-US" w:eastAsia="zh-CN" w:bidi="ar-SA"/>
              </w:rPr>
            </w:pPr>
          </w:p>
        </w:tc>
      </w:tr>
      <w:tr w14:paraId="124F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62D4F273">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62" w:type="pct"/>
            <w:shd w:val="clear" w:color="auto" w:fill="auto"/>
            <w:vAlign w:val="center"/>
          </w:tcPr>
          <w:p w14:paraId="15135703">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158" w:type="dxa"/>
            <w:shd w:val="clear" w:color="auto" w:fill="auto"/>
            <w:noWrap/>
            <w:vAlign w:val="center"/>
          </w:tcPr>
          <w:p w14:paraId="4EEF2E2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73194A6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3B50CC7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374A555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09B3846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5E7360F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0C7C48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46DA829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1B9821F5">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158" w:type="dxa"/>
            <w:shd w:val="clear" w:color="auto" w:fill="auto"/>
            <w:noWrap/>
            <w:vAlign w:val="center"/>
          </w:tcPr>
          <w:p w14:paraId="11161B2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68C2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1CA37F1C">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三</w:t>
            </w:r>
          </w:p>
        </w:tc>
        <w:tc>
          <w:tcPr>
            <w:tcW w:w="662" w:type="pct"/>
            <w:shd w:val="clear" w:color="auto" w:fill="auto"/>
            <w:vAlign w:val="center"/>
          </w:tcPr>
          <w:p w14:paraId="60EC60C3">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当期现金结余</w:t>
            </w:r>
          </w:p>
        </w:tc>
        <w:tc>
          <w:tcPr>
            <w:tcW w:w="1158" w:type="dxa"/>
            <w:shd w:val="clear" w:color="auto" w:fill="auto"/>
            <w:vAlign w:val="center"/>
          </w:tcPr>
          <w:p w14:paraId="17409FB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-9,487.44</w:t>
            </w:r>
          </w:p>
        </w:tc>
        <w:tc>
          <w:tcPr>
            <w:tcW w:w="1158" w:type="dxa"/>
            <w:shd w:val="clear" w:color="auto" w:fill="auto"/>
            <w:vAlign w:val="center"/>
          </w:tcPr>
          <w:p w14:paraId="36BA1AE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-5,265.41</w:t>
            </w:r>
          </w:p>
        </w:tc>
        <w:tc>
          <w:tcPr>
            <w:tcW w:w="1158" w:type="dxa"/>
            <w:shd w:val="clear" w:color="auto" w:fill="auto"/>
            <w:vAlign w:val="center"/>
          </w:tcPr>
          <w:p w14:paraId="15581E6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-1,674.94</w:t>
            </w:r>
          </w:p>
        </w:tc>
        <w:tc>
          <w:tcPr>
            <w:tcW w:w="1158" w:type="dxa"/>
            <w:shd w:val="clear" w:color="auto" w:fill="auto"/>
            <w:vAlign w:val="center"/>
          </w:tcPr>
          <w:p w14:paraId="751A664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5EBE309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7E2B7F8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3ED5887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2658AAB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1F7DAE8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158" w:type="dxa"/>
            <w:shd w:val="clear" w:color="auto" w:fill="auto"/>
            <w:vAlign w:val="center"/>
          </w:tcPr>
          <w:p w14:paraId="0EC9603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r>
      <w:tr w14:paraId="128B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8AE7BE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四</w:t>
            </w:r>
          </w:p>
        </w:tc>
        <w:tc>
          <w:tcPr>
            <w:tcW w:w="662" w:type="pct"/>
            <w:shd w:val="clear" w:color="auto" w:fill="auto"/>
            <w:vAlign w:val="center"/>
          </w:tcPr>
          <w:p w14:paraId="23D6D3D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期初现金</w:t>
            </w:r>
          </w:p>
        </w:tc>
        <w:tc>
          <w:tcPr>
            <w:tcW w:w="1158" w:type="dxa"/>
            <w:shd w:val="clear" w:color="auto" w:fill="auto"/>
            <w:vAlign w:val="center"/>
          </w:tcPr>
          <w:p w14:paraId="3BD7BEF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63,307.64</w:t>
            </w:r>
          </w:p>
        </w:tc>
        <w:tc>
          <w:tcPr>
            <w:tcW w:w="1158" w:type="dxa"/>
            <w:shd w:val="clear" w:color="auto" w:fill="auto"/>
            <w:vAlign w:val="center"/>
          </w:tcPr>
          <w:p w14:paraId="179A13A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53,820.20</w:t>
            </w:r>
          </w:p>
        </w:tc>
        <w:tc>
          <w:tcPr>
            <w:tcW w:w="1158" w:type="dxa"/>
            <w:shd w:val="clear" w:color="auto" w:fill="auto"/>
            <w:vAlign w:val="center"/>
          </w:tcPr>
          <w:p w14:paraId="604D14B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48,554.79</w:t>
            </w:r>
          </w:p>
        </w:tc>
        <w:tc>
          <w:tcPr>
            <w:tcW w:w="1158" w:type="dxa"/>
            <w:shd w:val="clear" w:color="auto" w:fill="auto"/>
            <w:vAlign w:val="center"/>
          </w:tcPr>
          <w:p w14:paraId="6DF77FF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46,879.85</w:t>
            </w:r>
          </w:p>
        </w:tc>
        <w:tc>
          <w:tcPr>
            <w:tcW w:w="1158" w:type="dxa"/>
            <w:shd w:val="clear" w:color="auto" w:fill="auto"/>
            <w:vAlign w:val="center"/>
          </w:tcPr>
          <w:p w14:paraId="36DA195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46,771.88</w:t>
            </w:r>
          </w:p>
        </w:tc>
        <w:tc>
          <w:tcPr>
            <w:tcW w:w="1158" w:type="dxa"/>
            <w:shd w:val="clear" w:color="auto" w:fill="auto"/>
            <w:vAlign w:val="center"/>
          </w:tcPr>
          <w:p w14:paraId="2E3091F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46,663.91</w:t>
            </w:r>
          </w:p>
        </w:tc>
        <w:tc>
          <w:tcPr>
            <w:tcW w:w="1158" w:type="dxa"/>
            <w:shd w:val="clear" w:color="auto" w:fill="auto"/>
            <w:vAlign w:val="center"/>
          </w:tcPr>
          <w:p w14:paraId="453176B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46,555.94</w:t>
            </w:r>
          </w:p>
        </w:tc>
        <w:tc>
          <w:tcPr>
            <w:tcW w:w="1158" w:type="dxa"/>
            <w:shd w:val="clear" w:color="auto" w:fill="auto"/>
            <w:vAlign w:val="center"/>
          </w:tcPr>
          <w:p w14:paraId="75FA24B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46,447.97</w:t>
            </w:r>
          </w:p>
        </w:tc>
        <w:tc>
          <w:tcPr>
            <w:tcW w:w="1158" w:type="dxa"/>
            <w:shd w:val="clear" w:color="auto" w:fill="auto"/>
            <w:vAlign w:val="center"/>
          </w:tcPr>
          <w:p w14:paraId="274FA2D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46,340.00</w:t>
            </w:r>
          </w:p>
        </w:tc>
        <w:tc>
          <w:tcPr>
            <w:tcW w:w="1158" w:type="dxa"/>
            <w:shd w:val="clear" w:color="auto" w:fill="auto"/>
            <w:vAlign w:val="center"/>
          </w:tcPr>
          <w:p w14:paraId="1556F99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46,232.03</w:t>
            </w:r>
          </w:p>
        </w:tc>
      </w:tr>
      <w:tr w14:paraId="7055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31" w:type="pct"/>
            <w:shd w:val="clear" w:color="auto" w:fill="auto"/>
            <w:vAlign w:val="center"/>
          </w:tcPr>
          <w:p w14:paraId="42D6307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五</w:t>
            </w:r>
          </w:p>
        </w:tc>
        <w:tc>
          <w:tcPr>
            <w:tcW w:w="662" w:type="pct"/>
            <w:shd w:val="clear" w:color="auto" w:fill="auto"/>
            <w:vAlign w:val="center"/>
          </w:tcPr>
          <w:p w14:paraId="2BA296D6">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期末现金</w:t>
            </w:r>
          </w:p>
        </w:tc>
        <w:tc>
          <w:tcPr>
            <w:tcW w:w="1158" w:type="dxa"/>
            <w:shd w:val="clear" w:color="auto" w:fill="auto"/>
            <w:vAlign w:val="center"/>
          </w:tcPr>
          <w:p w14:paraId="5B254A6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53,820.20</w:t>
            </w:r>
          </w:p>
        </w:tc>
        <w:tc>
          <w:tcPr>
            <w:tcW w:w="1158" w:type="dxa"/>
            <w:shd w:val="clear" w:color="auto" w:fill="auto"/>
            <w:vAlign w:val="center"/>
          </w:tcPr>
          <w:p w14:paraId="45C2075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48,554.79</w:t>
            </w:r>
          </w:p>
        </w:tc>
        <w:tc>
          <w:tcPr>
            <w:tcW w:w="1158" w:type="dxa"/>
            <w:shd w:val="clear" w:color="auto" w:fill="auto"/>
            <w:vAlign w:val="center"/>
          </w:tcPr>
          <w:p w14:paraId="6D8ED1F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46,879.85</w:t>
            </w:r>
          </w:p>
        </w:tc>
        <w:tc>
          <w:tcPr>
            <w:tcW w:w="1158" w:type="dxa"/>
            <w:shd w:val="clear" w:color="auto" w:fill="auto"/>
            <w:vAlign w:val="center"/>
          </w:tcPr>
          <w:p w14:paraId="6339C83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46,771.88</w:t>
            </w:r>
          </w:p>
        </w:tc>
        <w:tc>
          <w:tcPr>
            <w:tcW w:w="1158" w:type="dxa"/>
            <w:shd w:val="clear" w:color="auto" w:fill="auto"/>
            <w:vAlign w:val="center"/>
          </w:tcPr>
          <w:p w14:paraId="4B56E8C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46,663.91</w:t>
            </w:r>
          </w:p>
        </w:tc>
        <w:tc>
          <w:tcPr>
            <w:tcW w:w="1158" w:type="dxa"/>
            <w:shd w:val="clear" w:color="auto" w:fill="auto"/>
            <w:vAlign w:val="center"/>
          </w:tcPr>
          <w:p w14:paraId="6CD685B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46,555.94</w:t>
            </w:r>
          </w:p>
        </w:tc>
        <w:tc>
          <w:tcPr>
            <w:tcW w:w="1158" w:type="dxa"/>
            <w:shd w:val="clear" w:color="auto" w:fill="auto"/>
            <w:vAlign w:val="center"/>
          </w:tcPr>
          <w:p w14:paraId="5408E41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46,447.97</w:t>
            </w:r>
          </w:p>
        </w:tc>
        <w:tc>
          <w:tcPr>
            <w:tcW w:w="1158" w:type="dxa"/>
            <w:shd w:val="clear" w:color="auto" w:fill="auto"/>
            <w:vAlign w:val="center"/>
          </w:tcPr>
          <w:p w14:paraId="5801894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46,340.00</w:t>
            </w:r>
          </w:p>
        </w:tc>
        <w:tc>
          <w:tcPr>
            <w:tcW w:w="1158" w:type="dxa"/>
            <w:shd w:val="clear" w:color="auto" w:fill="auto"/>
            <w:vAlign w:val="center"/>
          </w:tcPr>
          <w:p w14:paraId="5E4BE560">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46,232.03</w:t>
            </w:r>
          </w:p>
        </w:tc>
        <w:tc>
          <w:tcPr>
            <w:tcW w:w="1158" w:type="dxa"/>
            <w:shd w:val="clear" w:color="auto" w:fill="auto"/>
            <w:vAlign w:val="center"/>
          </w:tcPr>
          <w:p w14:paraId="21210CA5">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46,124.06</w:t>
            </w:r>
          </w:p>
        </w:tc>
      </w:tr>
    </w:tbl>
    <w:p w14:paraId="35A82698">
      <w:pPr>
        <w:pStyle w:val="20"/>
        <w:spacing w:before="156" w:beforeLines="50" w:beforeAutospacing="0" w:after="156"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1722"/>
        <w:gridCol w:w="1070"/>
        <w:gridCol w:w="1070"/>
        <w:gridCol w:w="1070"/>
        <w:gridCol w:w="957"/>
        <w:gridCol w:w="113"/>
        <w:gridCol w:w="1070"/>
        <w:gridCol w:w="1070"/>
        <w:gridCol w:w="1070"/>
        <w:gridCol w:w="1070"/>
        <w:gridCol w:w="1070"/>
        <w:gridCol w:w="1070"/>
        <w:gridCol w:w="1079"/>
      </w:tblGrid>
      <w:tr w14:paraId="4E8A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213" w:type="pct"/>
            <w:shd w:val="clear" w:color="auto" w:fill="auto"/>
            <w:vAlign w:val="center"/>
          </w:tcPr>
          <w:p w14:paraId="596B7A4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序号</w:t>
            </w:r>
          </w:p>
        </w:tc>
        <w:tc>
          <w:tcPr>
            <w:tcW w:w="612" w:type="pct"/>
            <w:shd w:val="clear" w:color="auto" w:fill="auto"/>
            <w:vAlign w:val="center"/>
          </w:tcPr>
          <w:p w14:paraId="57ED7B5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379" w:type="pct"/>
            <w:shd w:val="clear" w:color="auto" w:fill="auto"/>
            <w:vAlign w:val="center"/>
          </w:tcPr>
          <w:p w14:paraId="25B96BA2">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2042年</w:t>
            </w:r>
          </w:p>
        </w:tc>
        <w:tc>
          <w:tcPr>
            <w:tcW w:w="379" w:type="pct"/>
            <w:shd w:val="clear" w:color="auto" w:fill="auto"/>
            <w:vAlign w:val="center"/>
          </w:tcPr>
          <w:p w14:paraId="0394C31B">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2043年</w:t>
            </w:r>
          </w:p>
        </w:tc>
        <w:tc>
          <w:tcPr>
            <w:tcW w:w="379" w:type="pct"/>
            <w:shd w:val="clear" w:color="auto" w:fill="auto"/>
            <w:vAlign w:val="center"/>
          </w:tcPr>
          <w:p w14:paraId="696EBB78">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2044年</w:t>
            </w:r>
          </w:p>
        </w:tc>
        <w:tc>
          <w:tcPr>
            <w:tcW w:w="379" w:type="pct"/>
            <w:gridSpan w:val="2"/>
            <w:shd w:val="clear" w:color="auto" w:fill="auto"/>
            <w:vAlign w:val="center"/>
          </w:tcPr>
          <w:p w14:paraId="2225B66D">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2045年</w:t>
            </w:r>
          </w:p>
        </w:tc>
        <w:tc>
          <w:tcPr>
            <w:tcW w:w="379" w:type="pct"/>
            <w:shd w:val="clear" w:color="auto" w:fill="auto"/>
            <w:vAlign w:val="center"/>
          </w:tcPr>
          <w:p w14:paraId="7EF1348D">
            <w:pPr>
              <w:widowControl/>
              <w:jc w:val="center"/>
              <w:textAlignment w:val="center"/>
              <w:rPr>
                <w:rFonts w:ascii="宋体" w:hAnsi="宋体" w:cs="宋体"/>
                <w:bCs/>
                <w:color w:val="000000"/>
                <w:kern w:val="0"/>
                <w:sz w:val="18"/>
                <w:szCs w:val="18"/>
              </w:rPr>
            </w:pPr>
            <w:r>
              <w:rPr>
                <w:rFonts w:hint="eastAsia" w:ascii="宋体" w:hAnsi="宋体" w:cs="宋体"/>
                <w:b/>
                <w:bCs/>
                <w:color w:val="000000"/>
                <w:kern w:val="0"/>
                <w:sz w:val="18"/>
                <w:szCs w:val="18"/>
                <w:lang w:bidi="ar"/>
              </w:rPr>
              <w:t>2046年</w:t>
            </w:r>
          </w:p>
        </w:tc>
        <w:tc>
          <w:tcPr>
            <w:tcW w:w="379" w:type="pct"/>
            <w:shd w:val="clear" w:color="auto" w:fill="auto"/>
            <w:vAlign w:val="center"/>
          </w:tcPr>
          <w:p w14:paraId="78AE2975">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2047年</w:t>
            </w:r>
          </w:p>
        </w:tc>
        <w:tc>
          <w:tcPr>
            <w:tcW w:w="379" w:type="pct"/>
            <w:shd w:val="clear" w:color="auto" w:fill="auto"/>
            <w:vAlign w:val="center"/>
          </w:tcPr>
          <w:p w14:paraId="705C81F7">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2048年</w:t>
            </w:r>
          </w:p>
        </w:tc>
        <w:tc>
          <w:tcPr>
            <w:tcW w:w="379" w:type="pct"/>
            <w:shd w:val="clear" w:color="auto" w:fill="auto"/>
            <w:vAlign w:val="center"/>
          </w:tcPr>
          <w:p w14:paraId="34C74A9F">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2049年</w:t>
            </w:r>
          </w:p>
        </w:tc>
        <w:tc>
          <w:tcPr>
            <w:tcW w:w="379" w:type="pct"/>
            <w:shd w:val="clear" w:color="auto" w:fill="auto"/>
            <w:vAlign w:val="center"/>
          </w:tcPr>
          <w:p w14:paraId="2ECA1F5B">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2050年</w:t>
            </w:r>
          </w:p>
        </w:tc>
        <w:tc>
          <w:tcPr>
            <w:tcW w:w="379" w:type="pct"/>
            <w:shd w:val="clear" w:color="auto" w:fill="auto"/>
            <w:vAlign w:val="center"/>
          </w:tcPr>
          <w:p w14:paraId="05027B54">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2051年</w:t>
            </w:r>
          </w:p>
        </w:tc>
        <w:tc>
          <w:tcPr>
            <w:tcW w:w="379" w:type="pct"/>
            <w:shd w:val="clear" w:color="auto" w:fill="auto"/>
            <w:vAlign w:val="center"/>
          </w:tcPr>
          <w:p w14:paraId="6390768B">
            <w:pPr>
              <w:widowControl/>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cs="宋体"/>
                <w:b/>
                <w:bCs/>
                <w:color w:val="000000"/>
                <w:kern w:val="0"/>
                <w:sz w:val="18"/>
                <w:szCs w:val="18"/>
                <w:lang w:bidi="ar"/>
              </w:rPr>
              <w:t>2052年</w:t>
            </w:r>
          </w:p>
        </w:tc>
      </w:tr>
      <w:tr w14:paraId="23BD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475D8875">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一</w:t>
            </w:r>
          </w:p>
        </w:tc>
        <w:tc>
          <w:tcPr>
            <w:tcW w:w="612" w:type="pct"/>
            <w:shd w:val="clear" w:color="auto" w:fill="auto"/>
            <w:vAlign w:val="center"/>
          </w:tcPr>
          <w:p w14:paraId="516BB163">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现金流入</w:t>
            </w:r>
          </w:p>
        </w:tc>
        <w:tc>
          <w:tcPr>
            <w:tcW w:w="1070" w:type="dxa"/>
            <w:shd w:val="clear" w:color="auto" w:fill="auto"/>
            <w:vAlign w:val="center"/>
          </w:tcPr>
          <w:p w14:paraId="2B90517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28DA7B9">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0AE664F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7300B120">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0FE64ECA">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3F1CE19">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ED4B83A">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DFD6872">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A69CBD8">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191EAC8">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51C54F8">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3821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732A3951">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12" w:type="pct"/>
            <w:shd w:val="clear" w:color="auto" w:fill="auto"/>
            <w:vAlign w:val="center"/>
          </w:tcPr>
          <w:p w14:paraId="081620C6">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070" w:type="dxa"/>
            <w:shd w:val="clear" w:color="auto" w:fill="auto"/>
            <w:vAlign w:val="center"/>
          </w:tcPr>
          <w:p w14:paraId="1808F27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5776E8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4E38FA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114284D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BB71BB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C8AD61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071117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FA8B8C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A5BF97B">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7D59D7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301162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68A3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3FB82BD5">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12" w:type="pct"/>
            <w:shd w:val="clear" w:color="auto" w:fill="auto"/>
            <w:vAlign w:val="center"/>
          </w:tcPr>
          <w:p w14:paraId="167FD397">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070" w:type="dxa"/>
            <w:shd w:val="clear" w:color="auto" w:fill="auto"/>
            <w:vAlign w:val="center"/>
          </w:tcPr>
          <w:p w14:paraId="2DF7A4B9">
            <w:pPr>
              <w:jc w:val="center"/>
              <w:rPr>
                <w:rFonts w:ascii="宋体" w:hAnsi="宋体" w:cs="宋体"/>
                <w:color w:val="000000"/>
                <w:kern w:val="0"/>
                <w:sz w:val="18"/>
                <w:szCs w:val="18"/>
              </w:rPr>
            </w:pPr>
          </w:p>
        </w:tc>
        <w:tc>
          <w:tcPr>
            <w:tcW w:w="1070" w:type="dxa"/>
            <w:shd w:val="clear" w:color="auto" w:fill="auto"/>
            <w:vAlign w:val="center"/>
          </w:tcPr>
          <w:p w14:paraId="790862E5">
            <w:pPr>
              <w:jc w:val="center"/>
              <w:rPr>
                <w:rFonts w:ascii="宋体" w:hAnsi="宋体" w:cs="宋体"/>
                <w:color w:val="000000"/>
                <w:kern w:val="0"/>
                <w:sz w:val="18"/>
                <w:szCs w:val="18"/>
              </w:rPr>
            </w:pPr>
          </w:p>
        </w:tc>
        <w:tc>
          <w:tcPr>
            <w:tcW w:w="1070" w:type="dxa"/>
            <w:shd w:val="clear" w:color="auto" w:fill="auto"/>
            <w:vAlign w:val="center"/>
          </w:tcPr>
          <w:p w14:paraId="09DA7F99">
            <w:pPr>
              <w:jc w:val="center"/>
              <w:rPr>
                <w:rFonts w:ascii="宋体" w:hAnsi="宋体" w:cs="宋体"/>
                <w:color w:val="000000"/>
                <w:kern w:val="0"/>
                <w:sz w:val="18"/>
                <w:szCs w:val="18"/>
              </w:rPr>
            </w:pPr>
          </w:p>
        </w:tc>
        <w:tc>
          <w:tcPr>
            <w:tcW w:w="1070" w:type="dxa"/>
            <w:gridSpan w:val="2"/>
            <w:shd w:val="clear" w:color="auto" w:fill="auto"/>
            <w:vAlign w:val="center"/>
          </w:tcPr>
          <w:p w14:paraId="781787C5">
            <w:pPr>
              <w:jc w:val="center"/>
              <w:rPr>
                <w:rFonts w:ascii="宋体" w:hAnsi="宋体" w:cs="宋体"/>
                <w:color w:val="000000"/>
                <w:kern w:val="0"/>
                <w:sz w:val="18"/>
                <w:szCs w:val="18"/>
              </w:rPr>
            </w:pPr>
          </w:p>
        </w:tc>
        <w:tc>
          <w:tcPr>
            <w:tcW w:w="1070" w:type="dxa"/>
            <w:shd w:val="clear" w:color="auto" w:fill="auto"/>
            <w:vAlign w:val="center"/>
          </w:tcPr>
          <w:p w14:paraId="52D9F015">
            <w:pPr>
              <w:jc w:val="center"/>
              <w:rPr>
                <w:rFonts w:ascii="宋体" w:hAnsi="宋体" w:cs="宋体"/>
                <w:color w:val="000000"/>
                <w:kern w:val="0"/>
                <w:sz w:val="18"/>
                <w:szCs w:val="18"/>
              </w:rPr>
            </w:pPr>
          </w:p>
        </w:tc>
        <w:tc>
          <w:tcPr>
            <w:tcW w:w="1070" w:type="dxa"/>
            <w:shd w:val="clear" w:color="auto" w:fill="auto"/>
            <w:vAlign w:val="center"/>
          </w:tcPr>
          <w:p w14:paraId="6380C40C">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5B6F3E6E">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4EE9631B">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A093537">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2441569D">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3F22E2DA">
            <w:pPr>
              <w:jc w:val="center"/>
              <w:rPr>
                <w:rFonts w:ascii="宋体" w:hAnsi="宋体" w:eastAsia="宋体" w:cs="宋体"/>
                <w:color w:val="000000"/>
                <w:kern w:val="0"/>
                <w:sz w:val="18"/>
                <w:szCs w:val="18"/>
                <w:lang w:val="en-US" w:eastAsia="zh-CN" w:bidi="ar-SA"/>
              </w:rPr>
            </w:pPr>
          </w:p>
        </w:tc>
      </w:tr>
      <w:tr w14:paraId="5936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1A892B98">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12" w:type="pct"/>
            <w:shd w:val="clear" w:color="auto" w:fill="auto"/>
            <w:vAlign w:val="center"/>
          </w:tcPr>
          <w:p w14:paraId="173664F8">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070" w:type="dxa"/>
            <w:shd w:val="clear" w:color="auto" w:fill="auto"/>
            <w:vAlign w:val="center"/>
          </w:tcPr>
          <w:p w14:paraId="79899B0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DF8234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35BB398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noWrap/>
            <w:vAlign w:val="center"/>
          </w:tcPr>
          <w:p w14:paraId="4271322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613E49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D0C82A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87DC99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A1184B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0E1D09D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2F90FFA5">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7D652C3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08E2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1EAE1E5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12" w:type="pct"/>
            <w:shd w:val="clear" w:color="auto" w:fill="auto"/>
            <w:vAlign w:val="center"/>
          </w:tcPr>
          <w:p w14:paraId="5B333CD8">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070" w:type="dxa"/>
            <w:shd w:val="clear" w:color="auto" w:fill="auto"/>
            <w:vAlign w:val="center"/>
          </w:tcPr>
          <w:p w14:paraId="16F25C3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A5BDA3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C5B846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72F1C4D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7306A7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4203B5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D8001E0">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9D6B11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736FA9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1AC5AD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623EF75">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7479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7AC13264">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12" w:type="pct"/>
            <w:shd w:val="clear" w:color="auto" w:fill="auto"/>
            <w:vAlign w:val="center"/>
          </w:tcPr>
          <w:p w14:paraId="401B0F5D">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070" w:type="dxa"/>
            <w:shd w:val="clear" w:color="auto" w:fill="auto"/>
            <w:vAlign w:val="center"/>
          </w:tcPr>
          <w:p w14:paraId="6FBC31E9">
            <w:pPr>
              <w:jc w:val="center"/>
              <w:rPr>
                <w:rFonts w:ascii="宋体" w:hAnsi="宋体" w:cs="宋体"/>
                <w:color w:val="000000"/>
                <w:kern w:val="0"/>
                <w:sz w:val="18"/>
                <w:szCs w:val="18"/>
              </w:rPr>
            </w:pPr>
          </w:p>
        </w:tc>
        <w:tc>
          <w:tcPr>
            <w:tcW w:w="1070" w:type="dxa"/>
            <w:shd w:val="clear" w:color="auto" w:fill="auto"/>
            <w:vAlign w:val="center"/>
          </w:tcPr>
          <w:p w14:paraId="08C0C67E">
            <w:pPr>
              <w:jc w:val="center"/>
              <w:rPr>
                <w:rFonts w:ascii="宋体" w:hAnsi="宋体" w:cs="宋体"/>
                <w:color w:val="000000"/>
                <w:kern w:val="0"/>
                <w:sz w:val="18"/>
                <w:szCs w:val="18"/>
              </w:rPr>
            </w:pPr>
          </w:p>
        </w:tc>
        <w:tc>
          <w:tcPr>
            <w:tcW w:w="1070" w:type="dxa"/>
            <w:shd w:val="clear" w:color="auto" w:fill="auto"/>
            <w:vAlign w:val="center"/>
          </w:tcPr>
          <w:p w14:paraId="56EBB147">
            <w:pPr>
              <w:jc w:val="center"/>
              <w:rPr>
                <w:rFonts w:ascii="宋体" w:hAnsi="宋体" w:cs="宋体"/>
                <w:color w:val="000000"/>
                <w:kern w:val="0"/>
                <w:sz w:val="18"/>
                <w:szCs w:val="18"/>
              </w:rPr>
            </w:pPr>
          </w:p>
        </w:tc>
        <w:tc>
          <w:tcPr>
            <w:tcW w:w="1070" w:type="dxa"/>
            <w:gridSpan w:val="2"/>
            <w:shd w:val="clear" w:color="auto" w:fill="auto"/>
            <w:vAlign w:val="center"/>
          </w:tcPr>
          <w:p w14:paraId="736B5D7F">
            <w:pPr>
              <w:jc w:val="center"/>
              <w:rPr>
                <w:rFonts w:ascii="宋体" w:hAnsi="宋体" w:cs="宋体"/>
                <w:color w:val="000000"/>
                <w:kern w:val="0"/>
                <w:sz w:val="18"/>
                <w:szCs w:val="18"/>
              </w:rPr>
            </w:pPr>
          </w:p>
        </w:tc>
        <w:tc>
          <w:tcPr>
            <w:tcW w:w="1070" w:type="dxa"/>
            <w:shd w:val="clear" w:color="auto" w:fill="auto"/>
            <w:vAlign w:val="center"/>
          </w:tcPr>
          <w:p w14:paraId="7C0EC206">
            <w:pPr>
              <w:jc w:val="center"/>
              <w:rPr>
                <w:rFonts w:ascii="宋体" w:hAnsi="宋体" w:cs="宋体"/>
                <w:color w:val="000000"/>
                <w:kern w:val="0"/>
                <w:sz w:val="18"/>
                <w:szCs w:val="18"/>
              </w:rPr>
            </w:pPr>
          </w:p>
        </w:tc>
        <w:tc>
          <w:tcPr>
            <w:tcW w:w="1070" w:type="dxa"/>
            <w:shd w:val="clear" w:color="auto" w:fill="auto"/>
            <w:vAlign w:val="center"/>
          </w:tcPr>
          <w:p w14:paraId="380D60D3">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3D58BBBB">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1ED2EF55">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6AD46704">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54EC6BF5">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5890C10E">
            <w:pPr>
              <w:jc w:val="center"/>
              <w:rPr>
                <w:rFonts w:ascii="宋体" w:hAnsi="宋体" w:eastAsia="宋体" w:cs="宋体"/>
                <w:color w:val="000000"/>
                <w:kern w:val="0"/>
                <w:sz w:val="18"/>
                <w:szCs w:val="18"/>
                <w:lang w:val="en-US" w:eastAsia="zh-CN" w:bidi="ar-SA"/>
              </w:rPr>
            </w:pPr>
          </w:p>
        </w:tc>
      </w:tr>
      <w:tr w14:paraId="3F0A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19FCDBF9">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12" w:type="pct"/>
            <w:shd w:val="clear" w:color="auto" w:fill="auto"/>
            <w:vAlign w:val="center"/>
          </w:tcPr>
          <w:p w14:paraId="65F0DE07">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070" w:type="dxa"/>
            <w:shd w:val="clear" w:color="auto" w:fill="auto"/>
            <w:vAlign w:val="center"/>
          </w:tcPr>
          <w:p w14:paraId="3D90BA89">
            <w:pPr>
              <w:jc w:val="center"/>
              <w:rPr>
                <w:rFonts w:ascii="宋体" w:hAnsi="宋体" w:cs="宋体"/>
                <w:color w:val="000000"/>
                <w:kern w:val="0"/>
                <w:sz w:val="18"/>
                <w:szCs w:val="18"/>
              </w:rPr>
            </w:pPr>
          </w:p>
        </w:tc>
        <w:tc>
          <w:tcPr>
            <w:tcW w:w="1070" w:type="dxa"/>
            <w:shd w:val="clear" w:color="auto" w:fill="auto"/>
            <w:vAlign w:val="center"/>
          </w:tcPr>
          <w:p w14:paraId="0ECFAEBE">
            <w:pPr>
              <w:jc w:val="center"/>
              <w:rPr>
                <w:rFonts w:ascii="宋体" w:hAnsi="宋体" w:cs="宋体"/>
                <w:color w:val="000000"/>
                <w:kern w:val="0"/>
                <w:sz w:val="18"/>
                <w:szCs w:val="18"/>
              </w:rPr>
            </w:pPr>
          </w:p>
        </w:tc>
        <w:tc>
          <w:tcPr>
            <w:tcW w:w="1070" w:type="dxa"/>
            <w:shd w:val="clear" w:color="auto" w:fill="auto"/>
            <w:vAlign w:val="center"/>
          </w:tcPr>
          <w:p w14:paraId="74DB9360">
            <w:pPr>
              <w:jc w:val="center"/>
              <w:rPr>
                <w:rFonts w:ascii="宋体" w:hAnsi="宋体" w:cs="宋体"/>
                <w:color w:val="000000"/>
                <w:kern w:val="0"/>
                <w:sz w:val="18"/>
                <w:szCs w:val="18"/>
              </w:rPr>
            </w:pPr>
          </w:p>
        </w:tc>
        <w:tc>
          <w:tcPr>
            <w:tcW w:w="1070" w:type="dxa"/>
            <w:gridSpan w:val="2"/>
            <w:shd w:val="clear" w:color="auto" w:fill="auto"/>
            <w:vAlign w:val="center"/>
          </w:tcPr>
          <w:p w14:paraId="2184B4A1">
            <w:pPr>
              <w:jc w:val="center"/>
              <w:rPr>
                <w:rFonts w:ascii="宋体" w:hAnsi="宋体" w:cs="宋体"/>
                <w:color w:val="000000"/>
                <w:kern w:val="0"/>
                <w:sz w:val="18"/>
                <w:szCs w:val="18"/>
              </w:rPr>
            </w:pPr>
          </w:p>
        </w:tc>
        <w:tc>
          <w:tcPr>
            <w:tcW w:w="1070" w:type="dxa"/>
            <w:shd w:val="clear" w:color="auto" w:fill="auto"/>
            <w:vAlign w:val="center"/>
          </w:tcPr>
          <w:p w14:paraId="13A6FC10">
            <w:pPr>
              <w:jc w:val="center"/>
              <w:rPr>
                <w:rFonts w:ascii="宋体" w:hAnsi="宋体" w:cs="宋体"/>
                <w:color w:val="000000"/>
                <w:kern w:val="0"/>
                <w:sz w:val="18"/>
                <w:szCs w:val="18"/>
              </w:rPr>
            </w:pPr>
          </w:p>
        </w:tc>
        <w:tc>
          <w:tcPr>
            <w:tcW w:w="1070" w:type="dxa"/>
            <w:shd w:val="clear" w:color="auto" w:fill="auto"/>
            <w:vAlign w:val="center"/>
          </w:tcPr>
          <w:p w14:paraId="45D2974D">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75F16FA8">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5C3D96E5">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E117677">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3E6D99EF">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3685ED6A">
            <w:pPr>
              <w:jc w:val="center"/>
              <w:rPr>
                <w:rFonts w:ascii="宋体" w:hAnsi="宋体" w:eastAsia="宋体" w:cs="宋体"/>
                <w:color w:val="000000"/>
                <w:kern w:val="0"/>
                <w:sz w:val="18"/>
                <w:szCs w:val="18"/>
                <w:lang w:val="en-US" w:eastAsia="zh-CN" w:bidi="ar-SA"/>
              </w:rPr>
            </w:pPr>
          </w:p>
        </w:tc>
      </w:tr>
      <w:tr w14:paraId="1C64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39BD80BD">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12" w:type="pct"/>
            <w:shd w:val="clear" w:color="auto" w:fill="auto"/>
            <w:vAlign w:val="center"/>
          </w:tcPr>
          <w:p w14:paraId="7B892ADE">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070" w:type="dxa"/>
            <w:shd w:val="clear" w:color="auto" w:fill="auto"/>
            <w:vAlign w:val="center"/>
          </w:tcPr>
          <w:p w14:paraId="0048ED8C">
            <w:pPr>
              <w:jc w:val="center"/>
              <w:rPr>
                <w:rFonts w:ascii="宋体" w:hAnsi="宋体" w:cs="宋体"/>
                <w:color w:val="000000"/>
                <w:kern w:val="0"/>
                <w:sz w:val="18"/>
                <w:szCs w:val="18"/>
              </w:rPr>
            </w:pPr>
          </w:p>
        </w:tc>
        <w:tc>
          <w:tcPr>
            <w:tcW w:w="1070" w:type="dxa"/>
            <w:shd w:val="clear" w:color="auto" w:fill="auto"/>
            <w:vAlign w:val="center"/>
          </w:tcPr>
          <w:p w14:paraId="7163DF26">
            <w:pPr>
              <w:jc w:val="center"/>
              <w:rPr>
                <w:rFonts w:ascii="宋体" w:hAnsi="宋体" w:cs="宋体"/>
                <w:color w:val="000000"/>
                <w:kern w:val="0"/>
                <w:sz w:val="18"/>
                <w:szCs w:val="18"/>
              </w:rPr>
            </w:pPr>
          </w:p>
        </w:tc>
        <w:tc>
          <w:tcPr>
            <w:tcW w:w="1070" w:type="dxa"/>
            <w:shd w:val="clear" w:color="auto" w:fill="auto"/>
            <w:vAlign w:val="center"/>
          </w:tcPr>
          <w:p w14:paraId="2546A80D">
            <w:pPr>
              <w:jc w:val="center"/>
              <w:rPr>
                <w:rFonts w:ascii="宋体" w:hAnsi="宋体" w:cs="宋体"/>
                <w:color w:val="000000"/>
                <w:kern w:val="0"/>
                <w:sz w:val="18"/>
                <w:szCs w:val="18"/>
              </w:rPr>
            </w:pPr>
          </w:p>
        </w:tc>
        <w:tc>
          <w:tcPr>
            <w:tcW w:w="1070" w:type="dxa"/>
            <w:gridSpan w:val="2"/>
            <w:shd w:val="clear" w:color="auto" w:fill="auto"/>
            <w:vAlign w:val="center"/>
          </w:tcPr>
          <w:p w14:paraId="495D6B6D">
            <w:pPr>
              <w:jc w:val="center"/>
              <w:rPr>
                <w:rFonts w:ascii="宋体" w:hAnsi="宋体" w:cs="宋体"/>
                <w:color w:val="000000"/>
                <w:kern w:val="0"/>
                <w:sz w:val="18"/>
                <w:szCs w:val="18"/>
              </w:rPr>
            </w:pPr>
          </w:p>
        </w:tc>
        <w:tc>
          <w:tcPr>
            <w:tcW w:w="1070" w:type="dxa"/>
            <w:shd w:val="clear" w:color="auto" w:fill="auto"/>
            <w:vAlign w:val="center"/>
          </w:tcPr>
          <w:p w14:paraId="3AC4A0FF">
            <w:pPr>
              <w:jc w:val="center"/>
              <w:rPr>
                <w:rFonts w:ascii="宋体" w:hAnsi="宋体" w:cs="宋体"/>
                <w:color w:val="000000"/>
                <w:kern w:val="0"/>
                <w:sz w:val="18"/>
                <w:szCs w:val="18"/>
              </w:rPr>
            </w:pPr>
          </w:p>
        </w:tc>
        <w:tc>
          <w:tcPr>
            <w:tcW w:w="1070" w:type="dxa"/>
            <w:shd w:val="clear" w:color="auto" w:fill="auto"/>
            <w:vAlign w:val="center"/>
          </w:tcPr>
          <w:p w14:paraId="799F1B20">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7C75F3E8">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1F23A68C">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7B61A53C">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4CF913C1">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62EF2DD4">
            <w:pPr>
              <w:jc w:val="center"/>
              <w:rPr>
                <w:rFonts w:ascii="宋体" w:hAnsi="宋体" w:eastAsia="宋体" w:cs="宋体"/>
                <w:color w:val="000000"/>
                <w:kern w:val="0"/>
                <w:sz w:val="18"/>
                <w:szCs w:val="18"/>
                <w:lang w:val="en-US" w:eastAsia="zh-CN" w:bidi="ar-SA"/>
              </w:rPr>
            </w:pPr>
          </w:p>
        </w:tc>
      </w:tr>
      <w:tr w14:paraId="3D73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242C901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二</w:t>
            </w:r>
          </w:p>
        </w:tc>
        <w:tc>
          <w:tcPr>
            <w:tcW w:w="612" w:type="pct"/>
            <w:shd w:val="clear" w:color="auto" w:fill="auto"/>
            <w:vAlign w:val="center"/>
          </w:tcPr>
          <w:p w14:paraId="335BFEE3">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现金流出</w:t>
            </w:r>
          </w:p>
        </w:tc>
        <w:tc>
          <w:tcPr>
            <w:tcW w:w="1070" w:type="dxa"/>
            <w:shd w:val="clear" w:color="auto" w:fill="auto"/>
            <w:vAlign w:val="center"/>
          </w:tcPr>
          <w:p w14:paraId="3C4C891B">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1915DF3C">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26B69D94">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gridSpan w:val="2"/>
            <w:shd w:val="clear" w:color="auto" w:fill="auto"/>
            <w:vAlign w:val="center"/>
          </w:tcPr>
          <w:p w14:paraId="1328107D">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04C7830E">
            <w:pPr>
              <w:keepNext w:val="0"/>
              <w:keepLines w:val="0"/>
              <w:widowControl/>
              <w:suppressLineNumbers w:val="0"/>
              <w:jc w:val="center"/>
              <w:textAlignment w:val="center"/>
              <w:rPr>
                <w:rFonts w:ascii="宋体" w:hAnsi="宋体" w:cs="宋体"/>
                <w:bCs/>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6296CE3B">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211D63D9">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5ED303AF">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CD40876">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475A37FA">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2C1EF973">
            <w:pPr>
              <w:keepNext w:val="0"/>
              <w:keepLines w:val="0"/>
              <w:widowControl/>
              <w:suppressLineNumbers w:val="0"/>
              <w:jc w:val="center"/>
              <w:textAlignment w:val="center"/>
              <w:rPr>
                <w:rFonts w:hint="eastAsia" w:ascii="宋体" w:hAnsi="宋体" w:eastAsia="宋体" w:cs="宋体"/>
                <w:bCs/>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3,103.99</w:t>
            </w:r>
          </w:p>
        </w:tc>
      </w:tr>
      <w:tr w14:paraId="6C84E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47EC23C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12" w:type="pct"/>
            <w:shd w:val="clear" w:color="auto" w:fill="auto"/>
            <w:vAlign w:val="center"/>
          </w:tcPr>
          <w:p w14:paraId="771BADB2">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070" w:type="dxa"/>
            <w:shd w:val="clear" w:color="auto" w:fill="auto"/>
            <w:vAlign w:val="center"/>
          </w:tcPr>
          <w:p w14:paraId="30861B5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D3DF49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70235F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319CDEB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9A4438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7408CA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C3D333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AE6CFF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3BDBF10">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0F83FA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E85F8E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0838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5F239919">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12" w:type="pct"/>
            <w:shd w:val="clear" w:color="auto" w:fill="auto"/>
            <w:vAlign w:val="center"/>
          </w:tcPr>
          <w:p w14:paraId="5162C910">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070" w:type="dxa"/>
            <w:shd w:val="clear" w:color="auto" w:fill="auto"/>
            <w:vAlign w:val="center"/>
          </w:tcPr>
          <w:p w14:paraId="088B10C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36B1DC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7817160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7A6F04A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D161C7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2F72A6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3E2D29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40D7D4D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E93D538">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BE9A79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F41B5A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4A99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00067B26">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12" w:type="pct"/>
            <w:shd w:val="clear" w:color="auto" w:fill="auto"/>
            <w:vAlign w:val="center"/>
          </w:tcPr>
          <w:p w14:paraId="6C5B2F21">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070" w:type="dxa"/>
            <w:shd w:val="clear" w:color="auto" w:fill="auto"/>
            <w:vAlign w:val="center"/>
          </w:tcPr>
          <w:p w14:paraId="132ECE5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A5CE63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AFD87A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vAlign w:val="center"/>
          </w:tcPr>
          <w:p w14:paraId="5C3E592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0DE1EDE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6EA24C2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11DC9D50">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5C7D3CF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3E666B7F">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3685398">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vAlign w:val="center"/>
          </w:tcPr>
          <w:p w14:paraId="204C089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5074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60163E4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12" w:type="pct"/>
            <w:shd w:val="clear" w:color="auto" w:fill="auto"/>
            <w:vAlign w:val="center"/>
          </w:tcPr>
          <w:p w14:paraId="52CAB325">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070" w:type="dxa"/>
            <w:shd w:val="clear" w:color="auto" w:fill="auto"/>
            <w:vAlign w:val="center"/>
          </w:tcPr>
          <w:p w14:paraId="24E03B46">
            <w:pPr>
              <w:jc w:val="center"/>
              <w:rPr>
                <w:rFonts w:ascii="宋体" w:hAnsi="宋体" w:cs="宋体"/>
                <w:color w:val="000000"/>
                <w:kern w:val="0"/>
                <w:sz w:val="18"/>
                <w:szCs w:val="18"/>
              </w:rPr>
            </w:pPr>
          </w:p>
        </w:tc>
        <w:tc>
          <w:tcPr>
            <w:tcW w:w="1070" w:type="dxa"/>
            <w:shd w:val="clear" w:color="auto" w:fill="auto"/>
            <w:vAlign w:val="center"/>
          </w:tcPr>
          <w:p w14:paraId="5CFD1ADA">
            <w:pPr>
              <w:jc w:val="center"/>
              <w:rPr>
                <w:rFonts w:ascii="宋体" w:hAnsi="宋体" w:cs="宋体"/>
                <w:color w:val="000000"/>
                <w:kern w:val="0"/>
                <w:sz w:val="18"/>
                <w:szCs w:val="18"/>
              </w:rPr>
            </w:pPr>
          </w:p>
        </w:tc>
        <w:tc>
          <w:tcPr>
            <w:tcW w:w="1070" w:type="dxa"/>
            <w:shd w:val="clear" w:color="auto" w:fill="auto"/>
            <w:vAlign w:val="center"/>
          </w:tcPr>
          <w:p w14:paraId="50FC6EE9">
            <w:pPr>
              <w:jc w:val="center"/>
              <w:rPr>
                <w:rFonts w:ascii="宋体" w:hAnsi="宋体" w:cs="宋体"/>
                <w:color w:val="000000"/>
                <w:kern w:val="0"/>
                <w:sz w:val="18"/>
                <w:szCs w:val="18"/>
              </w:rPr>
            </w:pPr>
          </w:p>
        </w:tc>
        <w:tc>
          <w:tcPr>
            <w:tcW w:w="1070" w:type="dxa"/>
            <w:gridSpan w:val="2"/>
            <w:shd w:val="clear" w:color="auto" w:fill="auto"/>
            <w:vAlign w:val="center"/>
          </w:tcPr>
          <w:p w14:paraId="57EB9CD7">
            <w:pPr>
              <w:jc w:val="center"/>
              <w:rPr>
                <w:rFonts w:ascii="宋体" w:hAnsi="宋体" w:cs="宋体"/>
                <w:color w:val="000000"/>
                <w:kern w:val="0"/>
                <w:sz w:val="18"/>
                <w:szCs w:val="18"/>
              </w:rPr>
            </w:pPr>
          </w:p>
        </w:tc>
        <w:tc>
          <w:tcPr>
            <w:tcW w:w="1070" w:type="dxa"/>
            <w:shd w:val="clear" w:color="auto" w:fill="auto"/>
            <w:vAlign w:val="center"/>
          </w:tcPr>
          <w:p w14:paraId="529F1E97">
            <w:pPr>
              <w:jc w:val="center"/>
              <w:rPr>
                <w:rFonts w:ascii="宋体" w:hAnsi="宋体" w:cs="宋体"/>
                <w:color w:val="000000"/>
                <w:kern w:val="0"/>
                <w:sz w:val="18"/>
                <w:szCs w:val="18"/>
              </w:rPr>
            </w:pPr>
          </w:p>
        </w:tc>
        <w:tc>
          <w:tcPr>
            <w:tcW w:w="1070" w:type="dxa"/>
            <w:shd w:val="clear" w:color="auto" w:fill="auto"/>
            <w:vAlign w:val="center"/>
          </w:tcPr>
          <w:p w14:paraId="50F28A9A">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71C99BF1">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6E69B925">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BE41F45">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69DFFAA3">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796844F8">
            <w:pPr>
              <w:jc w:val="center"/>
              <w:rPr>
                <w:rFonts w:ascii="宋体" w:hAnsi="宋体" w:eastAsia="宋体" w:cs="宋体"/>
                <w:color w:val="000000"/>
                <w:kern w:val="0"/>
                <w:sz w:val="18"/>
                <w:szCs w:val="18"/>
                <w:lang w:val="en-US" w:eastAsia="zh-CN" w:bidi="ar-SA"/>
              </w:rPr>
            </w:pPr>
          </w:p>
        </w:tc>
      </w:tr>
      <w:tr w14:paraId="5FDC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6D62B5B0">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12" w:type="pct"/>
            <w:shd w:val="clear" w:color="auto" w:fill="auto"/>
            <w:vAlign w:val="center"/>
          </w:tcPr>
          <w:p w14:paraId="12E68673">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070" w:type="dxa"/>
            <w:shd w:val="clear" w:color="auto" w:fill="auto"/>
            <w:vAlign w:val="center"/>
          </w:tcPr>
          <w:p w14:paraId="5A79D19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0C6870E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FDAD87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gridSpan w:val="2"/>
            <w:shd w:val="clear" w:color="auto" w:fill="auto"/>
            <w:vAlign w:val="center"/>
          </w:tcPr>
          <w:p w14:paraId="23EF1F8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75FFD25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A14FA6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1467B9D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1E239FDB">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41E0E7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5DE9220">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0E954BA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3,103.99</w:t>
            </w:r>
          </w:p>
        </w:tc>
      </w:tr>
      <w:tr w14:paraId="73AD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6EAD12EE">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12" w:type="pct"/>
            <w:shd w:val="clear" w:color="auto" w:fill="auto"/>
            <w:vAlign w:val="center"/>
          </w:tcPr>
          <w:p w14:paraId="51598EAA">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070" w:type="dxa"/>
            <w:shd w:val="clear" w:color="auto" w:fill="auto"/>
            <w:vAlign w:val="center"/>
          </w:tcPr>
          <w:p w14:paraId="4AF2F0F3">
            <w:pPr>
              <w:jc w:val="center"/>
              <w:rPr>
                <w:rFonts w:ascii="宋体" w:hAnsi="宋体" w:cs="宋体"/>
                <w:color w:val="000000"/>
                <w:kern w:val="0"/>
                <w:sz w:val="18"/>
                <w:szCs w:val="18"/>
              </w:rPr>
            </w:pPr>
          </w:p>
        </w:tc>
        <w:tc>
          <w:tcPr>
            <w:tcW w:w="1070" w:type="dxa"/>
            <w:shd w:val="clear" w:color="auto" w:fill="auto"/>
            <w:vAlign w:val="center"/>
          </w:tcPr>
          <w:p w14:paraId="343F2C1A">
            <w:pPr>
              <w:jc w:val="center"/>
              <w:rPr>
                <w:rFonts w:ascii="宋体" w:hAnsi="宋体" w:cs="宋体"/>
                <w:color w:val="000000"/>
                <w:kern w:val="0"/>
                <w:sz w:val="18"/>
                <w:szCs w:val="18"/>
              </w:rPr>
            </w:pPr>
          </w:p>
        </w:tc>
        <w:tc>
          <w:tcPr>
            <w:tcW w:w="1070" w:type="dxa"/>
            <w:shd w:val="clear" w:color="auto" w:fill="auto"/>
            <w:vAlign w:val="center"/>
          </w:tcPr>
          <w:p w14:paraId="0606477E">
            <w:pPr>
              <w:jc w:val="center"/>
              <w:rPr>
                <w:rFonts w:ascii="宋体" w:hAnsi="宋体" w:cs="宋体"/>
                <w:color w:val="000000"/>
                <w:kern w:val="0"/>
                <w:sz w:val="18"/>
                <w:szCs w:val="18"/>
              </w:rPr>
            </w:pPr>
          </w:p>
        </w:tc>
        <w:tc>
          <w:tcPr>
            <w:tcW w:w="1070" w:type="dxa"/>
            <w:gridSpan w:val="2"/>
            <w:shd w:val="clear" w:color="auto" w:fill="auto"/>
            <w:vAlign w:val="center"/>
          </w:tcPr>
          <w:p w14:paraId="1049AD1A">
            <w:pPr>
              <w:jc w:val="center"/>
              <w:rPr>
                <w:rFonts w:ascii="宋体" w:hAnsi="宋体" w:cs="宋体"/>
                <w:color w:val="000000"/>
                <w:kern w:val="0"/>
                <w:sz w:val="18"/>
                <w:szCs w:val="18"/>
              </w:rPr>
            </w:pPr>
          </w:p>
        </w:tc>
        <w:tc>
          <w:tcPr>
            <w:tcW w:w="1070" w:type="dxa"/>
            <w:shd w:val="clear" w:color="auto" w:fill="auto"/>
            <w:vAlign w:val="center"/>
          </w:tcPr>
          <w:p w14:paraId="1B13354F">
            <w:pPr>
              <w:jc w:val="center"/>
              <w:rPr>
                <w:rFonts w:ascii="宋体" w:hAnsi="宋体" w:cs="宋体"/>
                <w:color w:val="000000"/>
                <w:kern w:val="0"/>
                <w:sz w:val="18"/>
                <w:szCs w:val="18"/>
              </w:rPr>
            </w:pPr>
          </w:p>
        </w:tc>
        <w:tc>
          <w:tcPr>
            <w:tcW w:w="1070" w:type="dxa"/>
            <w:shd w:val="clear" w:color="auto" w:fill="auto"/>
            <w:vAlign w:val="center"/>
          </w:tcPr>
          <w:p w14:paraId="6DA28C4D">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4E4109E">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E9A2496">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0FBA5DF9">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6E76FE44">
            <w:pPr>
              <w:jc w:val="center"/>
              <w:rPr>
                <w:rFonts w:ascii="宋体" w:hAnsi="宋体" w:eastAsia="宋体" w:cs="宋体"/>
                <w:color w:val="000000"/>
                <w:kern w:val="0"/>
                <w:sz w:val="18"/>
                <w:szCs w:val="18"/>
                <w:lang w:val="en-US" w:eastAsia="zh-CN" w:bidi="ar-SA"/>
              </w:rPr>
            </w:pPr>
          </w:p>
        </w:tc>
        <w:tc>
          <w:tcPr>
            <w:tcW w:w="1070" w:type="dxa"/>
            <w:shd w:val="clear" w:color="auto" w:fill="auto"/>
            <w:vAlign w:val="center"/>
          </w:tcPr>
          <w:p w14:paraId="248E4117">
            <w:pPr>
              <w:jc w:val="center"/>
              <w:rPr>
                <w:rFonts w:ascii="宋体" w:hAnsi="宋体" w:eastAsia="宋体" w:cs="宋体"/>
                <w:color w:val="000000"/>
                <w:kern w:val="0"/>
                <w:sz w:val="18"/>
                <w:szCs w:val="18"/>
                <w:lang w:val="en-US" w:eastAsia="zh-CN" w:bidi="ar-SA"/>
              </w:rPr>
            </w:pPr>
          </w:p>
        </w:tc>
      </w:tr>
      <w:tr w14:paraId="6C8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78D0E89A">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12" w:type="pct"/>
            <w:shd w:val="clear" w:color="auto" w:fill="auto"/>
            <w:vAlign w:val="center"/>
          </w:tcPr>
          <w:p w14:paraId="24C0FCBE">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070" w:type="dxa"/>
            <w:shd w:val="clear" w:color="auto" w:fill="auto"/>
            <w:noWrap/>
            <w:vAlign w:val="center"/>
          </w:tcPr>
          <w:p w14:paraId="6F4B6AC5">
            <w:pPr>
              <w:jc w:val="center"/>
              <w:rPr>
                <w:rFonts w:ascii="宋体" w:hAnsi="宋体" w:cs="宋体"/>
                <w:color w:val="000000"/>
                <w:kern w:val="0"/>
                <w:sz w:val="18"/>
                <w:szCs w:val="18"/>
              </w:rPr>
            </w:pPr>
          </w:p>
        </w:tc>
        <w:tc>
          <w:tcPr>
            <w:tcW w:w="1070" w:type="dxa"/>
            <w:shd w:val="clear" w:color="auto" w:fill="auto"/>
            <w:noWrap/>
            <w:vAlign w:val="center"/>
          </w:tcPr>
          <w:p w14:paraId="42A6B8A6">
            <w:pPr>
              <w:jc w:val="center"/>
              <w:rPr>
                <w:rFonts w:ascii="宋体" w:hAnsi="宋体" w:cs="宋体"/>
                <w:color w:val="000000"/>
                <w:kern w:val="0"/>
                <w:sz w:val="18"/>
                <w:szCs w:val="18"/>
              </w:rPr>
            </w:pPr>
          </w:p>
        </w:tc>
        <w:tc>
          <w:tcPr>
            <w:tcW w:w="1070" w:type="dxa"/>
            <w:shd w:val="clear" w:color="auto" w:fill="auto"/>
            <w:noWrap/>
            <w:vAlign w:val="center"/>
          </w:tcPr>
          <w:p w14:paraId="28EE0C0D">
            <w:pPr>
              <w:jc w:val="center"/>
              <w:rPr>
                <w:rFonts w:ascii="宋体" w:hAnsi="宋体" w:cs="宋体"/>
                <w:color w:val="000000"/>
                <w:kern w:val="0"/>
                <w:sz w:val="18"/>
                <w:szCs w:val="18"/>
              </w:rPr>
            </w:pPr>
          </w:p>
        </w:tc>
        <w:tc>
          <w:tcPr>
            <w:tcW w:w="1070" w:type="dxa"/>
            <w:gridSpan w:val="2"/>
            <w:shd w:val="clear" w:color="auto" w:fill="auto"/>
            <w:noWrap/>
            <w:vAlign w:val="center"/>
          </w:tcPr>
          <w:p w14:paraId="0C1E78AD">
            <w:pPr>
              <w:jc w:val="center"/>
              <w:rPr>
                <w:rFonts w:ascii="宋体" w:hAnsi="宋体" w:cs="宋体"/>
                <w:color w:val="000000"/>
                <w:kern w:val="0"/>
                <w:sz w:val="18"/>
                <w:szCs w:val="18"/>
              </w:rPr>
            </w:pPr>
          </w:p>
        </w:tc>
        <w:tc>
          <w:tcPr>
            <w:tcW w:w="1070" w:type="dxa"/>
            <w:shd w:val="clear" w:color="auto" w:fill="auto"/>
            <w:noWrap/>
            <w:vAlign w:val="center"/>
          </w:tcPr>
          <w:p w14:paraId="7A340E92">
            <w:pPr>
              <w:jc w:val="center"/>
              <w:rPr>
                <w:rFonts w:ascii="宋体" w:hAnsi="宋体" w:cs="宋体"/>
                <w:color w:val="000000"/>
                <w:kern w:val="0"/>
                <w:sz w:val="18"/>
                <w:szCs w:val="18"/>
              </w:rPr>
            </w:pPr>
          </w:p>
        </w:tc>
        <w:tc>
          <w:tcPr>
            <w:tcW w:w="1070" w:type="dxa"/>
            <w:shd w:val="clear" w:color="auto" w:fill="auto"/>
            <w:noWrap/>
            <w:vAlign w:val="center"/>
          </w:tcPr>
          <w:p w14:paraId="2429C6D5">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72003361">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783520DB">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23CFBA8C">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7D463966">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7EC229FE">
            <w:pPr>
              <w:keepNext w:val="0"/>
              <w:keepLines w:val="0"/>
              <w:widowControl/>
              <w:suppressLineNumbers w:val="0"/>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3,050.00</w:t>
            </w:r>
          </w:p>
        </w:tc>
      </w:tr>
      <w:tr w14:paraId="3519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2018F4BA">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12" w:type="pct"/>
            <w:shd w:val="clear" w:color="auto" w:fill="auto"/>
            <w:vAlign w:val="center"/>
          </w:tcPr>
          <w:p w14:paraId="1F09EF2C">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070" w:type="dxa"/>
            <w:shd w:val="clear" w:color="auto" w:fill="auto"/>
            <w:noWrap/>
            <w:vAlign w:val="center"/>
          </w:tcPr>
          <w:p w14:paraId="508E1F7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7B425B0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11F790C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gridSpan w:val="2"/>
            <w:shd w:val="clear" w:color="auto" w:fill="auto"/>
            <w:noWrap/>
            <w:vAlign w:val="center"/>
          </w:tcPr>
          <w:p w14:paraId="1B1AD2A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06506CE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6C3FBCE5">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51AC6B3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250C13F8">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492DD94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6795169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noWrap/>
            <w:vAlign w:val="center"/>
          </w:tcPr>
          <w:p w14:paraId="2E362A5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53.99</w:t>
            </w:r>
          </w:p>
        </w:tc>
      </w:tr>
      <w:tr w14:paraId="47B4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3A4C9634">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12" w:type="pct"/>
            <w:shd w:val="clear" w:color="auto" w:fill="auto"/>
            <w:vAlign w:val="center"/>
          </w:tcPr>
          <w:p w14:paraId="3799146B">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070" w:type="dxa"/>
            <w:shd w:val="clear" w:color="auto" w:fill="auto"/>
            <w:vAlign w:val="center"/>
          </w:tcPr>
          <w:p w14:paraId="2B1B7C66">
            <w:pPr>
              <w:jc w:val="center"/>
              <w:rPr>
                <w:rFonts w:ascii="宋体" w:hAnsi="宋体" w:cs="宋体"/>
                <w:color w:val="000000"/>
                <w:kern w:val="0"/>
                <w:sz w:val="18"/>
                <w:szCs w:val="18"/>
              </w:rPr>
            </w:pPr>
          </w:p>
        </w:tc>
        <w:tc>
          <w:tcPr>
            <w:tcW w:w="1070" w:type="dxa"/>
            <w:shd w:val="clear" w:color="auto" w:fill="auto"/>
            <w:vAlign w:val="center"/>
          </w:tcPr>
          <w:p w14:paraId="1DBA786C">
            <w:pPr>
              <w:jc w:val="center"/>
              <w:rPr>
                <w:rFonts w:ascii="宋体" w:hAnsi="宋体" w:cs="宋体"/>
                <w:color w:val="000000"/>
                <w:kern w:val="0"/>
                <w:sz w:val="18"/>
                <w:szCs w:val="18"/>
              </w:rPr>
            </w:pPr>
          </w:p>
        </w:tc>
        <w:tc>
          <w:tcPr>
            <w:tcW w:w="1070" w:type="dxa"/>
            <w:shd w:val="clear" w:color="auto" w:fill="auto"/>
            <w:noWrap/>
            <w:vAlign w:val="center"/>
          </w:tcPr>
          <w:p w14:paraId="683A257F">
            <w:pPr>
              <w:jc w:val="center"/>
              <w:rPr>
                <w:rFonts w:ascii="宋体" w:hAnsi="宋体" w:cs="宋体"/>
                <w:color w:val="000000"/>
                <w:kern w:val="0"/>
                <w:sz w:val="18"/>
                <w:szCs w:val="18"/>
              </w:rPr>
            </w:pPr>
          </w:p>
        </w:tc>
        <w:tc>
          <w:tcPr>
            <w:tcW w:w="1070" w:type="dxa"/>
            <w:gridSpan w:val="2"/>
            <w:shd w:val="clear" w:color="auto" w:fill="auto"/>
            <w:noWrap/>
            <w:vAlign w:val="center"/>
          </w:tcPr>
          <w:p w14:paraId="69EFD8D1">
            <w:pPr>
              <w:jc w:val="center"/>
              <w:rPr>
                <w:rFonts w:ascii="宋体" w:hAnsi="宋体" w:cs="宋体"/>
                <w:color w:val="000000"/>
                <w:kern w:val="0"/>
                <w:sz w:val="18"/>
                <w:szCs w:val="18"/>
              </w:rPr>
            </w:pPr>
          </w:p>
        </w:tc>
        <w:tc>
          <w:tcPr>
            <w:tcW w:w="1070" w:type="dxa"/>
            <w:shd w:val="clear" w:color="auto" w:fill="auto"/>
            <w:noWrap/>
            <w:vAlign w:val="center"/>
          </w:tcPr>
          <w:p w14:paraId="7D1AE152">
            <w:pPr>
              <w:jc w:val="center"/>
              <w:rPr>
                <w:rFonts w:ascii="宋体" w:hAnsi="宋体" w:cs="宋体"/>
                <w:color w:val="000000"/>
                <w:kern w:val="0"/>
                <w:sz w:val="18"/>
                <w:szCs w:val="18"/>
              </w:rPr>
            </w:pPr>
          </w:p>
        </w:tc>
        <w:tc>
          <w:tcPr>
            <w:tcW w:w="1070" w:type="dxa"/>
            <w:shd w:val="clear" w:color="auto" w:fill="auto"/>
            <w:noWrap/>
            <w:vAlign w:val="center"/>
          </w:tcPr>
          <w:p w14:paraId="6C1934DF">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6284CBEC">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4AE50D40">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7350837A">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0F6B0F49">
            <w:pPr>
              <w:jc w:val="center"/>
              <w:rPr>
                <w:rFonts w:ascii="宋体" w:hAnsi="宋体" w:eastAsia="宋体" w:cs="宋体"/>
                <w:color w:val="000000"/>
                <w:kern w:val="0"/>
                <w:sz w:val="18"/>
                <w:szCs w:val="18"/>
                <w:lang w:val="en-US" w:eastAsia="zh-CN" w:bidi="ar-SA"/>
              </w:rPr>
            </w:pPr>
          </w:p>
        </w:tc>
        <w:tc>
          <w:tcPr>
            <w:tcW w:w="1070" w:type="dxa"/>
            <w:shd w:val="clear" w:color="auto" w:fill="auto"/>
            <w:noWrap/>
            <w:vAlign w:val="center"/>
          </w:tcPr>
          <w:p w14:paraId="6CD14D81">
            <w:pPr>
              <w:jc w:val="center"/>
              <w:rPr>
                <w:rFonts w:ascii="宋体" w:hAnsi="宋体" w:eastAsia="宋体" w:cs="宋体"/>
                <w:color w:val="000000"/>
                <w:kern w:val="0"/>
                <w:sz w:val="18"/>
                <w:szCs w:val="18"/>
                <w:lang w:val="en-US" w:eastAsia="zh-CN" w:bidi="ar-SA"/>
              </w:rPr>
            </w:pPr>
          </w:p>
        </w:tc>
      </w:tr>
      <w:tr w14:paraId="19B3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6FDC6B9A">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12" w:type="pct"/>
            <w:shd w:val="clear" w:color="auto" w:fill="auto"/>
            <w:vAlign w:val="center"/>
          </w:tcPr>
          <w:p w14:paraId="566AE8AD">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070" w:type="dxa"/>
            <w:shd w:val="clear" w:color="auto" w:fill="auto"/>
            <w:noWrap/>
            <w:vAlign w:val="center"/>
          </w:tcPr>
          <w:p w14:paraId="079AAC5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BB7395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092E4DC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gridSpan w:val="2"/>
            <w:shd w:val="clear" w:color="auto" w:fill="auto"/>
            <w:noWrap/>
            <w:vAlign w:val="center"/>
          </w:tcPr>
          <w:p w14:paraId="72BBBCB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0C94F41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76469C0F">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4A63AA1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74A598B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6FCB291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70109D82">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070" w:type="dxa"/>
            <w:shd w:val="clear" w:color="auto" w:fill="auto"/>
            <w:noWrap/>
            <w:vAlign w:val="center"/>
          </w:tcPr>
          <w:p w14:paraId="195C242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w:t>
            </w:r>
          </w:p>
        </w:tc>
      </w:tr>
      <w:tr w14:paraId="7810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5CB6E2C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三</w:t>
            </w:r>
          </w:p>
        </w:tc>
        <w:tc>
          <w:tcPr>
            <w:tcW w:w="612" w:type="pct"/>
            <w:shd w:val="clear" w:color="auto" w:fill="auto"/>
            <w:vAlign w:val="center"/>
          </w:tcPr>
          <w:p w14:paraId="08E6C60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当期现金结余</w:t>
            </w:r>
          </w:p>
        </w:tc>
        <w:tc>
          <w:tcPr>
            <w:tcW w:w="1070" w:type="dxa"/>
            <w:shd w:val="clear" w:color="auto" w:fill="auto"/>
            <w:vAlign w:val="center"/>
          </w:tcPr>
          <w:p w14:paraId="7FA36A1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4A4AB5B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5AE1C5C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gridSpan w:val="2"/>
            <w:shd w:val="clear" w:color="auto" w:fill="auto"/>
            <w:vAlign w:val="center"/>
          </w:tcPr>
          <w:p w14:paraId="5439C00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34D8783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42FD0B7C">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7656DC8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460258E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11C2BE5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45FFFE4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-107.97</w:t>
            </w:r>
          </w:p>
        </w:tc>
        <w:tc>
          <w:tcPr>
            <w:tcW w:w="1070" w:type="dxa"/>
            <w:shd w:val="clear" w:color="auto" w:fill="auto"/>
            <w:vAlign w:val="center"/>
          </w:tcPr>
          <w:p w14:paraId="5DA6C4A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-3,103.99</w:t>
            </w:r>
          </w:p>
        </w:tc>
      </w:tr>
      <w:tr w14:paraId="490E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383F699D">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四</w:t>
            </w:r>
          </w:p>
        </w:tc>
        <w:tc>
          <w:tcPr>
            <w:tcW w:w="612" w:type="pct"/>
            <w:shd w:val="clear" w:color="auto" w:fill="auto"/>
            <w:vAlign w:val="center"/>
          </w:tcPr>
          <w:p w14:paraId="605B1BC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期初现金</w:t>
            </w:r>
          </w:p>
        </w:tc>
        <w:tc>
          <w:tcPr>
            <w:tcW w:w="1070" w:type="dxa"/>
            <w:shd w:val="clear" w:color="auto" w:fill="auto"/>
            <w:vAlign w:val="center"/>
          </w:tcPr>
          <w:p w14:paraId="6DBCB1C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46,124.06</w:t>
            </w:r>
          </w:p>
        </w:tc>
        <w:tc>
          <w:tcPr>
            <w:tcW w:w="1070" w:type="dxa"/>
            <w:shd w:val="clear" w:color="auto" w:fill="auto"/>
            <w:vAlign w:val="center"/>
          </w:tcPr>
          <w:p w14:paraId="27EC9A3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46,016.09</w:t>
            </w:r>
          </w:p>
        </w:tc>
        <w:tc>
          <w:tcPr>
            <w:tcW w:w="1070" w:type="dxa"/>
            <w:shd w:val="clear" w:color="auto" w:fill="auto"/>
            <w:vAlign w:val="center"/>
          </w:tcPr>
          <w:p w14:paraId="2C39C18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45,908.12</w:t>
            </w:r>
          </w:p>
        </w:tc>
        <w:tc>
          <w:tcPr>
            <w:tcW w:w="1070" w:type="dxa"/>
            <w:gridSpan w:val="2"/>
            <w:shd w:val="clear" w:color="auto" w:fill="auto"/>
            <w:vAlign w:val="center"/>
          </w:tcPr>
          <w:p w14:paraId="22CFC313">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45,800.15</w:t>
            </w:r>
          </w:p>
        </w:tc>
        <w:tc>
          <w:tcPr>
            <w:tcW w:w="1070" w:type="dxa"/>
            <w:shd w:val="clear" w:color="auto" w:fill="auto"/>
            <w:vAlign w:val="center"/>
          </w:tcPr>
          <w:p w14:paraId="65DCDBC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45,692.18</w:t>
            </w:r>
          </w:p>
        </w:tc>
        <w:tc>
          <w:tcPr>
            <w:tcW w:w="1070" w:type="dxa"/>
            <w:shd w:val="clear" w:color="auto" w:fill="auto"/>
            <w:vAlign w:val="center"/>
          </w:tcPr>
          <w:p w14:paraId="1004ACF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45,584.21</w:t>
            </w:r>
          </w:p>
        </w:tc>
        <w:tc>
          <w:tcPr>
            <w:tcW w:w="1070" w:type="dxa"/>
            <w:shd w:val="clear" w:color="auto" w:fill="auto"/>
            <w:vAlign w:val="center"/>
          </w:tcPr>
          <w:p w14:paraId="11BD748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45,476.24</w:t>
            </w:r>
          </w:p>
        </w:tc>
        <w:tc>
          <w:tcPr>
            <w:tcW w:w="1070" w:type="dxa"/>
            <w:shd w:val="clear" w:color="auto" w:fill="auto"/>
            <w:vAlign w:val="center"/>
          </w:tcPr>
          <w:p w14:paraId="22A50FF9">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45,368.27</w:t>
            </w:r>
          </w:p>
        </w:tc>
        <w:tc>
          <w:tcPr>
            <w:tcW w:w="1070" w:type="dxa"/>
            <w:shd w:val="clear" w:color="auto" w:fill="auto"/>
            <w:vAlign w:val="center"/>
          </w:tcPr>
          <w:p w14:paraId="173D248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45,260.30</w:t>
            </w:r>
          </w:p>
        </w:tc>
        <w:tc>
          <w:tcPr>
            <w:tcW w:w="1070" w:type="dxa"/>
            <w:shd w:val="clear" w:color="auto" w:fill="auto"/>
            <w:vAlign w:val="center"/>
          </w:tcPr>
          <w:p w14:paraId="2631ADBE">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45,152.33</w:t>
            </w:r>
          </w:p>
        </w:tc>
        <w:tc>
          <w:tcPr>
            <w:tcW w:w="1070" w:type="dxa"/>
            <w:shd w:val="clear" w:color="auto" w:fill="auto"/>
            <w:vAlign w:val="center"/>
          </w:tcPr>
          <w:p w14:paraId="2CE33BA3">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45,044.36</w:t>
            </w:r>
          </w:p>
        </w:tc>
      </w:tr>
      <w:tr w14:paraId="2788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13" w:type="pct"/>
            <w:shd w:val="clear" w:color="auto" w:fill="auto"/>
            <w:vAlign w:val="center"/>
          </w:tcPr>
          <w:p w14:paraId="7670113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五</w:t>
            </w:r>
          </w:p>
        </w:tc>
        <w:tc>
          <w:tcPr>
            <w:tcW w:w="612" w:type="pct"/>
            <w:shd w:val="clear" w:color="auto" w:fill="auto"/>
            <w:vAlign w:val="center"/>
          </w:tcPr>
          <w:p w14:paraId="1C076E06">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期末现金</w:t>
            </w:r>
          </w:p>
        </w:tc>
        <w:tc>
          <w:tcPr>
            <w:tcW w:w="1070" w:type="dxa"/>
            <w:shd w:val="clear" w:color="auto" w:fill="auto"/>
            <w:vAlign w:val="center"/>
          </w:tcPr>
          <w:p w14:paraId="5D0DFF2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46,016.09</w:t>
            </w:r>
          </w:p>
        </w:tc>
        <w:tc>
          <w:tcPr>
            <w:tcW w:w="1070" w:type="dxa"/>
            <w:shd w:val="clear" w:color="auto" w:fill="auto"/>
            <w:vAlign w:val="center"/>
          </w:tcPr>
          <w:p w14:paraId="00EC16E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45,908.12</w:t>
            </w:r>
          </w:p>
        </w:tc>
        <w:tc>
          <w:tcPr>
            <w:tcW w:w="1070" w:type="dxa"/>
            <w:shd w:val="clear" w:color="auto" w:fill="auto"/>
            <w:vAlign w:val="center"/>
          </w:tcPr>
          <w:p w14:paraId="0E1A8A6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45,800.15</w:t>
            </w:r>
          </w:p>
        </w:tc>
        <w:tc>
          <w:tcPr>
            <w:tcW w:w="1070" w:type="dxa"/>
            <w:gridSpan w:val="2"/>
            <w:shd w:val="clear" w:color="auto" w:fill="auto"/>
            <w:vAlign w:val="center"/>
          </w:tcPr>
          <w:p w14:paraId="449CC3F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45,692.18</w:t>
            </w:r>
          </w:p>
        </w:tc>
        <w:tc>
          <w:tcPr>
            <w:tcW w:w="1070" w:type="dxa"/>
            <w:shd w:val="clear" w:color="auto" w:fill="auto"/>
            <w:vAlign w:val="center"/>
          </w:tcPr>
          <w:p w14:paraId="71EA93B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45,584.21</w:t>
            </w:r>
          </w:p>
        </w:tc>
        <w:tc>
          <w:tcPr>
            <w:tcW w:w="1070" w:type="dxa"/>
            <w:shd w:val="clear" w:color="auto" w:fill="auto"/>
            <w:vAlign w:val="center"/>
          </w:tcPr>
          <w:p w14:paraId="6F63BA57">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45,476.24</w:t>
            </w:r>
          </w:p>
        </w:tc>
        <w:tc>
          <w:tcPr>
            <w:tcW w:w="1070" w:type="dxa"/>
            <w:shd w:val="clear" w:color="auto" w:fill="auto"/>
            <w:vAlign w:val="center"/>
          </w:tcPr>
          <w:p w14:paraId="493C54A8">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45,368.27</w:t>
            </w:r>
          </w:p>
        </w:tc>
        <w:tc>
          <w:tcPr>
            <w:tcW w:w="1070" w:type="dxa"/>
            <w:shd w:val="clear" w:color="auto" w:fill="auto"/>
            <w:vAlign w:val="center"/>
          </w:tcPr>
          <w:p w14:paraId="27117821">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45,260.30</w:t>
            </w:r>
          </w:p>
        </w:tc>
        <w:tc>
          <w:tcPr>
            <w:tcW w:w="1070" w:type="dxa"/>
            <w:shd w:val="clear" w:color="auto" w:fill="auto"/>
            <w:vAlign w:val="center"/>
          </w:tcPr>
          <w:p w14:paraId="415F33D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45,152.33</w:t>
            </w:r>
          </w:p>
        </w:tc>
        <w:tc>
          <w:tcPr>
            <w:tcW w:w="1070" w:type="dxa"/>
            <w:shd w:val="clear" w:color="auto" w:fill="auto"/>
            <w:vAlign w:val="center"/>
          </w:tcPr>
          <w:p w14:paraId="1F7B2EDF">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45,044.36</w:t>
            </w:r>
          </w:p>
        </w:tc>
        <w:tc>
          <w:tcPr>
            <w:tcW w:w="1070" w:type="dxa"/>
            <w:shd w:val="clear" w:color="auto" w:fill="auto"/>
            <w:vAlign w:val="center"/>
          </w:tcPr>
          <w:p w14:paraId="6CCBC8FA">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41,940.37</w:t>
            </w:r>
          </w:p>
        </w:tc>
      </w:tr>
      <w:tr w14:paraId="38D6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301" w:type="pct"/>
            <w:gridSpan w:val="6"/>
            <w:shd w:val="clear" w:color="auto" w:fill="auto"/>
            <w:vAlign w:val="center"/>
          </w:tcPr>
          <w:p w14:paraId="62791CE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债券资金覆盖倍数</w:t>
            </w:r>
          </w:p>
        </w:tc>
        <w:tc>
          <w:tcPr>
            <w:tcW w:w="2698" w:type="pct"/>
            <w:gridSpan w:val="8"/>
            <w:shd w:val="clear" w:color="auto" w:fill="auto"/>
            <w:vAlign w:val="center"/>
          </w:tcPr>
          <w:p w14:paraId="7305174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2.11</w:t>
            </w:r>
          </w:p>
        </w:tc>
      </w:tr>
    </w:tbl>
    <w:p w14:paraId="2EE0EE40">
      <w:pPr>
        <w:pStyle w:val="20"/>
        <w:spacing w:after="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按照南昌县住房和城乡建设局在存续期内预期收入和预期支出测算，该项目在存续期间能够产生持续稳定的净现金流。按照预计条件的资金测算平衡结果，项目存续期内可达到的债券资金覆盖率为2.11倍，还本付息资金有充分保障。</w:t>
      </w:r>
    </w:p>
    <w:p w14:paraId="388B39D7">
      <w:pPr>
        <w:pStyle w:val="20"/>
        <w:spacing w:before="0" w:beforeAutospacing="0" w:after="156" w:afterLines="50" w:afterAutospacing="0" w:line="360" w:lineRule="exact"/>
        <w:ind w:firstLine="420" w:firstLineChars="200"/>
        <w:jc w:val="both"/>
        <w:rPr>
          <w:color w:val="000000" w:themeColor="text1"/>
          <w:sz w:val="21"/>
          <w:szCs w:val="21"/>
          <w14:textFill>
            <w14:solidFill>
              <w14:schemeClr w14:val="tx1"/>
            </w14:solidFill>
          </w14:textFill>
        </w:rPr>
        <w:sectPr>
          <w:pgSz w:w="16838" w:h="11906" w:orient="landscape"/>
          <w:pgMar w:top="1701" w:right="1531" w:bottom="1701" w:left="1418" w:header="851" w:footer="992" w:gutter="0"/>
          <w:pgNumType w:fmt="decimal"/>
          <w:cols w:space="425" w:num="1"/>
          <w:docGrid w:type="linesAndChars" w:linePitch="312" w:charSpace="0"/>
        </w:sectPr>
      </w:pPr>
    </w:p>
    <w:p w14:paraId="182A7117">
      <w:pPr>
        <w:widowControl/>
        <w:ind w:firstLine="560" w:firstLineChars="200"/>
        <w:rPr>
          <w:rFonts w:hint="eastAsia" w:ascii="宋体" w:hAnsi="宋体"/>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本次发</w:t>
      </w:r>
      <w:r>
        <w:rPr>
          <w:rFonts w:hint="eastAsia" w:ascii="宋体" w:hAnsi="宋体"/>
          <w:color w:val="000000" w:themeColor="text1"/>
          <w:sz w:val="28"/>
          <w:szCs w:val="28"/>
          <w14:textFill>
            <w14:solidFill>
              <w14:schemeClr w14:val="tx1"/>
            </w14:solidFill>
          </w14:textFill>
        </w:rPr>
        <w:t>行专项债券各项目预期业务活动现金流入合计76,684.11万元，业务活动现金流出合计1,533.68万元，债券存续期内债券本金与利息合计35,700.16</w:t>
      </w:r>
      <w:r>
        <w:rPr>
          <w:rFonts w:hint="eastAsia" w:ascii="宋体" w:hAnsi="宋体" w:cs="宋体"/>
          <w:color w:val="000000"/>
          <w:kern w:val="0"/>
          <w:sz w:val="28"/>
          <w:szCs w:val="28"/>
        </w:rPr>
        <w:t>万</w:t>
      </w:r>
      <w:r>
        <w:rPr>
          <w:rFonts w:hint="eastAsia" w:ascii="宋体" w:hAnsi="宋体"/>
          <w:color w:val="000000" w:themeColor="text1"/>
          <w:sz w:val="28"/>
          <w:szCs w:val="28"/>
          <w14:textFill>
            <w14:solidFill>
              <w14:schemeClr w14:val="tx1"/>
            </w14:solidFill>
          </w14:textFill>
        </w:rPr>
        <w:t>元。项目存续期内偿债资金覆盖倍数为2.11倍</w:t>
      </w:r>
      <w:r>
        <w:rPr>
          <w:rFonts w:hint="eastAsia"/>
          <w:color w:val="000000" w:themeColor="text1"/>
          <w:sz w:val="28"/>
          <w:szCs w:val="28"/>
          <w14:textFill>
            <w14:solidFill>
              <w14:schemeClr w14:val="tx1"/>
            </w14:solidFill>
          </w14:textFill>
        </w:rPr>
        <w:t>，还本付息资金有充分保障，项目实施方案资金计划能够满足发行专</w:t>
      </w:r>
      <w:r>
        <w:rPr>
          <w:rFonts w:hint="eastAsia" w:ascii="宋体" w:hAnsi="宋体"/>
          <w:color w:val="000000" w:themeColor="text1"/>
          <w:sz w:val="28"/>
          <w:szCs w:val="28"/>
          <w14:textFill>
            <w14:solidFill>
              <w14:schemeClr w14:val="tx1"/>
            </w14:solidFill>
          </w14:textFill>
        </w:rPr>
        <w:t>项债券资金充足性要求。债券存续期间整体资金流入、流出情况及期末现金如下图所示：</w:t>
      </w:r>
    </w:p>
    <w:p w14:paraId="3EBE8D38">
      <w:pPr>
        <w:widowControl/>
        <w:ind w:firstLine="420" w:firstLineChars="200"/>
        <w:rPr>
          <w:rFonts w:hint="eastAsia"/>
          <w:color w:val="000000" w:themeColor="text1"/>
          <w:szCs w:val="21"/>
          <w14:textFill>
            <w14:solidFill>
              <w14:schemeClr w14:val="tx1"/>
            </w14:solidFill>
          </w14:textFill>
        </w:rPr>
      </w:pPr>
    </w:p>
    <w:p w14:paraId="7C62AFDF">
      <w:pPr>
        <w:widowControl/>
        <w:ind w:firstLine="420" w:firstLineChars="200"/>
        <w:rPr>
          <w:rFonts w:hint="eastAsia"/>
          <w:color w:val="000000" w:themeColor="text1"/>
          <w:szCs w:val="21"/>
          <w14:textFill>
            <w14:solidFill>
              <w14:schemeClr w14:val="tx1"/>
            </w14:solidFill>
          </w14:textFill>
        </w:rPr>
      </w:pPr>
    </w:p>
    <w:p w14:paraId="3A27E46D">
      <w:pPr>
        <w:widowControl/>
        <w:tabs>
          <w:tab w:val="left" w:pos="3031"/>
        </w:tabs>
        <w:ind w:firstLine="420" w:firstLineChars="200"/>
        <w:rPr>
          <w:color w:val="000000" w:themeColor="text1"/>
          <w:sz w:val="18"/>
          <w:szCs w:val="18"/>
          <w14:textFill>
            <w14:solidFill>
              <w14:schemeClr w14:val="tx1"/>
            </w14:solidFill>
          </w14:textFill>
        </w:rPr>
      </w:pPr>
      <w:r>
        <w:rPr>
          <w:rFonts w:hint="eastAsia"/>
          <w:color w:val="000000" w:themeColor="text1"/>
          <w:szCs w:val="21"/>
          <w:lang w:eastAsia="zh-CN"/>
          <w14:textFill>
            <w14:solidFill>
              <w14:schemeClr w14:val="tx1"/>
            </w14:solidFill>
          </w14:textFill>
        </w:rPr>
        <w:tab/>
      </w:r>
      <w:r>
        <w:rPr>
          <w:rFonts w:hint="eastAsia"/>
          <w:color w:val="000000" w:themeColor="text1"/>
          <w:sz w:val="18"/>
          <w:szCs w:val="18"/>
          <w14:textFill>
            <w14:solidFill>
              <w14:schemeClr w14:val="tx1"/>
            </w14:solidFill>
          </w14:textFill>
        </w:rPr>
        <w:drawing>
          <wp:anchor distT="0" distB="0" distL="114300" distR="114300" simplePos="0" relativeHeight="251660288" behindDoc="0" locked="0" layoutInCell="1" allowOverlap="1">
            <wp:simplePos x="0" y="0"/>
            <wp:positionH relativeFrom="margin">
              <wp:posOffset>151765</wp:posOffset>
            </wp:positionH>
            <wp:positionV relativeFrom="margin">
              <wp:posOffset>2416810</wp:posOffset>
            </wp:positionV>
            <wp:extent cx="5295265" cy="2854325"/>
            <wp:effectExtent l="4445" t="4445" r="15240" b="17780"/>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单位：万元</w:t>
      </w:r>
    </w:p>
    <w:p w14:paraId="0CB6FCA6">
      <w:pPr>
        <w:pStyle w:val="20"/>
        <w:spacing w:before="0" w:beforeAutospacing="0" w:after="156" w:afterLines="50" w:afterAutospacing="0" w:line="360" w:lineRule="exact"/>
        <w:ind w:firstLine="420" w:firstLineChars="20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图3-</w:t>
      </w:r>
      <w:r>
        <w:rPr>
          <w:color w:val="000000" w:themeColor="text1"/>
          <w:sz w:val="21"/>
          <w:szCs w:val="21"/>
          <w14:textFill>
            <w14:solidFill>
              <w14:schemeClr w14:val="tx1"/>
            </w14:solidFill>
          </w14:textFill>
        </w:rPr>
        <w:t xml:space="preserve">1  </w:t>
      </w:r>
      <w:r>
        <w:rPr>
          <w:rFonts w:hint="eastAsia"/>
          <w:color w:val="000000" w:themeColor="text1"/>
          <w:sz w:val="21"/>
          <w:szCs w:val="21"/>
          <w14:textFill>
            <w14:solidFill>
              <w14:schemeClr w14:val="tx1"/>
            </w14:solidFill>
          </w14:textFill>
        </w:rPr>
        <w:t>债券存续期间现金流情况图</w:t>
      </w:r>
    </w:p>
    <w:p w14:paraId="0EDD0875">
      <w:pPr>
        <w:pStyle w:val="20"/>
        <w:spacing w:before="0" w:beforeAutospacing="0" w:after="156" w:afterLines="50" w:afterAutospacing="0" w:line="360" w:lineRule="exact"/>
        <w:ind w:firstLine="360" w:firstLineChars="200"/>
        <w:jc w:val="both"/>
        <w:rPr>
          <w:rFonts w:hint="eastAsia" w:cs="Times New Roman"/>
          <w:color w:val="000000" w:themeColor="text1"/>
          <w:sz w:val="18"/>
          <w:szCs w:val="18"/>
          <w14:textFill>
            <w14:solidFill>
              <w14:schemeClr w14:val="tx1"/>
            </w14:solidFill>
          </w14:textFill>
        </w:rPr>
      </w:pPr>
    </w:p>
    <w:p w14:paraId="28690F18">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四、事前绩效评价</w:t>
      </w:r>
      <w:bookmarkEnd w:id="101"/>
    </w:p>
    <w:p w14:paraId="05360BB4">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1、项目实施的必要性、公益性、收益性</w:t>
      </w:r>
    </w:p>
    <w:p w14:paraId="2949C7B1">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（1）必要性</w:t>
      </w:r>
    </w:p>
    <w:p w14:paraId="6C3489D2">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1）项目建设是大力提高人民群众的居住水平，是全面建设小康社会和实现现代化的重要方面与重要内容之一。</w:t>
      </w:r>
    </w:p>
    <w:p w14:paraId="406F0A42">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45BA3288">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36FBE562">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（2）公益性</w:t>
      </w:r>
    </w:p>
    <w:p w14:paraId="57C12D73">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40C080B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（3）收益性</w:t>
      </w:r>
    </w:p>
    <w:p w14:paraId="0681EA82">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本项目实施后，可产生运营收益，根据测算收入约为76684</w:t>
      </w:r>
      <w:r>
        <w:rPr>
          <w:rFonts w:hint="eastAsia" w:ascii="宋体" w:hAnsi="宋体" w:eastAsia="宋体" w:cs="宋体"/>
          <w:bCs/>
          <w:sz w:val="28"/>
          <w:szCs w:val="28"/>
          <w:lang w:val="en-US" w:eastAsia="zh-Hans"/>
        </w:rPr>
        <w:t>.</w:t>
      </w:r>
      <w:r>
        <w:rPr>
          <w:rFonts w:hint="eastAsia" w:ascii="宋体" w:hAnsi="宋体" w:eastAsia="宋体" w:cs="宋体"/>
          <w:bCs/>
          <w:sz w:val="28"/>
          <w:szCs w:val="28"/>
          <w:lang w:eastAsia="zh-Hans"/>
        </w:rPr>
        <w:t>11</w:t>
      </w:r>
      <w:r>
        <w:rPr>
          <w:rFonts w:hint="eastAsia" w:ascii="宋体" w:hAnsi="宋体" w:eastAsia="宋体" w:cs="宋体"/>
          <w:bCs/>
          <w:sz w:val="28"/>
          <w:szCs w:val="28"/>
        </w:rPr>
        <w:t>万元，经营成本1533</w:t>
      </w:r>
      <w:r>
        <w:rPr>
          <w:rFonts w:hint="eastAsia" w:ascii="宋体" w:hAnsi="宋体" w:eastAsia="宋体" w:cs="宋体"/>
          <w:bCs/>
          <w:sz w:val="28"/>
          <w:szCs w:val="28"/>
          <w:lang w:val="en-US" w:eastAsia="zh-Hans"/>
        </w:rPr>
        <w:t>.</w:t>
      </w:r>
      <w:r>
        <w:rPr>
          <w:rFonts w:hint="eastAsia" w:ascii="宋体" w:hAnsi="宋体" w:eastAsia="宋体" w:cs="宋体"/>
          <w:bCs/>
          <w:sz w:val="28"/>
          <w:szCs w:val="28"/>
          <w:lang w:eastAsia="zh-Hans"/>
        </w:rPr>
        <w:t>68</w:t>
      </w:r>
      <w:r>
        <w:rPr>
          <w:rFonts w:hint="eastAsia" w:ascii="宋体" w:hAnsi="宋体" w:eastAsia="宋体" w:cs="宋体"/>
          <w:bCs/>
          <w:sz w:val="28"/>
          <w:szCs w:val="28"/>
        </w:rPr>
        <w:t>万元，可用于偿债的项目收益为75150</w:t>
      </w:r>
      <w:r>
        <w:rPr>
          <w:rFonts w:hint="eastAsia" w:ascii="宋体" w:hAnsi="宋体" w:eastAsia="宋体" w:cs="宋体"/>
          <w:bCs/>
          <w:sz w:val="28"/>
          <w:szCs w:val="28"/>
          <w:lang w:val="en-US" w:eastAsia="zh-Hans"/>
        </w:rPr>
        <w:t>.</w:t>
      </w:r>
      <w:r>
        <w:rPr>
          <w:rFonts w:hint="eastAsia" w:ascii="宋体" w:hAnsi="宋体" w:eastAsia="宋体" w:cs="宋体"/>
          <w:bCs/>
          <w:sz w:val="28"/>
          <w:szCs w:val="28"/>
          <w:lang w:eastAsia="zh-Hans"/>
        </w:rPr>
        <w:t>43</w:t>
      </w:r>
      <w:r>
        <w:rPr>
          <w:rFonts w:hint="eastAsia" w:ascii="宋体" w:hAnsi="宋体" w:eastAsia="宋体" w:cs="宋体"/>
          <w:bCs/>
          <w:sz w:val="28"/>
          <w:szCs w:val="28"/>
        </w:rPr>
        <w:t>6万元，满足资金平衡需求。</w:t>
      </w:r>
    </w:p>
    <w:p w14:paraId="42AFFCF5">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2、项目建设投资合规性与项目成熟度</w:t>
      </w:r>
    </w:p>
    <w:p w14:paraId="457D6BCE">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项目于2022年7月14日已获得南昌县行政审批局《关于金湖管理处雄溪村二期一批安置房（城市棚户区改造）项目可行性研究报告的批复》（南行审投资投字【2022】406号）。</w:t>
      </w:r>
    </w:p>
    <w:p w14:paraId="1E3276A4">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项目建设有期充分的必要性，前期手续完善，项目资金为部分项目单位自筹，部分申请政府专项债券资金。项目成熟度、可靠度较高。</w:t>
      </w:r>
    </w:p>
    <w:p w14:paraId="0CE1CB57">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3、项目资金来源和可到位性</w:t>
      </w:r>
    </w:p>
    <w:p w14:paraId="59D2FA26">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本项目资金筹措方式包括自筹资金及政府债券，自筹资金8,006.02万元，占总投资比例23.18 %；发行专项债券26,537.00万元，期限7年，占总投资的 76.82 %。</w:t>
      </w:r>
    </w:p>
    <w:p w14:paraId="068DB214">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4、项目收入、成本、收益预测合理性</w:t>
      </w:r>
    </w:p>
    <w:p w14:paraId="6DA5659B">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根据项目可行性研究报告并结合实际情况进行测算，本项目债券存续期内收入包含土地出让收入76684</w:t>
      </w:r>
      <w:r>
        <w:rPr>
          <w:rFonts w:hint="eastAsia" w:ascii="宋体" w:hAnsi="宋体" w:eastAsia="宋体" w:cs="宋体"/>
          <w:bCs/>
          <w:sz w:val="28"/>
          <w:szCs w:val="28"/>
          <w:lang w:val="en-US" w:eastAsia="zh-Hans"/>
        </w:rPr>
        <w:t>.</w:t>
      </w:r>
      <w:r>
        <w:rPr>
          <w:rFonts w:hint="eastAsia" w:ascii="宋体" w:hAnsi="宋体" w:eastAsia="宋体" w:cs="宋体"/>
          <w:bCs/>
          <w:sz w:val="28"/>
          <w:szCs w:val="28"/>
          <w:lang w:eastAsia="zh-Hans"/>
        </w:rPr>
        <w:t>11</w:t>
      </w:r>
      <w:r>
        <w:rPr>
          <w:rFonts w:hint="eastAsia" w:ascii="宋体" w:hAnsi="宋体" w:eastAsia="宋体" w:cs="宋体"/>
          <w:bCs/>
          <w:sz w:val="28"/>
          <w:szCs w:val="28"/>
        </w:rPr>
        <w:t>万元。</w:t>
      </w:r>
    </w:p>
    <w:p w14:paraId="529306C5">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债券存续期收益已由业主单位盖章确认，预测合理性较高。</w:t>
      </w:r>
    </w:p>
    <w:p w14:paraId="30284545">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5、债券资金需求合理性</w:t>
      </w:r>
    </w:p>
    <w:p w14:paraId="6900096C">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本项目资本金比例23.18%，满足国家发改委对固定资产投资项目资本金比例的要求。项目拟申请债券资金本息额共计35,700.16万元，项目收益预计为75150</w:t>
      </w:r>
      <w:r>
        <w:rPr>
          <w:rFonts w:hint="eastAsia" w:ascii="宋体" w:hAnsi="宋体" w:eastAsia="宋体" w:cs="宋体"/>
          <w:bCs/>
          <w:sz w:val="28"/>
          <w:szCs w:val="28"/>
          <w:lang w:val="en-US" w:eastAsia="zh-Hans"/>
        </w:rPr>
        <w:t>.</w:t>
      </w:r>
      <w:r>
        <w:rPr>
          <w:rFonts w:hint="eastAsia" w:ascii="宋体" w:hAnsi="宋体" w:eastAsia="宋体" w:cs="宋体"/>
          <w:bCs/>
          <w:sz w:val="28"/>
          <w:szCs w:val="28"/>
          <w:lang w:eastAsia="zh-Hans"/>
        </w:rPr>
        <w:t>43</w:t>
      </w:r>
      <w:r>
        <w:rPr>
          <w:rFonts w:hint="eastAsia" w:ascii="宋体" w:hAnsi="宋体" w:eastAsia="宋体" w:cs="宋体"/>
          <w:bCs/>
          <w:sz w:val="28"/>
          <w:szCs w:val="28"/>
        </w:rPr>
        <w:t>6万元，项目收益对债券本息的覆盖倍数计算为2</w:t>
      </w:r>
      <w:r>
        <w:rPr>
          <w:rFonts w:hint="eastAsia" w:ascii="宋体" w:hAnsi="宋体" w:eastAsia="宋体" w:cs="宋体"/>
          <w:bCs/>
          <w:sz w:val="28"/>
          <w:szCs w:val="28"/>
          <w:lang w:val="en-US" w:eastAsia="zh-Hans"/>
        </w:rPr>
        <w:t>.</w:t>
      </w:r>
      <w:r>
        <w:rPr>
          <w:rFonts w:hint="eastAsia" w:ascii="宋体" w:hAnsi="宋体" w:eastAsia="宋体" w:cs="宋体"/>
          <w:bCs/>
          <w:sz w:val="28"/>
          <w:szCs w:val="28"/>
          <w:lang w:val="en-US" w:eastAsia="zh-CN"/>
        </w:rPr>
        <w:t>11</w:t>
      </w:r>
      <w:r>
        <w:rPr>
          <w:rFonts w:hint="eastAsia" w:ascii="宋体" w:hAnsi="宋体" w:eastAsia="宋体" w:cs="宋体"/>
          <w:bCs/>
          <w:sz w:val="28"/>
          <w:szCs w:val="28"/>
        </w:rPr>
        <w:t>，偿债保障性较高，债券需求额度合理。</w:t>
      </w:r>
    </w:p>
    <w:p w14:paraId="628B53B3">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6、项目偿债计划可行性和偿债风险</w:t>
      </w:r>
    </w:p>
    <w:p w14:paraId="03E82D73">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本项目202</w:t>
      </w:r>
      <w:r>
        <w:rPr>
          <w:rFonts w:hint="eastAsia" w:ascii="宋体" w:hAnsi="宋体" w:eastAsia="宋体" w:cs="宋体"/>
          <w:bCs/>
          <w:sz w:val="28"/>
          <w:szCs w:val="28"/>
          <w:lang w:val="en-US" w:eastAsia="zh-CN"/>
        </w:rPr>
        <w:t>4</w:t>
      </w:r>
      <w:r>
        <w:rPr>
          <w:rFonts w:hint="eastAsia" w:ascii="宋体" w:hAnsi="宋体" w:eastAsia="宋体" w:cs="宋体"/>
          <w:bCs/>
          <w:sz w:val="28"/>
          <w:szCs w:val="28"/>
        </w:rPr>
        <w:t>年本期拟申请发行7年期专项债券</w:t>
      </w:r>
      <w:r>
        <w:rPr>
          <w:rFonts w:hint="eastAsia" w:ascii="宋体" w:hAnsi="宋体" w:eastAsia="宋体" w:cs="宋体"/>
          <w:bCs/>
          <w:sz w:val="28"/>
          <w:szCs w:val="28"/>
          <w:lang w:val="en-US" w:eastAsia="zh-CN"/>
        </w:rPr>
        <w:t>4</w:t>
      </w:r>
      <w:r>
        <w:rPr>
          <w:rFonts w:hint="eastAsia" w:ascii="宋体" w:hAnsi="宋体" w:eastAsia="宋体" w:cs="宋体"/>
          <w:bCs/>
          <w:sz w:val="28"/>
          <w:szCs w:val="28"/>
        </w:rPr>
        <w:t>500.00万元；每一年付息一次，到期一次偿还本金。其均以资本金偿还，可保障建设期利息可靠偿还。</w:t>
      </w:r>
    </w:p>
    <w:p w14:paraId="5432C0D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项目自2027年可实现收益，可满足后续债券各年利息偿还，结余资金转账管理，用于到期一次还本，偿债计划可行。</w:t>
      </w:r>
    </w:p>
    <w:p w14:paraId="4F7D2E01">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7、绩效目标合理性</w:t>
      </w:r>
    </w:p>
    <w:p w14:paraId="37C36B21">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743ECB15">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其他需要纳入其他绩效评估的事项</w:t>
      </w:r>
    </w:p>
    <w:p w14:paraId="44932109">
      <w:pPr>
        <w:widowControl/>
        <w:spacing w:line="560" w:lineRule="exact"/>
        <w:ind w:firstLine="560" w:firstLineChars="200"/>
        <w:jc w:val="left"/>
        <w:outlineLvl w:val="0"/>
        <w:rPr>
          <w:rFonts w:ascii="黑体" w:hAnsi="黑体" w:eastAsia="黑体" w:cs="黑体"/>
          <w:sz w:val="28"/>
          <w:szCs w:val="28"/>
        </w:rPr>
      </w:pPr>
      <w:bookmarkStart w:id="102" w:name="_Toc6429"/>
      <w:r>
        <w:rPr>
          <w:rFonts w:hint="eastAsia" w:ascii="黑体" w:hAnsi="黑体" w:eastAsia="黑体" w:cs="黑体"/>
          <w:sz w:val="28"/>
          <w:szCs w:val="28"/>
        </w:rPr>
        <w:t>五、项目风险分析</w:t>
      </w:r>
      <w:bookmarkEnd w:id="102"/>
    </w:p>
    <w:p w14:paraId="3F177264">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1、投资估算风险</w:t>
      </w:r>
    </w:p>
    <w:p w14:paraId="136D746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10C6F84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2、工程风险</w:t>
      </w:r>
    </w:p>
    <w:p w14:paraId="2D92FFFB">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050F957B">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3、融资风险</w:t>
      </w:r>
    </w:p>
    <w:p w14:paraId="5F5CEF00">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76499999">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4、财务风险</w:t>
      </w:r>
    </w:p>
    <w:p w14:paraId="452130F3">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4B009929">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5、自然风险</w:t>
      </w:r>
    </w:p>
    <w:p w14:paraId="335D464D">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本项目在经营期间遇到人力不可抗拒的自然灾害是完全可能的，为了降低此间风险，要根据项目的特点制定的相应的措施，以便使不可抗拒自然灾害的风险降到最低。</w:t>
      </w:r>
    </w:p>
    <w:p w14:paraId="6D820508">
      <w:pPr>
        <w:widowControl/>
        <w:spacing w:line="560" w:lineRule="exact"/>
        <w:ind w:firstLine="560" w:firstLineChars="200"/>
        <w:jc w:val="left"/>
        <w:outlineLvl w:val="0"/>
        <w:rPr>
          <w:rFonts w:ascii="黑体" w:hAnsi="黑体" w:eastAsia="黑体" w:cs="黑体"/>
          <w:sz w:val="28"/>
          <w:szCs w:val="28"/>
        </w:rPr>
      </w:pPr>
      <w:bookmarkStart w:id="103" w:name="_Toc19584"/>
      <w:r>
        <w:rPr>
          <w:rFonts w:hint="eastAsia" w:ascii="黑体" w:hAnsi="黑体" w:eastAsia="黑体" w:cs="黑体"/>
          <w:sz w:val="28"/>
          <w:szCs w:val="28"/>
        </w:rPr>
        <w:t>六、专项债发行方案</w:t>
      </w:r>
      <w:bookmarkEnd w:id="103"/>
    </w:p>
    <w:p w14:paraId="6A85D871">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1、发行主体资格:根据《关于试点发展项目收益与融资自求平衡的地方政府专项债券品种的通知》（财预[2017]89号）之规定，地方政府专项债券需由江西省人民政府作为发行主体。本项目的实施机构为南昌县</w:t>
      </w:r>
      <w:r>
        <w:rPr>
          <w:rFonts w:hint="eastAsia" w:ascii="宋体" w:hAnsi="宋体" w:eastAsia="宋体" w:cs="宋体"/>
          <w:bCs/>
          <w:sz w:val="28"/>
          <w:szCs w:val="28"/>
          <w:lang w:val="en-US" w:eastAsia="zh-CN"/>
        </w:rPr>
        <w:t>住房和城乡建设局</w:t>
      </w:r>
      <w:r>
        <w:rPr>
          <w:rFonts w:hint="eastAsia" w:ascii="宋体" w:hAnsi="宋体" w:eastAsia="宋体" w:cs="宋体"/>
          <w:bCs/>
          <w:sz w:val="28"/>
          <w:szCs w:val="28"/>
        </w:rPr>
        <w:t>，是依法批准设立的机关单位，具备机关单位法人资格，具有相应的民事权利能力和民事行为能力；项目业主为南昌县城市建设投资发展有限公司,是依法批准设立的企业法人，具备作为项目业主的资格。</w:t>
      </w:r>
    </w:p>
    <w:p w14:paraId="62E0617B">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2、发行计划:金湖管理处雄溪村二期一批安置房（城市棚户区改造）项目申请发行地方政府专项债券26,537.00万元，202</w:t>
      </w:r>
      <w:r>
        <w:rPr>
          <w:rFonts w:hint="eastAsia" w:ascii="宋体" w:hAnsi="宋体" w:eastAsia="宋体" w:cs="宋体"/>
          <w:bCs/>
          <w:sz w:val="28"/>
          <w:szCs w:val="28"/>
          <w:lang w:val="en-US" w:eastAsia="zh-CN"/>
        </w:rPr>
        <w:t>4</w:t>
      </w:r>
      <w:r>
        <w:rPr>
          <w:rFonts w:hint="eastAsia" w:ascii="宋体" w:hAnsi="宋体" w:eastAsia="宋体" w:cs="宋体"/>
          <w:bCs/>
          <w:sz w:val="28"/>
          <w:szCs w:val="28"/>
        </w:rPr>
        <w:t>年发行</w:t>
      </w:r>
      <w:r>
        <w:rPr>
          <w:rFonts w:hint="eastAsia" w:ascii="宋体" w:hAnsi="宋体" w:eastAsia="宋体" w:cs="宋体"/>
          <w:bCs/>
          <w:sz w:val="28"/>
          <w:szCs w:val="28"/>
          <w:lang w:val="en-US" w:eastAsia="zh-CN"/>
        </w:rPr>
        <w:t>4</w:t>
      </w:r>
      <w:r>
        <w:rPr>
          <w:rFonts w:hint="eastAsia" w:ascii="宋体" w:hAnsi="宋体" w:eastAsia="宋体" w:cs="宋体"/>
          <w:bCs/>
          <w:sz w:val="28"/>
          <w:szCs w:val="28"/>
        </w:rPr>
        <w:t>500万元，期限7年，专项债券融资成本按3.9%估算。</w:t>
      </w:r>
    </w:p>
    <w:p w14:paraId="611FD573">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3、发行场所:通过全国银行间债券市场、证券交易所债券市场发行。将来条件具备时也可在银行柜台债券市场发行。</w:t>
      </w:r>
    </w:p>
    <w:p w14:paraId="433C63B9">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4、时间安排:计划发行时间为202</w:t>
      </w:r>
      <w:r>
        <w:rPr>
          <w:rFonts w:hint="eastAsia" w:ascii="宋体" w:hAnsi="宋体" w:eastAsia="宋体" w:cs="宋体"/>
          <w:bCs/>
          <w:sz w:val="28"/>
          <w:szCs w:val="28"/>
          <w:lang w:val="en-US" w:eastAsia="zh-CN"/>
        </w:rPr>
        <w:t>4</w:t>
      </w:r>
      <w:r>
        <w:rPr>
          <w:rFonts w:hint="eastAsia" w:ascii="宋体" w:hAnsi="宋体" w:eastAsia="宋体" w:cs="宋体"/>
          <w:bCs/>
          <w:sz w:val="28"/>
          <w:szCs w:val="28"/>
        </w:rPr>
        <w:t>年0</w:t>
      </w:r>
      <w:r>
        <w:rPr>
          <w:rFonts w:hint="default" w:ascii="宋体" w:hAnsi="宋体" w:eastAsia="宋体" w:cs="宋体"/>
          <w:bCs/>
          <w:sz w:val="28"/>
          <w:szCs w:val="28"/>
        </w:rPr>
        <w:t>9</w:t>
      </w:r>
      <w:r>
        <w:rPr>
          <w:rFonts w:hint="eastAsia" w:ascii="宋体" w:hAnsi="宋体" w:eastAsia="宋体" w:cs="宋体"/>
          <w:bCs/>
          <w:sz w:val="28"/>
          <w:szCs w:val="28"/>
        </w:rPr>
        <w:t>月，以后年度结合当年发债计划安排。</w:t>
      </w:r>
    </w:p>
    <w:p w14:paraId="4C0CD44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5、信息披露：在专项债发行日前5个工作日通过</w:t>
      </w: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HYPERLINK "https://www.sogou.com/link?url=DSOYnZeCC_pzE53eXNhcqFoov_MuMQYQreaVHN88tHY." \t "https://www.sogou.com/_blank" </w:instrText>
      </w:r>
      <w:r>
        <w:rPr>
          <w:rFonts w:hint="eastAsia" w:ascii="宋体" w:hAnsi="宋体" w:eastAsia="宋体" w:cs="宋体"/>
          <w:bCs/>
          <w:sz w:val="28"/>
          <w:szCs w:val="28"/>
        </w:rPr>
        <w:fldChar w:fldCharType="separate"/>
      </w:r>
      <w:r>
        <w:rPr>
          <w:rFonts w:hint="eastAsia" w:ascii="宋体" w:hAnsi="宋体" w:eastAsia="宋体" w:cs="宋体"/>
          <w:bCs/>
          <w:sz w:val="28"/>
          <w:szCs w:val="28"/>
        </w:rPr>
        <w:t>中国地方政府债券信息公开平台</w:t>
      </w:r>
      <w:r>
        <w:rPr>
          <w:rFonts w:hint="eastAsia" w:ascii="宋体" w:hAnsi="宋体" w:eastAsia="宋体" w:cs="宋体"/>
          <w:bCs/>
          <w:sz w:val="28"/>
          <w:szCs w:val="28"/>
        </w:rPr>
        <w:fldChar w:fldCharType="end"/>
      </w:r>
      <w:r>
        <w:rPr>
          <w:rFonts w:hint="eastAsia" w:ascii="宋体" w:hAnsi="宋体" w:eastAsia="宋体" w:cs="宋体"/>
          <w:bCs/>
          <w:sz w:val="28"/>
          <w:szCs w:val="28"/>
        </w:rPr>
        <w:t>、江西省财政厅官方网站和中国债券信息网-中央结算公司官方网站披露（http：//www.chinabond.com.cn/）详细披露债券发行全套信息披露文件。</w:t>
      </w:r>
    </w:p>
    <w:p w14:paraId="0A08887F">
      <w:pPr>
        <w:spacing w:line="360" w:lineRule="auto"/>
        <w:ind w:left="-141" w:leftChars="-67" w:right="-99" w:rightChars="-47" w:firstLine="439" w:firstLineChars="157"/>
        <w:rPr>
          <w:rFonts w:hint="eastAsia" w:ascii="宋体" w:hAnsi="宋体" w:eastAsia="宋体" w:cs="宋体"/>
          <w:bCs/>
          <w:sz w:val="28"/>
          <w:szCs w:val="28"/>
        </w:rPr>
      </w:pPr>
      <w:r>
        <w:rPr>
          <w:rFonts w:hint="eastAsia" w:ascii="宋体" w:hAnsi="宋体" w:eastAsia="宋体" w:cs="宋体"/>
          <w:bCs/>
          <w:sz w:val="28"/>
          <w:szCs w:val="28"/>
        </w:rPr>
        <w:t>总体而言，金湖管理处雄溪村二期一批安置房（城市棚户区改造）项目通过发行专项债可以降低项目融资成本，是现阶段解决建设资金问题的推荐方案。且基于财政部对地方政府发行项目收益与融资自求平衡专项债券的要求，并根据项目重大建设意义，金湖管理处雄溪村二期一批安置房（城市棚户区改造）项目可以通过申请专项债券的方式进行融资以完成资金筹措。</w:t>
      </w:r>
    </w:p>
    <w:p w14:paraId="45BAFDC6">
      <w:pPr>
        <w:rPr>
          <w:rFonts w:hint="eastAsia" w:ascii="宋体" w:hAnsi="宋体" w:eastAsia="宋体" w:cs="宋体"/>
          <w:bCs/>
          <w:sz w:val="28"/>
          <w:szCs w:val="28"/>
        </w:rPr>
      </w:pPr>
      <w:r>
        <w:rPr>
          <w:rFonts w:hint="eastAsia" w:ascii="宋体" w:hAnsi="宋体" w:eastAsia="宋体" w:cs="宋体"/>
          <w:bCs/>
          <w:sz w:val="28"/>
          <w:szCs w:val="28"/>
        </w:rPr>
        <w:br w:type="page"/>
      </w:r>
    </w:p>
    <w:p w14:paraId="10CE03DA">
      <w:pPr>
        <w:jc w:val="both"/>
        <w:rPr>
          <w:rFonts w:ascii="楷体" w:hAnsi="楷体" w:eastAsia="楷体"/>
          <w:b/>
          <w:sz w:val="44"/>
          <w:szCs w:val="44"/>
        </w:rPr>
      </w:pPr>
    </w:p>
    <w:p w14:paraId="05870855">
      <w:pPr>
        <w:widowControl/>
        <w:spacing w:line="480" w:lineRule="auto"/>
        <w:jc w:val="center"/>
        <w:rPr>
          <w:rFonts w:hint="eastAsia" w:ascii="仿宋" w:hAnsi="仿宋" w:eastAsia="楷体" w:cstheme="minorBidi"/>
          <w:b/>
          <w:spacing w:val="-20"/>
          <w:kern w:val="2"/>
          <w:sz w:val="44"/>
          <w:szCs w:val="44"/>
          <w:lang w:val="en-US" w:eastAsia="zh-CN" w:bidi="ar-SA"/>
        </w:rPr>
      </w:pPr>
    </w:p>
    <w:p w14:paraId="0FEB4396">
      <w:pPr>
        <w:widowControl/>
        <w:spacing w:line="480" w:lineRule="auto"/>
        <w:jc w:val="center"/>
        <w:rPr>
          <w:rFonts w:hint="eastAsia" w:ascii="仿宋" w:hAnsi="仿宋" w:eastAsia="楷体" w:cstheme="minorBidi"/>
          <w:b/>
          <w:spacing w:val="-20"/>
          <w:kern w:val="2"/>
          <w:sz w:val="44"/>
          <w:szCs w:val="44"/>
          <w:lang w:val="en-US" w:eastAsia="zh-CN" w:bidi="ar-SA"/>
        </w:rPr>
      </w:pPr>
      <w:r>
        <w:rPr>
          <w:rFonts w:hint="eastAsia" w:ascii="仿宋" w:hAnsi="仿宋" w:eastAsia="楷体" w:cstheme="minorBidi"/>
          <w:b/>
          <w:spacing w:val="-20"/>
          <w:kern w:val="2"/>
          <w:sz w:val="44"/>
          <w:szCs w:val="44"/>
          <w:lang w:val="en-US" w:eastAsia="zh-CN" w:bidi="ar-SA"/>
        </w:rPr>
        <w:t>冈上镇综合安置房（城市棚户区改造）项目</w:t>
      </w:r>
    </w:p>
    <w:p w14:paraId="43340363">
      <w:pPr>
        <w:widowControl/>
        <w:spacing w:line="480" w:lineRule="auto"/>
        <w:jc w:val="center"/>
        <w:rPr>
          <w:rFonts w:hint="eastAsia" w:ascii="仿宋" w:hAnsi="仿宋" w:eastAsia="楷体" w:cstheme="minorBidi"/>
          <w:b/>
          <w:spacing w:val="-20"/>
          <w:kern w:val="2"/>
          <w:sz w:val="44"/>
          <w:szCs w:val="44"/>
          <w:lang w:val="en-US" w:eastAsia="zh-CN" w:bidi="ar-SA"/>
        </w:rPr>
      </w:pPr>
      <w:r>
        <w:rPr>
          <w:rFonts w:hint="eastAsia" w:ascii="仿宋" w:hAnsi="仿宋" w:eastAsia="楷体" w:cstheme="minorBidi"/>
          <w:b/>
          <w:spacing w:val="-20"/>
          <w:kern w:val="2"/>
          <w:sz w:val="44"/>
          <w:szCs w:val="44"/>
          <w:lang w:val="en-US" w:eastAsia="zh-CN" w:bidi="ar-SA"/>
        </w:rPr>
        <w:t>专项债券实施方案</w:t>
      </w:r>
    </w:p>
    <w:p w14:paraId="09B9E291">
      <w:pPr>
        <w:ind w:left="-141" w:leftChars="-67" w:right="-99" w:rightChars="-47" w:firstLine="439" w:firstLineChars="157"/>
        <w:jc w:val="center"/>
        <w:rPr>
          <w:rFonts w:ascii="宋体" w:hAnsi="宋体" w:eastAsia="宋体"/>
          <w:sz w:val="28"/>
          <w:szCs w:val="28"/>
        </w:rPr>
      </w:pPr>
    </w:p>
    <w:p w14:paraId="6D7C058C">
      <w:pPr>
        <w:ind w:left="-141" w:leftChars="-67" w:right="-99" w:rightChars="-47" w:firstLine="439" w:firstLineChars="157"/>
        <w:rPr>
          <w:rFonts w:ascii="宋体" w:hAnsi="宋体" w:eastAsia="宋体"/>
          <w:sz w:val="28"/>
          <w:szCs w:val="28"/>
          <w:u w:val="single"/>
        </w:rPr>
      </w:pPr>
    </w:p>
    <w:p w14:paraId="0545A868">
      <w:pPr>
        <w:ind w:left="-141" w:leftChars="-67" w:right="-99" w:rightChars="-47" w:firstLine="439" w:firstLineChars="157"/>
        <w:rPr>
          <w:rFonts w:ascii="宋体" w:hAnsi="宋体" w:eastAsia="宋体"/>
          <w:sz w:val="28"/>
          <w:szCs w:val="28"/>
          <w:u w:val="single"/>
        </w:rPr>
      </w:pPr>
    </w:p>
    <w:p w14:paraId="13DAB29C">
      <w:pPr>
        <w:ind w:left="-141" w:leftChars="-67" w:right="-99" w:rightChars="-47" w:firstLine="502" w:firstLineChars="157"/>
        <w:rPr>
          <w:sz w:val="32"/>
          <w:szCs w:val="32"/>
          <w:u w:val="single"/>
        </w:rPr>
      </w:pPr>
    </w:p>
    <w:p w14:paraId="533D4D0E">
      <w:pPr>
        <w:ind w:left="-141" w:leftChars="-67" w:right="-99" w:rightChars="-47" w:firstLine="502" w:firstLineChars="157"/>
        <w:rPr>
          <w:sz w:val="32"/>
          <w:szCs w:val="32"/>
          <w:u w:val="single"/>
        </w:rPr>
      </w:pPr>
    </w:p>
    <w:p w14:paraId="66457E82">
      <w:pPr>
        <w:spacing w:line="360" w:lineRule="auto"/>
        <w:jc w:val="center"/>
        <w:rPr>
          <w:rFonts w:ascii="仿宋" w:hAnsi="仿宋" w:eastAsia="楷体"/>
          <w:b/>
          <w:sz w:val="44"/>
          <w:szCs w:val="44"/>
        </w:rPr>
      </w:pPr>
    </w:p>
    <w:p w14:paraId="508639D0">
      <w:pPr>
        <w:spacing w:line="360" w:lineRule="auto"/>
        <w:jc w:val="center"/>
        <w:rPr>
          <w:rFonts w:ascii="仿宋" w:hAnsi="仿宋" w:eastAsia="楷体"/>
          <w:b/>
          <w:sz w:val="44"/>
          <w:szCs w:val="44"/>
        </w:rPr>
      </w:pPr>
    </w:p>
    <w:p w14:paraId="2F1FF89A">
      <w:pPr>
        <w:spacing w:line="360" w:lineRule="auto"/>
        <w:jc w:val="center"/>
        <w:rPr>
          <w:rFonts w:ascii="仿宋" w:hAnsi="仿宋" w:eastAsia="楷体"/>
          <w:b/>
          <w:sz w:val="44"/>
          <w:szCs w:val="44"/>
        </w:rPr>
      </w:pPr>
    </w:p>
    <w:p w14:paraId="2B46C3FB">
      <w:pPr>
        <w:spacing w:line="360" w:lineRule="auto"/>
        <w:jc w:val="center"/>
        <w:rPr>
          <w:rFonts w:ascii="仿宋" w:hAnsi="仿宋" w:eastAsia="楷体"/>
          <w:b/>
          <w:sz w:val="44"/>
          <w:szCs w:val="44"/>
        </w:rPr>
      </w:pPr>
    </w:p>
    <w:p w14:paraId="2F3F8D9E">
      <w:pPr>
        <w:spacing w:line="360" w:lineRule="auto"/>
        <w:jc w:val="center"/>
        <w:rPr>
          <w:rFonts w:ascii="仿宋" w:hAnsi="仿宋" w:eastAsia="楷体"/>
          <w:b/>
          <w:sz w:val="44"/>
          <w:szCs w:val="44"/>
        </w:rPr>
      </w:pPr>
    </w:p>
    <w:p w14:paraId="4F768D48">
      <w:pPr>
        <w:pStyle w:val="30"/>
      </w:pPr>
    </w:p>
    <w:p w14:paraId="1CFEA7C1">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58CDCB01">
      <w:pPr>
        <w:spacing w:line="360" w:lineRule="auto"/>
        <w:jc w:val="center"/>
        <w:rPr>
          <w:rFonts w:hint="eastAsia"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CN"/>
        </w:rPr>
        <w:t>九</w:t>
      </w:r>
      <w:r>
        <w:rPr>
          <w:rFonts w:hint="eastAsia" w:ascii="仿宋" w:hAnsi="仿宋" w:eastAsia="楷体"/>
          <w:b/>
          <w:sz w:val="44"/>
          <w:szCs w:val="44"/>
        </w:rPr>
        <w:t>月</w:t>
      </w:r>
    </w:p>
    <w:p w14:paraId="21BF29A1">
      <w:pPr>
        <w:ind w:right="-99" w:rightChars="-47"/>
        <w:jc w:val="center"/>
        <w:rPr>
          <w:rFonts w:hint="eastAsia" w:ascii="楷体" w:hAnsi="楷体" w:eastAsia="楷体"/>
          <w:b/>
          <w:sz w:val="44"/>
          <w:szCs w:val="44"/>
        </w:rPr>
        <w:sectPr>
          <w:pgSz w:w="11906" w:h="16838"/>
          <w:pgMar w:top="1440" w:right="1133" w:bottom="1440" w:left="1800" w:header="851" w:footer="992" w:gutter="0"/>
          <w:cols w:space="425" w:num="1"/>
          <w:docGrid w:type="lines" w:linePitch="312" w:charSpace="0"/>
        </w:sectPr>
      </w:pPr>
    </w:p>
    <w:p w14:paraId="49DEA5CE">
      <w:pPr>
        <w:ind w:right="-99" w:rightChars="-47"/>
        <w:jc w:val="center"/>
        <w:rPr>
          <w:rFonts w:ascii="楷体" w:hAnsi="楷体" w:eastAsia="楷体"/>
          <w:b/>
          <w:sz w:val="44"/>
          <w:szCs w:val="44"/>
        </w:rPr>
      </w:pPr>
      <w:r>
        <w:rPr>
          <w:rFonts w:hint="eastAsia" w:ascii="楷体" w:hAnsi="楷体" w:eastAsia="楷体"/>
          <w:b/>
          <w:sz w:val="44"/>
          <w:szCs w:val="44"/>
        </w:rPr>
        <w:t>前言</w:t>
      </w:r>
    </w:p>
    <w:p w14:paraId="00B4651F">
      <w:pPr>
        <w:pStyle w:val="20"/>
        <w:spacing w:before="0" w:beforeAutospacing="0" w:after="300" w:afterAutospacing="0" w:line="240" w:lineRule="auto"/>
        <w:ind w:firstLine="560" w:firstLineChars="200"/>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5DFB0441">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w:t>
      </w:r>
      <w:r>
        <w:rPr>
          <w:rFonts w:hint="eastAsia" w:ascii="楷体" w:hAnsi="楷体" w:eastAsia="楷体" w:cs="楷体"/>
          <w:bCs/>
          <w:sz w:val="28"/>
          <w:szCs w:val="28"/>
          <w:lang w:eastAsia="zh-CN"/>
        </w:rPr>
        <w:t>冈上镇综合安置房（城市棚户区改造）项目</w:t>
      </w:r>
      <w:r>
        <w:rPr>
          <w:rFonts w:hint="eastAsia" w:ascii="楷体" w:hAnsi="楷体" w:eastAsia="楷体" w:cs="楷体"/>
          <w:bCs/>
          <w:sz w:val="28"/>
          <w:szCs w:val="28"/>
        </w:rPr>
        <w:t>拟于本期发行地方政府专项债</w:t>
      </w:r>
      <w:r>
        <w:rPr>
          <w:rFonts w:ascii="楷体" w:hAnsi="楷体" w:eastAsia="楷体" w:cs="楷体"/>
          <w:bCs/>
          <w:sz w:val="28"/>
          <w:szCs w:val="28"/>
        </w:rPr>
        <w:t>融资</w:t>
      </w:r>
      <w:r>
        <w:rPr>
          <w:rFonts w:hint="eastAsia" w:ascii="楷体" w:hAnsi="楷体" w:eastAsia="楷体" w:cs="楷体"/>
          <w:bCs/>
          <w:sz w:val="28"/>
          <w:szCs w:val="28"/>
          <w:lang w:val="en-US" w:eastAsia="zh-CN"/>
        </w:rPr>
        <w:t>1950</w:t>
      </w:r>
      <w:r>
        <w:rPr>
          <w:rFonts w:hint="eastAsia" w:ascii="楷体" w:hAnsi="楷体" w:eastAsia="楷体" w:cs="楷体"/>
          <w:bCs/>
          <w:sz w:val="28"/>
          <w:szCs w:val="28"/>
        </w:rPr>
        <w:t>万</w:t>
      </w:r>
      <w:r>
        <w:rPr>
          <w:rFonts w:ascii="楷体" w:hAnsi="楷体" w:eastAsia="楷体" w:cs="楷体"/>
          <w:bCs/>
          <w:sz w:val="28"/>
          <w:szCs w:val="28"/>
        </w:rPr>
        <w:t>元</w:t>
      </w:r>
      <w:r>
        <w:rPr>
          <w:rFonts w:hint="eastAsia" w:ascii="楷体" w:hAnsi="楷体" w:eastAsia="楷体" w:cs="楷体"/>
          <w:bCs/>
          <w:sz w:val="28"/>
          <w:szCs w:val="28"/>
        </w:rPr>
        <w:t>。</w:t>
      </w:r>
    </w:p>
    <w:p w14:paraId="4FB213BB">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09A12F7E">
      <w:pPr>
        <w:widowControl/>
        <w:spacing w:line="360" w:lineRule="auto"/>
        <w:ind w:left="-141" w:leftChars="-67" w:right="-99" w:rightChars="-47" w:firstLine="439" w:firstLineChars="157"/>
        <w:jc w:val="left"/>
        <w:rPr>
          <w:rFonts w:ascii="宋体" w:hAnsi="宋体" w:eastAsia="宋体"/>
          <w:sz w:val="28"/>
          <w:szCs w:val="28"/>
        </w:rPr>
        <w:sectPr>
          <w:footerReference r:id="rId22" w:type="default"/>
          <w:pgSz w:w="11906" w:h="16838"/>
          <w:pgMar w:top="1440" w:right="1133" w:bottom="1440" w:left="1800" w:header="851" w:footer="992" w:gutter="0"/>
          <w:pgNumType w:fmt="decimal" w:start="1"/>
          <w:cols w:space="425" w:num="1"/>
          <w:docGrid w:type="lines" w:linePitch="312" w:charSpace="0"/>
        </w:sectPr>
      </w:pPr>
    </w:p>
    <w:p w14:paraId="0575F601">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04" w:name="_Toc5986"/>
      <w:r>
        <w:rPr>
          <w:rFonts w:hint="eastAsia" w:ascii="微软雅黑" w:hAnsi="微软雅黑" w:eastAsia="微软雅黑" w:cs="微软雅黑"/>
          <w:b w:val="0"/>
          <w:bCs w:val="0"/>
          <w:color w:val="000000"/>
          <w:sz w:val="32"/>
          <w:szCs w:val="24"/>
          <w:highlight w:val="none"/>
          <w:lang w:val="en-US"/>
        </w:rPr>
        <w:t>一、项目概况</w:t>
      </w:r>
      <w:bookmarkEnd w:id="104"/>
    </w:p>
    <w:p w14:paraId="00E790EF">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05" w:name="_Toc20730"/>
      <w:r>
        <w:rPr>
          <w:rFonts w:hint="eastAsia" w:ascii="微软雅黑" w:hAnsi="微软雅黑" w:eastAsia="微软雅黑" w:cs="微软雅黑"/>
          <w:b w:val="0"/>
          <w:bCs w:val="0"/>
          <w:color w:val="000000"/>
          <w:kern w:val="2"/>
          <w:sz w:val="30"/>
          <w:szCs w:val="30"/>
          <w:highlight w:val="none"/>
          <w:lang w:val="en-US"/>
        </w:rPr>
        <w:t>（一）项目所在地基本情况</w:t>
      </w:r>
      <w:bookmarkEnd w:id="105"/>
    </w:p>
    <w:p w14:paraId="727FC1D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1、所在地情况</w:t>
      </w:r>
    </w:p>
    <w:p w14:paraId="0B7D0BF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66F477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南昌县面积1810.7平方公里；辖7个乡9个镇、1个国家级开发区和银三角管委会；2017年，户籍总人口1039778人，全县地区生产总值（GDP）782亿，按可比价格计算，比2016年增长9.2%。</w:t>
      </w:r>
    </w:p>
    <w:p w14:paraId="6FEA8C4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638607D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7A448B44">
      <w:pPr>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2、财政收支情况</w:t>
      </w:r>
    </w:p>
    <w:p w14:paraId="16FF1136">
      <w:pPr>
        <w:pageBreakBefore w:val="0"/>
        <w:widowControl w:val="0"/>
        <w:kinsoku/>
        <w:wordWrap/>
        <w:overflowPunct/>
        <w:topLinePunct w:val="0"/>
        <w:autoSpaceDE/>
        <w:autoSpaceDN/>
        <w:bidi w:val="0"/>
        <w:adjustRightInd/>
        <w:snapToGrid/>
        <w:spacing w:line="520" w:lineRule="exact"/>
        <w:ind w:firstLine="560" w:firstLineChars="200"/>
        <w:jc w:val="center"/>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南昌县财政支出情况</w:t>
      </w:r>
    </w:p>
    <w:p w14:paraId="6C5BEF6E">
      <w:pPr>
        <w:pageBreakBefore w:val="0"/>
        <w:widowControl w:val="0"/>
        <w:kinsoku/>
        <w:wordWrap/>
        <w:overflowPunct/>
        <w:topLinePunct w:val="0"/>
        <w:autoSpaceDE/>
        <w:autoSpaceDN/>
        <w:bidi w:val="0"/>
        <w:adjustRightInd/>
        <w:snapToGrid/>
        <w:spacing w:line="520" w:lineRule="exact"/>
        <w:ind w:firstLine="560" w:firstLineChars="200"/>
        <w:jc w:val="right"/>
        <w:textAlignment w:val="auto"/>
        <w:rPr>
          <w:rFonts w:hint="eastAsia" w:ascii="Times New Roman" w:hAnsi="Times New Roman" w:eastAsia="仿宋_GB2312" w:cs="Times New Roman"/>
          <w:color w:val="000000"/>
          <w:sz w:val="28"/>
          <w:szCs w:val="28"/>
          <w:highlight w:val="none"/>
          <w:lang w:eastAsia="zh-CN"/>
        </w:rPr>
      </w:pPr>
      <w:r>
        <w:rPr>
          <w:rFonts w:hint="eastAsia" w:ascii="Times New Roman" w:hAnsi="Times New Roman" w:eastAsia="仿宋_GB2312" w:cs="Times New Roman"/>
          <w:color w:val="000000"/>
          <w:sz w:val="28"/>
          <w:szCs w:val="28"/>
          <w:highlight w:val="none"/>
          <w:lang w:eastAsia="zh-CN"/>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1337B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7470B6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754BFE3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55987BA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24A1A6C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7A7FF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973F0C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6D571C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28D506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5DC242D6">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33F67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02DD79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74C5A40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3D011B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17019184">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38435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7977234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879E71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775A8E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3BCE6E4A">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25A108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078C2F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7727F03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1D8A7E1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4E670D1A">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4E8462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1697E2D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9039D4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B7FEBD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072D9F1B">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342421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6DAAC81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39E5F18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1EE9A69D">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238E5AE0">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15F94A9E">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06" w:name="_Toc19486"/>
      <w:r>
        <w:rPr>
          <w:rFonts w:hint="eastAsia" w:ascii="微软雅黑" w:hAnsi="微软雅黑" w:eastAsia="微软雅黑" w:cs="微软雅黑"/>
          <w:b w:val="0"/>
          <w:bCs w:val="0"/>
          <w:color w:val="000000"/>
          <w:kern w:val="2"/>
          <w:sz w:val="30"/>
          <w:szCs w:val="30"/>
          <w:highlight w:val="none"/>
          <w:lang w:val="en-US"/>
        </w:rPr>
        <w:t>（二）项目实施背景</w:t>
      </w:r>
      <w:bookmarkEnd w:id="106"/>
    </w:p>
    <w:p w14:paraId="174E046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094E8F7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4D200E7C">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07" w:name="_Toc14233"/>
      <w:r>
        <w:rPr>
          <w:rFonts w:hint="eastAsia" w:ascii="微软雅黑" w:hAnsi="微软雅黑" w:eastAsia="微软雅黑" w:cs="微软雅黑"/>
          <w:b w:val="0"/>
          <w:bCs w:val="0"/>
          <w:color w:val="000000"/>
          <w:kern w:val="2"/>
          <w:sz w:val="30"/>
          <w:szCs w:val="30"/>
          <w:highlight w:val="none"/>
          <w:lang w:val="en-US"/>
        </w:rPr>
        <w:t>（三）项目基本情况</w:t>
      </w:r>
      <w:bookmarkEnd w:id="107"/>
    </w:p>
    <w:p w14:paraId="02F02C9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项目名称：冈上镇综合安置房（城市棚户区改造）项目</w:t>
      </w:r>
    </w:p>
    <w:p w14:paraId="63A6918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建设单位：南昌县城市建设投资发展有限公司</w:t>
      </w:r>
    </w:p>
    <w:p w14:paraId="6242F3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建设内容：总项目总用地面积约35874.82㎡其中幼儿园用地面积约3042.49㎡。项目总建筑面积约85155.31㎡，其中:计容建筑面积约65432.53㎡，包括住宅建筑面积58301.54㎡，商业建筑面积1646.91㎡，净菜市场671.72㎡，村民活动用房1315.38㎡，卫生所140.74㎡，物业用房140.74㎡，养老用房247.12㎡，社区用房385.23㎡，6班幼儿园2299.37㎡，公共卫生间61.05㎡，开闭所41.60㎡，垃圾站123.23㎡，门卫14.08㎡，消防控制室43.82㎡，不计容建筑面积19722.78㎡，其中地下车库19288.36㎡，地上住宅设备平台383.22㎡，地上公建架空通道51.20㎡。容积率1.82，建筑密度23.63%，绿地率30.01%，总户数548户，机动车停车位608辆，非机动车位380辆。项目采用装配式技术，整体装配率不低于40%。</w:t>
      </w:r>
    </w:p>
    <w:p w14:paraId="4EBBFA9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仿宋_GB2312" w:cs="Times New Roman"/>
          <w:b/>
          <w:bCs/>
          <w:color w:val="000000"/>
          <w:sz w:val="28"/>
          <w:szCs w:val="28"/>
          <w:highlight w:val="none"/>
          <w:lang w:eastAsia="zh-CN"/>
        </w:rPr>
      </w:pPr>
      <w:r>
        <w:rPr>
          <w:rFonts w:hint="eastAsia" w:ascii="Times New Roman" w:hAnsi="Times New Roman" w:eastAsia="仿宋_GB2312" w:cs="Times New Roman"/>
          <w:b/>
          <w:bCs/>
          <w:color w:val="000000"/>
          <w:sz w:val="28"/>
          <w:szCs w:val="28"/>
          <w:highlight w:val="none"/>
          <w:lang w:eastAsia="zh-CN"/>
        </w:rPr>
        <w:t>项目总投资额</w:t>
      </w:r>
    </w:p>
    <w:p w14:paraId="6F22DE8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color w:val="000000"/>
          <w:sz w:val="28"/>
          <w:szCs w:val="28"/>
          <w:highlight w:val="none"/>
          <w:lang w:eastAsia="zh-CN"/>
        </w:rPr>
      </w:pPr>
      <w:r>
        <w:rPr>
          <w:rFonts w:hint="eastAsia" w:asciiTheme="minorEastAsia" w:hAnsiTheme="minorEastAsia" w:eastAsiaTheme="minorEastAsia" w:cstheme="minorEastAsia"/>
          <w:color w:val="000000"/>
          <w:sz w:val="28"/>
          <w:szCs w:val="28"/>
          <w:highlight w:val="none"/>
          <w:lang w:eastAsia="zh-CN"/>
        </w:rPr>
        <w:t>2024年江西省南昌市冈上镇综合安置房（城市棚户区改造）项目为新建项目，根据南昌县行政审批局《关于冈上镇综合安置房（城市棚户区改造）项目可行性研究报告的批复》（南行审投资投字【2022】56号）批复总投资额29,306.03万元。主要包括工程费用、工程建设其他费用及基本预备费等。因预计支付的债券利息与可行性研究报告的建设期利息存在差异，我们按照预计建设期利息及债券发行费用估算总投资额，详细见下表：</w:t>
      </w:r>
    </w:p>
    <w:p w14:paraId="1CE78E30">
      <w:pPr>
        <w:pStyle w:val="20"/>
        <w:keepNext/>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jc w:val="center"/>
        <w:tblLayout w:type="autofit"/>
        <w:tblCellMar>
          <w:top w:w="0" w:type="dxa"/>
          <w:left w:w="108" w:type="dxa"/>
          <w:bottom w:w="0" w:type="dxa"/>
          <w:right w:w="108" w:type="dxa"/>
        </w:tblCellMar>
      </w:tblPr>
      <w:tblGrid>
        <w:gridCol w:w="1299"/>
        <w:gridCol w:w="1972"/>
        <w:gridCol w:w="2646"/>
        <w:gridCol w:w="2803"/>
      </w:tblGrid>
      <w:tr w14:paraId="5D42BF7A">
        <w:trPr>
          <w:trHeight w:val="285" w:hRule="atLeast"/>
          <w:jc w:val="center"/>
        </w:trPr>
        <w:tc>
          <w:tcPr>
            <w:tcW w:w="745" w:type="pct"/>
            <w:tcBorders>
              <w:top w:val="single" w:color="auto" w:sz="8" w:space="0"/>
              <w:left w:val="single" w:color="auto" w:sz="8" w:space="0"/>
              <w:bottom w:val="single" w:color="auto" w:sz="8" w:space="0"/>
              <w:right w:val="single" w:color="auto" w:sz="8" w:space="0"/>
            </w:tcBorders>
            <w:shd w:val="clear" w:color="auto" w:fill="auto"/>
            <w:noWrap/>
            <w:vAlign w:val="center"/>
          </w:tcPr>
          <w:p w14:paraId="20D3245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131" w:type="pct"/>
            <w:tcBorders>
              <w:top w:val="single" w:color="auto" w:sz="8" w:space="0"/>
              <w:left w:val="nil"/>
              <w:bottom w:val="single" w:color="auto" w:sz="8" w:space="0"/>
              <w:right w:val="single" w:color="auto" w:sz="8" w:space="0"/>
            </w:tcBorders>
            <w:shd w:val="clear" w:color="auto" w:fill="auto"/>
            <w:noWrap/>
            <w:vAlign w:val="center"/>
          </w:tcPr>
          <w:p w14:paraId="0DCD944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1517" w:type="pct"/>
            <w:tcBorders>
              <w:top w:val="single" w:color="auto" w:sz="8" w:space="0"/>
              <w:left w:val="nil"/>
              <w:bottom w:val="single" w:color="auto" w:sz="8" w:space="0"/>
              <w:right w:val="single" w:color="auto" w:sz="8" w:space="0"/>
            </w:tcBorders>
            <w:shd w:val="clear" w:color="auto" w:fill="auto"/>
            <w:noWrap/>
            <w:vAlign w:val="center"/>
          </w:tcPr>
          <w:p w14:paraId="0798045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1607" w:type="pct"/>
            <w:tcBorders>
              <w:top w:val="single" w:color="auto" w:sz="8" w:space="0"/>
              <w:left w:val="nil"/>
              <w:bottom w:val="single" w:color="auto" w:sz="8" w:space="0"/>
              <w:right w:val="single" w:color="auto" w:sz="8" w:space="0"/>
            </w:tcBorders>
            <w:shd w:val="clear" w:color="auto" w:fill="auto"/>
            <w:noWrap/>
            <w:vAlign w:val="center"/>
          </w:tcPr>
          <w:p w14:paraId="48EBF83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0AC1FCA5">
        <w:trPr>
          <w:trHeight w:val="750" w:hRule="atLeast"/>
          <w:jc w:val="center"/>
        </w:trPr>
        <w:tc>
          <w:tcPr>
            <w:tcW w:w="745" w:type="pct"/>
            <w:tcBorders>
              <w:top w:val="nil"/>
              <w:left w:val="single" w:color="auto" w:sz="8" w:space="0"/>
              <w:bottom w:val="single" w:color="auto" w:sz="8" w:space="0"/>
              <w:right w:val="single" w:color="auto" w:sz="8" w:space="0"/>
            </w:tcBorders>
            <w:shd w:val="clear" w:color="auto" w:fill="auto"/>
            <w:noWrap/>
            <w:vAlign w:val="center"/>
          </w:tcPr>
          <w:p w14:paraId="5084DE4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131" w:type="pct"/>
            <w:tcBorders>
              <w:top w:val="nil"/>
              <w:left w:val="nil"/>
              <w:bottom w:val="single" w:color="auto" w:sz="8" w:space="0"/>
              <w:right w:val="single" w:color="auto" w:sz="8" w:space="0"/>
            </w:tcBorders>
            <w:shd w:val="clear" w:color="auto" w:fill="auto"/>
            <w:vAlign w:val="center"/>
          </w:tcPr>
          <w:p w14:paraId="2A3432E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南昌县城市建设投资发展有限公司</w:t>
            </w:r>
          </w:p>
        </w:tc>
        <w:tc>
          <w:tcPr>
            <w:tcW w:w="1517" w:type="pct"/>
            <w:tcBorders>
              <w:top w:val="nil"/>
              <w:left w:val="nil"/>
              <w:bottom w:val="single" w:color="auto" w:sz="8" w:space="0"/>
              <w:right w:val="single" w:color="auto" w:sz="8" w:space="0"/>
            </w:tcBorders>
            <w:shd w:val="clear" w:color="auto" w:fill="auto"/>
            <w:vAlign w:val="center"/>
          </w:tcPr>
          <w:p w14:paraId="43B6EE8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冈上镇综合安置房（城市棚户区改造）项目</w:t>
            </w:r>
          </w:p>
        </w:tc>
        <w:tc>
          <w:tcPr>
            <w:tcW w:w="1607" w:type="pct"/>
            <w:tcBorders>
              <w:top w:val="nil"/>
              <w:left w:val="nil"/>
              <w:bottom w:val="single" w:color="auto" w:sz="8" w:space="0"/>
              <w:right w:val="single" w:color="auto" w:sz="8" w:space="0"/>
            </w:tcBorders>
            <w:shd w:val="clear" w:color="auto" w:fill="auto"/>
            <w:noWrap/>
            <w:vAlign w:val="center"/>
          </w:tcPr>
          <w:p w14:paraId="43D70729">
            <w:pPr>
              <w:jc w:val="center"/>
              <w:rPr>
                <w:rFonts w:ascii="宋体" w:hAnsi="宋体" w:cs="宋体"/>
                <w:color w:val="000000"/>
                <w:kern w:val="0"/>
                <w:sz w:val="18"/>
                <w:szCs w:val="18"/>
              </w:rPr>
            </w:pPr>
            <w:r>
              <w:rPr>
                <w:rFonts w:ascii="宋体" w:hAnsi="宋体" w:cs="宋体"/>
                <w:color w:val="000000"/>
                <w:kern w:val="0"/>
                <w:sz w:val="18"/>
                <w:szCs w:val="18"/>
              </w:rPr>
              <w:t>29,306.03</w:t>
            </w:r>
          </w:p>
        </w:tc>
      </w:tr>
    </w:tbl>
    <w:p w14:paraId="2FE8A17F">
      <w:pPr>
        <w:pStyle w:val="20"/>
        <w:spacing w:before="0" w:beforeAutospacing="0" w:after="156" w:afterLines="50" w:afterAutospacing="0" w:line="360" w:lineRule="auto"/>
        <w:ind w:firstLine="560" w:firstLineChars="200"/>
        <w:jc w:val="both"/>
        <w:rPr>
          <w:rFonts w:ascii="Calibri" w:hAnsi="Calibri"/>
          <w:color w:val="000000" w:themeColor="text1"/>
          <w:kern w:val="2"/>
          <w:sz w:val="24"/>
          <w:szCs w:val="24"/>
          <w14:textFill>
            <w14:solidFill>
              <w14:schemeClr w14:val="tx1"/>
            </w14:solidFill>
          </w14:textFill>
        </w:rPr>
      </w:pPr>
      <w:r>
        <w:rPr>
          <w:rFonts w:hint="eastAsia" w:asciiTheme="minorEastAsia" w:hAnsiTheme="minorEastAsia" w:eastAsiaTheme="minorEastAsia" w:cstheme="minorEastAsia"/>
          <w:color w:val="000000"/>
          <w:kern w:val="2"/>
          <w:sz w:val="28"/>
          <w:szCs w:val="28"/>
          <w:highlight w:val="none"/>
          <w:lang w:val="en-US" w:eastAsia="zh-CN" w:bidi="ar-SA"/>
        </w:rPr>
        <w:t>为了保障以上建设项目合理的融资需求，更好地发挥专项债券对南昌市冈上镇综合安置房（城市棚户区改造）项目支持作用，本次项目计划通过自筹资金及发行项目收益与融资自求平衡专项债券的方式完成项目建设。南昌县城市建设投资发展有限公司申请地方政府专项债券的明细情况见下表：</w:t>
      </w:r>
    </w:p>
    <w:tbl>
      <w:tblPr>
        <w:tblStyle w:val="24"/>
        <w:tblW w:w="4998" w:type="pct"/>
        <w:jc w:val="center"/>
        <w:tblLayout w:type="autofit"/>
        <w:tblCellMar>
          <w:top w:w="0" w:type="dxa"/>
          <w:left w:w="108" w:type="dxa"/>
          <w:bottom w:w="0" w:type="dxa"/>
          <w:right w:w="108" w:type="dxa"/>
        </w:tblCellMar>
      </w:tblPr>
      <w:tblGrid>
        <w:gridCol w:w="577"/>
        <w:gridCol w:w="1120"/>
        <w:gridCol w:w="935"/>
        <w:gridCol w:w="1025"/>
        <w:gridCol w:w="1456"/>
        <w:gridCol w:w="1029"/>
        <w:gridCol w:w="1224"/>
        <w:gridCol w:w="1351"/>
      </w:tblGrid>
      <w:tr w14:paraId="383A4279">
        <w:trPr>
          <w:trHeight w:val="300" w:hRule="atLeast"/>
          <w:jc w:val="center"/>
        </w:trPr>
        <w:tc>
          <w:tcPr>
            <w:tcW w:w="331" w:type="pct"/>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1D0F316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42" w:type="pct"/>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5F8306D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536" w:type="pct"/>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0F583E4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489" w:type="pct"/>
            <w:gridSpan w:val="5"/>
            <w:tcBorders>
              <w:top w:val="single" w:color="auto" w:sz="8" w:space="0"/>
              <w:left w:val="single" w:color="auto" w:sz="8" w:space="0"/>
              <w:bottom w:val="single" w:color="auto" w:sz="8" w:space="0"/>
              <w:right w:val="single" w:color="auto" w:sz="8" w:space="0"/>
            </w:tcBorders>
            <w:vAlign w:val="center"/>
          </w:tcPr>
          <w:p w14:paraId="2E380ECA">
            <w:pPr>
              <w:widowControl/>
              <w:spacing w:after="0" w:line="240" w:lineRule="auto"/>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503EF02">
        <w:trPr>
          <w:trHeight w:val="290" w:hRule="atLeast"/>
          <w:jc w:val="center"/>
        </w:trPr>
        <w:tc>
          <w:tcPr>
            <w:tcW w:w="331" w:type="pct"/>
            <w:vMerge w:val="continue"/>
            <w:tcBorders>
              <w:top w:val="single" w:color="auto" w:sz="8" w:space="0"/>
              <w:left w:val="single" w:color="auto" w:sz="8" w:space="0"/>
              <w:bottom w:val="single" w:color="000000" w:sz="8" w:space="0"/>
              <w:right w:val="single" w:color="auto" w:sz="8" w:space="0"/>
            </w:tcBorders>
            <w:vAlign w:val="center"/>
          </w:tcPr>
          <w:p w14:paraId="3749A465">
            <w:pPr>
              <w:widowControl/>
              <w:spacing w:after="0" w:line="240" w:lineRule="auto"/>
              <w:jc w:val="left"/>
              <w:rPr>
                <w:rFonts w:ascii="宋体" w:hAnsi="宋体" w:cs="宋体"/>
                <w:b/>
                <w:bCs/>
                <w:color w:val="000000"/>
                <w:kern w:val="0"/>
                <w:sz w:val="18"/>
                <w:szCs w:val="18"/>
              </w:rPr>
            </w:pPr>
          </w:p>
        </w:tc>
        <w:tc>
          <w:tcPr>
            <w:tcW w:w="642" w:type="pct"/>
            <w:vMerge w:val="continue"/>
            <w:tcBorders>
              <w:top w:val="single" w:color="auto" w:sz="8" w:space="0"/>
              <w:left w:val="single" w:color="auto" w:sz="8" w:space="0"/>
              <w:bottom w:val="single" w:color="000000" w:sz="8" w:space="0"/>
              <w:right w:val="single" w:color="auto" w:sz="8" w:space="0"/>
            </w:tcBorders>
            <w:vAlign w:val="center"/>
          </w:tcPr>
          <w:p w14:paraId="1639AAC5">
            <w:pPr>
              <w:widowControl/>
              <w:spacing w:after="0" w:line="240" w:lineRule="auto"/>
              <w:jc w:val="left"/>
              <w:rPr>
                <w:rFonts w:ascii="宋体" w:hAnsi="宋体" w:cs="宋体"/>
                <w:b/>
                <w:bCs/>
                <w:color w:val="000000"/>
                <w:kern w:val="0"/>
                <w:sz w:val="18"/>
                <w:szCs w:val="18"/>
              </w:rPr>
            </w:pPr>
          </w:p>
        </w:tc>
        <w:tc>
          <w:tcPr>
            <w:tcW w:w="536" w:type="pct"/>
            <w:vMerge w:val="continue"/>
            <w:tcBorders>
              <w:top w:val="single" w:color="auto" w:sz="8" w:space="0"/>
              <w:left w:val="single" w:color="auto" w:sz="8" w:space="0"/>
              <w:bottom w:val="single" w:color="auto" w:sz="8" w:space="0"/>
              <w:right w:val="single" w:color="auto" w:sz="8" w:space="0"/>
            </w:tcBorders>
            <w:vAlign w:val="center"/>
          </w:tcPr>
          <w:p w14:paraId="3D5CA9A8">
            <w:pPr>
              <w:widowControl/>
              <w:spacing w:after="0" w:line="240" w:lineRule="auto"/>
              <w:jc w:val="left"/>
              <w:rPr>
                <w:rFonts w:ascii="宋体" w:hAnsi="宋体" w:cs="宋体"/>
                <w:b/>
                <w:bCs/>
                <w:color w:val="000000"/>
                <w:kern w:val="0"/>
                <w:sz w:val="18"/>
                <w:szCs w:val="18"/>
              </w:rPr>
            </w:pPr>
          </w:p>
        </w:tc>
        <w:tc>
          <w:tcPr>
            <w:tcW w:w="588" w:type="pct"/>
            <w:tcBorders>
              <w:top w:val="single" w:color="auto" w:sz="8" w:space="0"/>
              <w:left w:val="single" w:color="auto" w:sz="8" w:space="0"/>
              <w:bottom w:val="single" w:color="auto" w:sz="8" w:space="0"/>
              <w:right w:val="single" w:color="auto" w:sz="8" w:space="0"/>
            </w:tcBorders>
            <w:shd w:val="clear" w:color="auto" w:fill="auto"/>
            <w:vAlign w:val="center"/>
          </w:tcPr>
          <w:p w14:paraId="20E6B90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835" w:type="pct"/>
            <w:tcBorders>
              <w:top w:val="single" w:color="auto" w:sz="8" w:space="0"/>
              <w:left w:val="single" w:color="auto" w:sz="8" w:space="0"/>
              <w:bottom w:val="single" w:color="auto" w:sz="8" w:space="0"/>
              <w:right w:val="single" w:color="auto" w:sz="8" w:space="0"/>
            </w:tcBorders>
            <w:vAlign w:val="center"/>
          </w:tcPr>
          <w:p w14:paraId="676103D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年已发行</w:t>
            </w:r>
          </w:p>
        </w:tc>
        <w:tc>
          <w:tcPr>
            <w:tcW w:w="590" w:type="pct"/>
            <w:tcBorders>
              <w:top w:val="single" w:color="auto" w:sz="8" w:space="0"/>
              <w:left w:val="single" w:color="auto" w:sz="8" w:space="0"/>
              <w:bottom w:val="single" w:color="auto" w:sz="8" w:space="0"/>
              <w:right w:val="single" w:color="auto" w:sz="8" w:space="0"/>
            </w:tcBorders>
            <w:vAlign w:val="center"/>
          </w:tcPr>
          <w:p w14:paraId="0333D73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年调整发行</w:t>
            </w:r>
          </w:p>
        </w:tc>
        <w:tc>
          <w:tcPr>
            <w:tcW w:w="702" w:type="pct"/>
            <w:tcBorders>
              <w:top w:val="single" w:color="auto" w:sz="8" w:space="0"/>
              <w:left w:val="single" w:color="auto" w:sz="8" w:space="0"/>
              <w:bottom w:val="single" w:color="auto" w:sz="8" w:space="0"/>
              <w:right w:val="single" w:color="auto" w:sz="8" w:space="0"/>
            </w:tcBorders>
            <w:vAlign w:val="center"/>
          </w:tcPr>
          <w:p w14:paraId="2617C61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w:t>
            </w:r>
            <w:r>
              <w:rPr>
                <w:rFonts w:hint="eastAsia" w:ascii="宋体" w:hAnsi="宋体" w:cs="宋体"/>
                <w:b/>
                <w:bCs/>
                <w:color w:val="000000"/>
                <w:kern w:val="0"/>
                <w:sz w:val="18"/>
                <w:szCs w:val="18"/>
                <w:lang w:val="en-US" w:eastAsia="zh-CN"/>
              </w:rPr>
              <w:t>本期</w:t>
            </w:r>
            <w:r>
              <w:rPr>
                <w:rFonts w:hint="eastAsia" w:ascii="宋体" w:hAnsi="宋体" w:cs="宋体"/>
                <w:b/>
                <w:bCs/>
                <w:color w:val="000000"/>
                <w:kern w:val="0"/>
                <w:sz w:val="18"/>
                <w:szCs w:val="18"/>
              </w:rPr>
              <w:t>发行</w:t>
            </w:r>
          </w:p>
        </w:tc>
        <w:tc>
          <w:tcPr>
            <w:tcW w:w="771" w:type="pct"/>
            <w:tcBorders>
              <w:top w:val="single" w:color="auto" w:sz="8" w:space="0"/>
              <w:left w:val="single" w:color="auto" w:sz="8" w:space="0"/>
              <w:bottom w:val="single" w:color="auto" w:sz="8" w:space="0"/>
              <w:right w:val="single" w:color="auto" w:sz="8" w:space="0"/>
            </w:tcBorders>
            <w:vAlign w:val="center"/>
          </w:tcPr>
          <w:p w14:paraId="3C6BF776">
            <w:pPr>
              <w:widowControl/>
              <w:spacing w:after="0" w:line="240" w:lineRule="auto"/>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2025年发行</w:t>
            </w:r>
          </w:p>
        </w:tc>
      </w:tr>
      <w:tr w14:paraId="3D790870">
        <w:trPr>
          <w:trHeight w:val="290" w:hRule="atLeast"/>
          <w:jc w:val="center"/>
        </w:trPr>
        <w:tc>
          <w:tcPr>
            <w:tcW w:w="331" w:type="pct"/>
            <w:tcBorders>
              <w:top w:val="nil"/>
              <w:left w:val="single" w:color="auto" w:sz="8" w:space="0"/>
              <w:bottom w:val="single" w:color="auto" w:sz="8" w:space="0"/>
              <w:right w:val="single" w:color="auto" w:sz="8" w:space="0"/>
            </w:tcBorders>
            <w:shd w:val="clear" w:color="auto" w:fill="auto"/>
            <w:noWrap/>
            <w:vAlign w:val="center"/>
          </w:tcPr>
          <w:p w14:paraId="7B66343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42" w:type="pct"/>
            <w:tcBorders>
              <w:top w:val="nil"/>
              <w:left w:val="nil"/>
              <w:bottom w:val="single" w:color="auto" w:sz="8" w:space="0"/>
              <w:right w:val="single" w:color="auto" w:sz="8" w:space="0"/>
            </w:tcBorders>
            <w:shd w:val="clear" w:color="auto" w:fill="auto"/>
            <w:noWrap/>
            <w:vAlign w:val="center"/>
          </w:tcPr>
          <w:p w14:paraId="189E0788">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29,306.03</w:t>
            </w:r>
          </w:p>
        </w:tc>
        <w:tc>
          <w:tcPr>
            <w:tcW w:w="536" w:type="pct"/>
            <w:tcBorders>
              <w:top w:val="nil"/>
              <w:left w:val="nil"/>
              <w:bottom w:val="single" w:color="auto" w:sz="8" w:space="0"/>
              <w:right w:val="single" w:color="auto" w:sz="8" w:space="0"/>
            </w:tcBorders>
            <w:shd w:val="clear" w:color="auto" w:fill="auto"/>
            <w:noWrap/>
            <w:vAlign w:val="center"/>
          </w:tcPr>
          <w:p w14:paraId="2D4CF79F">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6,306.03</w:t>
            </w:r>
          </w:p>
        </w:tc>
        <w:tc>
          <w:tcPr>
            <w:tcW w:w="588" w:type="pct"/>
            <w:tcBorders>
              <w:top w:val="single" w:color="auto" w:sz="8" w:space="0"/>
              <w:left w:val="nil"/>
              <w:bottom w:val="single" w:color="auto" w:sz="8" w:space="0"/>
              <w:right w:val="single" w:color="auto" w:sz="8" w:space="0"/>
            </w:tcBorders>
            <w:shd w:val="clear" w:color="auto" w:fill="auto"/>
            <w:vAlign w:val="center"/>
          </w:tcPr>
          <w:p w14:paraId="181D35CC">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23,000.00</w:t>
            </w:r>
          </w:p>
        </w:tc>
        <w:tc>
          <w:tcPr>
            <w:tcW w:w="835" w:type="pct"/>
            <w:tcBorders>
              <w:top w:val="single" w:color="auto" w:sz="8" w:space="0"/>
              <w:left w:val="single" w:color="auto" w:sz="8" w:space="0"/>
              <w:bottom w:val="single" w:color="auto" w:sz="8" w:space="0"/>
              <w:right w:val="single" w:color="auto" w:sz="8" w:space="0"/>
            </w:tcBorders>
            <w:vAlign w:val="center"/>
          </w:tcPr>
          <w:p w14:paraId="3A70A9E6">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6,110.00</w:t>
            </w:r>
          </w:p>
        </w:tc>
        <w:tc>
          <w:tcPr>
            <w:tcW w:w="590" w:type="pct"/>
            <w:tcBorders>
              <w:top w:val="single" w:color="auto" w:sz="8" w:space="0"/>
              <w:left w:val="single" w:color="auto" w:sz="8" w:space="0"/>
              <w:bottom w:val="single" w:color="auto" w:sz="8" w:space="0"/>
              <w:right w:val="single" w:color="auto" w:sz="8" w:space="0"/>
            </w:tcBorders>
            <w:vAlign w:val="center"/>
          </w:tcPr>
          <w:p w14:paraId="7352F5AC">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4,450.00</w:t>
            </w:r>
          </w:p>
        </w:tc>
        <w:tc>
          <w:tcPr>
            <w:tcW w:w="702" w:type="pct"/>
            <w:tcBorders>
              <w:top w:val="single" w:color="auto" w:sz="8" w:space="0"/>
              <w:left w:val="single" w:color="auto" w:sz="8" w:space="0"/>
              <w:bottom w:val="single" w:color="auto" w:sz="8" w:space="0"/>
              <w:right w:val="single" w:color="auto" w:sz="8" w:space="0"/>
            </w:tcBorders>
            <w:vAlign w:val="center"/>
          </w:tcPr>
          <w:p w14:paraId="6C346982">
            <w:pPr>
              <w:widowControl/>
              <w:spacing w:after="0" w:line="240" w:lineRule="auto"/>
              <w:jc w:val="right"/>
              <w:rPr>
                <w:rFonts w:ascii="宋体" w:hAnsi="宋体" w:cs="宋体"/>
                <w:color w:val="000000"/>
                <w:kern w:val="0"/>
                <w:sz w:val="18"/>
                <w:szCs w:val="18"/>
              </w:rPr>
            </w:pPr>
            <w:r>
              <w:rPr>
                <w:rFonts w:hint="eastAsia" w:ascii="宋体" w:hAnsi="宋体" w:cs="宋体"/>
                <w:color w:val="000000"/>
                <w:kern w:val="0"/>
                <w:sz w:val="18"/>
                <w:szCs w:val="18"/>
                <w:lang w:val="en-US" w:eastAsia="zh-CN"/>
              </w:rPr>
              <w:t>1,950.00</w:t>
            </w:r>
            <w:r>
              <w:rPr>
                <w:rFonts w:ascii="宋体" w:hAnsi="宋体" w:cs="宋体"/>
                <w:color w:val="000000"/>
                <w:kern w:val="0"/>
                <w:sz w:val="18"/>
                <w:szCs w:val="18"/>
              </w:rPr>
              <w:t xml:space="preserve">  </w:t>
            </w:r>
          </w:p>
        </w:tc>
        <w:tc>
          <w:tcPr>
            <w:tcW w:w="771" w:type="pct"/>
            <w:tcBorders>
              <w:top w:val="single" w:color="auto" w:sz="8" w:space="0"/>
              <w:left w:val="single" w:color="auto" w:sz="8" w:space="0"/>
              <w:bottom w:val="single" w:color="auto" w:sz="8" w:space="0"/>
              <w:right w:val="single" w:color="auto" w:sz="8" w:space="0"/>
            </w:tcBorders>
            <w:vAlign w:val="center"/>
          </w:tcPr>
          <w:p w14:paraId="5AD583E0">
            <w:pPr>
              <w:widowControl/>
              <w:spacing w:after="0" w:line="240" w:lineRule="auto"/>
              <w:jc w:val="righ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 xml:space="preserve"> 10,490.00 </w:t>
            </w:r>
          </w:p>
        </w:tc>
      </w:tr>
    </w:tbl>
    <w:p w14:paraId="3AE838B2">
      <w:pPr>
        <w:pStyle w:val="20"/>
        <w:spacing w:before="0" w:beforeAutospacing="0" w:after="156" w:afterLines="50" w:afterAutospacing="0" w:line="360" w:lineRule="auto"/>
        <w:ind w:firstLine="560" w:firstLineChars="200"/>
        <w:jc w:val="both"/>
        <w:rPr>
          <w:rFonts w:hint="default"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按照发行方案及筹资计划，本次拟发行项目的总投资为29,306.03万元，通过自筹资金、申请专项债券，其一，自筹资金6,306.03万元，其二，拟发行专项债券23,000.00万元，其中4,450.00万元由2022年江西省高质量发展补短板专项债券（十二期）——2022年江西省政府专项债券（二十期）调整至本项目，2023年已发行6,110.00万元，2023年本期发行1,950.00，发行期限为7年。2025年发行 10,490.00万元，期限7年。</w:t>
      </w:r>
    </w:p>
    <w:p w14:paraId="28A963A6">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根据《南昌市冈上镇综合安置房（城市棚户区改造）项目可行性研究报告》（以下简称“可研报告”），南昌市冈上镇综合安置房（城市棚户区改造）项目建设内容为：总项目总用地面积约35874.82㎡其中幼儿园用地面积约3042.49㎡。项目总建筑面积约85155.31㎡，其中:计容建筑面积约65432.53㎡，包括住宅建筑面积58301.54㎡，商业建筑面积1646.91㎡，净菜市场671.72㎡，村民活动用房1315.38㎡，卫生所140.74㎡，物业用房140.74㎡，养老用房247.12㎡，社区用房385.23㎡，6班幼儿园2299.37㎡，公共卫生间61.05㎡，开闭所41.60㎡，垃圾站123.23㎡，门卫14.08㎡，消防控制室43.82㎡，不计容建筑面积19722.78㎡，其中地下车库19288.36㎡，地上住宅设备平台383.22㎡，地上公建架空通道51.20㎡。容积率1.82，建筑密度23.63%，绿地率30.01%，总户数548户，机动车停车位608辆，非机动车位380辆。项目采用装配式技术，整体装配率不低于40%。</w:t>
      </w:r>
    </w:p>
    <w:p w14:paraId="1649B0EB">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根据可研报告及其批复，本项目投资估算详见表1-1；项目建设期内的年度资金计划表详见表1-2。</w:t>
      </w:r>
    </w:p>
    <w:p w14:paraId="1F8D106C">
      <w:pPr>
        <w:pStyle w:val="20"/>
        <w:spacing w:after="156" w:afterLines="50" w:line="360" w:lineRule="exact"/>
        <w:ind w:firstLine="420" w:firstLineChars="200"/>
        <w:jc w:val="center"/>
        <w:rPr>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表1-</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项目静态总投资估算表</w:t>
      </w:r>
    </w:p>
    <w:p w14:paraId="797BC877">
      <w:pPr>
        <w:pStyle w:val="20"/>
        <w:spacing w:after="156" w:afterLines="50" w:line="360" w:lineRule="exact"/>
        <w:ind w:firstLine="360" w:firstLineChars="200"/>
        <w:jc w:val="right"/>
        <w:rPr>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2091"/>
        <w:gridCol w:w="3732"/>
        <w:gridCol w:w="2897"/>
      </w:tblGrid>
      <w:tr w14:paraId="22301A47">
        <w:trPr>
          <w:trHeight w:val="285" w:hRule="atLeast"/>
          <w:tblHeader/>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54C1AA1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序号 </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1E5F362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项目名称 </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41C66C1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合计 </w:t>
            </w:r>
          </w:p>
        </w:tc>
      </w:tr>
      <w:tr w14:paraId="1475823A">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3AD46EA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140" w:type="pct"/>
            <w:tcBorders>
              <w:top w:val="nil"/>
              <w:left w:val="nil"/>
              <w:bottom w:val="single" w:color="auto" w:sz="8" w:space="0"/>
              <w:right w:val="single" w:color="auto" w:sz="8" w:space="0"/>
            </w:tcBorders>
            <w:shd w:val="clear" w:color="auto" w:fill="auto"/>
          </w:tcPr>
          <w:p w14:paraId="1654550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1661" w:type="pct"/>
            <w:tcBorders>
              <w:top w:val="nil"/>
              <w:left w:val="nil"/>
              <w:bottom w:val="single" w:color="auto" w:sz="8" w:space="0"/>
              <w:right w:val="single" w:color="auto" w:sz="8" w:space="0"/>
            </w:tcBorders>
            <w:shd w:val="clear" w:color="auto" w:fill="auto"/>
          </w:tcPr>
          <w:p w14:paraId="723FB918">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 xml:space="preserve"> 26,269.82 </w:t>
            </w:r>
          </w:p>
        </w:tc>
      </w:tr>
      <w:tr w14:paraId="6BD4EE78">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08BD485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140" w:type="pct"/>
            <w:tcBorders>
              <w:top w:val="nil"/>
              <w:left w:val="nil"/>
              <w:bottom w:val="single" w:color="auto" w:sz="8" w:space="0"/>
              <w:right w:val="single" w:color="auto" w:sz="8" w:space="0"/>
            </w:tcBorders>
            <w:shd w:val="clear" w:color="auto" w:fill="auto"/>
          </w:tcPr>
          <w:p w14:paraId="16C0F5D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1661" w:type="pct"/>
            <w:tcBorders>
              <w:top w:val="nil"/>
              <w:left w:val="nil"/>
              <w:bottom w:val="single" w:color="auto" w:sz="8" w:space="0"/>
              <w:right w:val="single" w:color="auto" w:sz="8" w:space="0"/>
            </w:tcBorders>
            <w:shd w:val="clear" w:color="auto" w:fill="auto"/>
          </w:tcPr>
          <w:p w14:paraId="342E8D93">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 xml:space="preserve"> 1,502.06 </w:t>
            </w:r>
          </w:p>
        </w:tc>
      </w:tr>
      <w:tr w14:paraId="547639B7">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7258236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140" w:type="pct"/>
            <w:tcBorders>
              <w:top w:val="nil"/>
              <w:left w:val="nil"/>
              <w:bottom w:val="single" w:color="auto" w:sz="8" w:space="0"/>
              <w:right w:val="single" w:color="auto" w:sz="8" w:space="0"/>
            </w:tcBorders>
            <w:shd w:val="clear" w:color="auto" w:fill="auto"/>
          </w:tcPr>
          <w:p w14:paraId="5045F25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1661" w:type="pct"/>
            <w:tcBorders>
              <w:top w:val="nil"/>
              <w:left w:val="nil"/>
              <w:bottom w:val="single" w:color="auto" w:sz="8" w:space="0"/>
              <w:right w:val="single" w:color="auto" w:sz="8" w:space="0"/>
            </w:tcBorders>
            <w:shd w:val="clear" w:color="auto" w:fill="auto"/>
          </w:tcPr>
          <w:p w14:paraId="56140411">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 xml:space="preserve"> 1,313.49 </w:t>
            </w:r>
          </w:p>
        </w:tc>
      </w:tr>
      <w:tr w14:paraId="34EE6066">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4EA17C30">
            <w:pPr>
              <w:widowControl/>
              <w:spacing w:after="0" w:line="240" w:lineRule="auto"/>
              <w:jc w:val="center"/>
              <w:rPr>
                <w:rFonts w:ascii="宋体" w:hAnsi="宋体" w:cs="宋体"/>
                <w:color w:val="000000"/>
                <w:kern w:val="0"/>
                <w:sz w:val="18"/>
                <w:szCs w:val="18"/>
              </w:rPr>
            </w:pPr>
            <w:r>
              <w:rPr>
                <w:rFonts w:ascii="宋体" w:hAnsi="宋体" w:cs="宋体"/>
                <w:color w:val="000000"/>
                <w:kern w:val="0"/>
                <w:sz w:val="18"/>
                <w:szCs w:val="18"/>
              </w:rPr>
              <w:t>4</w:t>
            </w:r>
          </w:p>
        </w:tc>
        <w:tc>
          <w:tcPr>
            <w:tcW w:w="2140" w:type="pct"/>
            <w:tcBorders>
              <w:top w:val="nil"/>
              <w:left w:val="nil"/>
              <w:bottom w:val="single" w:color="auto" w:sz="8" w:space="0"/>
              <w:right w:val="single" w:color="auto" w:sz="8" w:space="0"/>
            </w:tcBorders>
            <w:shd w:val="clear" w:color="auto" w:fill="auto"/>
          </w:tcPr>
          <w:p w14:paraId="56DEE5D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征地拆迁补偿费</w:t>
            </w:r>
          </w:p>
        </w:tc>
        <w:tc>
          <w:tcPr>
            <w:tcW w:w="1661" w:type="pct"/>
            <w:tcBorders>
              <w:top w:val="nil"/>
              <w:left w:val="nil"/>
              <w:bottom w:val="single" w:color="auto" w:sz="8" w:space="0"/>
              <w:right w:val="single" w:color="auto" w:sz="8" w:space="0"/>
            </w:tcBorders>
            <w:shd w:val="clear" w:color="auto" w:fill="auto"/>
          </w:tcPr>
          <w:p w14:paraId="37C4A278">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 xml:space="preserve"> 220.66 </w:t>
            </w:r>
          </w:p>
        </w:tc>
      </w:tr>
      <w:tr w14:paraId="61BF2003">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4FF4BA0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项目静态总投资 </w:t>
            </w:r>
          </w:p>
        </w:tc>
        <w:tc>
          <w:tcPr>
            <w:tcW w:w="1661" w:type="pct"/>
            <w:tcBorders>
              <w:top w:val="nil"/>
              <w:left w:val="nil"/>
              <w:bottom w:val="single" w:color="auto" w:sz="8" w:space="0"/>
              <w:right w:val="single" w:color="auto" w:sz="8" w:space="0"/>
            </w:tcBorders>
            <w:shd w:val="clear" w:color="auto" w:fill="auto"/>
            <w:vAlign w:val="center"/>
          </w:tcPr>
          <w:p w14:paraId="5BA2D2A0">
            <w:pPr>
              <w:widowControl/>
              <w:spacing w:after="0" w:line="240" w:lineRule="auto"/>
              <w:jc w:val="right"/>
              <w:rPr>
                <w:rFonts w:ascii="宋体" w:hAnsi="宋体" w:cs="宋体"/>
                <w:b/>
                <w:color w:val="000000"/>
                <w:kern w:val="0"/>
                <w:sz w:val="18"/>
                <w:szCs w:val="18"/>
              </w:rPr>
            </w:pPr>
            <w:r>
              <w:rPr>
                <w:rFonts w:ascii="宋体" w:hAnsi="宋体" w:cs="宋体"/>
                <w:b/>
                <w:color w:val="000000"/>
                <w:kern w:val="0"/>
                <w:sz w:val="18"/>
                <w:szCs w:val="18"/>
              </w:rPr>
              <w:t>29,306.03</w:t>
            </w:r>
          </w:p>
        </w:tc>
      </w:tr>
    </w:tbl>
    <w:p w14:paraId="64635C36">
      <w:pPr>
        <w:spacing w:before="156" w:beforeLines="50" w:line="360" w:lineRule="auto"/>
        <w:ind w:firstLine="420" w:firstLineChars="200"/>
        <w:jc w:val="center"/>
        <w:rPr>
          <w:rFonts w:ascii="宋体" w:hAnsi="宋体" w:cs="仿宋"/>
          <w:b/>
          <w:bCs/>
          <w:color w:val="000000" w:themeColor="text1"/>
          <w:szCs w:val="28"/>
          <w14:textFill>
            <w14:solidFill>
              <w14:schemeClr w14:val="tx1"/>
            </w14:solidFill>
          </w14:textFill>
        </w:rPr>
      </w:pPr>
      <w:r>
        <w:rPr>
          <w:rFonts w:hint="eastAsia" w:ascii="宋体" w:hAnsi="宋体" w:cs="仿宋"/>
          <w:b/>
          <w:bCs/>
          <w:color w:val="000000" w:themeColor="text1"/>
          <w:szCs w:val="28"/>
          <w14:textFill>
            <w14:solidFill>
              <w14:schemeClr w14:val="tx1"/>
            </w14:solidFill>
          </w14:textFill>
        </w:rPr>
        <w:t>表1-2</w:t>
      </w:r>
      <w:r>
        <w:rPr>
          <w:rFonts w:ascii="宋体" w:hAnsi="宋体" w:cs="仿宋"/>
          <w:b/>
          <w:bCs/>
          <w:color w:val="000000" w:themeColor="text1"/>
          <w:szCs w:val="28"/>
          <w14:textFill>
            <w14:solidFill>
              <w14:schemeClr w14:val="tx1"/>
            </w14:solidFill>
          </w14:textFill>
        </w:rPr>
        <w:t xml:space="preserve"> </w:t>
      </w:r>
      <w:r>
        <w:rPr>
          <w:rFonts w:hint="eastAsia" w:ascii="宋体" w:hAnsi="宋体" w:cs="仿宋"/>
          <w:b/>
          <w:bCs/>
          <w:color w:val="000000" w:themeColor="text1"/>
          <w:szCs w:val="28"/>
          <w14:textFill>
            <w14:solidFill>
              <w14:schemeClr w14:val="tx1"/>
            </w14:solidFill>
          </w14:textFill>
        </w:rPr>
        <w:t xml:space="preserve"> 项目分年度支出计划表</w:t>
      </w:r>
    </w:p>
    <w:p w14:paraId="2701B7B2">
      <w:pPr>
        <w:ind w:firstLine="360" w:firstLineChars="200"/>
        <w:jc w:val="right"/>
        <w:rPr>
          <w:rFonts w:ascii="宋体" w:hAnsi="宋体" w:cs="仿宋"/>
          <w:b/>
          <w:bCs/>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单位：万元</w:t>
      </w:r>
    </w:p>
    <w:tbl>
      <w:tblPr>
        <w:tblStyle w:val="24"/>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47"/>
        <w:gridCol w:w="1828"/>
        <w:gridCol w:w="1327"/>
        <w:gridCol w:w="1233"/>
        <w:gridCol w:w="1233"/>
        <w:gridCol w:w="1228"/>
        <w:gridCol w:w="1224"/>
      </w:tblGrid>
      <w:tr w14:paraId="1351B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5" w:hRule="atLeast"/>
          <w:jc w:val="center"/>
        </w:trPr>
        <w:tc>
          <w:tcPr>
            <w:tcW w:w="371" w:type="pct"/>
            <w:shd w:val="clear" w:color="auto" w:fill="auto"/>
            <w:vAlign w:val="center"/>
          </w:tcPr>
          <w:p w14:paraId="6F06DA3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048" w:type="pct"/>
            <w:shd w:val="clear" w:color="auto" w:fill="auto"/>
            <w:vAlign w:val="center"/>
          </w:tcPr>
          <w:p w14:paraId="3AAAD03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费用类型</w:t>
            </w:r>
          </w:p>
        </w:tc>
        <w:tc>
          <w:tcPr>
            <w:tcW w:w="761" w:type="pct"/>
            <w:shd w:val="clear" w:color="auto" w:fill="auto"/>
            <w:vAlign w:val="center"/>
          </w:tcPr>
          <w:p w14:paraId="1275592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707" w:type="pct"/>
            <w:vAlign w:val="center"/>
          </w:tcPr>
          <w:p w14:paraId="3E67DBA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022</w:t>
            </w:r>
            <w:r>
              <w:rPr>
                <w:rFonts w:hint="eastAsia" w:ascii="宋体" w:hAnsi="宋体" w:cs="宋体"/>
                <w:b/>
                <w:bCs/>
                <w:color w:val="000000"/>
                <w:kern w:val="0"/>
                <w:sz w:val="18"/>
                <w:szCs w:val="18"/>
              </w:rPr>
              <w:t>年</w:t>
            </w:r>
          </w:p>
        </w:tc>
        <w:tc>
          <w:tcPr>
            <w:tcW w:w="707" w:type="pct"/>
            <w:shd w:val="clear" w:color="auto" w:fill="auto"/>
            <w:vAlign w:val="center"/>
          </w:tcPr>
          <w:p w14:paraId="27EB44A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704" w:type="pct"/>
            <w:shd w:val="clear" w:color="auto" w:fill="auto"/>
            <w:vAlign w:val="center"/>
          </w:tcPr>
          <w:p w14:paraId="43F1185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702" w:type="pct"/>
            <w:vAlign w:val="center"/>
          </w:tcPr>
          <w:p w14:paraId="1D700500">
            <w:pPr>
              <w:widowControl/>
              <w:spacing w:after="0" w:line="240" w:lineRule="auto"/>
              <w:jc w:val="center"/>
              <w:rPr>
                <w:rFonts w:ascii="宋体" w:hAnsi="宋体" w:cs="宋体"/>
                <w:b/>
                <w:bCs/>
                <w:color w:val="000000"/>
                <w:kern w:val="0"/>
                <w:sz w:val="18"/>
                <w:szCs w:val="18"/>
              </w:rPr>
            </w:pPr>
            <w:r>
              <w:rPr>
                <w:rFonts w:ascii="宋体" w:hAnsi="宋体" w:cs="宋体"/>
                <w:b/>
                <w:bCs/>
                <w:color w:val="000000"/>
                <w:kern w:val="0"/>
                <w:sz w:val="18"/>
                <w:szCs w:val="18"/>
              </w:rPr>
              <w:t>20</w:t>
            </w:r>
            <w:r>
              <w:rPr>
                <w:rFonts w:hint="eastAsia" w:ascii="宋体" w:hAnsi="宋体" w:cs="宋体"/>
                <w:b/>
                <w:bCs/>
                <w:color w:val="000000"/>
                <w:kern w:val="0"/>
                <w:sz w:val="18"/>
                <w:szCs w:val="18"/>
              </w:rPr>
              <w:t>25年</w:t>
            </w:r>
          </w:p>
        </w:tc>
      </w:tr>
      <w:tr w14:paraId="0FCAA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5" w:hRule="atLeast"/>
          <w:jc w:val="center"/>
        </w:trPr>
        <w:tc>
          <w:tcPr>
            <w:tcW w:w="371" w:type="pct"/>
            <w:shd w:val="clear" w:color="auto" w:fill="auto"/>
            <w:vAlign w:val="center"/>
          </w:tcPr>
          <w:p w14:paraId="10F0881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1048" w:type="pct"/>
            <w:shd w:val="clear" w:color="auto" w:fill="auto"/>
            <w:vAlign w:val="center"/>
          </w:tcPr>
          <w:p w14:paraId="72CB785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761" w:type="pct"/>
            <w:shd w:val="clear" w:color="auto" w:fill="auto"/>
            <w:noWrap/>
            <w:vAlign w:val="center"/>
          </w:tcPr>
          <w:p w14:paraId="4E6DF177">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26,269.82</w:t>
            </w:r>
          </w:p>
        </w:tc>
        <w:tc>
          <w:tcPr>
            <w:tcW w:w="1200" w:type="dxa"/>
            <w:vAlign w:val="bottom"/>
          </w:tcPr>
          <w:p w14:paraId="521223B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1,000.00 </w:t>
            </w:r>
          </w:p>
        </w:tc>
        <w:tc>
          <w:tcPr>
            <w:tcW w:w="1200" w:type="dxa"/>
            <w:shd w:val="clear" w:color="auto" w:fill="auto"/>
            <w:noWrap/>
            <w:vAlign w:val="bottom"/>
          </w:tcPr>
          <w:p w14:paraId="4EA0191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8,000.00 </w:t>
            </w:r>
          </w:p>
        </w:tc>
        <w:tc>
          <w:tcPr>
            <w:tcW w:w="1195" w:type="dxa"/>
            <w:shd w:val="clear" w:color="auto" w:fill="auto"/>
            <w:noWrap/>
            <w:vAlign w:val="bottom"/>
          </w:tcPr>
          <w:p w14:paraId="7C9B505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6,000.00 </w:t>
            </w:r>
          </w:p>
        </w:tc>
        <w:tc>
          <w:tcPr>
            <w:tcW w:w="1191" w:type="dxa"/>
            <w:vAlign w:val="bottom"/>
          </w:tcPr>
          <w:p w14:paraId="4CFD2DD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11,269.82 </w:t>
            </w:r>
          </w:p>
        </w:tc>
      </w:tr>
      <w:tr w14:paraId="76DB8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5" w:hRule="atLeast"/>
          <w:jc w:val="center"/>
        </w:trPr>
        <w:tc>
          <w:tcPr>
            <w:tcW w:w="371" w:type="pct"/>
            <w:shd w:val="clear" w:color="auto" w:fill="auto"/>
            <w:vAlign w:val="center"/>
          </w:tcPr>
          <w:p w14:paraId="35BE184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1048" w:type="pct"/>
            <w:shd w:val="clear" w:color="auto" w:fill="auto"/>
            <w:vAlign w:val="center"/>
          </w:tcPr>
          <w:p w14:paraId="3FCDCEA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761" w:type="pct"/>
            <w:shd w:val="clear" w:color="auto" w:fill="auto"/>
            <w:noWrap/>
            <w:vAlign w:val="center"/>
          </w:tcPr>
          <w:p w14:paraId="3AC30DA9">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1,502.06</w:t>
            </w:r>
          </w:p>
        </w:tc>
        <w:tc>
          <w:tcPr>
            <w:tcW w:w="1200" w:type="dxa"/>
            <w:vAlign w:val="bottom"/>
          </w:tcPr>
          <w:p w14:paraId="187F736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100.00 </w:t>
            </w:r>
          </w:p>
        </w:tc>
        <w:tc>
          <w:tcPr>
            <w:tcW w:w="1200" w:type="dxa"/>
            <w:shd w:val="clear" w:color="auto" w:fill="auto"/>
            <w:noWrap/>
            <w:vAlign w:val="bottom"/>
          </w:tcPr>
          <w:p w14:paraId="0F16E50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900.00 </w:t>
            </w:r>
          </w:p>
        </w:tc>
        <w:tc>
          <w:tcPr>
            <w:tcW w:w="1195" w:type="dxa"/>
            <w:shd w:val="clear" w:color="auto" w:fill="auto"/>
            <w:noWrap/>
            <w:vAlign w:val="bottom"/>
          </w:tcPr>
          <w:p w14:paraId="025C38E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500.00 </w:t>
            </w:r>
          </w:p>
        </w:tc>
        <w:tc>
          <w:tcPr>
            <w:tcW w:w="1191" w:type="dxa"/>
            <w:vAlign w:val="bottom"/>
          </w:tcPr>
          <w:p w14:paraId="7857052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2.06 </w:t>
            </w:r>
          </w:p>
        </w:tc>
      </w:tr>
      <w:tr w14:paraId="5AD99B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5" w:hRule="atLeast"/>
          <w:jc w:val="center"/>
        </w:trPr>
        <w:tc>
          <w:tcPr>
            <w:tcW w:w="371" w:type="pct"/>
            <w:shd w:val="clear" w:color="auto" w:fill="auto"/>
            <w:vAlign w:val="center"/>
          </w:tcPr>
          <w:p w14:paraId="50AF8DF5">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1048" w:type="pct"/>
            <w:shd w:val="clear" w:color="auto" w:fill="auto"/>
            <w:vAlign w:val="center"/>
          </w:tcPr>
          <w:p w14:paraId="4E33AFA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761" w:type="pct"/>
            <w:shd w:val="clear" w:color="auto" w:fill="auto"/>
            <w:noWrap/>
            <w:vAlign w:val="center"/>
          </w:tcPr>
          <w:p w14:paraId="749F4210">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1,313.49</w:t>
            </w:r>
          </w:p>
        </w:tc>
        <w:tc>
          <w:tcPr>
            <w:tcW w:w="1200" w:type="dxa"/>
            <w:vAlign w:val="center"/>
          </w:tcPr>
          <w:p w14:paraId="28322C08">
            <w:pPr>
              <w:jc w:val="center"/>
              <w:rPr>
                <w:rFonts w:hint="eastAsia" w:ascii="宋体" w:hAnsi="宋体" w:eastAsia="宋体" w:cs="宋体"/>
                <w:color w:val="000000"/>
                <w:kern w:val="0"/>
                <w:sz w:val="18"/>
                <w:szCs w:val="18"/>
                <w:lang w:val="en-US" w:eastAsia="zh-CN" w:bidi="ar-SA"/>
              </w:rPr>
            </w:pPr>
          </w:p>
        </w:tc>
        <w:tc>
          <w:tcPr>
            <w:tcW w:w="1200" w:type="dxa"/>
            <w:shd w:val="clear" w:color="auto" w:fill="auto"/>
            <w:noWrap/>
            <w:vAlign w:val="center"/>
          </w:tcPr>
          <w:p w14:paraId="164061E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default" w:ascii="宋体" w:hAnsi="宋体" w:eastAsia="宋体" w:cs="宋体"/>
                <w:color w:val="000000"/>
                <w:kern w:val="0"/>
                <w:sz w:val="18"/>
                <w:szCs w:val="18"/>
                <w:lang w:val="en-US" w:eastAsia="zh-CN" w:bidi="ar-SA"/>
              </w:rPr>
              <w:t xml:space="preserve"> 1,313.49 </w:t>
            </w:r>
          </w:p>
        </w:tc>
        <w:tc>
          <w:tcPr>
            <w:tcW w:w="1195" w:type="dxa"/>
            <w:shd w:val="clear" w:color="auto" w:fill="auto"/>
            <w:noWrap/>
            <w:vAlign w:val="bottom"/>
          </w:tcPr>
          <w:p w14:paraId="65C271B5">
            <w:pPr>
              <w:rPr>
                <w:rFonts w:hint="eastAsia" w:ascii="宋体" w:hAnsi="宋体" w:eastAsia="宋体" w:cs="宋体"/>
                <w:color w:val="000000"/>
                <w:kern w:val="0"/>
                <w:sz w:val="18"/>
                <w:szCs w:val="18"/>
                <w:lang w:val="en-US" w:eastAsia="zh-CN" w:bidi="ar-SA"/>
              </w:rPr>
            </w:pPr>
          </w:p>
        </w:tc>
        <w:tc>
          <w:tcPr>
            <w:tcW w:w="1191" w:type="dxa"/>
            <w:vAlign w:val="bottom"/>
          </w:tcPr>
          <w:p w14:paraId="1F0579EC">
            <w:pPr>
              <w:keepNext w:val="0"/>
              <w:keepLines w:val="0"/>
              <w:widowControl/>
              <w:suppressLineNumbers w:val="0"/>
              <w:jc w:val="right"/>
              <w:textAlignment w:val="bottom"/>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   </w:t>
            </w:r>
          </w:p>
        </w:tc>
      </w:tr>
      <w:tr w14:paraId="0436D2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5" w:hRule="atLeast"/>
          <w:jc w:val="center"/>
        </w:trPr>
        <w:tc>
          <w:tcPr>
            <w:tcW w:w="371" w:type="pct"/>
            <w:shd w:val="clear" w:color="auto" w:fill="auto"/>
            <w:vAlign w:val="center"/>
          </w:tcPr>
          <w:p w14:paraId="322C3E8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4</w:t>
            </w:r>
          </w:p>
        </w:tc>
        <w:tc>
          <w:tcPr>
            <w:tcW w:w="1048" w:type="pct"/>
            <w:shd w:val="clear" w:color="auto" w:fill="auto"/>
            <w:vAlign w:val="center"/>
          </w:tcPr>
          <w:p w14:paraId="79E18C0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征地拆迁补偿费</w:t>
            </w:r>
          </w:p>
        </w:tc>
        <w:tc>
          <w:tcPr>
            <w:tcW w:w="761" w:type="pct"/>
            <w:shd w:val="clear" w:color="auto" w:fill="auto"/>
            <w:noWrap/>
            <w:vAlign w:val="center"/>
          </w:tcPr>
          <w:p w14:paraId="1ECF6FD1">
            <w:pPr>
              <w:widowControl/>
              <w:spacing w:after="0" w:line="240" w:lineRule="auto"/>
              <w:jc w:val="right"/>
              <w:rPr>
                <w:rFonts w:ascii="宋体" w:hAnsi="宋体" w:cs="宋体"/>
                <w:color w:val="000000"/>
                <w:kern w:val="0"/>
                <w:sz w:val="18"/>
                <w:szCs w:val="18"/>
              </w:rPr>
            </w:pPr>
            <w:r>
              <w:rPr>
                <w:rFonts w:ascii="宋体" w:hAnsi="宋体" w:cs="宋体"/>
                <w:color w:val="000000"/>
                <w:kern w:val="0"/>
                <w:sz w:val="18"/>
                <w:szCs w:val="18"/>
              </w:rPr>
              <w:t>220.66</w:t>
            </w:r>
          </w:p>
        </w:tc>
        <w:tc>
          <w:tcPr>
            <w:tcW w:w="1200" w:type="dxa"/>
            <w:vAlign w:val="center"/>
          </w:tcPr>
          <w:p w14:paraId="487C734C">
            <w:pPr>
              <w:jc w:val="center"/>
              <w:rPr>
                <w:rFonts w:hint="eastAsia" w:ascii="宋体" w:hAnsi="宋体" w:eastAsia="宋体" w:cs="宋体"/>
                <w:color w:val="000000"/>
                <w:kern w:val="0"/>
                <w:sz w:val="18"/>
                <w:szCs w:val="18"/>
                <w:lang w:val="en-US" w:eastAsia="zh-CN" w:bidi="ar-SA"/>
              </w:rPr>
            </w:pPr>
          </w:p>
        </w:tc>
        <w:tc>
          <w:tcPr>
            <w:tcW w:w="1200" w:type="dxa"/>
            <w:shd w:val="clear" w:color="auto" w:fill="auto"/>
            <w:noWrap/>
            <w:vAlign w:val="center"/>
          </w:tcPr>
          <w:p w14:paraId="7C0D007F">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default" w:ascii="宋体" w:hAnsi="宋体" w:eastAsia="宋体" w:cs="宋体"/>
                <w:color w:val="000000"/>
                <w:kern w:val="0"/>
                <w:sz w:val="18"/>
                <w:szCs w:val="18"/>
                <w:lang w:val="en-US" w:eastAsia="zh-CN" w:bidi="ar-SA"/>
              </w:rPr>
              <w:t xml:space="preserve"> 220.66 </w:t>
            </w:r>
          </w:p>
        </w:tc>
        <w:tc>
          <w:tcPr>
            <w:tcW w:w="1195" w:type="dxa"/>
            <w:shd w:val="clear" w:color="auto" w:fill="auto"/>
            <w:noWrap/>
            <w:vAlign w:val="bottom"/>
          </w:tcPr>
          <w:p w14:paraId="42916D4D">
            <w:pPr>
              <w:rPr>
                <w:rFonts w:hint="eastAsia" w:ascii="宋体" w:hAnsi="宋体" w:eastAsia="宋体" w:cs="宋体"/>
                <w:color w:val="000000"/>
                <w:kern w:val="0"/>
                <w:sz w:val="18"/>
                <w:szCs w:val="18"/>
                <w:lang w:val="en-US" w:eastAsia="zh-CN" w:bidi="ar-SA"/>
              </w:rPr>
            </w:pPr>
          </w:p>
        </w:tc>
        <w:tc>
          <w:tcPr>
            <w:tcW w:w="1191" w:type="dxa"/>
            <w:vAlign w:val="bottom"/>
          </w:tcPr>
          <w:p w14:paraId="5841E0C0">
            <w:pPr>
              <w:keepNext w:val="0"/>
              <w:keepLines w:val="0"/>
              <w:widowControl/>
              <w:suppressLineNumbers w:val="0"/>
              <w:jc w:val="right"/>
              <w:textAlignment w:val="bottom"/>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   </w:t>
            </w:r>
          </w:p>
        </w:tc>
      </w:tr>
      <w:tr w14:paraId="027F7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90" w:hRule="atLeast"/>
          <w:jc w:val="center"/>
        </w:trPr>
        <w:tc>
          <w:tcPr>
            <w:tcW w:w="1419" w:type="pct"/>
            <w:gridSpan w:val="2"/>
            <w:shd w:val="clear" w:color="auto" w:fill="auto"/>
            <w:vAlign w:val="center"/>
          </w:tcPr>
          <w:p w14:paraId="3131CBC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761" w:type="pct"/>
            <w:shd w:val="clear" w:color="auto" w:fill="auto"/>
            <w:vAlign w:val="center"/>
          </w:tcPr>
          <w:p w14:paraId="5282BEB4">
            <w:pPr>
              <w:widowControl/>
              <w:spacing w:after="0" w:line="240" w:lineRule="auto"/>
              <w:jc w:val="right"/>
              <w:rPr>
                <w:rFonts w:ascii="宋体" w:hAnsi="宋体" w:cs="宋体"/>
                <w:b/>
                <w:color w:val="000000"/>
                <w:kern w:val="0"/>
                <w:sz w:val="18"/>
                <w:szCs w:val="18"/>
              </w:rPr>
            </w:pPr>
            <w:r>
              <w:rPr>
                <w:rFonts w:ascii="宋体" w:hAnsi="宋体" w:cs="宋体"/>
                <w:b/>
                <w:color w:val="000000"/>
                <w:kern w:val="0"/>
                <w:sz w:val="18"/>
                <w:szCs w:val="18"/>
              </w:rPr>
              <w:t>29,306.03</w:t>
            </w:r>
          </w:p>
        </w:tc>
        <w:tc>
          <w:tcPr>
            <w:tcW w:w="1200" w:type="dxa"/>
            <w:vAlign w:val="center"/>
          </w:tcPr>
          <w:p w14:paraId="33D27429">
            <w:pPr>
              <w:widowControl/>
              <w:spacing w:after="0" w:line="240" w:lineRule="auto"/>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lang w:val="en-US" w:eastAsia="zh-CN" w:bidi="ar-SA"/>
              </w:rPr>
              <w:t xml:space="preserve"> 1,100.00 </w:t>
            </w:r>
          </w:p>
        </w:tc>
        <w:tc>
          <w:tcPr>
            <w:tcW w:w="1200" w:type="dxa"/>
            <w:shd w:val="clear" w:color="auto" w:fill="auto"/>
            <w:vAlign w:val="center"/>
          </w:tcPr>
          <w:p w14:paraId="3A228F95">
            <w:pPr>
              <w:widowControl/>
              <w:spacing w:after="0" w:line="240" w:lineRule="auto"/>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lang w:val="en-US" w:eastAsia="zh-CN" w:bidi="ar-SA"/>
              </w:rPr>
              <w:t xml:space="preserve"> 10,434.15 </w:t>
            </w:r>
          </w:p>
        </w:tc>
        <w:tc>
          <w:tcPr>
            <w:tcW w:w="1195" w:type="dxa"/>
            <w:shd w:val="clear" w:color="auto" w:fill="auto"/>
            <w:vAlign w:val="center"/>
          </w:tcPr>
          <w:p w14:paraId="7AD94B77">
            <w:pPr>
              <w:widowControl/>
              <w:spacing w:after="0" w:line="240" w:lineRule="auto"/>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lang w:val="en-US" w:eastAsia="zh-CN" w:bidi="ar-SA"/>
              </w:rPr>
              <w:t xml:space="preserve"> 6,500.00 </w:t>
            </w:r>
          </w:p>
        </w:tc>
        <w:tc>
          <w:tcPr>
            <w:tcW w:w="1191" w:type="dxa"/>
            <w:vAlign w:val="bottom"/>
          </w:tcPr>
          <w:p w14:paraId="167C1AAB">
            <w:pPr>
              <w:widowControl/>
              <w:spacing w:after="0" w:line="240" w:lineRule="auto"/>
              <w:jc w:val="center"/>
              <w:rPr>
                <w:rFonts w:hint="eastAsia" w:ascii="宋体" w:hAnsi="宋体" w:eastAsia="宋体" w:cs="宋体"/>
                <w:b/>
                <w:bCs/>
                <w:color w:val="000000"/>
                <w:kern w:val="0"/>
                <w:sz w:val="18"/>
                <w:szCs w:val="18"/>
                <w:lang w:val="en-US" w:eastAsia="zh-CN" w:bidi="ar-SA"/>
              </w:rPr>
            </w:pPr>
            <w:r>
              <w:rPr>
                <w:rFonts w:hint="eastAsia" w:ascii="宋体" w:hAnsi="宋体" w:eastAsia="宋体" w:cs="宋体"/>
                <w:b/>
                <w:bCs/>
                <w:color w:val="000000"/>
                <w:kern w:val="0"/>
                <w:sz w:val="18"/>
                <w:szCs w:val="18"/>
                <w:lang w:val="en-US" w:eastAsia="zh-CN" w:bidi="ar-SA"/>
              </w:rPr>
              <w:t xml:space="preserve"> 11,271.88 </w:t>
            </w:r>
          </w:p>
        </w:tc>
      </w:tr>
    </w:tbl>
    <w:p w14:paraId="784E2F7E">
      <w:pPr>
        <w:pStyle w:val="20"/>
        <w:spacing w:before="0" w:beforeAutospacing="0" w:after="156"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注：项目建设周期为</w:t>
      </w:r>
      <w:r>
        <w:rPr>
          <w:color w:val="000000" w:themeColor="text1"/>
          <w:sz w:val="18"/>
          <w:szCs w:val="18"/>
          <w14:textFill>
            <w14:solidFill>
              <w14:schemeClr w14:val="tx1"/>
            </w14:solidFill>
          </w14:textFill>
        </w:rPr>
        <w:t>2022</w:t>
      </w:r>
      <w:r>
        <w:rPr>
          <w:rFonts w:hint="eastAsia"/>
          <w:color w:val="000000" w:themeColor="text1"/>
          <w:sz w:val="18"/>
          <w:szCs w:val="18"/>
          <w14:textFill>
            <w14:solidFill>
              <w14:schemeClr w14:val="tx1"/>
            </w14:solidFill>
          </w14:textFill>
        </w:rPr>
        <w:t>年1</w:t>
      </w: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月至</w:t>
      </w:r>
      <w:r>
        <w:rPr>
          <w:color w:val="000000" w:themeColor="text1"/>
          <w:sz w:val="18"/>
          <w:szCs w:val="18"/>
          <w14:textFill>
            <w14:solidFill>
              <w14:schemeClr w14:val="tx1"/>
            </w14:solidFill>
          </w14:textFill>
        </w:rPr>
        <w:t>2025</w:t>
      </w:r>
      <w:r>
        <w:rPr>
          <w:rFonts w:hint="eastAsia"/>
          <w:color w:val="000000" w:themeColor="text1"/>
          <w:sz w:val="18"/>
          <w:szCs w:val="18"/>
          <w14:textFill>
            <w14:solidFill>
              <w14:schemeClr w14:val="tx1"/>
            </w14:solidFill>
          </w14:textFill>
        </w:rPr>
        <w:t>年</w:t>
      </w: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月。</w:t>
      </w:r>
    </w:p>
    <w:p w14:paraId="236987E0">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08" w:name="_Toc8289"/>
      <w:r>
        <w:rPr>
          <w:rFonts w:hint="eastAsia" w:ascii="微软雅黑" w:hAnsi="微软雅黑" w:eastAsia="微软雅黑" w:cs="微软雅黑"/>
          <w:b w:val="0"/>
          <w:bCs w:val="0"/>
          <w:color w:val="000000"/>
          <w:sz w:val="32"/>
          <w:szCs w:val="24"/>
          <w:highlight w:val="none"/>
          <w:lang w:val="en-US"/>
        </w:rPr>
        <w:t>二、项目投资估算及资金筹措方案</w:t>
      </w:r>
      <w:bookmarkEnd w:id="108"/>
    </w:p>
    <w:p w14:paraId="46194558">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09" w:name="_Toc24207"/>
      <w:r>
        <w:rPr>
          <w:rFonts w:hint="eastAsia" w:ascii="微软雅黑" w:hAnsi="微软雅黑" w:eastAsia="微软雅黑" w:cs="微软雅黑"/>
          <w:b w:val="0"/>
          <w:bCs w:val="0"/>
          <w:color w:val="000000"/>
          <w:kern w:val="2"/>
          <w:sz w:val="30"/>
          <w:szCs w:val="30"/>
          <w:highlight w:val="none"/>
          <w:lang w:val="en-US"/>
        </w:rPr>
        <w:t>（一）投资估算</w:t>
      </w:r>
      <w:bookmarkEnd w:id="109"/>
    </w:p>
    <w:p w14:paraId="6E6BC1F6">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1、估算编制依据</w:t>
      </w:r>
    </w:p>
    <w:p w14:paraId="0B93FE8E">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1)关于南昌县行政审批局《关于冈上镇综合安置房（城市棚户区改造）项目可行性研究报告的批复》（南行审投资投字【2022】170号)</w:t>
      </w:r>
    </w:p>
    <w:p w14:paraId="20C0A2EE">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2)财政部《关于试点发展项目收益与融资自求平衡的地方政府专项债券品种的通知》（财预〔2017〕89号文）；</w:t>
      </w:r>
    </w:p>
    <w:p w14:paraId="33DCFC3C">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3)财政部《关于做好2018年地方政府债券发行工作的意见》（财库〔2018〕61号）；</w:t>
      </w:r>
    </w:p>
    <w:p w14:paraId="1E751BA3">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4)《国家鼓励发展的资源节约综合利用和环境保护技术》（国家发展改革委令[2005]第65号）；</w:t>
      </w:r>
    </w:p>
    <w:p w14:paraId="2CE4C4B6">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5)《中华人民共和国电力法（2015年修正）》（国家主席令[2015]第24号）；</w:t>
      </w:r>
    </w:p>
    <w:p w14:paraId="46C8F90B">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6)《水利建设项目经济评价规范》（SL72-2013）；</w:t>
      </w:r>
    </w:p>
    <w:p w14:paraId="0C91D3EB">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7)《水电建设项目经济评价规范》（DL/T5441-2010）；</w:t>
      </w:r>
    </w:p>
    <w:p w14:paraId="650FE645">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8) 《冈上镇综合安置房（城市棚户区改造）项目可行性研究报告》；</w:t>
      </w:r>
    </w:p>
    <w:p w14:paraId="5D671CBB">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9)建设工程规划设计要求（蓝协（2018）第001号）；</w:t>
      </w:r>
    </w:p>
    <w:p w14:paraId="7AA41D4F">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2、费率及参数</w:t>
      </w:r>
    </w:p>
    <w:p w14:paraId="56522F32">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本项目从客观、谨慎角度出发、发行利率取3.7%进行测算，本次债券发行按照每年付息，到期一次性还本的方式。另外，按0.1%费率计算债券发行费用，符合专项债发行现状。</w:t>
      </w:r>
    </w:p>
    <w:p w14:paraId="4DA98E6E">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10" w:name="_Toc3044"/>
      <w:r>
        <w:rPr>
          <w:rFonts w:hint="eastAsia" w:ascii="微软雅黑" w:hAnsi="微软雅黑" w:eastAsia="微软雅黑" w:cs="微软雅黑"/>
          <w:b w:val="0"/>
          <w:bCs w:val="0"/>
          <w:color w:val="000000"/>
          <w:kern w:val="2"/>
          <w:sz w:val="30"/>
          <w:szCs w:val="30"/>
          <w:highlight w:val="none"/>
          <w:lang w:val="en-US"/>
        </w:rPr>
        <w:t>（二）资金筹措方案</w:t>
      </w:r>
      <w:bookmarkEnd w:id="110"/>
    </w:p>
    <w:p w14:paraId="75A97E29">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1、资金筹措原则</w:t>
      </w:r>
    </w:p>
    <w:p w14:paraId="745C70E6">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本次资金筹措遵循以下原则：</w:t>
      </w:r>
    </w:p>
    <w:p w14:paraId="0AD2003B">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（1）项目投入一定资本金，保证项目顺利开工及后续融资的可能；</w:t>
      </w:r>
    </w:p>
    <w:p w14:paraId="371D6C72">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（2）发行地方政府专项债券、其他融资。</w:t>
      </w:r>
    </w:p>
    <w:p w14:paraId="141CDC62">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2、资金筹措方案</w:t>
      </w:r>
    </w:p>
    <w:p w14:paraId="6FBE5FEE">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考虑资金成本，结合本次发行项目实际情况，为降低资金成本，减轻财务负担，提高资金流动性，保障项目现金流最大化，本项目投资人根据国家相关规定，初步确定项目资金来源如下：</w:t>
      </w:r>
    </w:p>
    <w:p w14:paraId="722D2FF9">
      <w:pPr>
        <w:pStyle w:val="20"/>
        <w:spacing w:before="0" w:beforeAutospacing="0" w:after="156" w:afterLines="50" w:afterAutospacing="0" w:line="360" w:lineRule="auto"/>
        <w:ind w:firstLine="560" w:firstLineChars="200"/>
        <w:jc w:val="both"/>
        <w:rPr>
          <w:rFonts w:hint="eastAsia" w:ascii="Times New Roman" w:hAnsi="Times New Roman" w:eastAsia="仿宋_GB2312" w:cs="Times New Roman"/>
          <w:color w:val="auto"/>
          <w:sz w:val="28"/>
          <w:szCs w:val="28"/>
          <w:highlight w:val="none"/>
          <w:lang w:val="en-US" w:eastAsia="zh-CN"/>
        </w:rPr>
      </w:pPr>
      <w:r>
        <w:rPr>
          <w:rFonts w:hint="eastAsia" w:asciiTheme="minorEastAsia" w:hAnsiTheme="minorEastAsia" w:eastAsiaTheme="minorEastAsia" w:cstheme="minorEastAsia"/>
          <w:color w:val="000000"/>
          <w:kern w:val="2"/>
          <w:sz w:val="28"/>
          <w:szCs w:val="28"/>
          <w:highlight w:val="none"/>
          <w:lang w:val="en-US" w:eastAsia="zh-CN" w:bidi="ar-SA"/>
        </w:rPr>
        <w:t>其中：自筹资金6306.03万元，占总投资比例21.52%；本期发行专项债券1950万元，期限7年，占总投资的78.48%。</w:t>
      </w:r>
    </w:p>
    <w:p w14:paraId="04A420AD">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11" w:name="_Toc6137"/>
      <w:r>
        <w:rPr>
          <w:rFonts w:hint="eastAsia" w:ascii="微软雅黑" w:hAnsi="微软雅黑" w:eastAsia="微软雅黑" w:cs="微软雅黑"/>
          <w:b w:val="0"/>
          <w:bCs w:val="0"/>
          <w:color w:val="000000"/>
          <w:sz w:val="32"/>
          <w:szCs w:val="24"/>
          <w:highlight w:val="none"/>
          <w:lang w:val="en-US"/>
        </w:rPr>
        <w:t>三、项目预期收益、成本及融资平衡情况</w:t>
      </w:r>
      <w:bookmarkEnd w:id="111"/>
    </w:p>
    <w:p w14:paraId="4531E422">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12" w:name="_Toc5235"/>
      <w:r>
        <w:rPr>
          <w:rFonts w:hint="eastAsia" w:ascii="微软雅黑" w:hAnsi="微软雅黑" w:eastAsia="微软雅黑" w:cs="微软雅黑"/>
          <w:b w:val="0"/>
          <w:bCs w:val="0"/>
          <w:color w:val="000000"/>
          <w:kern w:val="2"/>
          <w:sz w:val="30"/>
          <w:szCs w:val="30"/>
          <w:highlight w:val="none"/>
          <w:lang w:val="en-US"/>
        </w:rPr>
        <w:t>（一）收入测算</w:t>
      </w:r>
      <w:bookmarkEnd w:id="112"/>
    </w:p>
    <w:p w14:paraId="6FC90B45">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根据南昌市冈上镇综合安置房（城市棚户区改造）项目可研报告，以及南昌县城市建设投资发展有限公司上报的《实施方案》提供的每年收入预测依据等数据，对各项收入进行了合理预测，具体收益情况如下：</w:t>
      </w:r>
    </w:p>
    <w:p w14:paraId="22E74A07">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1.资金稳定性分析</w:t>
      </w:r>
    </w:p>
    <w:p w14:paraId="627F6F67">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申请发行的冈上镇综合安置房（城市棚户区改造）项目专项债券项目，预计业务活动现金流入合计114,471.36万元，其中：土地出让收入114,471.36万元。项目自运营期（2025年）开始至债券到期的项目收益年度分布情况如下：</w:t>
      </w:r>
    </w:p>
    <w:p w14:paraId="37851F28">
      <w:pPr>
        <w:pStyle w:val="20"/>
        <w:keepNext/>
        <w:spacing w:before="0" w:beforeAutospacing="0" w:after="0" w:afterAutospacing="0" w:line="360" w:lineRule="exact"/>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w:t>
      </w:r>
      <w:r>
        <w:rPr>
          <w:b/>
          <w:color w:val="000000" w:themeColor="text1"/>
          <w:sz w:val="21"/>
          <w:szCs w:val="21"/>
          <w14:textFill>
            <w14:solidFill>
              <w14:schemeClr w14:val="tx1"/>
            </w14:solidFill>
          </w14:textFill>
        </w:rPr>
        <w:t>1</w:t>
      </w:r>
      <w:r>
        <w:rPr>
          <w:rFonts w:hint="eastAsia"/>
          <w:b/>
          <w:color w:val="000000" w:themeColor="text1"/>
          <w:sz w:val="21"/>
          <w:szCs w:val="21"/>
          <w14:textFill>
            <w14:solidFill>
              <w14:schemeClr w14:val="tx1"/>
            </w14:solidFill>
          </w14:textFill>
        </w:rPr>
        <w:t>项目收益年度分布情况分析</w:t>
      </w:r>
    </w:p>
    <w:p w14:paraId="3784CA58">
      <w:pPr>
        <w:pStyle w:val="20"/>
        <w:keepNext/>
        <w:spacing w:before="0" w:beforeAutospacing="0" w:after="0" w:afterAutospacing="0" w:line="360" w:lineRule="exact"/>
        <w:ind w:right="54" w:rightChars="26"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3962"/>
        <w:gridCol w:w="3347"/>
      </w:tblGrid>
      <w:tr w14:paraId="36BE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trPr>
        <w:tc>
          <w:tcPr>
            <w:tcW w:w="809" w:type="pct"/>
            <w:shd w:val="clear" w:color="auto" w:fill="auto"/>
            <w:noWrap/>
            <w:vAlign w:val="center"/>
          </w:tcPr>
          <w:p w14:paraId="445C4644">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年份</w:t>
            </w:r>
          </w:p>
        </w:tc>
        <w:tc>
          <w:tcPr>
            <w:tcW w:w="2272" w:type="pct"/>
            <w:shd w:val="clear" w:color="auto" w:fill="auto"/>
            <w:noWrap/>
          </w:tcPr>
          <w:p w14:paraId="6ABBC3EB">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土地出让收入</w:t>
            </w:r>
          </w:p>
        </w:tc>
        <w:tc>
          <w:tcPr>
            <w:tcW w:w="1919" w:type="pct"/>
            <w:shd w:val="clear" w:color="auto" w:fill="auto"/>
            <w:noWrap/>
            <w:vAlign w:val="center"/>
          </w:tcPr>
          <w:p w14:paraId="74605C5C">
            <w:pPr>
              <w:widowControl/>
              <w:spacing w:after="0" w:line="240" w:lineRule="auto"/>
              <w:jc w:val="center"/>
              <w:rPr>
                <w:rFonts w:ascii="宋体" w:hAnsi="宋体" w:cs="宋体"/>
                <w:b/>
                <w:bCs/>
                <w:kern w:val="0"/>
                <w:sz w:val="18"/>
                <w:szCs w:val="18"/>
              </w:rPr>
            </w:pPr>
            <w:r>
              <w:rPr>
                <w:rFonts w:hint="eastAsia" w:ascii="宋体" w:hAnsi="宋体" w:cs="宋体"/>
                <w:b/>
                <w:bCs/>
                <w:kern w:val="0"/>
                <w:sz w:val="18"/>
                <w:szCs w:val="18"/>
              </w:rPr>
              <w:t>合计</w:t>
            </w:r>
          </w:p>
        </w:tc>
      </w:tr>
      <w:tr w14:paraId="44F4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809" w:type="pct"/>
            <w:shd w:val="clear" w:color="auto" w:fill="auto"/>
            <w:noWrap/>
          </w:tcPr>
          <w:p w14:paraId="533717A5">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w:t>
            </w:r>
            <w:r>
              <w:rPr>
                <w:rFonts w:ascii="宋体" w:hAnsi="宋体"/>
                <w:color w:val="000000"/>
                <w:kern w:val="0"/>
                <w:sz w:val="18"/>
                <w:szCs w:val="18"/>
                <w:lang w:bidi="ar"/>
              </w:rPr>
              <w:t>025</w:t>
            </w:r>
          </w:p>
        </w:tc>
        <w:tc>
          <w:tcPr>
            <w:tcW w:w="2272" w:type="pct"/>
            <w:shd w:val="clear" w:color="auto" w:fill="auto"/>
            <w:noWrap/>
          </w:tcPr>
          <w:p w14:paraId="655ACF10">
            <w:pPr>
              <w:widowControl/>
              <w:spacing w:after="0" w:line="240" w:lineRule="auto"/>
              <w:jc w:val="center"/>
              <w:rPr>
                <w:rFonts w:ascii="宋体" w:hAnsi="宋体"/>
                <w:color w:val="000000"/>
                <w:kern w:val="0"/>
                <w:sz w:val="18"/>
                <w:szCs w:val="18"/>
                <w:lang w:bidi="ar"/>
              </w:rPr>
            </w:pPr>
            <w:r>
              <w:rPr>
                <w:rFonts w:ascii="宋体" w:hAnsi="宋体"/>
                <w:color w:val="000000"/>
                <w:kern w:val="0"/>
                <w:sz w:val="18"/>
                <w:szCs w:val="18"/>
                <w:lang w:bidi="ar"/>
              </w:rPr>
              <w:t xml:space="preserve"> 114,471.36 </w:t>
            </w:r>
          </w:p>
        </w:tc>
        <w:tc>
          <w:tcPr>
            <w:tcW w:w="1919" w:type="pct"/>
            <w:shd w:val="clear" w:color="auto" w:fill="auto"/>
            <w:noWrap/>
          </w:tcPr>
          <w:p w14:paraId="6A092838">
            <w:pPr>
              <w:widowControl/>
              <w:spacing w:after="0" w:line="240" w:lineRule="auto"/>
              <w:jc w:val="center"/>
              <w:rPr>
                <w:rFonts w:ascii="宋体" w:hAnsi="宋体"/>
                <w:color w:val="000000"/>
                <w:kern w:val="0"/>
                <w:sz w:val="18"/>
                <w:szCs w:val="18"/>
                <w:lang w:bidi="ar"/>
              </w:rPr>
            </w:pPr>
            <w:r>
              <w:rPr>
                <w:rFonts w:ascii="宋体" w:hAnsi="宋体"/>
                <w:color w:val="000000"/>
                <w:kern w:val="0"/>
                <w:sz w:val="18"/>
                <w:szCs w:val="18"/>
                <w:lang w:bidi="ar"/>
              </w:rPr>
              <w:t xml:space="preserve"> 114,471.36 </w:t>
            </w:r>
          </w:p>
        </w:tc>
      </w:tr>
      <w:tr w14:paraId="4948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809" w:type="pct"/>
            <w:shd w:val="clear" w:color="auto" w:fill="auto"/>
            <w:noWrap/>
            <w:vAlign w:val="center"/>
          </w:tcPr>
          <w:p w14:paraId="63973953">
            <w:pPr>
              <w:widowControl/>
              <w:spacing w:after="0" w:line="240" w:lineRule="auto"/>
              <w:jc w:val="center"/>
              <w:rPr>
                <w:rFonts w:ascii="宋体" w:hAnsi="宋体"/>
                <w:b/>
                <w:color w:val="000000"/>
                <w:kern w:val="0"/>
                <w:sz w:val="18"/>
                <w:szCs w:val="18"/>
                <w:lang w:bidi="ar"/>
              </w:rPr>
            </w:pPr>
            <w:r>
              <w:rPr>
                <w:rFonts w:hint="eastAsia" w:ascii="宋体" w:hAnsi="宋体"/>
                <w:b/>
                <w:color w:val="000000"/>
                <w:kern w:val="0"/>
                <w:sz w:val="18"/>
                <w:szCs w:val="18"/>
                <w:lang w:bidi="ar"/>
              </w:rPr>
              <w:t>合计</w:t>
            </w:r>
          </w:p>
        </w:tc>
        <w:tc>
          <w:tcPr>
            <w:tcW w:w="2272" w:type="pct"/>
            <w:shd w:val="clear" w:color="auto" w:fill="auto"/>
            <w:noWrap/>
          </w:tcPr>
          <w:p w14:paraId="6DB180A2">
            <w:pPr>
              <w:widowControl/>
              <w:spacing w:after="0" w:line="240" w:lineRule="auto"/>
              <w:jc w:val="center"/>
              <w:rPr>
                <w:rFonts w:ascii="宋体" w:hAnsi="宋体"/>
                <w:b/>
                <w:color w:val="000000"/>
                <w:kern w:val="0"/>
                <w:sz w:val="18"/>
                <w:szCs w:val="18"/>
                <w:lang w:bidi="ar"/>
              </w:rPr>
            </w:pPr>
            <w:r>
              <w:rPr>
                <w:rFonts w:ascii="宋体" w:hAnsi="宋体"/>
                <w:b/>
                <w:color w:val="000000"/>
                <w:kern w:val="0"/>
                <w:sz w:val="18"/>
                <w:szCs w:val="18"/>
                <w:lang w:bidi="ar"/>
              </w:rPr>
              <w:t xml:space="preserve"> 114,471.36 </w:t>
            </w:r>
          </w:p>
        </w:tc>
        <w:tc>
          <w:tcPr>
            <w:tcW w:w="1919" w:type="pct"/>
            <w:shd w:val="clear" w:color="auto" w:fill="auto"/>
            <w:noWrap/>
          </w:tcPr>
          <w:p w14:paraId="59FF4C92">
            <w:pPr>
              <w:widowControl/>
              <w:spacing w:after="0" w:line="240" w:lineRule="auto"/>
              <w:jc w:val="center"/>
              <w:rPr>
                <w:rFonts w:ascii="宋体" w:hAnsi="宋体"/>
                <w:b/>
                <w:color w:val="000000"/>
                <w:kern w:val="0"/>
                <w:sz w:val="18"/>
                <w:szCs w:val="18"/>
                <w:lang w:bidi="ar"/>
              </w:rPr>
            </w:pPr>
            <w:r>
              <w:rPr>
                <w:rFonts w:ascii="宋体" w:hAnsi="宋体"/>
                <w:b/>
                <w:color w:val="000000"/>
                <w:kern w:val="0"/>
                <w:sz w:val="18"/>
                <w:szCs w:val="18"/>
                <w:lang w:bidi="ar"/>
              </w:rPr>
              <w:t xml:space="preserve"> 114,471.36 </w:t>
            </w:r>
          </w:p>
        </w:tc>
      </w:tr>
    </w:tbl>
    <w:p w14:paraId="15D0426C">
      <w:pPr>
        <w:pStyle w:val="20"/>
        <w:spacing w:before="0" w:beforeAutospacing="0" w:after="156" w:afterLines="50" w:afterAutospacing="0" w:line="360" w:lineRule="exact"/>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本项目经营收入的估算依据如下：</w:t>
      </w:r>
    </w:p>
    <w:p w14:paraId="713A7F91">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（1）土地出让收入</w:t>
      </w:r>
    </w:p>
    <w:p w14:paraId="45CC7039">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地块价格参照南昌县2019年成交地块南昌县范围内迎宾大道以西，振兴大道以南，工业一路以东.地块成交价为800万元/亩，结合时间因素，配套因素和地块的区位因素，并考虑地理位置及土地性质、使用年限等考虑地块在2025年出让时间低价上涨8%。则计算出让区域内商服土地2025年综合地价。根据项目建设及出让计划，拟2025年进行土地出让。得出本项目2025年土地出让价格为864.00万元。冈上镇综合安置房（城市棚户区改造）项目根据建设及出让计划，可出让土地约132.49亩。</w:t>
      </w:r>
    </w:p>
    <w:p w14:paraId="33F60D67">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南昌县城市建设投资发展有限公司在以往年度收支基础上综合考虑适度增长因素，合理预测了2025年的收入、支出，各年现金流入及现金流出均保持了稳定的增长，且保持了各年现金结余的总体增长。</w:t>
      </w:r>
    </w:p>
    <w:p w14:paraId="387F4FD9">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13" w:name="_Toc26123"/>
      <w:r>
        <w:rPr>
          <w:rFonts w:hint="eastAsia" w:ascii="微软雅黑" w:hAnsi="微软雅黑" w:eastAsia="微软雅黑" w:cs="微软雅黑"/>
          <w:b w:val="0"/>
          <w:bCs w:val="0"/>
          <w:color w:val="000000"/>
          <w:kern w:val="2"/>
          <w:sz w:val="30"/>
          <w:szCs w:val="30"/>
          <w:highlight w:val="none"/>
          <w:lang w:val="en-US"/>
        </w:rPr>
        <w:t>（二）项目运营成本测算</w:t>
      </w:r>
      <w:bookmarkEnd w:id="113"/>
    </w:p>
    <w:p w14:paraId="64394D5F">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1、运营成本</w:t>
      </w:r>
    </w:p>
    <w:p w14:paraId="2E2F1E72">
      <w:pPr>
        <w:pStyle w:val="20"/>
        <w:spacing w:before="0" w:beforeAutospacing="0" w:after="156" w:afterLines="50" w:afterAutospacing="0" w:line="360" w:lineRule="auto"/>
        <w:ind w:firstLine="560" w:firstLineChars="200"/>
        <w:jc w:val="both"/>
        <w:rPr>
          <w:rFonts w:hint="default"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 xml:space="preserve">   无</w:t>
      </w:r>
    </w:p>
    <w:p w14:paraId="47AE389E">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2、财务费用</w:t>
      </w:r>
    </w:p>
    <w:p w14:paraId="23B88A1A">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拟发行冈上镇综合安置房（城市棚户区改造）项目地方政府专项债券以满足项目投资需求，债券计划在2024年发行，年利率按照3.9%计算。根据债券发行计划及利率计算每年财务费用。按照债券发行要求，专项债券每年偿还债券利息，到期一次性偿还本金。</w:t>
      </w:r>
    </w:p>
    <w:p w14:paraId="1151FD84">
      <w:pPr>
        <w:pStyle w:val="5"/>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20" w:lineRule="exact"/>
        <w:ind w:firstLine="600"/>
        <w:jc w:val="both"/>
        <w:textAlignment w:val="auto"/>
        <w:rPr>
          <w:rFonts w:hint="eastAsia" w:ascii="微软雅黑" w:hAnsi="微软雅黑" w:eastAsia="微软雅黑" w:cs="微软雅黑"/>
          <w:b w:val="0"/>
          <w:bCs w:val="0"/>
          <w:color w:val="000000"/>
          <w:kern w:val="2"/>
          <w:sz w:val="30"/>
          <w:szCs w:val="30"/>
          <w:highlight w:val="none"/>
          <w:lang w:val="en-US"/>
        </w:rPr>
      </w:pPr>
      <w:bookmarkStart w:id="114" w:name="_Toc24734"/>
      <w:r>
        <w:rPr>
          <w:rFonts w:hint="eastAsia" w:ascii="微软雅黑" w:hAnsi="微软雅黑" w:eastAsia="微软雅黑" w:cs="微软雅黑"/>
          <w:b w:val="0"/>
          <w:bCs w:val="0"/>
          <w:color w:val="000000"/>
          <w:kern w:val="2"/>
          <w:sz w:val="30"/>
          <w:szCs w:val="30"/>
          <w:highlight w:val="none"/>
          <w:lang w:val="en-US"/>
        </w:rPr>
        <w:t>（三）项目资金测算平衡表</w:t>
      </w:r>
      <w:bookmarkEnd w:id="114"/>
    </w:p>
    <w:p w14:paraId="52CBCA49">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1．本期债券调整项目应付本息情况</w:t>
      </w:r>
    </w:p>
    <w:p w14:paraId="2B2D704F">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南昌县城市建设投资发展有限公司组织申报发行南昌市冈上镇综合安置房（城市棚户区改造）项目专项债券项目的总投资额29,306.03万元。计划发行专项债券金额23,000.00万元，其中4,450.00万元由2022年江西省高质量发展补短板专项债券（十二期）——2022年江西省政府专项债券（二十期）调整至本项目，2023年已发行6,110.00万元，2024年本期发行 1,950.00 ，发行期限为7年。2025年发行 10,490.00 万元。根据目前7年期国债利率3.0075%,从客观、谨慎角度出发，2024年债券年利率取3.90%,发行费率暂按照0.10%测算，据此预计专项债券利息合计为5,692.12万元，预计发行费用为18.55万元。</w:t>
      </w:r>
    </w:p>
    <w:p w14:paraId="0A6ACBBD">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按照该项目专项债券发行计划，每年支付一次利息，到期一次还本，本项目专项债券还本付息情况如下表所示：</w:t>
      </w:r>
    </w:p>
    <w:p w14:paraId="535073DD">
      <w:pPr>
        <w:jc w:val="center"/>
        <w:rPr>
          <w:rFonts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w:t>
      </w:r>
      <w:r>
        <w:rPr>
          <w:rFonts w:hint="eastAsia" w:ascii="宋体" w:hAnsi="宋体"/>
          <w:b/>
          <w:color w:val="000000" w:themeColor="text1"/>
          <w:szCs w:val="24"/>
          <w14:textFill>
            <w14:solidFill>
              <w14:schemeClr w14:val="tx1"/>
            </w14:solidFill>
          </w14:textFill>
        </w:rPr>
        <w:t xml:space="preserve"> </w:t>
      </w:r>
      <w:r>
        <w:rPr>
          <w:rFonts w:ascii="宋体" w:hAnsi="宋体"/>
          <w:b/>
          <w:color w:val="000000" w:themeColor="text1"/>
          <w:szCs w:val="24"/>
          <w14:textFill>
            <w14:solidFill>
              <w14:schemeClr w14:val="tx1"/>
            </w14:solidFill>
          </w14:textFill>
        </w:rPr>
        <w:t xml:space="preserve"> 2022</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2031</w:t>
      </w:r>
      <w:r>
        <w:rPr>
          <w:rFonts w:hint="eastAsia" w:ascii="宋体" w:hAnsi="宋体" w:cs="仿宋"/>
          <w:b/>
          <w:color w:val="000000" w:themeColor="text1"/>
          <w:szCs w:val="24"/>
          <w14:textFill>
            <w14:solidFill>
              <w14:schemeClr w14:val="tx1"/>
            </w14:solidFill>
          </w14:textFill>
        </w:rPr>
        <w:t>年专项债券还本付息情况预测表</w:t>
      </w:r>
    </w:p>
    <w:p w14:paraId="7562767C">
      <w:pPr>
        <w:jc w:val="right"/>
        <w:rPr>
          <w:rFonts w:ascii="宋体" w:hAnsi="宋体" w:cs="仿宋"/>
          <w:color w:val="000000" w:themeColor="text1"/>
          <w:sz w:val="18"/>
          <w:szCs w:val="18"/>
          <w14:textFill>
            <w14:solidFill>
              <w14:schemeClr w14:val="tx1"/>
            </w14:solidFill>
          </w14:textFill>
        </w:rPr>
      </w:pPr>
      <w:r>
        <w:rPr>
          <w:rFonts w:hint="eastAsia" w:ascii="宋体" w:hAnsi="宋体" w:cs="仿宋"/>
          <w:color w:val="000000" w:themeColor="text1"/>
          <w:sz w:val="18"/>
          <w:szCs w:val="18"/>
          <w14:textFill>
            <w14:solidFill>
              <w14:schemeClr w14:val="tx1"/>
            </w14:solidFill>
          </w14:textFill>
        </w:rPr>
        <w:t>单位：万元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345"/>
        <w:gridCol w:w="1418"/>
        <w:gridCol w:w="1036"/>
        <w:gridCol w:w="1198"/>
        <w:gridCol w:w="1277"/>
        <w:gridCol w:w="1448"/>
      </w:tblGrid>
      <w:tr w14:paraId="6D6E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573" w:type="pct"/>
            <w:shd w:val="clear" w:color="auto" w:fill="auto"/>
            <w:vAlign w:val="center"/>
          </w:tcPr>
          <w:p w14:paraId="0E4E125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771" w:type="pct"/>
            <w:shd w:val="clear" w:color="auto" w:fill="auto"/>
            <w:vAlign w:val="center"/>
          </w:tcPr>
          <w:p w14:paraId="171C4DE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813" w:type="pct"/>
            <w:shd w:val="clear" w:color="auto" w:fill="auto"/>
            <w:vAlign w:val="center"/>
          </w:tcPr>
          <w:p w14:paraId="6214F8B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594" w:type="pct"/>
            <w:shd w:val="clear" w:color="auto" w:fill="auto"/>
            <w:vAlign w:val="center"/>
          </w:tcPr>
          <w:p w14:paraId="5AFEC76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687" w:type="pct"/>
            <w:shd w:val="clear" w:color="auto" w:fill="auto"/>
            <w:vAlign w:val="center"/>
          </w:tcPr>
          <w:p w14:paraId="7563DAF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732" w:type="pct"/>
            <w:shd w:val="clear" w:color="auto" w:fill="auto"/>
            <w:vAlign w:val="center"/>
          </w:tcPr>
          <w:p w14:paraId="774BF34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830" w:type="pct"/>
            <w:shd w:val="clear" w:color="auto" w:fill="auto"/>
            <w:vAlign w:val="center"/>
          </w:tcPr>
          <w:p w14:paraId="5F84383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38FD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7AC5D0D2">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2023年</w:t>
            </w:r>
          </w:p>
        </w:tc>
        <w:tc>
          <w:tcPr>
            <w:tcW w:w="1310" w:type="dxa"/>
            <w:shd w:val="clear" w:color="auto" w:fill="auto"/>
            <w:vAlign w:val="center"/>
          </w:tcPr>
          <w:p w14:paraId="1C506D64">
            <w:pPr>
              <w:widowControl/>
              <w:spacing w:after="0" w:line="240" w:lineRule="auto"/>
              <w:jc w:val="center"/>
              <w:rPr>
                <w:rFonts w:hint="eastAsia" w:ascii="宋体" w:hAnsi="宋体"/>
                <w:color w:val="000000"/>
                <w:kern w:val="0"/>
                <w:sz w:val="18"/>
                <w:szCs w:val="18"/>
                <w:lang w:bidi="ar"/>
              </w:rPr>
            </w:pPr>
            <w:r>
              <w:rPr>
                <w:rFonts w:hint="eastAsia" w:ascii="宋体" w:hAnsi="宋体"/>
                <w:color w:val="000000"/>
                <w:kern w:val="0"/>
                <w:sz w:val="18"/>
                <w:szCs w:val="18"/>
                <w:lang w:val="en-US" w:eastAsia="zh-CN" w:bidi="ar"/>
              </w:rPr>
              <w:t xml:space="preserve"> -   </w:t>
            </w:r>
          </w:p>
        </w:tc>
        <w:tc>
          <w:tcPr>
            <w:tcW w:w="1381" w:type="dxa"/>
            <w:shd w:val="clear" w:color="auto" w:fill="auto"/>
            <w:vAlign w:val="center"/>
          </w:tcPr>
          <w:p w14:paraId="3D924C85">
            <w:pPr>
              <w:widowControl/>
              <w:spacing w:after="0" w:line="240" w:lineRule="auto"/>
              <w:jc w:val="center"/>
              <w:rPr>
                <w:rFonts w:hint="eastAsia" w:ascii="宋体" w:hAnsi="宋体"/>
                <w:color w:val="000000"/>
                <w:kern w:val="0"/>
                <w:sz w:val="18"/>
                <w:szCs w:val="18"/>
                <w:lang w:bidi="ar"/>
              </w:rPr>
            </w:pPr>
            <w:r>
              <w:rPr>
                <w:rFonts w:hint="eastAsia" w:ascii="宋体" w:hAnsi="宋体"/>
                <w:color w:val="000000"/>
                <w:kern w:val="0"/>
                <w:sz w:val="18"/>
                <w:szCs w:val="18"/>
                <w:lang w:val="en-US" w:eastAsia="zh-CN" w:bidi="ar"/>
              </w:rPr>
              <w:t xml:space="preserve"> 6,110.00 </w:t>
            </w:r>
          </w:p>
        </w:tc>
        <w:tc>
          <w:tcPr>
            <w:tcW w:w="1009" w:type="dxa"/>
            <w:shd w:val="clear" w:color="auto" w:fill="auto"/>
            <w:vAlign w:val="center"/>
          </w:tcPr>
          <w:p w14:paraId="5FEC6375">
            <w:pPr>
              <w:widowControl/>
              <w:spacing w:after="0" w:line="240" w:lineRule="auto"/>
              <w:jc w:val="center"/>
              <w:rPr>
                <w:rFonts w:hint="eastAsia" w:ascii="宋体" w:hAnsi="宋体"/>
                <w:color w:val="000000"/>
                <w:kern w:val="0"/>
                <w:sz w:val="18"/>
                <w:szCs w:val="18"/>
                <w:lang w:bidi="ar"/>
              </w:rPr>
            </w:pPr>
            <w:r>
              <w:rPr>
                <w:rFonts w:hint="eastAsia" w:ascii="宋体" w:hAnsi="宋体"/>
                <w:color w:val="000000"/>
                <w:kern w:val="0"/>
                <w:sz w:val="18"/>
                <w:szCs w:val="18"/>
                <w:lang w:val="en-US" w:eastAsia="zh-CN" w:bidi="ar"/>
              </w:rPr>
              <w:t xml:space="preserve"> 6.11 </w:t>
            </w:r>
          </w:p>
        </w:tc>
        <w:tc>
          <w:tcPr>
            <w:tcW w:w="1167" w:type="dxa"/>
            <w:shd w:val="clear" w:color="auto" w:fill="auto"/>
            <w:vAlign w:val="center"/>
          </w:tcPr>
          <w:p w14:paraId="7E45F18C">
            <w:pPr>
              <w:widowControl/>
              <w:spacing w:after="0" w:line="240" w:lineRule="auto"/>
              <w:jc w:val="center"/>
              <w:rPr>
                <w:rFonts w:hint="eastAsia" w:ascii="宋体" w:hAnsi="宋体"/>
                <w:color w:val="000000"/>
                <w:kern w:val="0"/>
                <w:sz w:val="18"/>
                <w:szCs w:val="18"/>
                <w:lang w:bidi="ar"/>
              </w:rPr>
            </w:pPr>
            <w:r>
              <w:rPr>
                <w:rFonts w:hint="eastAsia" w:ascii="宋体" w:hAnsi="宋体"/>
                <w:color w:val="000000"/>
                <w:kern w:val="0"/>
                <w:sz w:val="18"/>
                <w:szCs w:val="18"/>
                <w:lang w:val="en-US" w:eastAsia="zh-CN" w:bidi="ar"/>
              </w:rPr>
              <w:t xml:space="preserve"> -   </w:t>
            </w:r>
          </w:p>
        </w:tc>
        <w:tc>
          <w:tcPr>
            <w:tcW w:w="1244" w:type="dxa"/>
            <w:shd w:val="clear" w:color="auto" w:fill="auto"/>
            <w:vAlign w:val="center"/>
          </w:tcPr>
          <w:p w14:paraId="04D958A5">
            <w:pPr>
              <w:widowControl/>
              <w:spacing w:after="0" w:line="240" w:lineRule="auto"/>
              <w:jc w:val="center"/>
              <w:rPr>
                <w:rFonts w:hint="eastAsia" w:ascii="宋体" w:hAnsi="宋体"/>
                <w:color w:val="000000"/>
                <w:kern w:val="0"/>
                <w:sz w:val="18"/>
                <w:szCs w:val="18"/>
                <w:lang w:bidi="ar"/>
              </w:rPr>
            </w:pPr>
          </w:p>
        </w:tc>
        <w:tc>
          <w:tcPr>
            <w:tcW w:w="1410" w:type="dxa"/>
            <w:shd w:val="clear" w:color="auto" w:fill="auto"/>
            <w:vAlign w:val="center"/>
          </w:tcPr>
          <w:p w14:paraId="61ED9251">
            <w:pPr>
              <w:widowControl/>
              <w:spacing w:after="0" w:line="240" w:lineRule="auto"/>
              <w:jc w:val="center"/>
              <w:rPr>
                <w:rFonts w:hint="eastAsia" w:ascii="宋体" w:hAnsi="宋体"/>
                <w:color w:val="000000"/>
                <w:kern w:val="0"/>
                <w:sz w:val="18"/>
                <w:szCs w:val="18"/>
                <w:lang w:bidi="ar"/>
              </w:rPr>
            </w:pPr>
            <w:r>
              <w:rPr>
                <w:rFonts w:hint="eastAsia" w:ascii="宋体" w:hAnsi="宋体"/>
                <w:color w:val="000000"/>
                <w:kern w:val="0"/>
                <w:sz w:val="18"/>
                <w:szCs w:val="18"/>
                <w:lang w:val="en-US" w:eastAsia="zh-CN" w:bidi="ar"/>
              </w:rPr>
              <w:t xml:space="preserve"> 6,110.00 </w:t>
            </w:r>
          </w:p>
        </w:tc>
      </w:tr>
      <w:tr w14:paraId="0B74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54D4BFEE">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2024年本次调整</w:t>
            </w:r>
          </w:p>
        </w:tc>
        <w:tc>
          <w:tcPr>
            <w:tcW w:w="1310" w:type="dxa"/>
            <w:shd w:val="clear" w:color="auto" w:fill="auto"/>
            <w:vAlign w:val="center"/>
          </w:tcPr>
          <w:p w14:paraId="4A625CB7">
            <w:pPr>
              <w:jc w:val="center"/>
              <w:rPr>
                <w:rFonts w:hint="eastAsia" w:ascii="宋体" w:hAnsi="宋体" w:eastAsia="宋体" w:cs="Times New Roman"/>
                <w:color w:val="000000"/>
                <w:kern w:val="0"/>
                <w:sz w:val="18"/>
                <w:szCs w:val="18"/>
                <w:lang w:val="en-US" w:eastAsia="zh-CN" w:bidi="ar"/>
              </w:rPr>
            </w:pPr>
          </w:p>
        </w:tc>
        <w:tc>
          <w:tcPr>
            <w:tcW w:w="1381" w:type="dxa"/>
            <w:shd w:val="clear" w:color="auto" w:fill="auto"/>
            <w:vAlign w:val="center"/>
          </w:tcPr>
          <w:p w14:paraId="51E53541">
            <w:pPr>
              <w:keepNext w:val="0"/>
              <w:keepLines w:val="0"/>
              <w:widowControl/>
              <w:suppressLineNumbers w:val="0"/>
              <w:jc w:val="center"/>
              <w:textAlignment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4,450.00 </w:t>
            </w:r>
          </w:p>
        </w:tc>
        <w:tc>
          <w:tcPr>
            <w:tcW w:w="1009" w:type="dxa"/>
            <w:shd w:val="clear" w:color="auto" w:fill="auto"/>
            <w:vAlign w:val="center"/>
          </w:tcPr>
          <w:p w14:paraId="660DFD47">
            <w:pPr>
              <w:keepNext w:val="0"/>
              <w:keepLines w:val="0"/>
              <w:widowControl/>
              <w:suppressLineNumbers w:val="0"/>
              <w:jc w:val="center"/>
              <w:textAlignment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4.45 </w:t>
            </w:r>
          </w:p>
        </w:tc>
        <w:tc>
          <w:tcPr>
            <w:tcW w:w="1167" w:type="dxa"/>
            <w:shd w:val="clear" w:color="auto" w:fill="auto"/>
            <w:vAlign w:val="center"/>
          </w:tcPr>
          <w:p w14:paraId="157D5B3D">
            <w:pPr>
              <w:jc w:val="center"/>
              <w:rPr>
                <w:rFonts w:hint="eastAsia" w:ascii="宋体" w:hAnsi="宋体" w:eastAsia="宋体" w:cs="Times New Roman"/>
                <w:color w:val="000000"/>
                <w:kern w:val="0"/>
                <w:sz w:val="18"/>
                <w:szCs w:val="18"/>
                <w:lang w:val="en-US" w:eastAsia="zh-CN" w:bidi="ar"/>
              </w:rPr>
            </w:pPr>
          </w:p>
        </w:tc>
        <w:tc>
          <w:tcPr>
            <w:tcW w:w="1244" w:type="dxa"/>
            <w:shd w:val="clear" w:color="auto" w:fill="auto"/>
            <w:vAlign w:val="center"/>
          </w:tcPr>
          <w:p w14:paraId="45601EA3">
            <w:pPr>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1DBEDA5D">
            <w:pPr>
              <w:keepNext w:val="0"/>
              <w:keepLines w:val="0"/>
              <w:widowControl/>
              <w:suppressLineNumbers w:val="0"/>
              <w:jc w:val="center"/>
              <w:textAlignment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18,850.00 </w:t>
            </w:r>
          </w:p>
        </w:tc>
      </w:tr>
      <w:tr w14:paraId="7395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2DCB86C6">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2024年</w:t>
            </w:r>
          </w:p>
        </w:tc>
        <w:tc>
          <w:tcPr>
            <w:tcW w:w="1310" w:type="dxa"/>
            <w:shd w:val="clear" w:color="auto" w:fill="auto"/>
            <w:vAlign w:val="center"/>
          </w:tcPr>
          <w:p w14:paraId="6D088856">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6,110.00 </w:t>
            </w:r>
          </w:p>
        </w:tc>
        <w:tc>
          <w:tcPr>
            <w:tcW w:w="1381" w:type="dxa"/>
            <w:shd w:val="clear" w:color="auto" w:fill="auto"/>
            <w:vAlign w:val="center"/>
          </w:tcPr>
          <w:p w14:paraId="6BB8896E">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1,950.00 </w:t>
            </w:r>
          </w:p>
        </w:tc>
        <w:tc>
          <w:tcPr>
            <w:tcW w:w="1009" w:type="dxa"/>
            <w:shd w:val="clear" w:color="auto" w:fill="auto"/>
            <w:vAlign w:val="center"/>
          </w:tcPr>
          <w:p w14:paraId="0C4D4A98">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1.95 </w:t>
            </w:r>
          </w:p>
        </w:tc>
        <w:tc>
          <w:tcPr>
            <w:tcW w:w="1167" w:type="dxa"/>
            <w:shd w:val="clear" w:color="auto" w:fill="auto"/>
            <w:vAlign w:val="center"/>
          </w:tcPr>
          <w:p w14:paraId="18021EDC">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170.47 </w:t>
            </w:r>
          </w:p>
        </w:tc>
        <w:tc>
          <w:tcPr>
            <w:tcW w:w="1244" w:type="dxa"/>
            <w:shd w:val="clear" w:color="auto" w:fill="auto"/>
            <w:vAlign w:val="center"/>
          </w:tcPr>
          <w:p w14:paraId="5A8CBBF2">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300AB89F">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8,060.00 </w:t>
            </w:r>
          </w:p>
        </w:tc>
      </w:tr>
      <w:tr w14:paraId="45FE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758D374F">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2025年</w:t>
            </w:r>
          </w:p>
        </w:tc>
        <w:tc>
          <w:tcPr>
            <w:tcW w:w="1310" w:type="dxa"/>
            <w:shd w:val="clear" w:color="auto" w:fill="auto"/>
            <w:vAlign w:val="center"/>
          </w:tcPr>
          <w:p w14:paraId="5C134B3C">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8,060.00 </w:t>
            </w:r>
          </w:p>
        </w:tc>
        <w:tc>
          <w:tcPr>
            <w:tcW w:w="1381" w:type="dxa"/>
            <w:shd w:val="clear" w:color="auto" w:fill="auto"/>
            <w:vAlign w:val="center"/>
          </w:tcPr>
          <w:p w14:paraId="7CF411F1">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10,490.00 </w:t>
            </w:r>
          </w:p>
        </w:tc>
        <w:tc>
          <w:tcPr>
            <w:tcW w:w="1009" w:type="dxa"/>
            <w:shd w:val="clear" w:color="auto" w:fill="auto"/>
            <w:vAlign w:val="center"/>
          </w:tcPr>
          <w:p w14:paraId="2635BF66">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10.49 </w:t>
            </w:r>
          </w:p>
        </w:tc>
        <w:tc>
          <w:tcPr>
            <w:tcW w:w="1167" w:type="dxa"/>
            <w:shd w:val="clear" w:color="auto" w:fill="auto"/>
            <w:vAlign w:val="center"/>
          </w:tcPr>
          <w:p w14:paraId="73D4FB90">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404.05 </w:t>
            </w:r>
          </w:p>
        </w:tc>
        <w:tc>
          <w:tcPr>
            <w:tcW w:w="1244" w:type="dxa"/>
            <w:shd w:val="clear" w:color="auto" w:fill="auto"/>
            <w:vAlign w:val="center"/>
          </w:tcPr>
          <w:p w14:paraId="3C369E02">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208F5A8A">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r>
      <w:tr w14:paraId="1E0D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62F355B9">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2026年</w:t>
            </w:r>
          </w:p>
        </w:tc>
        <w:tc>
          <w:tcPr>
            <w:tcW w:w="1310" w:type="dxa"/>
            <w:shd w:val="clear" w:color="auto" w:fill="auto"/>
            <w:vAlign w:val="center"/>
          </w:tcPr>
          <w:p w14:paraId="7F459539">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c>
          <w:tcPr>
            <w:tcW w:w="1381" w:type="dxa"/>
            <w:shd w:val="clear" w:color="auto" w:fill="auto"/>
            <w:vAlign w:val="center"/>
          </w:tcPr>
          <w:p w14:paraId="59ECBC0C">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11EBFCA2">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0A85C567">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813.16 </w:t>
            </w:r>
          </w:p>
        </w:tc>
        <w:tc>
          <w:tcPr>
            <w:tcW w:w="1244" w:type="dxa"/>
            <w:shd w:val="clear" w:color="auto" w:fill="auto"/>
            <w:vAlign w:val="center"/>
          </w:tcPr>
          <w:p w14:paraId="1F971880">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7BE06925">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r>
      <w:tr w14:paraId="37EE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51B363A0">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2027年</w:t>
            </w:r>
          </w:p>
        </w:tc>
        <w:tc>
          <w:tcPr>
            <w:tcW w:w="1310" w:type="dxa"/>
            <w:shd w:val="clear" w:color="auto" w:fill="auto"/>
            <w:vAlign w:val="center"/>
          </w:tcPr>
          <w:p w14:paraId="45BFFFC7">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c>
          <w:tcPr>
            <w:tcW w:w="1381" w:type="dxa"/>
            <w:shd w:val="clear" w:color="auto" w:fill="auto"/>
            <w:vAlign w:val="center"/>
          </w:tcPr>
          <w:p w14:paraId="225D3857">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290CC0D5">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1CB39828">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813.16 </w:t>
            </w:r>
          </w:p>
        </w:tc>
        <w:tc>
          <w:tcPr>
            <w:tcW w:w="1244" w:type="dxa"/>
            <w:shd w:val="clear" w:color="auto" w:fill="auto"/>
            <w:vAlign w:val="center"/>
          </w:tcPr>
          <w:p w14:paraId="1ACD4FB4">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4738519B">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r>
      <w:tr w14:paraId="358F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289857D6">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2028年</w:t>
            </w:r>
          </w:p>
        </w:tc>
        <w:tc>
          <w:tcPr>
            <w:tcW w:w="1310" w:type="dxa"/>
            <w:shd w:val="clear" w:color="auto" w:fill="auto"/>
            <w:vAlign w:val="center"/>
          </w:tcPr>
          <w:p w14:paraId="3C8914E8">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c>
          <w:tcPr>
            <w:tcW w:w="1381" w:type="dxa"/>
            <w:shd w:val="clear" w:color="auto" w:fill="auto"/>
            <w:vAlign w:val="center"/>
          </w:tcPr>
          <w:p w14:paraId="6F6DEB7A">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22635E5F">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41CA00AF">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813.16 </w:t>
            </w:r>
          </w:p>
        </w:tc>
        <w:tc>
          <w:tcPr>
            <w:tcW w:w="1244" w:type="dxa"/>
            <w:shd w:val="clear" w:color="auto" w:fill="auto"/>
            <w:vAlign w:val="center"/>
          </w:tcPr>
          <w:p w14:paraId="63607F4A">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1AA03090">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r>
      <w:tr w14:paraId="23C5D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9867FDB">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2029年</w:t>
            </w:r>
          </w:p>
        </w:tc>
        <w:tc>
          <w:tcPr>
            <w:tcW w:w="1310" w:type="dxa"/>
            <w:shd w:val="clear" w:color="auto" w:fill="auto"/>
            <w:vAlign w:val="center"/>
          </w:tcPr>
          <w:p w14:paraId="637AC674">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c>
          <w:tcPr>
            <w:tcW w:w="1381" w:type="dxa"/>
            <w:shd w:val="clear" w:color="auto" w:fill="auto"/>
            <w:vAlign w:val="center"/>
          </w:tcPr>
          <w:p w14:paraId="0CC6391A">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2C8C5FD3">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474C7D7D">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813.16 </w:t>
            </w:r>
          </w:p>
        </w:tc>
        <w:tc>
          <w:tcPr>
            <w:tcW w:w="1244" w:type="dxa"/>
            <w:shd w:val="clear" w:color="auto" w:fill="auto"/>
            <w:vAlign w:val="center"/>
          </w:tcPr>
          <w:p w14:paraId="720F7913">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410" w:type="dxa"/>
            <w:shd w:val="clear" w:color="auto" w:fill="auto"/>
            <w:vAlign w:val="center"/>
          </w:tcPr>
          <w:p w14:paraId="3D4F3246">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r>
      <w:tr w14:paraId="68B1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611DF3CE">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2030年</w:t>
            </w:r>
          </w:p>
        </w:tc>
        <w:tc>
          <w:tcPr>
            <w:tcW w:w="1310" w:type="dxa"/>
            <w:shd w:val="clear" w:color="auto" w:fill="auto"/>
            <w:vAlign w:val="center"/>
          </w:tcPr>
          <w:p w14:paraId="33253E15">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23,000.00 </w:t>
            </w:r>
          </w:p>
        </w:tc>
        <w:tc>
          <w:tcPr>
            <w:tcW w:w="1381" w:type="dxa"/>
            <w:shd w:val="clear" w:color="auto" w:fill="auto"/>
            <w:vAlign w:val="center"/>
          </w:tcPr>
          <w:p w14:paraId="39B19D4F">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027F703F">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4295AD15">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813.16 </w:t>
            </w:r>
          </w:p>
        </w:tc>
        <w:tc>
          <w:tcPr>
            <w:tcW w:w="1244" w:type="dxa"/>
            <w:shd w:val="clear" w:color="auto" w:fill="auto"/>
            <w:vAlign w:val="center"/>
          </w:tcPr>
          <w:p w14:paraId="52FC411C">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6,110.00 </w:t>
            </w:r>
          </w:p>
        </w:tc>
        <w:tc>
          <w:tcPr>
            <w:tcW w:w="1410" w:type="dxa"/>
            <w:shd w:val="clear" w:color="auto" w:fill="auto"/>
            <w:vAlign w:val="center"/>
          </w:tcPr>
          <w:p w14:paraId="70AD8C6A">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16,890.00 </w:t>
            </w:r>
          </w:p>
        </w:tc>
      </w:tr>
      <w:tr w14:paraId="24A3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5AB7AEBF">
            <w:pPr>
              <w:widowControl/>
              <w:spacing w:after="0" w:line="240" w:lineRule="auto"/>
              <w:jc w:val="center"/>
              <w:rPr>
                <w:rFonts w:ascii="宋体" w:hAnsi="宋体"/>
                <w:color w:val="000000"/>
                <w:kern w:val="0"/>
                <w:sz w:val="18"/>
                <w:szCs w:val="18"/>
                <w:lang w:bidi="ar"/>
              </w:rPr>
            </w:pPr>
            <w:r>
              <w:rPr>
                <w:rFonts w:hint="eastAsia" w:ascii="宋体" w:hAnsi="宋体"/>
                <w:color w:val="000000"/>
                <w:kern w:val="0"/>
                <w:sz w:val="18"/>
                <w:szCs w:val="18"/>
                <w:lang w:bidi="ar"/>
              </w:rPr>
              <w:t>2031年</w:t>
            </w:r>
          </w:p>
        </w:tc>
        <w:tc>
          <w:tcPr>
            <w:tcW w:w="1310" w:type="dxa"/>
            <w:shd w:val="clear" w:color="auto" w:fill="auto"/>
            <w:vAlign w:val="center"/>
          </w:tcPr>
          <w:p w14:paraId="706D55DC">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16,890.00 </w:t>
            </w:r>
          </w:p>
        </w:tc>
        <w:tc>
          <w:tcPr>
            <w:tcW w:w="1381" w:type="dxa"/>
            <w:shd w:val="clear" w:color="auto" w:fill="auto"/>
            <w:vAlign w:val="center"/>
          </w:tcPr>
          <w:p w14:paraId="42F16777">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3AFC43FC">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0AF68AA8">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642.69 </w:t>
            </w:r>
          </w:p>
        </w:tc>
        <w:tc>
          <w:tcPr>
            <w:tcW w:w="1244" w:type="dxa"/>
            <w:shd w:val="clear" w:color="auto" w:fill="auto"/>
            <w:vAlign w:val="center"/>
          </w:tcPr>
          <w:p w14:paraId="14E9FC44">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6,400.00 </w:t>
            </w:r>
          </w:p>
        </w:tc>
        <w:tc>
          <w:tcPr>
            <w:tcW w:w="1410" w:type="dxa"/>
            <w:shd w:val="clear" w:color="auto" w:fill="auto"/>
            <w:vAlign w:val="center"/>
          </w:tcPr>
          <w:p w14:paraId="7B3D71A7">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10,490.00 </w:t>
            </w:r>
          </w:p>
        </w:tc>
      </w:tr>
      <w:tr w14:paraId="2874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573" w:type="pct"/>
            <w:shd w:val="clear" w:color="auto" w:fill="auto"/>
            <w:vAlign w:val="center"/>
          </w:tcPr>
          <w:p w14:paraId="30C63021">
            <w:pPr>
              <w:widowControl/>
              <w:spacing w:after="0" w:line="240" w:lineRule="auto"/>
              <w:jc w:val="center"/>
              <w:rPr>
                <w:rFonts w:hint="default" w:ascii="宋体" w:hAnsi="宋体" w:eastAsia="宋体"/>
                <w:color w:val="000000"/>
                <w:kern w:val="0"/>
                <w:sz w:val="18"/>
                <w:szCs w:val="18"/>
                <w:lang w:val="en-US" w:eastAsia="zh-CN" w:bidi="ar"/>
              </w:rPr>
            </w:pPr>
            <w:r>
              <w:rPr>
                <w:rFonts w:hint="eastAsia" w:ascii="宋体" w:hAnsi="宋体"/>
                <w:color w:val="000000"/>
                <w:kern w:val="0"/>
                <w:sz w:val="18"/>
                <w:szCs w:val="18"/>
                <w:lang w:val="en-US" w:eastAsia="zh-CN" w:bidi="ar"/>
              </w:rPr>
              <w:t>2032年</w:t>
            </w:r>
          </w:p>
        </w:tc>
        <w:tc>
          <w:tcPr>
            <w:tcW w:w="1310" w:type="dxa"/>
            <w:shd w:val="clear" w:color="auto" w:fill="auto"/>
            <w:vAlign w:val="center"/>
          </w:tcPr>
          <w:p w14:paraId="0FC8F611">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10,490.00 </w:t>
            </w:r>
          </w:p>
        </w:tc>
        <w:tc>
          <w:tcPr>
            <w:tcW w:w="1381" w:type="dxa"/>
            <w:shd w:val="clear" w:color="auto" w:fill="auto"/>
            <w:vAlign w:val="center"/>
          </w:tcPr>
          <w:p w14:paraId="6EE4E1B2">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009" w:type="dxa"/>
            <w:shd w:val="clear" w:color="auto" w:fill="auto"/>
            <w:vAlign w:val="center"/>
          </w:tcPr>
          <w:p w14:paraId="2BAEDA76">
            <w:pPr>
              <w:widowControl/>
              <w:spacing w:after="0" w:line="240" w:lineRule="auto"/>
              <w:jc w:val="center"/>
              <w:rPr>
                <w:rFonts w:hint="eastAsia" w:ascii="宋体" w:hAnsi="宋体" w:eastAsia="宋体" w:cs="Times New Roman"/>
                <w:color w:val="000000"/>
                <w:kern w:val="0"/>
                <w:sz w:val="18"/>
                <w:szCs w:val="18"/>
                <w:lang w:val="en-US" w:eastAsia="zh-CN" w:bidi="ar"/>
              </w:rPr>
            </w:pPr>
          </w:p>
        </w:tc>
        <w:tc>
          <w:tcPr>
            <w:tcW w:w="1167" w:type="dxa"/>
            <w:shd w:val="clear" w:color="auto" w:fill="auto"/>
            <w:vAlign w:val="center"/>
          </w:tcPr>
          <w:p w14:paraId="76A0CE13">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409.11 </w:t>
            </w:r>
          </w:p>
        </w:tc>
        <w:tc>
          <w:tcPr>
            <w:tcW w:w="1244" w:type="dxa"/>
            <w:shd w:val="clear" w:color="auto" w:fill="auto"/>
            <w:vAlign w:val="center"/>
          </w:tcPr>
          <w:p w14:paraId="14B284B9">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10,490.00 </w:t>
            </w:r>
          </w:p>
        </w:tc>
        <w:tc>
          <w:tcPr>
            <w:tcW w:w="1410" w:type="dxa"/>
            <w:shd w:val="clear" w:color="auto" w:fill="auto"/>
            <w:vAlign w:val="center"/>
          </w:tcPr>
          <w:p w14:paraId="15B3B16E">
            <w:pPr>
              <w:widowControl/>
              <w:spacing w:after="0" w:line="240" w:lineRule="auto"/>
              <w:jc w:val="center"/>
              <w:rPr>
                <w:rFonts w:hint="eastAsia" w:ascii="宋体" w:hAnsi="宋体" w:eastAsia="宋体" w:cs="Times New Roman"/>
                <w:color w:val="000000"/>
                <w:kern w:val="0"/>
                <w:sz w:val="18"/>
                <w:szCs w:val="18"/>
                <w:lang w:val="en-US" w:eastAsia="zh-CN" w:bidi="ar"/>
              </w:rPr>
            </w:pPr>
            <w:r>
              <w:rPr>
                <w:rFonts w:hint="eastAsia" w:ascii="宋体" w:hAnsi="宋体" w:eastAsia="宋体" w:cs="Times New Roman"/>
                <w:color w:val="000000"/>
                <w:kern w:val="0"/>
                <w:sz w:val="18"/>
                <w:szCs w:val="18"/>
                <w:lang w:val="en-US" w:eastAsia="zh-CN" w:bidi="ar"/>
              </w:rPr>
              <w:t xml:space="preserve"> -   </w:t>
            </w:r>
          </w:p>
        </w:tc>
      </w:tr>
      <w:tr w14:paraId="45DB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jc w:val="center"/>
        </w:trPr>
        <w:tc>
          <w:tcPr>
            <w:tcW w:w="573" w:type="pct"/>
            <w:shd w:val="clear" w:color="auto" w:fill="auto"/>
            <w:vAlign w:val="center"/>
          </w:tcPr>
          <w:p w14:paraId="0894D805">
            <w:pPr>
              <w:widowControl/>
              <w:spacing w:after="0" w:line="240" w:lineRule="auto"/>
              <w:jc w:val="center"/>
              <w:rPr>
                <w:rFonts w:ascii="宋体" w:hAnsi="宋体"/>
                <w:b/>
                <w:color w:val="000000"/>
                <w:kern w:val="0"/>
                <w:sz w:val="18"/>
                <w:szCs w:val="18"/>
                <w:lang w:bidi="ar"/>
              </w:rPr>
            </w:pPr>
            <w:r>
              <w:rPr>
                <w:rFonts w:hint="eastAsia" w:ascii="宋体" w:hAnsi="宋体"/>
                <w:b/>
                <w:color w:val="000000"/>
                <w:kern w:val="0"/>
                <w:sz w:val="18"/>
                <w:szCs w:val="18"/>
                <w:lang w:bidi="ar"/>
              </w:rPr>
              <w:t>合计</w:t>
            </w:r>
          </w:p>
        </w:tc>
        <w:tc>
          <w:tcPr>
            <w:tcW w:w="771" w:type="pct"/>
            <w:shd w:val="clear" w:color="auto" w:fill="auto"/>
            <w:vAlign w:val="center"/>
          </w:tcPr>
          <w:p w14:paraId="5A094DE0">
            <w:pPr>
              <w:jc w:val="center"/>
              <w:rPr>
                <w:rFonts w:ascii="宋体" w:hAnsi="宋体"/>
                <w:b/>
                <w:color w:val="000000"/>
                <w:kern w:val="0"/>
                <w:sz w:val="18"/>
                <w:szCs w:val="18"/>
                <w:lang w:bidi="ar"/>
              </w:rPr>
            </w:pPr>
          </w:p>
        </w:tc>
        <w:tc>
          <w:tcPr>
            <w:tcW w:w="813" w:type="pct"/>
            <w:shd w:val="clear" w:color="auto" w:fill="auto"/>
            <w:vAlign w:val="center"/>
          </w:tcPr>
          <w:p w14:paraId="710BDCAC">
            <w:pPr>
              <w:jc w:val="center"/>
              <w:rPr>
                <w:rFonts w:ascii="宋体" w:hAnsi="宋体"/>
                <w:b/>
                <w:color w:val="000000"/>
                <w:kern w:val="0"/>
                <w:sz w:val="18"/>
                <w:szCs w:val="18"/>
                <w:lang w:bidi="ar"/>
              </w:rPr>
            </w:pPr>
            <w:r>
              <w:rPr>
                <w:rFonts w:ascii="宋体" w:hAnsi="宋体"/>
                <w:b/>
                <w:color w:val="000000"/>
                <w:kern w:val="0"/>
                <w:sz w:val="18"/>
                <w:szCs w:val="18"/>
                <w:lang w:bidi="ar"/>
              </w:rPr>
              <w:t>23,000.00</w:t>
            </w:r>
          </w:p>
        </w:tc>
        <w:tc>
          <w:tcPr>
            <w:tcW w:w="594" w:type="pct"/>
            <w:shd w:val="clear" w:color="auto" w:fill="auto"/>
            <w:vAlign w:val="center"/>
          </w:tcPr>
          <w:p w14:paraId="42FE8F7A">
            <w:pPr>
              <w:jc w:val="center"/>
              <w:rPr>
                <w:rFonts w:ascii="宋体" w:hAnsi="宋体"/>
                <w:b/>
                <w:color w:val="000000"/>
                <w:kern w:val="0"/>
                <w:sz w:val="18"/>
                <w:szCs w:val="18"/>
                <w:lang w:bidi="ar"/>
              </w:rPr>
            </w:pPr>
            <w:r>
              <w:rPr>
                <w:rFonts w:ascii="宋体" w:hAnsi="宋体"/>
                <w:b/>
                <w:color w:val="000000"/>
                <w:kern w:val="0"/>
                <w:sz w:val="18"/>
                <w:szCs w:val="18"/>
                <w:lang w:bidi="ar"/>
              </w:rPr>
              <w:t>18.55</w:t>
            </w:r>
          </w:p>
        </w:tc>
        <w:tc>
          <w:tcPr>
            <w:tcW w:w="687" w:type="pct"/>
            <w:shd w:val="clear" w:color="auto" w:fill="auto"/>
            <w:vAlign w:val="center"/>
          </w:tcPr>
          <w:p w14:paraId="07D8CC30">
            <w:pPr>
              <w:jc w:val="center"/>
              <w:rPr>
                <w:rFonts w:ascii="宋体" w:hAnsi="宋体"/>
                <w:b/>
                <w:color w:val="000000"/>
                <w:kern w:val="0"/>
                <w:sz w:val="18"/>
                <w:szCs w:val="18"/>
                <w:lang w:bidi="ar"/>
              </w:rPr>
            </w:pPr>
            <w:r>
              <w:rPr>
                <w:rFonts w:ascii="宋体" w:hAnsi="宋体"/>
                <w:b/>
                <w:color w:val="000000"/>
                <w:kern w:val="0"/>
                <w:sz w:val="18"/>
                <w:szCs w:val="18"/>
                <w:lang w:bidi="ar"/>
              </w:rPr>
              <w:t>5,692.12</w:t>
            </w:r>
          </w:p>
        </w:tc>
        <w:tc>
          <w:tcPr>
            <w:tcW w:w="732" w:type="pct"/>
            <w:shd w:val="clear" w:color="auto" w:fill="auto"/>
            <w:vAlign w:val="center"/>
          </w:tcPr>
          <w:p w14:paraId="676126F1">
            <w:pPr>
              <w:jc w:val="center"/>
              <w:rPr>
                <w:rFonts w:ascii="宋体" w:hAnsi="宋体"/>
                <w:b/>
                <w:color w:val="000000"/>
                <w:kern w:val="0"/>
                <w:sz w:val="18"/>
                <w:szCs w:val="18"/>
                <w:lang w:bidi="ar"/>
              </w:rPr>
            </w:pPr>
            <w:r>
              <w:rPr>
                <w:rFonts w:ascii="宋体" w:hAnsi="宋体"/>
                <w:b/>
                <w:color w:val="000000"/>
                <w:kern w:val="0"/>
                <w:sz w:val="18"/>
                <w:szCs w:val="18"/>
                <w:lang w:bidi="ar"/>
              </w:rPr>
              <w:t>23,000.00</w:t>
            </w:r>
          </w:p>
        </w:tc>
        <w:tc>
          <w:tcPr>
            <w:tcW w:w="830" w:type="pct"/>
            <w:shd w:val="clear" w:color="auto" w:fill="auto"/>
            <w:vAlign w:val="center"/>
          </w:tcPr>
          <w:p w14:paraId="0FD5DBDD">
            <w:pPr>
              <w:jc w:val="center"/>
              <w:rPr>
                <w:rFonts w:ascii="宋体" w:hAnsi="宋体"/>
                <w:b/>
                <w:color w:val="000000"/>
                <w:kern w:val="0"/>
                <w:sz w:val="18"/>
                <w:szCs w:val="18"/>
                <w:lang w:bidi="ar"/>
              </w:rPr>
            </w:pPr>
          </w:p>
        </w:tc>
      </w:tr>
    </w:tbl>
    <w:p w14:paraId="10F34CA7">
      <w:pPr>
        <w:pStyle w:val="20"/>
        <w:spacing w:before="0" w:beforeAutospacing="0" w:after="156" w:afterLines="50" w:afterAutospacing="0" w:line="360" w:lineRule="exact"/>
        <w:ind w:firstLine="360" w:firstLineChars="200"/>
        <w:jc w:val="both"/>
        <w:rPr>
          <w:rFonts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7年</w:t>
      </w:r>
      <w:r>
        <w:rPr>
          <w:rFonts w:hint="eastAsia"/>
          <w:color w:val="000000" w:themeColor="text1"/>
          <w:sz w:val="18"/>
          <w:szCs w:val="18"/>
          <w14:textFill>
            <w14:solidFill>
              <w14:schemeClr w14:val="tx1"/>
            </w14:solidFill>
          </w14:textFill>
        </w:rPr>
        <w:t>期债券分别从债券发行年份（2</w:t>
      </w:r>
      <w:r>
        <w:rPr>
          <w:color w:val="000000" w:themeColor="text1"/>
          <w:sz w:val="18"/>
          <w:szCs w:val="18"/>
          <w14:textFill>
            <w14:solidFill>
              <w14:schemeClr w14:val="tx1"/>
            </w14:solidFill>
          </w14:textFill>
        </w:rPr>
        <w:t>023</w:t>
      </w:r>
      <w:r>
        <w:rPr>
          <w:rFonts w:hint="eastAsia"/>
          <w:color w:val="000000" w:themeColor="text1"/>
          <w:sz w:val="18"/>
          <w:szCs w:val="18"/>
          <w14:textFill>
            <w14:solidFill>
              <w14:schemeClr w14:val="tx1"/>
            </w14:solidFill>
          </w14:textFill>
        </w:rPr>
        <w:t>年）的次年起按照每年支付一次债券利息</w:t>
      </w:r>
      <w:r>
        <w:rPr>
          <w:rFonts w:hint="eastAsia" w:cs="Times New Roman"/>
          <w:color w:val="000000" w:themeColor="text1"/>
          <w:sz w:val="18"/>
          <w:szCs w:val="18"/>
          <w14:textFill>
            <w14:solidFill>
              <w14:schemeClr w14:val="tx1"/>
            </w14:solidFill>
          </w14:textFill>
        </w:rPr>
        <w:t>。</w:t>
      </w:r>
    </w:p>
    <w:p w14:paraId="26BE400E">
      <w:pPr>
        <w:pStyle w:val="20"/>
        <w:spacing w:before="0" w:beforeAutospacing="0" w:after="156" w:afterLines="50" w:afterAutospacing="0" w:line="360" w:lineRule="auto"/>
        <w:ind w:firstLine="560" w:firstLineChars="200"/>
        <w:jc w:val="both"/>
        <w:rPr>
          <w:rFonts w:hint="eastAsia" w:asciiTheme="minorEastAsia" w:hAnsiTheme="minorEastAsia" w:eastAsiaTheme="minorEastAsia" w:cstheme="minorEastAsia"/>
          <w:color w:val="000000"/>
          <w:kern w:val="2"/>
          <w:sz w:val="28"/>
          <w:szCs w:val="28"/>
          <w:highlight w:val="none"/>
          <w:lang w:val="en-US" w:eastAsia="zh-CN" w:bidi="ar-SA"/>
        </w:rPr>
        <w:sectPr>
          <w:pgSz w:w="11906" w:h="16838"/>
          <w:pgMar w:top="1531" w:right="1701" w:bottom="1418" w:left="1701" w:header="851" w:footer="992" w:gutter="0"/>
          <w:pgNumType w:fmt="decimal"/>
          <w:cols w:space="425" w:num="1"/>
          <w:docGrid w:type="linesAndChars" w:linePitch="312" w:charSpace="0"/>
        </w:sectPr>
      </w:pPr>
      <w:r>
        <w:rPr>
          <w:rFonts w:hint="eastAsia" w:asciiTheme="minorEastAsia" w:hAnsiTheme="minorEastAsia" w:eastAsiaTheme="minorEastAsia" w:cstheme="minorEastAsia"/>
          <w:color w:val="000000"/>
          <w:kern w:val="2"/>
          <w:sz w:val="28"/>
          <w:szCs w:val="28"/>
          <w:highlight w:val="none"/>
          <w:lang w:val="en-US" w:eastAsia="zh-CN" w:bidi="ar-SA"/>
        </w:rPr>
        <w:t>2023年江西省南昌市冈上镇综合安置房（城市棚户区改造）项目专项债券项目实施方案资金充足性分析情况具体如下表3-4及图3-1所示：</w:t>
      </w:r>
    </w:p>
    <w:p w14:paraId="07E6CC88">
      <w:pPr>
        <w:pStyle w:val="20"/>
        <w:spacing w:after="156" w:afterLines="50" w:afterAutospacing="0" w:line="360" w:lineRule="exact"/>
        <w:ind w:firstLine="440" w:firstLineChars="20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表3-</w:t>
      </w:r>
      <w:r>
        <w:rPr>
          <w:b/>
          <w:color w:val="000000" w:themeColor="text1"/>
          <w14:textFill>
            <w14:solidFill>
              <w14:schemeClr w14:val="tx1"/>
            </w14:solidFill>
          </w14:textFill>
        </w:rPr>
        <w:t xml:space="preserve">4  </w:t>
      </w:r>
      <w:r>
        <w:rPr>
          <w:rFonts w:hint="eastAsia"/>
          <w:b/>
          <w:color w:val="000000" w:themeColor="text1"/>
          <w14:textFill>
            <w14:solidFill>
              <w14:schemeClr w14:val="tx1"/>
            </w14:solidFill>
          </w14:textFill>
        </w:rPr>
        <w:t>202</w:t>
      </w: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年江西省南昌市冈上镇综合安置房（城市棚户区改造）项目专项债券项目实施方案资金充足性分析情况表</w:t>
      </w:r>
    </w:p>
    <w:p w14:paraId="3E29B291">
      <w:pPr>
        <w:pStyle w:val="20"/>
        <w:spacing w:before="0" w:beforeAutospacing="0" w:after="0" w:afterAutospacing="0" w:line="360" w:lineRule="exact"/>
        <w:ind w:right="-510" w:rightChars="-243"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1780"/>
        <w:gridCol w:w="1712"/>
        <w:gridCol w:w="1566"/>
        <w:gridCol w:w="1566"/>
        <w:gridCol w:w="1413"/>
        <w:gridCol w:w="1684"/>
        <w:gridCol w:w="1715"/>
        <w:gridCol w:w="1684"/>
      </w:tblGrid>
      <w:tr w14:paraId="7BAA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349" w:type="pct"/>
            <w:shd w:val="clear" w:color="auto" w:fill="auto"/>
            <w:vAlign w:val="center"/>
          </w:tcPr>
          <w:p w14:paraId="410CA41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1" w:type="pct"/>
            <w:shd w:val="clear" w:color="auto" w:fill="auto"/>
            <w:vAlign w:val="center"/>
          </w:tcPr>
          <w:p w14:paraId="0E59C2E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607" w:type="pct"/>
            <w:shd w:val="clear" w:color="auto" w:fill="auto"/>
            <w:vAlign w:val="center"/>
          </w:tcPr>
          <w:p w14:paraId="26E2399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555" w:type="pct"/>
          </w:tcPr>
          <w:p w14:paraId="5236634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022</w:t>
            </w:r>
            <w:r>
              <w:rPr>
                <w:rFonts w:hint="eastAsia" w:ascii="宋体" w:hAnsi="宋体" w:cs="宋体"/>
                <w:b/>
                <w:bCs/>
                <w:color w:val="000000"/>
                <w:kern w:val="0"/>
                <w:sz w:val="18"/>
                <w:szCs w:val="18"/>
              </w:rPr>
              <w:t>年</w:t>
            </w:r>
          </w:p>
        </w:tc>
        <w:tc>
          <w:tcPr>
            <w:tcW w:w="555" w:type="pct"/>
          </w:tcPr>
          <w:p w14:paraId="1E48ED17">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501" w:type="pct"/>
            <w:shd w:val="clear" w:color="auto" w:fill="auto"/>
          </w:tcPr>
          <w:p w14:paraId="2EF44C14">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597" w:type="pct"/>
            <w:shd w:val="clear" w:color="auto" w:fill="auto"/>
          </w:tcPr>
          <w:p w14:paraId="02EDDA39">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608" w:type="pct"/>
            <w:shd w:val="clear" w:color="auto" w:fill="auto"/>
          </w:tcPr>
          <w:p w14:paraId="0DF5E42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597" w:type="pct"/>
            <w:shd w:val="clear" w:color="auto" w:fill="auto"/>
          </w:tcPr>
          <w:p w14:paraId="1E4DC68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r>
      <w:tr w14:paraId="2058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2897A7D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631" w:type="pct"/>
            <w:shd w:val="clear" w:color="auto" w:fill="auto"/>
            <w:vAlign w:val="center"/>
          </w:tcPr>
          <w:p w14:paraId="7047C11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1685" w:type="dxa"/>
            <w:shd w:val="clear" w:color="auto" w:fill="auto"/>
            <w:vAlign w:val="center"/>
          </w:tcPr>
          <w:p w14:paraId="4CB9F8E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143,777.39 </w:t>
            </w:r>
          </w:p>
        </w:tc>
        <w:tc>
          <w:tcPr>
            <w:tcW w:w="1541" w:type="dxa"/>
            <w:vAlign w:val="center"/>
          </w:tcPr>
          <w:p w14:paraId="60EC4D6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1,100.00 </w:t>
            </w:r>
          </w:p>
        </w:tc>
        <w:tc>
          <w:tcPr>
            <w:tcW w:w="1541" w:type="dxa"/>
            <w:vAlign w:val="center"/>
          </w:tcPr>
          <w:p w14:paraId="43A1BBE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10,434.15 </w:t>
            </w:r>
          </w:p>
        </w:tc>
        <w:tc>
          <w:tcPr>
            <w:tcW w:w="1391" w:type="dxa"/>
            <w:shd w:val="clear" w:color="auto" w:fill="auto"/>
            <w:vAlign w:val="center"/>
          </w:tcPr>
          <w:p w14:paraId="09E5766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6,500.00 </w:t>
            </w:r>
          </w:p>
        </w:tc>
        <w:tc>
          <w:tcPr>
            <w:tcW w:w="1657" w:type="dxa"/>
            <w:shd w:val="clear" w:color="auto" w:fill="auto"/>
            <w:vAlign w:val="center"/>
          </w:tcPr>
          <w:p w14:paraId="3FDFF89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125,743.24 </w:t>
            </w:r>
          </w:p>
        </w:tc>
        <w:tc>
          <w:tcPr>
            <w:tcW w:w="1688" w:type="dxa"/>
            <w:shd w:val="clear" w:color="auto" w:fill="auto"/>
            <w:vAlign w:val="center"/>
          </w:tcPr>
          <w:p w14:paraId="342A2DB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4D32DF1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5749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jc w:val="center"/>
        </w:trPr>
        <w:tc>
          <w:tcPr>
            <w:tcW w:w="349" w:type="pct"/>
            <w:shd w:val="clear" w:color="auto" w:fill="auto"/>
            <w:vAlign w:val="center"/>
          </w:tcPr>
          <w:p w14:paraId="4EA1BFA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31" w:type="pct"/>
            <w:shd w:val="clear" w:color="auto" w:fill="auto"/>
            <w:vAlign w:val="center"/>
          </w:tcPr>
          <w:p w14:paraId="737BEC3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685" w:type="dxa"/>
            <w:shd w:val="clear" w:color="auto" w:fill="auto"/>
            <w:vAlign w:val="center"/>
          </w:tcPr>
          <w:p w14:paraId="12F4121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114,471.36 </w:t>
            </w:r>
          </w:p>
        </w:tc>
        <w:tc>
          <w:tcPr>
            <w:tcW w:w="1541" w:type="dxa"/>
            <w:vAlign w:val="center"/>
          </w:tcPr>
          <w:p w14:paraId="70B3726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0A023ED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2676AED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07A9078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114,471.36 </w:t>
            </w:r>
          </w:p>
        </w:tc>
        <w:tc>
          <w:tcPr>
            <w:tcW w:w="1688" w:type="dxa"/>
            <w:shd w:val="clear" w:color="auto" w:fill="auto"/>
            <w:vAlign w:val="center"/>
          </w:tcPr>
          <w:p w14:paraId="56E817A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412FC68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1465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4CDE689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31" w:type="pct"/>
            <w:shd w:val="clear" w:color="auto" w:fill="auto"/>
            <w:vAlign w:val="center"/>
          </w:tcPr>
          <w:p w14:paraId="5B475BB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685" w:type="dxa"/>
            <w:shd w:val="clear" w:color="auto" w:fill="auto"/>
            <w:vAlign w:val="center"/>
          </w:tcPr>
          <w:p w14:paraId="74DED26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4170CCCE">
            <w:pPr>
              <w:widowControl/>
              <w:spacing w:after="0" w:line="240" w:lineRule="auto"/>
              <w:jc w:val="center"/>
              <w:rPr>
                <w:rFonts w:hint="eastAsia" w:ascii="宋体" w:hAnsi="宋体" w:cs="宋体"/>
                <w:color w:val="000000"/>
                <w:kern w:val="0"/>
                <w:sz w:val="18"/>
                <w:szCs w:val="18"/>
              </w:rPr>
            </w:pPr>
          </w:p>
        </w:tc>
        <w:tc>
          <w:tcPr>
            <w:tcW w:w="1541" w:type="dxa"/>
            <w:vAlign w:val="center"/>
          </w:tcPr>
          <w:p w14:paraId="0F97B34F">
            <w:pPr>
              <w:widowControl/>
              <w:spacing w:after="0" w:line="240" w:lineRule="auto"/>
              <w:jc w:val="center"/>
              <w:rPr>
                <w:rFonts w:hint="eastAsia" w:ascii="宋体" w:hAnsi="宋体" w:cs="宋体"/>
                <w:color w:val="000000"/>
                <w:kern w:val="0"/>
                <w:sz w:val="18"/>
                <w:szCs w:val="18"/>
              </w:rPr>
            </w:pPr>
          </w:p>
        </w:tc>
        <w:tc>
          <w:tcPr>
            <w:tcW w:w="1391" w:type="dxa"/>
            <w:shd w:val="clear" w:color="auto" w:fill="auto"/>
            <w:vAlign w:val="center"/>
          </w:tcPr>
          <w:p w14:paraId="51612676">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283220B6">
            <w:pPr>
              <w:widowControl/>
              <w:spacing w:after="0" w:line="240" w:lineRule="auto"/>
              <w:jc w:val="center"/>
              <w:rPr>
                <w:rFonts w:hint="eastAsia" w:ascii="宋体" w:hAnsi="宋体" w:cs="宋体"/>
                <w:color w:val="000000"/>
                <w:kern w:val="0"/>
                <w:sz w:val="18"/>
                <w:szCs w:val="18"/>
              </w:rPr>
            </w:pPr>
          </w:p>
        </w:tc>
        <w:tc>
          <w:tcPr>
            <w:tcW w:w="1688" w:type="dxa"/>
            <w:shd w:val="clear" w:color="auto" w:fill="auto"/>
            <w:vAlign w:val="center"/>
          </w:tcPr>
          <w:p w14:paraId="20C24869">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0F7D1BA7">
            <w:pPr>
              <w:widowControl/>
              <w:spacing w:after="0" w:line="240" w:lineRule="auto"/>
              <w:jc w:val="center"/>
              <w:rPr>
                <w:rFonts w:hint="eastAsia" w:ascii="宋体" w:hAnsi="宋体" w:cs="宋体"/>
                <w:color w:val="000000"/>
                <w:kern w:val="0"/>
                <w:sz w:val="18"/>
                <w:szCs w:val="18"/>
              </w:rPr>
            </w:pPr>
          </w:p>
        </w:tc>
      </w:tr>
      <w:tr w14:paraId="1655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2152C6B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31" w:type="pct"/>
            <w:shd w:val="clear" w:color="auto" w:fill="auto"/>
            <w:vAlign w:val="center"/>
          </w:tcPr>
          <w:p w14:paraId="2A79752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685" w:type="dxa"/>
            <w:shd w:val="clear" w:color="auto" w:fill="auto"/>
            <w:vAlign w:val="center"/>
          </w:tcPr>
          <w:p w14:paraId="114AADC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114,471.36 </w:t>
            </w:r>
          </w:p>
        </w:tc>
        <w:tc>
          <w:tcPr>
            <w:tcW w:w="1541" w:type="dxa"/>
            <w:vAlign w:val="center"/>
          </w:tcPr>
          <w:p w14:paraId="625CBD2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2CEB38FB">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46D8033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12C72DE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114,471.36 </w:t>
            </w:r>
          </w:p>
        </w:tc>
        <w:tc>
          <w:tcPr>
            <w:tcW w:w="1688" w:type="dxa"/>
            <w:shd w:val="clear" w:color="auto" w:fill="auto"/>
            <w:vAlign w:val="center"/>
          </w:tcPr>
          <w:p w14:paraId="0870C1E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noWrap/>
            <w:vAlign w:val="center"/>
          </w:tcPr>
          <w:p w14:paraId="5A44893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21AF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 w:hRule="atLeast"/>
          <w:jc w:val="center"/>
        </w:trPr>
        <w:tc>
          <w:tcPr>
            <w:tcW w:w="349" w:type="pct"/>
            <w:shd w:val="clear" w:color="auto" w:fill="auto"/>
            <w:vAlign w:val="center"/>
          </w:tcPr>
          <w:p w14:paraId="71E14E2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31" w:type="pct"/>
            <w:shd w:val="clear" w:color="auto" w:fill="auto"/>
            <w:vAlign w:val="center"/>
          </w:tcPr>
          <w:p w14:paraId="1B498F1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685" w:type="dxa"/>
            <w:shd w:val="clear" w:color="auto" w:fill="auto"/>
            <w:vAlign w:val="center"/>
          </w:tcPr>
          <w:p w14:paraId="2A42CF0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23,000.00 </w:t>
            </w:r>
          </w:p>
        </w:tc>
        <w:tc>
          <w:tcPr>
            <w:tcW w:w="1541" w:type="dxa"/>
            <w:vAlign w:val="center"/>
          </w:tcPr>
          <w:p w14:paraId="6836B20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4CC2EF2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6,110.00 </w:t>
            </w:r>
          </w:p>
        </w:tc>
        <w:tc>
          <w:tcPr>
            <w:tcW w:w="1391" w:type="dxa"/>
            <w:shd w:val="clear" w:color="auto" w:fill="auto"/>
            <w:vAlign w:val="center"/>
          </w:tcPr>
          <w:p w14:paraId="42A04B4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6,400.00 </w:t>
            </w:r>
          </w:p>
        </w:tc>
        <w:tc>
          <w:tcPr>
            <w:tcW w:w="1657" w:type="dxa"/>
            <w:shd w:val="clear" w:color="auto" w:fill="auto"/>
            <w:vAlign w:val="center"/>
          </w:tcPr>
          <w:p w14:paraId="33C75F0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10,490.00 </w:t>
            </w:r>
          </w:p>
        </w:tc>
        <w:tc>
          <w:tcPr>
            <w:tcW w:w="1688" w:type="dxa"/>
            <w:shd w:val="clear" w:color="auto" w:fill="auto"/>
            <w:vAlign w:val="center"/>
          </w:tcPr>
          <w:p w14:paraId="77E9141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3448427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16BC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3D54036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31" w:type="pct"/>
            <w:shd w:val="clear" w:color="auto" w:fill="auto"/>
            <w:vAlign w:val="center"/>
          </w:tcPr>
          <w:p w14:paraId="54CC946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685" w:type="dxa"/>
            <w:shd w:val="clear" w:color="auto" w:fill="auto"/>
            <w:vAlign w:val="center"/>
          </w:tcPr>
          <w:p w14:paraId="6E3C9C5B">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23,000.00 </w:t>
            </w:r>
          </w:p>
        </w:tc>
        <w:tc>
          <w:tcPr>
            <w:tcW w:w="1541" w:type="dxa"/>
            <w:vAlign w:val="center"/>
          </w:tcPr>
          <w:p w14:paraId="3378EA0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5B1C4A4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6,110.00 </w:t>
            </w:r>
          </w:p>
        </w:tc>
        <w:tc>
          <w:tcPr>
            <w:tcW w:w="1391" w:type="dxa"/>
            <w:shd w:val="clear" w:color="auto" w:fill="auto"/>
            <w:vAlign w:val="center"/>
          </w:tcPr>
          <w:p w14:paraId="7CAC813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6,400.00 </w:t>
            </w:r>
          </w:p>
        </w:tc>
        <w:tc>
          <w:tcPr>
            <w:tcW w:w="1657" w:type="dxa"/>
            <w:shd w:val="clear" w:color="auto" w:fill="auto"/>
            <w:vAlign w:val="center"/>
          </w:tcPr>
          <w:p w14:paraId="6F7B57C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10,490.00 </w:t>
            </w:r>
          </w:p>
        </w:tc>
        <w:tc>
          <w:tcPr>
            <w:tcW w:w="1688" w:type="dxa"/>
            <w:shd w:val="clear" w:color="auto" w:fill="auto"/>
            <w:vAlign w:val="center"/>
          </w:tcPr>
          <w:p w14:paraId="74CC4801">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352AF159">
            <w:pPr>
              <w:widowControl/>
              <w:spacing w:after="0" w:line="240" w:lineRule="auto"/>
              <w:jc w:val="center"/>
              <w:rPr>
                <w:rFonts w:hint="eastAsia" w:ascii="宋体" w:hAnsi="宋体" w:cs="宋体"/>
                <w:color w:val="000000"/>
                <w:kern w:val="0"/>
                <w:sz w:val="18"/>
                <w:szCs w:val="18"/>
              </w:rPr>
            </w:pPr>
          </w:p>
        </w:tc>
      </w:tr>
      <w:tr w14:paraId="0E21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418C127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31" w:type="pct"/>
            <w:shd w:val="clear" w:color="auto" w:fill="auto"/>
            <w:vAlign w:val="center"/>
          </w:tcPr>
          <w:p w14:paraId="45AFD7F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685" w:type="dxa"/>
            <w:shd w:val="clear" w:color="auto" w:fill="auto"/>
            <w:vAlign w:val="center"/>
          </w:tcPr>
          <w:p w14:paraId="27C1BBE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7FF3FA9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2B20F5D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4B1DA574">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426E57C8">
            <w:pPr>
              <w:widowControl/>
              <w:spacing w:after="0" w:line="240" w:lineRule="auto"/>
              <w:jc w:val="center"/>
              <w:rPr>
                <w:rFonts w:hint="eastAsia" w:ascii="宋体" w:hAnsi="宋体" w:cs="宋体"/>
                <w:color w:val="000000"/>
                <w:kern w:val="0"/>
                <w:sz w:val="18"/>
                <w:szCs w:val="18"/>
              </w:rPr>
            </w:pPr>
          </w:p>
        </w:tc>
        <w:tc>
          <w:tcPr>
            <w:tcW w:w="1688" w:type="dxa"/>
            <w:shd w:val="clear" w:color="auto" w:fill="auto"/>
            <w:vAlign w:val="center"/>
          </w:tcPr>
          <w:p w14:paraId="13E4E314">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0CB8C368">
            <w:pPr>
              <w:widowControl/>
              <w:spacing w:after="0" w:line="240" w:lineRule="auto"/>
              <w:jc w:val="center"/>
              <w:rPr>
                <w:rFonts w:hint="eastAsia" w:ascii="宋体" w:hAnsi="宋体" w:cs="宋体"/>
                <w:color w:val="000000"/>
                <w:kern w:val="0"/>
                <w:sz w:val="18"/>
                <w:szCs w:val="18"/>
              </w:rPr>
            </w:pPr>
          </w:p>
        </w:tc>
      </w:tr>
      <w:tr w14:paraId="17F3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0F95DE2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31" w:type="pct"/>
            <w:shd w:val="clear" w:color="auto" w:fill="auto"/>
            <w:vAlign w:val="center"/>
          </w:tcPr>
          <w:p w14:paraId="6380938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685" w:type="dxa"/>
            <w:shd w:val="clear" w:color="auto" w:fill="auto"/>
            <w:vAlign w:val="center"/>
          </w:tcPr>
          <w:p w14:paraId="5B77E3A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6,306.03 </w:t>
            </w:r>
          </w:p>
        </w:tc>
        <w:tc>
          <w:tcPr>
            <w:tcW w:w="1541" w:type="dxa"/>
            <w:vAlign w:val="center"/>
          </w:tcPr>
          <w:p w14:paraId="6AB4D7A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1,100.00 </w:t>
            </w:r>
          </w:p>
        </w:tc>
        <w:tc>
          <w:tcPr>
            <w:tcW w:w="1541" w:type="dxa"/>
            <w:vAlign w:val="center"/>
          </w:tcPr>
          <w:p w14:paraId="637A31D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4,324.15 </w:t>
            </w:r>
          </w:p>
        </w:tc>
        <w:tc>
          <w:tcPr>
            <w:tcW w:w="1391" w:type="dxa"/>
            <w:shd w:val="clear" w:color="auto" w:fill="auto"/>
            <w:vAlign w:val="center"/>
          </w:tcPr>
          <w:p w14:paraId="2CBA06C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100.00 </w:t>
            </w:r>
          </w:p>
        </w:tc>
        <w:tc>
          <w:tcPr>
            <w:tcW w:w="1657" w:type="dxa"/>
            <w:shd w:val="clear" w:color="auto" w:fill="auto"/>
            <w:vAlign w:val="center"/>
          </w:tcPr>
          <w:p w14:paraId="1DB1327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781.88 </w:t>
            </w:r>
          </w:p>
        </w:tc>
        <w:tc>
          <w:tcPr>
            <w:tcW w:w="1688" w:type="dxa"/>
            <w:shd w:val="clear" w:color="auto" w:fill="auto"/>
            <w:vAlign w:val="center"/>
          </w:tcPr>
          <w:p w14:paraId="15972407">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0FDCA520">
            <w:pPr>
              <w:widowControl/>
              <w:spacing w:after="0" w:line="240" w:lineRule="auto"/>
              <w:jc w:val="center"/>
              <w:rPr>
                <w:rFonts w:hint="eastAsia" w:ascii="宋体" w:hAnsi="宋体" w:cs="宋体"/>
                <w:color w:val="000000"/>
                <w:kern w:val="0"/>
                <w:sz w:val="18"/>
                <w:szCs w:val="18"/>
              </w:rPr>
            </w:pPr>
          </w:p>
        </w:tc>
      </w:tr>
      <w:tr w14:paraId="19B1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2E36278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631" w:type="pct"/>
            <w:shd w:val="clear" w:color="auto" w:fill="auto"/>
            <w:vAlign w:val="center"/>
          </w:tcPr>
          <w:p w14:paraId="2272F5A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1685" w:type="dxa"/>
            <w:shd w:val="clear" w:color="auto" w:fill="auto"/>
            <w:vAlign w:val="center"/>
          </w:tcPr>
          <w:p w14:paraId="2A2B205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58,021.15 </w:t>
            </w:r>
          </w:p>
        </w:tc>
        <w:tc>
          <w:tcPr>
            <w:tcW w:w="1541" w:type="dxa"/>
            <w:vAlign w:val="center"/>
          </w:tcPr>
          <w:p w14:paraId="2112B6B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1,100.00 </w:t>
            </w:r>
          </w:p>
        </w:tc>
        <w:tc>
          <w:tcPr>
            <w:tcW w:w="1541" w:type="dxa"/>
            <w:vAlign w:val="center"/>
          </w:tcPr>
          <w:p w14:paraId="29B9875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10,440.26 </w:t>
            </w:r>
          </w:p>
        </w:tc>
        <w:tc>
          <w:tcPr>
            <w:tcW w:w="1391" w:type="dxa"/>
            <w:shd w:val="clear" w:color="auto" w:fill="auto"/>
            <w:vAlign w:val="center"/>
          </w:tcPr>
          <w:p w14:paraId="0B1C6D7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6,676.87 </w:t>
            </w:r>
          </w:p>
        </w:tc>
        <w:tc>
          <w:tcPr>
            <w:tcW w:w="1657" w:type="dxa"/>
            <w:shd w:val="clear" w:color="auto" w:fill="auto"/>
            <w:vAlign w:val="center"/>
          </w:tcPr>
          <w:p w14:paraId="4A66725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11,686.42 </w:t>
            </w:r>
          </w:p>
        </w:tc>
        <w:tc>
          <w:tcPr>
            <w:tcW w:w="1688" w:type="dxa"/>
            <w:shd w:val="clear" w:color="auto" w:fill="auto"/>
            <w:vAlign w:val="center"/>
          </w:tcPr>
          <w:p w14:paraId="17B1F11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c>
          <w:tcPr>
            <w:tcW w:w="1657" w:type="dxa"/>
            <w:shd w:val="clear" w:color="auto" w:fill="auto"/>
            <w:vAlign w:val="center"/>
          </w:tcPr>
          <w:p w14:paraId="5DCB435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r>
      <w:tr w14:paraId="27FC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349" w:type="pct"/>
            <w:shd w:val="clear" w:color="auto" w:fill="auto"/>
            <w:vAlign w:val="center"/>
          </w:tcPr>
          <w:p w14:paraId="28F2117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31" w:type="pct"/>
            <w:shd w:val="clear" w:color="auto" w:fill="auto"/>
            <w:vAlign w:val="center"/>
          </w:tcPr>
          <w:p w14:paraId="26A1ABE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685" w:type="dxa"/>
            <w:shd w:val="clear" w:color="auto" w:fill="auto"/>
            <w:vAlign w:val="center"/>
          </w:tcPr>
          <w:p w14:paraId="0F3EDAA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35A48CB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318880F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210CF13B">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5867C3D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88" w:type="dxa"/>
            <w:shd w:val="clear" w:color="auto" w:fill="auto"/>
            <w:vAlign w:val="center"/>
          </w:tcPr>
          <w:p w14:paraId="2A109DB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5EEADBE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4F24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1CCBA8B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31" w:type="pct"/>
            <w:shd w:val="clear" w:color="auto" w:fill="auto"/>
            <w:vAlign w:val="center"/>
          </w:tcPr>
          <w:p w14:paraId="140A4C2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685" w:type="dxa"/>
            <w:shd w:val="clear" w:color="auto" w:fill="auto"/>
            <w:vAlign w:val="center"/>
          </w:tcPr>
          <w:p w14:paraId="110C5DE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16E0D5A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2D09783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bottom"/>
          </w:tcPr>
          <w:p w14:paraId="1B8E4D8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bottom"/>
          </w:tcPr>
          <w:p w14:paraId="109C398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88" w:type="dxa"/>
            <w:shd w:val="clear" w:color="auto" w:fill="auto"/>
            <w:vAlign w:val="bottom"/>
          </w:tcPr>
          <w:p w14:paraId="4D71438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noWrap/>
            <w:vAlign w:val="bottom"/>
          </w:tcPr>
          <w:p w14:paraId="3E43C3A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00FE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31FE1E9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31" w:type="pct"/>
            <w:shd w:val="clear" w:color="auto" w:fill="auto"/>
            <w:vAlign w:val="center"/>
          </w:tcPr>
          <w:p w14:paraId="7783DEF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685" w:type="dxa"/>
            <w:shd w:val="clear" w:color="auto" w:fill="auto"/>
            <w:vAlign w:val="center"/>
          </w:tcPr>
          <w:p w14:paraId="4E63663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50F2E17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659E58F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bottom"/>
          </w:tcPr>
          <w:p w14:paraId="75D5321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1657" w:type="dxa"/>
            <w:shd w:val="clear" w:color="auto" w:fill="auto"/>
            <w:vAlign w:val="bottom"/>
          </w:tcPr>
          <w:p w14:paraId="270F3CC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1688" w:type="dxa"/>
            <w:shd w:val="clear" w:color="auto" w:fill="auto"/>
            <w:vAlign w:val="bottom"/>
          </w:tcPr>
          <w:p w14:paraId="18A2B4C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1657" w:type="dxa"/>
            <w:shd w:val="clear" w:color="auto" w:fill="auto"/>
            <w:noWrap/>
            <w:vAlign w:val="bottom"/>
          </w:tcPr>
          <w:p w14:paraId="2E6FC79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0.00</w:t>
            </w:r>
          </w:p>
        </w:tc>
      </w:tr>
      <w:tr w14:paraId="0CB34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4" w:hRule="atLeast"/>
          <w:jc w:val="center"/>
        </w:trPr>
        <w:tc>
          <w:tcPr>
            <w:tcW w:w="349" w:type="pct"/>
            <w:shd w:val="clear" w:color="auto" w:fill="auto"/>
            <w:vAlign w:val="center"/>
          </w:tcPr>
          <w:p w14:paraId="7E0C897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31" w:type="pct"/>
            <w:shd w:val="clear" w:color="auto" w:fill="auto"/>
            <w:vAlign w:val="center"/>
          </w:tcPr>
          <w:p w14:paraId="51AE39E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685" w:type="dxa"/>
            <w:shd w:val="clear" w:color="auto" w:fill="auto"/>
            <w:vAlign w:val="center"/>
          </w:tcPr>
          <w:p w14:paraId="58DE25F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29,306.03 </w:t>
            </w:r>
          </w:p>
        </w:tc>
        <w:tc>
          <w:tcPr>
            <w:tcW w:w="1541" w:type="dxa"/>
            <w:vAlign w:val="center"/>
          </w:tcPr>
          <w:p w14:paraId="5536FFA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1,100.00 </w:t>
            </w:r>
          </w:p>
        </w:tc>
        <w:tc>
          <w:tcPr>
            <w:tcW w:w="1541" w:type="dxa"/>
            <w:vAlign w:val="center"/>
          </w:tcPr>
          <w:p w14:paraId="2B2F603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10,434.15 </w:t>
            </w:r>
          </w:p>
        </w:tc>
        <w:tc>
          <w:tcPr>
            <w:tcW w:w="1391" w:type="dxa"/>
            <w:shd w:val="clear" w:color="auto" w:fill="auto"/>
            <w:vAlign w:val="center"/>
          </w:tcPr>
          <w:p w14:paraId="56FED72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6,500.00 </w:t>
            </w:r>
          </w:p>
        </w:tc>
        <w:tc>
          <w:tcPr>
            <w:tcW w:w="1657" w:type="dxa"/>
            <w:shd w:val="clear" w:color="auto" w:fill="auto"/>
            <w:vAlign w:val="center"/>
          </w:tcPr>
          <w:p w14:paraId="5B50DD1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11,271.88 </w:t>
            </w:r>
          </w:p>
        </w:tc>
        <w:tc>
          <w:tcPr>
            <w:tcW w:w="1688" w:type="dxa"/>
            <w:shd w:val="clear" w:color="auto" w:fill="auto"/>
            <w:vAlign w:val="center"/>
          </w:tcPr>
          <w:p w14:paraId="4E5344FE">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718F9178">
            <w:pPr>
              <w:widowControl/>
              <w:spacing w:after="0" w:line="240" w:lineRule="auto"/>
              <w:jc w:val="center"/>
              <w:rPr>
                <w:rFonts w:hint="eastAsia" w:ascii="宋体" w:hAnsi="宋体" w:cs="宋体"/>
                <w:color w:val="000000"/>
                <w:kern w:val="0"/>
                <w:sz w:val="18"/>
                <w:szCs w:val="18"/>
              </w:rPr>
            </w:pPr>
          </w:p>
        </w:tc>
      </w:tr>
      <w:tr w14:paraId="15FB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8" w:hRule="atLeast"/>
          <w:jc w:val="center"/>
        </w:trPr>
        <w:tc>
          <w:tcPr>
            <w:tcW w:w="349" w:type="pct"/>
            <w:shd w:val="clear" w:color="auto" w:fill="auto"/>
            <w:vAlign w:val="center"/>
          </w:tcPr>
          <w:p w14:paraId="1BECDBD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31" w:type="pct"/>
            <w:shd w:val="clear" w:color="auto" w:fill="auto"/>
            <w:vAlign w:val="center"/>
          </w:tcPr>
          <w:p w14:paraId="71C3AD9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685" w:type="dxa"/>
            <w:shd w:val="clear" w:color="auto" w:fill="auto"/>
            <w:vAlign w:val="center"/>
          </w:tcPr>
          <w:p w14:paraId="6680A96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28,715.12 </w:t>
            </w:r>
          </w:p>
        </w:tc>
        <w:tc>
          <w:tcPr>
            <w:tcW w:w="1541" w:type="dxa"/>
            <w:vAlign w:val="center"/>
          </w:tcPr>
          <w:p w14:paraId="273F3C2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19AB66E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 </w:t>
            </w:r>
          </w:p>
        </w:tc>
        <w:tc>
          <w:tcPr>
            <w:tcW w:w="1391" w:type="dxa"/>
            <w:shd w:val="clear" w:color="auto" w:fill="auto"/>
            <w:vAlign w:val="center"/>
          </w:tcPr>
          <w:p w14:paraId="3FA2842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176.87 </w:t>
            </w:r>
          </w:p>
        </w:tc>
        <w:tc>
          <w:tcPr>
            <w:tcW w:w="1657" w:type="dxa"/>
            <w:shd w:val="clear" w:color="auto" w:fill="auto"/>
            <w:vAlign w:val="center"/>
          </w:tcPr>
          <w:p w14:paraId="4565A92B">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414.54 </w:t>
            </w:r>
          </w:p>
        </w:tc>
        <w:tc>
          <w:tcPr>
            <w:tcW w:w="1688" w:type="dxa"/>
            <w:shd w:val="clear" w:color="auto" w:fill="auto"/>
            <w:vAlign w:val="center"/>
          </w:tcPr>
          <w:p w14:paraId="7D1AE0F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c>
          <w:tcPr>
            <w:tcW w:w="1657" w:type="dxa"/>
            <w:shd w:val="clear" w:color="auto" w:fill="auto"/>
            <w:vAlign w:val="center"/>
          </w:tcPr>
          <w:p w14:paraId="5A242D7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r>
      <w:tr w14:paraId="7992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395B3F9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31" w:type="pct"/>
            <w:shd w:val="clear" w:color="auto" w:fill="auto"/>
            <w:vAlign w:val="center"/>
          </w:tcPr>
          <w:p w14:paraId="02CCE4B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685" w:type="dxa"/>
            <w:shd w:val="clear" w:color="auto" w:fill="auto"/>
            <w:vAlign w:val="center"/>
          </w:tcPr>
          <w:p w14:paraId="524E264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23.00 </w:t>
            </w:r>
          </w:p>
        </w:tc>
        <w:tc>
          <w:tcPr>
            <w:tcW w:w="1541" w:type="dxa"/>
            <w:vAlign w:val="center"/>
          </w:tcPr>
          <w:p w14:paraId="055F561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12E075B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 </w:t>
            </w:r>
          </w:p>
        </w:tc>
        <w:tc>
          <w:tcPr>
            <w:tcW w:w="1391" w:type="dxa"/>
            <w:shd w:val="clear" w:color="auto" w:fill="auto"/>
            <w:vAlign w:val="center"/>
          </w:tcPr>
          <w:p w14:paraId="7DA5B587">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6.40 </w:t>
            </w:r>
          </w:p>
        </w:tc>
        <w:tc>
          <w:tcPr>
            <w:tcW w:w="1657" w:type="dxa"/>
            <w:shd w:val="clear" w:color="auto" w:fill="auto"/>
            <w:vAlign w:val="center"/>
          </w:tcPr>
          <w:p w14:paraId="4B49AAE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10.49 </w:t>
            </w:r>
          </w:p>
        </w:tc>
        <w:tc>
          <w:tcPr>
            <w:tcW w:w="1688" w:type="dxa"/>
            <w:shd w:val="clear" w:color="auto" w:fill="auto"/>
            <w:vAlign w:val="center"/>
          </w:tcPr>
          <w:p w14:paraId="13D34595">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7DC67CAB">
            <w:pPr>
              <w:widowControl/>
              <w:spacing w:after="0" w:line="240" w:lineRule="auto"/>
              <w:jc w:val="center"/>
              <w:rPr>
                <w:rFonts w:hint="eastAsia" w:ascii="宋体" w:hAnsi="宋体" w:cs="宋体"/>
                <w:color w:val="000000"/>
                <w:kern w:val="0"/>
                <w:sz w:val="18"/>
                <w:szCs w:val="18"/>
              </w:rPr>
            </w:pPr>
          </w:p>
        </w:tc>
      </w:tr>
      <w:tr w14:paraId="3DB1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6D8537F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31" w:type="pct"/>
            <w:shd w:val="clear" w:color="auto" w:fill="auto"/>
            <w:vAlign w:val="center"/>
          </w:tcPr>
          <w:p w14:paraId="0965946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685" w:type="dxa"/>
            <w:shd w:val="clear" w:color="auto" w:fill="auto"/>
            <w:vAlign w:val="center"/>
          </w:tcPr>
          <w:p w14:paraId="43A318AF">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23,000.00 </w:t>
            </w:r>
          </w:p>
        </w:tc>
        <w:tc>
          <w:tcPr>
            <w:tcW w:w="1541" w:type="dxa"/>
            <w:vAlign w:val="center"/>
          </w:tcPr>
          <w:p w14:paraId="03624709">
            <w:pPr>
              <w:widowControl/>
              <w:spacing w:after="0" w:line="240" w:lineRule="auto"/>
              <w:jc w:val="center"/>
              <w:rPr>
                <w:rFonts w:hint="eastAsia" w:ascii="宋体" w:hAnsi="宋体" w:cs="宋体"/>
                <w:color w:val="000000"/>
                <w:kern w:val="0"/>
                <w:sz w:val="18"/>
                <w:szCs w:val="18"/>
              </w:rPr>
            </w:pPr>
          </w:p>
        </w:tc>
        <w:tc>
          <w:tcPr>
            <w:tcW w:w="1541" w:type="dxa"/>
            <w:vAlign w:val="center"/>
          </w:tcPr>
          <w:p w14:paraId="7FA2FAEC">
            <w:pPr>
              <w:widowControl/>
              <w:spacing w:after="0" w:line="240" w:lineRule="auto"/>
              <w:jc w:val="center"/>
              <w:rPr>
                <w:rFonts w:hint="eastAsia" w:ascii="宋体" w:hAnsi="宋体" w:cs="宋体"/>
                <w:color w:val="000000"/>
                <w:kern w:val="0"/>
                <w:sz w:val="18"/>
                <w:szCs w:val="18"/>
              </w:rPr>
            </w:pPr>
          </w:p>
        </w:tc>
        <w:tc>
          <w:tcPr>
            <w:tcW w:w="1391" w:type="dxa"/>
            <w:shd w:val="clear" w:color="auto" w:fill="auto"/>
            <w:vAlign w:val="center"/>
          </w:tcPr>
          <w:p w14:paraId="3373985A">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63B92200">
            <w:pPr>
              <w:widowControl/>
              <w:spacing w:after="0" w:line="240" w:lineRule="auto"/>
              <w:jc w:val="center"/>
              <w:rPr>
                <w:rFonts w:hint="eastAsia" w:ascii="宋体" w:hAnsi="宋体" w:cs="宋体"/>
                <w:color w:val="000000"/>
                <w:kern w:val="0"/>
                <w:sz w:val="18"/>
                <w:szCs w:val="18"/>
              </w:rPr>
            </w:pPr>
          </w:p>
        </w:tc>
        <w:tc>
          <w:tcPr>
            <w:tcW w:w="1688" w:type="dxa"/>
            <w:shd w:val="clear" w:color="auto" w:fill="auto"/>
            <w:vAlign w:val="center"/>
          </w:tcPr>
          <w:p w14:paraId="717B6326">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3750D22C">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4A0B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69023D37">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31" w:type="pct"/>
            <w:shd w:val="clear" w:color="auto" w:fill="auto"/>
            <w:vAlign w:val="center"/>
          </w:tcPr>
          <w:p w14:paraId="1D4DBD5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685" w:type="dxa"/>
            <w:shd w:val="clear" w:color="auto" w:fill="auto"/>
            <w:vAlign w:val="center"/>
          </w:tcPr>
          <w:p w14:paraId="0447B35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5,692.12 </w:t>
            </w:r>
          </w:p>
        </w:tc>
        <w:tc>
          <w:tcPr>
            <w:tcW w:w="1541" w:type="dxa"/>
            <w:vAlign w:val="center"/>
          </w:tcPr>
          <w:p w14:paraId="2E13A05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1778BD6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0CE7409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170.47 </w:t>
            </w:r>
          </w:p>
        </w:tc>
        <w:tc>
          <w:tcPr>
            <w:tcW w:w="1657" w:type="dxa"/>
            <w:shd w:val="clear" w:color="auto" w:fill="auto"/>
            <w:vAlign w:val="center"/>
          </w:tcPr>
          <w:p w14:paraId="4C3A425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404.05 </w:t>
            </w:r>
          </w:p>
        </w:tc>
        <w:tc>
          <w:tcPr>
            <w:tcW w:w="1688" w:type="dxa"/>
            <w:shd w:val="clear" w:color="auto" w:fill="auto"/>
            <w:vAlign w:val="center"/>
          </w:tcPr>
          <w:p w14:paraId="638BDCB7">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c>
          <w:tcPr>
            <w:tcW w:w="1657" w:type="dxa"/>
            <w:shd w:val="clear" w:color="auto" w:fill="auto"/>
            <w:vAlign w:val="center"/>
          </w:tcPr>
          <w:p w14:paraId="6632016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r>
      <w:tr w14:paraId="7DAA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349" w:type="pct"/>
            <w:shd w:val="clear" w:color="auto" w:fill="auto"/>
            <w:vAlign w:val="center"/>
          </w:tcPr>
          <w:p w14:paraId="714E7CB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31" w:type="pct"/>
            <w:shd w:val="clear" w:color="auto" w:fill="auto"/>
            <w:vAlign w:val="center"/>
          </w:tcPr>
          <w:p w14:paraId="387599A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685" w:type="dxa"/>
            <w:shd w:val="clear" w:color="auto" w:fill="auto"/>
            <w:vAlign w:val="center"/>
          </w:tcPr>
          <w:p w14:paraId="03A77AB8">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4D23F294">
            <w:pPr>
              <w:widowControl/>
              <w:spacing w:after="0" w:line="240" w:lineRule="auto"/>
              <w:jc w:val="center"/>
              <w:rPr>
                <w:rFonts w:hint="eastAsia" w:ascii="宋体" w:hAnsi="宋体" w:cs="宋体"/>
                <w:color w:val="000000"/>
                <w:kern w:val="0"/>
                <w:sz w:val="18"/>
                <w:szCs w:val="18"/>
              </w:rPr>
            </w:pPr>
          </w:p>
        </w:tc>
        <w:tc>
          <w:tcPr>
            <w:tcW w:w="1541" w:type="dxa"/>
            <w:vAlign w:val="center"/>
          </w:tcPr>
          <w:p w14:paraId="5CABA2DC">
            <w:pPr>
              <w:widowControl/>
              <w:spacing w:after="0" w:line="240" w:lineRule="auto"/>
              <w:jc w:val="center"/>
              <w:rPr>
                <w:rFonts w:hint="eastAsia" w:ascii="宋体" w:hAnsi="宋体" w:cs="宋体"/>
                <w:color w:val="000000"/>
                <w:kern w:val="0"/>
                <w:sz w:val="18"/>
                <w:szCs w:val="18"/>
              </w:rPr>
            </w:pPr>
          </w:p>
        </w:tc>
        <w:tc>
          <w:tcPr>
            <w:tcW w:w="1391" w:type="dxa"/>
            <w:shd w:val="clear" w:color="auto" w:fill="auto"/>
            <w:vAlign w:val="center"/>
          </w:tcPr>
          <w:p w14:paraId="01ED2ABF">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501A3543">
            <w:pPr>
              <w:widowControl/>
              <w:spacing w:after="0" w:line="240" w:lineRule="auto"/>
              <w:jc w:val="center"/>
              <w:rPr>
                <w:rFonts w:hint="eastAsia" w:ascii="宋体" w:hAnsi="宋体" w:cs="宋体"/>
                <w:color w:val="000000"/>
                <w:kern w:val="0"/>
                <w:sz w:val="18"/>
                <w:szCs w:val="18"/>
              </w:rPr>
            </w:pPr>
          </w:p>
        </w:tc>
        <w:tc>
          <w:tcPr>
            <w:tcW w:w="1688" w:type="dxa"/>
            <w:shd w:val="clear" w:color="auto" w:fill="auto"/>
            <w:vAlign w:val="center"/>
          </w:tcPr>
          <w:p w14:paraId="5B9BA447">
            <w:pPr>
              <w:widowControl/>
              <w:spacing w:after="0" w:line="240" w:lineRule="auto"/>
              <w:jc w:val="center"/>
              <w:rPr>
                <w:rFonts w:hint="eastAsia" w:ascii="宋体" w:hAnsi="宋体" w:cs="宋体"/>
                <w:color w:val="000000"/>
                <w:kern w:val="0"/>
                <w:sz w:val="18"/>
                <w:szCs w:val="18"/>
              </w:rPr>
            </w:pPr>
          </w:p>
        </w:tc>
        <w:tc>
          <w:tcPr>
            <w:tcW w:w="1657" w:type="dxa"/>
            <w:shd w:val="clear" w:color="auto" w:fill="auto"/>
            <w:vAlign w:val="center"/>
          </w:tcPr>
          <w:p w14:paraId="12F2A7BE">
            <w:pPr>
              <w:widowControl/>
              <w:spacing w:after="0" w:line="240" w:lineRule="auto"/>
              <w:jc w:val="center"/>
              <w:rPr>
                <w:rFonts w:hint="eastAsia" w:ascii="宋体" w:hAnsi="宋体" w:cs="宋体"/>
                <w:color w:val="000000"/>
                <w:kern w:val="0"/>
                <w:sz w:val="18"/>
                <w:szCs w:val="18"/>
              </w:rPr>
            </w:pPr>
          </w:p>
        </w:tc>
      </w:tr>
      <w:tr w14:paraId="7BF9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 w:hRule="atLeast"/>
          <w:jc w:val="center"/>
        </w:trPr>
        <w:tc>
          <w:tcPr>
            <w:tcW w:w="349" w:type="pct"/>
            <w:shd w:val="clear" w:color="auto" w:fill="auto"/>
            <w:vAlign w:val="center"/>
          </w:tcPr>
          <w:p w14:paraId="35F889E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31" w:type="pct"/>
            <w:shd w:val="clear" w:color="auto" w:fill="auto"/>
            <w:vAlign w:val="center"/>
          </w:tcPr>
          <w:p w14:paraId="2A1A2DA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685" w:type="dxa"/>
            <w:shd w:val="clear" w:color="auto" w:fill="auto"/>
            <w:vAlign w:val="center"/>
          </w:tcPr>
          <w:p w14:paraId="2EB479A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50ADCD8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4A3C3714">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7778E10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5E704D6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88" w:type="dxa"/>
            <w:shd w:val="clear" w:color="auto" w:fill="auto"/>
            <w:vAlign w:val="center"/>
          </w:tcPr>
          <w:p w14:paraId="71B2162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657" w:type="dxa"/>
            <w:shd w:val="clear" w:color="auto" w:fill="auto"/>
            <w:vAlign w:val="center"/>
          </w:tcPr>
          <w:p w14:paraId="3F6466FB">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r>
      <w:tr w14:paraId="6495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172BEB1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631" w:type="pct"/>
            <w:shd w:val="clear" w:color="auto" w:fill="auto"/>
            <w:vAlign w:val="center"/>
          </w:tcPr>
          <w:p w14:paraId="6E613CD1">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1685" w:type="dxa"/>
            <w:shd w:val="clear" w:color="auto" w:fill="auto"/>
            <w:vAlign w:val="center"/>
          </w:tcPr>
          <w:p w14:paraId="129D1942">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85,756.24 </w:t>
            </w:r>
          </w:p>
        </w:tc>
        <w:tc>
          <w:tcPr>
            <w:tcW w:w="1541" w:type="dxa"/>
            <w:vAlign w:val="center"/>
          </w:tcPr>
          <w:p w14:paraId="581358D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7CB3B51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 </w:t>
            </w:r>
          </w:p>
        </w:tc>
        <w:tc>
          <w:tcPr>
            <w:tcW w:w="1391" w:type="dxa"/>
            <w:shd w:val="clear" w:color="auto" w:fill="auto"/>
            <w:vAlign w:val="center"/>
          </w:tcPr>
          <w:p w14:paraId="3306347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-176.87 </w:t>
            </w:r>
          </w:p>
        </w:tc>
        <w:tc>
          <w:tcPr>
            <w:tcW w:w="1657" w:type="dxa"/>
            <w:shd w:val="clear" w:color="auto" w:fill="auto"/>
            <w:vAlign w:val="center"/>
          </w:tcPr>
          <w:p w14:paraId="100BEF8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114,056.82 </w:t>
            </w:r>
          </w:p>
        </w:tc>
        <w:tc>
          <w:tcPr>
            <w:tcW w:w="1688" w:type="dxa"/>
            <w:shd w:val="clear" w:color="auto" w:fill="auto"/>
            <w:vAlign w:val="center"/>
          </w:tcPr>
          <w:p w14:paraId="20BC7A3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c>
          <w:tcPr>
            <w:tcW w:w="1657" w:type="dxa"/>
            <w:shd w:val="clear" w:color="auto" w:fill="auto"/>
            <w:vAlign w:val="center"/>
          </w:tcPr>
          <w:p w14:paraId="370D643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-813.16 </w:t>
            </w:r>
          </w:p>
        </w:tc>
      </w:tr>
      <w:tr w14:paraId="468F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45B0E450">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631" w:type="pct"/>
            <w:shd w:val="clear" w:color="auto" w:fill="auto"/>
            <w:vAlign w:val="center"/>
          </w:tcPr>
          <w:p w14:paraId="2F2C4A63">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607" w:type="pct"/>
            <w:shd w:val="clear" w:color="auto" w:fill="auto"/>
          </w:tcPr>
          <w:p w14:paraId="59FA3FA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541" w:type="dxa"/>
            <w:vAlign w:val="center"/>
          </w:tcPr>
          <w:p w14:paraId="454B3B0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1498355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391" w:type="dxa"/>
            <w:shd w:val="clear" w:color="auto" w:fill="auto"/>
            <w:vAlign w:val="center"/>
          </w:tcPr>
          <w:p w14:paraId="4075FA8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 </w:t>
            </w:r>
          </w:p>
        </w:tc>
        <w:tc>
          <w:tcPr>
            <w:tcW w:w="1657" w:type="dxa"/>
            <w:shd w:val="clear" w:color="auto" w:fill="auto"/>
            <w:vAlign w:val="center"/>
          </w:tcPr>
          <w:p w14:paraId="53FE6ED7">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-182.98 </w:t>
            </w:r>
          </w:p>
        </w:tc>
        <w:tc>
          <w:tcPr>
            <w:tcW w:w="1688" w:type="dxa"/>
            <w:shd w:val="clear" w:color="auto" w:fill="auto"/>
            <w:vAlign w:val="center"/>
          </w:tcPr>
          <w:p w14:paraId="59042A87">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113,873.84 </w:t>
            </w:r>
          </w:p>
        </w:tc>
        <w:tc>
          <w:tcPr>
            <w:tcW w:w="1657" w:type="dxa"/>
            <w:shd w:val="clear" w:color="auto" w:fill="auto"/>
            <w:vAlign w:val="center"/>
          </w:tcPr>
          <w:p w14:paraId="1A32CB1E">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113,060.68 </w:t>
            </w:r>
          </w:p>
        </w:tc>
      </w:tr>
      <w:tr w14:paraId="1A22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49" w:type="pct"/>
            <w:shd w:val="clear" w:color="auto" w:fill="auto"/>
            <w:vAlign w:val="center"/>
          </w:tcPr>
          <w:p w14:paraId="1B87A41F">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631" w:type="pct"/>
            <w:shd w:val="clear" w:color="auto" w:fill="auto"/>
            <w:vAlign w:val="center"/>
          </w:tcPr>
          <w:p w14:paraId="75BE112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607" w:type="pct"/>
            <w:shd w:val="clear" w:color="auto" w:fill="auto"/>
          </w:tcPr>
          <w:p w14:paraId="15F6440A">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541" w:type="dxa"/>
            <w:vAlign w:val="center"/>
          </w:tcPr>
          <w:p w14:paraId="3B7AF189">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1541" w:type="dxa"/>
            <w:vAlign w:val="center"/>
          </w:tcPr>
          <w:p w14:paraId="6BD3DC2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-6.11 </w:t>
            </w:r>
          </w:p>
        </w:tc>
        <w:tc>
          <w:tcPr>
            <w:tcW w:w="1391" w:type="dxa"/>
            <w:shd w:val="clear" w:color="auto" w:fill="auto"/>
            <w:vAlign w:val="center"/>
          </w:tcPr>
          <w:p w14:paraId="4CA19A26">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-182.98 </w:t>
            </w:r>
          </w:p>
        </w:tc>
        <w:tc>
          <w:tcPr>
            <w:tcW w:w="1657" w:type="dxa"/>
            <w:shd w:val="clear" w:color="auto" w:fill="auto"/>
            <w:vAlign w:val="center"/>
          </w:tcPr>
          <w:p w14:paraId="23AEE99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113,873.84 </w:t>
            </w:r>
          </w:p>
        </w:tc>
        <w:tc>
          <w:tcPr>
            <w:tcW w:w="1688" w:type="dxa"/>
            <w:shd w:val="clear" w:color="auto" w:fill="auto"/>
            <w:vAlign w:val="center"/>
          </w:tcPr>
          <w:p w14:paraId="77EADB8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113,060.68 </w:t>
            </w:r>
          </w:p>
        </w:tc>
        <w:tc>
          <w:tcPr>
            <w:tcW w:w="1657" w:type="dxa"/>
            <w:shd w:val="clear" w:color="auto" w:fill="auto"/>
            <w:vAlign w:val="center"/>
          </w:tcPr>
          <w:p w14:paraId="6C0EB431">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112,247.52 </w:t>
            </w:r>
          </w:p>
        </w:tc>
      </w:tr>
    </w:tbl>
    <w:p w14:paraId="0215A9A9">
      <w:pPr>
        <w:pStyle w:val="20"/>
        <w:spacing w:before="0" w:beforeAutospacing="0" w:after="156" w:afterLines="50" w:afterAutospacing="0" w:line="360" w:lineRule="exac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2239"/>
        <w:gridCol w:w="2129"/>
        <w:gridCol w:w="2121"/>
        <w:gridCol w:w="2121"/>
        <w:gridCol w:w="2123"/>
        <w:gridCol w:w="2123"/>
      </w:tblGrid>
      <w:tr w14:paraId="19EE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jc w:val="center"/>
        </w:trPr>
        <w:tc>
          <w:tcPr>
            <w:tcW w:w="440" w:type="pct"/>
            <w:shd w:val="clear" w:color="auto" w:fill="auto"/>
            <w:vAlign w:val="center"/>
          </w:tcPr>
          <w:p w14:paraId="62C190F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94" w:type="pct"/>
            <w:shd w:val="clear" w:color="auto" w:fill="auto"/>
            <w:vAlign w:val="center"/>
          </w:tcPr>
          <w:p w14:paraId="23A8B8A2">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755" w:type="pct"/>
          </w:tcPr>
          <w:p w14:paraId="6A3AFA30">
            <w:pPr>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752" w:type="pct"/>
          </w:tcPr>
          <w:p w14:paraId="6C0F6D87">
            <w:pPr>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752" w:type="pct"/>
          </w:tcPr>
          <w:p w14:paraId="636EFFCE">
            <w:pPr>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030</w:t>
            </w:r>
            <w:r>
              <w:rPr>
                <w:rFonts w:hint="eastAsia" w:ascii="宋体" w:hAnsi="宋体" w:cs="宋体"/>
                <w:b/>
                <w:bCs/>
                <w:color w:val="000000"/>
                <w:kern w:val="0"/>
                <w:sz w:val="18"/>
                <w:szCs w:val="18"/>
              </w:rPr>
              <w:t>年</w:t>
            </w:r>
          </w:p>
        </w:tc>
        <w:tc>
          <w:tcPr>
            <w:tcW w:w="753" w:type="pct"/>
          </w:tcPr>
          <w:p w14:paraId="4DEE99D3">
            <w:pPr>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031</w:t>
            </w:r>
            <w:r>
              <w:rPr>
                <w:rFonts w:hint="eastAsia" w:ascii="宋体" w:hAnsi="宋体" w:cs="宋体"/>
                <w:b/>
                <w:bCs/>
                <w:color w:val="000000"/>
                <w:kern w:val="0"/>
                <w:sz w:val="18"/>
                <w:szCs w:val="18"/>
              </w:rPr>
              <w:t>年</w:t>
            </w:r>
          </w:p>
        </w:tc>
        <w:tc>
          <w:tcPr>
            <w:tcW w:w="752" w:type="pct"/>
          </w:tcPr>
          <w:p w14:paraId="6578E5EC">
            <w:pPr>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2032年</w:t>
            </w:r>
          </w:p>
        </w:tc>
      </w:tr>
      <w:tr w14:paraId="0BF1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7" w:hRule="atLeast"/>
          <w:jc w:val="center"/>
        </w:trPr>
        <w:tc>
          <w:tcPr>
            <w:tcW w:w="440" w:type="pct"/>
            <w:shd w:val="clear" w:color="auto" w:fill="auto"/>
            <w:vAlign w:val="center"/>
          </w:tcPr>
          <w:p w14:paraId="2210D9CD">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794" w:type="pct"/>
            <w:shd w:val="clear" w:color="auto" w:fill="auto"/>
            <w:vAlign w:val="center"/>
          </w:tcPr>
          <w:p w14:paraId="14EF072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755" w:type="pct"/>
            <w:vAlign w:val="center"/>
          </w:tcPr>
          <w:p w14:paraId="20942DB5">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752" w:type="pct"/>
            <w:vAlign w:val="center"/>
          </w:tcPr>
          <w:p w14:paraId="787CC8E0">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752" w:type="pct"/>
            <w:vAlign w:val="center"/>
          </w:tcPr>
          <w:p w14:paraId="2B8AEE33">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753" w:type="pct"/>
            <w:vAlign w:val="center"/>
          </w:tcPr>
          <w:p w14:paraId="6636419D">
            <w:pPr>
              <w:widowControl/>
              <w:spacing w:after="0"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   </w:t>
            </w:r>
          </w:p>
        </w:tc>
        <w:tc>
          <w:tcPr>
            <w:tcW w:w="752" w:type="pct"/>
            <w:vAlign w:val="center"/>
          </w:tcPr>
          <w:p w14:paraId="12F2AEFD">
            <w:pPr>
              <w:widowControl/>
              <w:spacing w:after="0" w:line="240" w:lineRule="auto"/>
              <w:jc w:val="center"/>
              <w:rPr>
                <w:rFonts w:hint="eastAsia" w:ascii="宋体" w:hAnsi="宋体" w:cs="宋体"/>
                <w:color w:val="000000"/>
                <w:kern w:val="0"/>
                <w:sz w:val="18"/>
                <w:szCs w:val="18"/>
              </w:rPr>
            </w:pPr>
          </w:p>
        </w:tc>
      </w:tr>
      <w:tr w14:paraId="3BDF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jc w:val="center"/>
        </w:trPr>
        <w:tc>
          <w:tcPr>
            <w:tcW w:w="440" w:type="pct"/>
            <w:shd w:val="clear" w:color="auto" w:fill="auto"/>
            <w:vAlign w:val="center"/>
          </w:tcPr>
          <w:p w14:paraId="0844F2B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94" w:type="pct"/>
            <w:shd w:val="clear" w:color="auto" w:fill="auto"/>
            <w:vAlign w:val="center"/>
          </w:tcPr>
          <w:p w14:paraId="6F03776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755" w:type="pct"/>
            <w:vAlign w:val="center"/>
          </w:tcPr>
          <w:p w14:paraId="2FBCBD00">
            <w:pPr>
              <w:jc w:val="center"/>
              <w:rPr>
                <w:rFonts w:hint="eastAsia" w:ascii="宋体" w:hAnsi="宋体" w:eastAsia="宋体" w:cs="宋体"/>
                <w:color w:val="000000"/>
                <w:kern w:val="0"/>
                <w:sz w:val="18"/>
                <w:szCs w:val="18"/>
                <w:lang w:val="en-US" w:eastAsia="zh-CN" w:bidi="ar-SA"/>
              </w:rPr>
            </w:pPr>
          </w:p>
        </w:tc>
        <w:tc>
          <w:tcPr>
            <w:tcW w:w="752" w:type="pct"/>
            <w:vAlign w:val="center"/>
          </w:tcPr>
          <w:p w14:paraId="49CDA9D4">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   </w:t>
            </w:r>
          </w:p>
        </w:tc>
        <w:tc>
          <w:tcPr>
            <w:tcW w:w="752" w:type="pct"/>
            <w:vAlign w:val="center"/>
          </w:tcPr>
          <w:p w14:paraId="2DF5620E">
            <w:pPr>
              <w:jc w:val="center"/>
              <w:rPr>
                <w:rFonts w:hint="eastAsia" w:ascii="宋体" w:hAnsi="宋体" w:eastAsia="宋体" w:cs="宋体"/>
                <w:color w:val="000000"/>
                <w:kern w:val="0"/>
                <w:sz w:val="18"/>
                <w:szCs w:val="18"/>
                <w:lang w:val="en-US" w:eastAsia="zh-CN" w:bidi="ar-SA"/>
              </w:rPr>
            </w:pPr>
          </w:p>
        </w:tc>
        <w:tc>
          <w:tcPr>
            <w:tcW w:w="753" w:type="pct"/>
            <w:vAlign w:val="center"/>
          </w:tcPr>
          <w:p w14:paraId="39CAFA9E">
            <w:pPr>
              <w:jc w:val="center"/>
              <w:rPr>
                <w:rFonts w:hint="eastAsia" w:ascii="宋体" w:hAnsi="宋体" w:eastAsia="宋体" w:cs="宋体"/>
                <w:color w:val="000000"/>
                <w:kern w:val="0"/>
                <w:sz w:val="18"/>
                <w:szCs w:val="18"/>
                <w:lang w:val="en-US" w:eastAsia="zh-CN" w:bidi="ar-SA"/>
              </w:rPr>
            </w:pPr>
          </w:p>
        </w:tc>
        <w:tc>
          <w:tcPr>
            <w:tcW w:w="752" w:type="pct"/>
            <w:vAlign w:val="center"/>
          </w:tcPr>
          <w:p w14:paraId="3C96C98D">
            <w:pPr>
              <w:jc w:val="center"/>
              <w:rPr>
                <w:rFonts w:hint="eastAsia" w:ascii="宋体" w:hAnsi="宋体" w:eastAsia="宋体" w:cs="宋体"/>
                <w:color w:val="000000"/>
                <w:kern w:val="0"/>
                <w:sz w:val="18"/>
                <w:szCs w:val="18"/>
                <w:lang w:val="en-US" w:eastAsia="zh-CN" w:bidi="ar-SA"/>
              </w:rPr>
            </w:pPr>
          </w:p>
        </w:tc>
      </w:tr>
      <w:tr w14:paraId="054E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75E4FF0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94" w:type="pct"/>
            <w:shd w:val="clear" w:color="auto" w:fill="auto"/>
            <w:vAlign w:val="center"/>
          </w:tcPr>
          <w:p w14:paraId="101FF8F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755" w:type="pct"/>
            <w:vAlign w:val="center"/>
          </w:tcPr>
          <w:p w14:paraId="46A14985">
            <w:pPr>
              <w:jc w:val="center"/>
              <w:rPr>
                <w:rFonts w:hint="eastAsia" w:ascii="宋体" w:hAnsi="宋体" w:eastAsia="宋体" w:cs="宋体"/>
                <w:color w:val="000000"/>
                <w:kern w:val="0"/>
                <w:sz w:val="18"/>
                <w:szCs w:val="18"/>
                <w:lang w:val="en-US" w:eastAsia="zh-CN" w:bidi="ar-SA"/>
              </w:rPr>
            </w:pPr>
          </w:p>
        </w:tc>
        <w:tc>
          <w:tcPr>
            <w:tcW w:w="752" w:type="pct"/>
            <w:vAlign w:val="center"/>
          </w:tcPr>
          <w:p w14:paraId="728CFB5B">
            <w:pPr>
              <w:jc w:val="center"/>
              <w:rPr>
                <w:rFonts w:hint="eastAsia" w:ascii="宋体" w:hAnsi="宋体" w:eastAsia="宋体" w:cs="宋体"/>
                <w:color w:val="000000"/>
                <w:kern w:val="0"/>
                <w:sz w:val="18"/>
                <w:szCs w:val="18"/>
                <w:lang w:val="en-US" w:eastAsia="zh-CN" w:bidi="ar-SA"/>
              </w:rPr>
            </w:pPr>
          </w:p>
        </w:tc>
        <w:tc>
          <w:tcPr>
            <w:tcW w:w="752" w:type="pct"/>
            <w:vAlign w:val="center"/>
          </w:tcPr>
          <w:p w14:paraId="0A7A31E2">
            <w:pPr>
              <w:jc w:val="center"/>
              <w:rPr>
                <w:rFonts w:hint="eastAsia" w:ascii="宋体" w:hAnsi="宋体" w:eastAsia="宋体" w:cs="宋体"/>
                <w:color w:val="000000"/>
                <w:kern w:val="0"/>
                <w:sz w:val="18"/>
                <w:szCs w:val="18"/>
                <w:lang w:val="en-US" w:eastAsia="zh-CN" w:bidi="ar-SA"/>
              </w:rPr>
            </w:pPr>
          </w:p>
        </w:tc>
        <w:tc>
          <w:tcPr>
            <w:tcW w:w="753" w:type="pct"/>
            <w:vAlign w:val="center"/>
          </w:tcPr>
          <w:p w14:paraId="00C42BBD">
            <w:pPr>
              <w:jc w:val="center"/>
              <w:rPr>
                <w:rFonts w:hint="eastAsia" w:ascii="宋体" w:hAnsi="宋体" w:eastAsia="宋体" w:cs="宋体"/>
                <w:color w:val="000000"/>
                <w:kern w:val="0"/>
                <w:sz w:val="18"/>
                <w:szCs w:val="18"/>
                <w:lang w:val="en-US" w:eastAsia="zh-CN" w:bidi="ar-SA"/>
              </w:rPr>
            </w:pPr>
          </w:p>
        </w:tc>
        <w:tc>
          <w:tcPr>
            <w:tcW w:w="752" w:type="pct"/>
            <w:vAlign w:val="center"/>
          </w:tcPr>
          <w:p w14:paraId="7E002EC1">
            <w:pPr>
              <w:jc w:val="center"/>
              <w:rPr>
                <w:rFonts w:hint="eastAsia" w:ascii="宋体" w:hAnsi="宋体" w:eastAsia="宋体" w:cs="宋体"/>
                <w:color w:val="000000"/>
                <w:kern w:val="0"/>
                <w:sz w:val="18"/>
                <w:szCs w:val="18"/>
                <w:lang w:val="en-US" w:eastAsia="zh-CN" w:bidi="ar-SA"/>
              </w:rPr>
            </w:pPr>
          </w:p>
        </w:tc>
      </w:tr>
      <w:tr w14:paraId="23348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51BE48A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94" w:type="pct"/>
            <w:shd w:val="clear" w:color="auto" w:fill="auto"/>
            <w:vAlign w:val="center"/>
          </w:tcPr>
          <w:p w14:paraId="1010447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755" w:type="pct"/>
            <w:vAlign w:val="center"/>
          </w:tcPr>
          <w:p w14:paraId="0165446A">
            <w:pPr>
              <w:jc w:val="center"/>
              <w:rPr>
                <w:rFonts w:hint="eastAsia" w:ascii="宋体" w:hAnsi="宋体" w:eastAsia="宋体" w:cs="宋体"/>
                <w:color w:val="000000"/>
                <w:kern w:val="0"/>
                <w:sz w:val="18"/>
                <w:szCs w:val="18"/>
                <w:lang w:val="en-US" w:eastAsia="zh-CN" w:bidi="ar-SA"/>
              </w:rPr>
            </w:pPr>
          </w:p>
        </w:tc>
        <w:tc>
          <w:tcPr>
            <w:tcW w:w="752" w:type="pct"/>
            <w:vAlign w:val="center"/>
          </w:tcPr>
          <w:p w14:paraId="0CC7E96B">
            <w:pPr>
              <w:jc w:val="center"/>
              <w:rPr>
                <w:rFonts w:hint="eastAsia" w:ascii="宋体" w:hAnsi="宋体" w:eastAsia="宋体" w:cs="宋体"/>
                <w:color w:val="000000"/>
                <w:kern w:val="0"/>
                <w:sz w:val="18"/>
                <w:szCs w:val="18"/>
                <w:lang w:val="en-US" w:eastAsia="zh-CN" w:bidi="ar-SA"/>
              </w:rPr>
            </w:pPr>
          </w:p>
        </w:tc>
        <w:tc>
          <w:tcPr>
            <w:tcW w:w="752" w:type="pct"/>
            <w:vAlign w:val="center"/>
          </w:tcPr>
          <w:p w14:paraId="518DF92F">
            <w:pPr>
              <w:jc w:val="center"/>
              <w:rPr>
                <w:rFonts w:hint="eastAsia" w:ascii="宋体" w:hAnsi="宋体" w:eastAsia="宋体" w:cs="宋体"/>
                <w:color w:val="000000"/>
                <w:kern w:val="0"/>
                <w:sz w:val="18"/>
                <w:szCs w:val="18"/>
                <w:lang w:val="en-US" w:eastAsia="zh-CN" w:bidi="ar-SA"/>
              </w:rPr>
            </w:pPr>
          </w:p>
        </w:tc>
        <w:tc>
          <w:tcPr>
            <w:tcW w:w="753" w:type="pct"/>
            <w:vAlign w:val="center"/>
          </w:tcPr>
          <w:p w14:paraId="5D1614D7">
            <w:pPr>
              <w:jc w:val="center"/>
              <w:rPr>
                <w:rFonts w:hint="eastAsia" w:ascii="宋体" w:hAnsi="宋体" w:eastAsia="宋体" w:cs="宋体"/>
                <w:color w:val="000000"/>
                <w:kern w:val="0"/>
                <w:sz w:val="18"/>
                <w:szCs w:val="18"/>
                <w:lang w:val="en-US" w:eastAsia="zh-CN" w:bidi="ar-SA"/>
              </w:rPr>
            </w:pPr>
          </w:p>
        </w:tc>
        <w:tc>
          <w:tcPr>
            <w:tcW w:w="752" w:type="pct"/>
            <w:vAlign w:val="center"/>
          </w:tcPr>
          <w:p w14:paraId="0E2ED04D">
            <w:pPr>
              <w:jc w:val="center"/>
              <w:rPr>
                <w:rFonts w:hint="eastAsia" w:ascii="宋体" w:hAnsi="宋体" w:eastAsia="宋体" w:cs="宋体"/>
                <w:color w:val="000000"/>
                <w:kern w:val="0"/>
                <w:sz w:val="18"/>
                <w:szCs w:val="18"/>
                <w:lang w:val="en-US" w:eastAsia="zh-CN" w:bidi="ar-SA"/>
              </w:rPr>
            </w:pPr>
          </w:p>
        </w:tc>
      </w:tr>
      <w:tr w14:paraId="23E7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 w:hRule="atLeast"/>
          <w:jc w:val="center"/>
        </w:trPr>
        <w:tc>
          <w:tcPr>
            <w:tcW w:w="440" w:type="pct"/>
            <w:shd w:val="clear" w:color="auto" w:fill="auto"/>
            <w:vAlign w:val="center"/>
          </w:tcPr>
          <w:p w14:paraId="25A800D6">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94" w:type="pct"/>
            <w:shd w:val="clear" w:color="auto" w:fill="auto"/>
            <w:vAlign w:val="center"/>
          </w:tcPr>
          <w:p w14:paraId="0977120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755" w:type="pct"/>
            <w:vAlign w:val="center"/>
          </w:tcPr>
          <w:p w14:paraId="5576B50D">
            <w:pPr>
              <w:jc w:val="center"/>
              <w:rPr>
                <w:rFonts w:hint="eastAsia" w:ascii="宋体" w:hAnsi="宋体" w:eastAsia="宋体" w:cs="宋体"/>
                <w:color w:val="000000"/>
                <w:kern w:val="0"/>
                <w:sz w:val="18"/>
                <w:szCs w:val="18"/>
                <w:lang w:val="en-US" w:eastAsia="zh-CN" w:bidi="ar-SA"/>
              </w:rPr>
            </w:pPr>
          </w:p>
        </w:tc>
        <w:tc>
          <w:tcPr>
            <w:tcW w:w="752" w:type="pct"/>
            <w:vAlign w:val="center"/>
          </w:tcPr>
          <w:p w14:paraId="46924890">
            <w:pPr>
              <w:jc w:val="center"/>
              <w:rPr>
                <w:rFonts w:hint="eastAsia" w:ascii="宋体" w:hAnsi="宋体" w:eastAsia="宋体" w:cs="宋体"/>
                <w:color w:val="000000"/>
                <w:kern w:val="0"/>
                <w:sz w:val="18"/>
                <w:szCs w:val="18"/>
                <w:lang w:val="en-US" w:eastAsia="zh-CN" w:bidi="ar-SA"/>
              </w:rPr>
            </w:pPr>
          </w:p>
        </w:tc>
        <w:tc>
          <w:tcPr>
            <w:tcW w:w="752" w:type="pct"/>
            <w:vAlign w:val="center"/>
          </w:tcPr>
          <w:p w14:paraId="094836D7">
            <w:pPr>
              <w:jc w:val="center"/>
              <w:rPr>
                <w:rFonts w:hint="eastAsia" w:ascii="宋体" w:hAnsi="宋体" w:eastAsia="宋体" w:cs="宋体"/>
                <w:color w:val="000000"/>
                <w:kern w:val="0"/>
                <w:sz w:val="18"/>
                <w:szCs w:val="18"/>
                <w:lang w:val="en-US" w:eastAsia="zh-CN" w:bidi="ar-SA"/>
              </w:rPr>
            </w:pPr>
          </w:p>
        </w:tc>
        <w:tc>
          <w:tcPr>
            <w:tcW w:w="753" w:type="pct"/>
            <w:vAlign w:val="center"/>
          </w:tcPr>
          <w:p w14:paraId="50A3254B">
            <w:pPr>
              <w:jc w:val="center"/>
              <w:rPr>
                <w:rFonts w:hint="eastAsia" w:ascii="宋体" w:hAnsi="宋体" w:eastAsia="宋体" w:cs="宋体"/>
                <w:color w:val="000000"/>
                <w:kern w:val="0"/>
                <w:sz w:val="18"/>
                <w:szCs w:val="18"/>
                <w:lang w:val="en-US" w:eastAsia="zh-CN" w:bidi="ar-SA"/>
              </w:rPr>
            </w:pPr>
          </w:p>
        </w:tc>
        <w:tc>
          <w:tcPr>
            <w:tcW w:w="752" w:type="pct"/>
            <w:vAlign w:val="center"/>
          </w:tcPr>
          <w:p w14:paraId="43E8740F">
            <w:pPr>
              <w:jc w:val="center"/>
              <w:rPr>
                <w:rFonts w:hint="eastAsia" w:ascii="宋体" w:hAnsi="宋体" w:eastAsia="宋体" w:cs="宋体"/>
                <w:color w:val="000000"/>
                <w:kern w:val="0"/>
                <w:sz w:val="18"/>
                <w:szCs w:val="18"/>
                <w:lang w:val="en-US" w:eastAsia="zh-CN" w:bidi="ar-SA"/>
              </w:rPr>
            </w:pPr>
          </w:p>
        </w:tc>
      </w:tr>
      <w:tr w14:paraId="2E9E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6763BE0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794" w:type="pct"/>
            <w:shd w:val="clear" w:color="auto" w:fill="auto"/>
            <w:vAlign w:val="center"/>
          </w:tcPr>
          <w:p w14:paraId="475E58A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755" w:type="pct"/>
            <w:vAlign w:val="center"/>
          </w:tcPr>
          <w:p w14:paraId="71F913B0">
            <w:pPr>
              <w:jc w:val="center"/>
              <w:rPr>
                <w:rFonts w:hint="eastAsia" w:ascii="宋体" w:hAnsi="宋体" w:eastAsia="宋体" w:cs="宋体"/>
                <w:color w:val="000000"/>
                <w:kern w:val="0"/>
                <w:sz w:val="18"/>
                <w:szCs w:val="18"/>
                <w:lang w:val="en-US" w:eastAsia="zh-CN" w:bidi="ar-SA"/>
              </w:rPr>
            </w:pPr>
          </w:p>
        </w:tc>
        <w:tc>
          <w:tcPr>
            <w:tcW w:w="752" w:type="pct"/>
            <w:vAlign w:val="center"/>
          </w:tcPr>
          <w:p w14:paraId="1C301851">
            <w:pPr>
              <w:jc w:val="center"/>
              <w:rPr>
                <w:rFonts w:hint="eastAsia" w:ascii="宋体" w:hAnsi="宋体" w:eastAsia="宋体" w:cs="宋体"/>
                <w:color w:val="000000"/>
                <w:kern w:val="0"/>
                <w:sz w:val="18"/>
                <w:szCs w:val="18"/>
                <w:lang w:val="en-US" w:eastAsia="zh-CN" w:bidi="ar-SA"/>
              </w:rPr>
            </w:pPr>
          </w:p>
        </w:tc>
        <w:tc>
          <w:tcPr>
            <w:tcW w:w="752" w:type="pct"/>
            <w:vAlign w:val="center"/>
          </w:tcPr>
          <w:p w14:paraId="64FD7524">
            <w:pPr>
              <w:jc w:val="center"/>
              <w:rPr>
                <w:rFonts w:hint="eastAsia" w:ascii="宋体" w:hAnsi="宋体" w:eastAsia="宋体" w:cs="宋体"/>
                <w:color w:val="000000"/>
                <w:kern w:val="0"/>
                <w:sz w:val="18"/>
                <w:szCs w:val="18"/>
                <w:lang w:val="en-US" w:eastAsia="zh-CN" w:bidi="ar-SA"/>
              </w:rPr>
            </w:pPr>
          </w:p>
        </w:tc>
        <w:tc>
          <w:tcPr>
            <w:tcW w:w="753" w:type="pct"/>
            <w:vAlign w:val="center"/>
          </w:tcPr>
          <w:p w14:paraId="55182AD9">
            <w:pPr>
              <w:jc w:val="center"/>
              <w:rPr>
                <w:rFonts w:hint="eastAsia" w:ascii="宋体" w:hAnsi="宋体" w:eastAsia="宋体" w:cs="宋体"/>
                <w:color w:val="000000"/>
                <w:kern w:val="0"/>
                <w:sz w:val="18"/>
                <w:szCs w:val="18"/>
                <w:lang w:val="en-US" w:eastAsia="zh-CN" w:bidi="ar-SA"/>
              </w:rPr>
            </w:pPr>
          </w:p>
        </w:tc>
        <w:tc>
          <w:tcPr>
            <w:tcW w:w="752" w:type="pct"/>
            <w:vAlign w:val="center"/>
          </w:tcPr>
          <w:p w14:paraId="09FE2D4F">
            <w:pPr>
              <w:jc w:val="center"/>
              <w:rPr>
                <w:rFonts w:hint="eastAsia" w:ascii="宋体" w:hAnsi="宋体" w:eastAsia="宋体" w:cs="宋体"/>
                <w:color w:val="000000"/>
                <w:kern w:val="0"/>
                <w:sz w:val="18"/>
                <w:szCs w:val="18"/>
                <w:lang w:val="en-US" w:eastAsia="zh-CN" w:bidi="ar-SA"/>
              </w:rPr>
            </w:pPr>
          </w:p>
        </w:tc>
      </w:tr>
      <w:tr w14:paraId="1968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4C14B56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794" w:type="pct"/>
            <w:shd w:val="clear" w:color="auto" w:fill="auto"/>
            <w:vAlign w:val="center"/>
          </w:tcPr>
          <w:p w14:paraId="2923FF61">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755" w:type="pct"/>
            <w:vAlign w:val="center"/>
          </w:tcPr>
          <w:p w14:paraId="2C9BBC8D">
            <w:pPr>
              <w:jc w:val="center"/>
              <w:rPr>
                <w:rFonts w:hint="eastAsia" w:ascii="宋体" w:hAnsi="宋体" w:eastAsia="宋体" w:cs="宋体"/>
                <w:color w:val="000000"/>
                <w:kern w:val="0"/>
                <w:sz w:val="18"/>
                <w:szCs w:val="18"/>
                <w:lang w:val="en-US" w:eastAsia="zh-CN" w:bidi="ar-SA"/>
              </w:rPr>
            </w:pPr>
          </w:p>
        </w:tc>
        <w:tc>
          <w:tcPr>
            <w:tcW w:w="752" w:type="pct"/>
            <w:vAlign w:val="center"/>
          </w:tcPr>
          <w:p w14:paraId="5F66E3A9">
            <w:pPr>
              <w:jc w:val="center"/>
              <w:rPr>
                <w:rFonts w:hint="eastAsia" w:ascii="宋体" w:hAnsi="宋体" w:eastAsia="宋体" w:cs="宋体"/>
                <w:color w:val="000000"/>
                <w:kern w:val="0"/>
                <w:sz w:val="18"/>
                <w:szCs w:val="18"/>
                <w:lang w:val="en-US" w:eastAsia="zh-CN" w:bidi="ar-SA"/>
              </w:rPr>
            </w:pPr>
          </w:p>
        </w:tc>
        <w:tc>
          <w:tcPr>
            <w:tcW w:w="752" w:type="pct"/>
            <w:vAlign w:val="center"/>
          </w:tcPr>
          <w:p w14:paraId="00B1ED91">
            <w:pPr>
              <w:jc w:val="center"/>
              <w:rPr>
                <w:rFonts w:hint="eastAsia" w:ascii="宋体" w:hAnsi="宋体" w:eastAsia="宋体" w:cs="宋体"/>
                <w:color w:val="000000"/>
                <w:kern w:val="0"/>
                <w:sz w:val="18"/>
                <w:szCs w:val="18"/>
                <w:lang w:val="en-US" w:eastAsia="zh-CN" w:bidi="ar-SA"/>
              </w:rPr>
            </w:pPr>
          </w:p>
        </w:tc>
        <w:tc>
          <w:tcPr>
            <w:tcW w:w="753" w:type="pct"/>
            <w:vAlign w:val="center"/>
          </w:tcPr>
          <w:p w14:paraId="445B5886">
            <w:pPr>
              <w:jc w:val="center"/>
              <w:rPr>
                <w:rFonts w:hint="eastAsia" w:ascii="宋体" w:hAnsi="宋体" w:eastAsia="宋体" w:cs="宋体"/>
                <w:color w:val="000000"/>
                <w:kern w:val="0"/>
                <w:sz w:val="18"/>
                <w:szCs w:val="18"/>
                <w:lang w:val="en-US" w:eastAsia="zh-CN" w:bidi="ar-SA"/>
              </w:rPr>
            </w:pPr>
          </w:p>
        </w:tc>
        <w:tc>
          <w:tcPr>
            <w:tcW w:w="752" w:type="pct"/>
            <w:vAlign w:val="center"/>
          </w:tcPr>
          <w:p w14:paraId="66303084">
            <w:pPr>
              <w:jc w:val="center"/>
              <w:rPr>
                <w:rFonts w:hint="eastAsia" w:ascii="宋体" w:hAnsi="宋体" w:eastAsia="宋体" w:cs="宋体"/>
                <w:color w:val="000000"/>
                <w:kern w:val="0"/>
                <w:sz w:val="18"/>
                <w:szCs w:val="18"/>
                <w:lang w:val="en-US" w:eastAsia="zh-CN" w:bidi="ar-SA"/>
              </w:rPr>
            </w:pPr>
          </w:p>
        </w:tc>
      </w:tr>
      <w:tr w14:paraId="25A4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3DC6650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94" w:type="pct"/>
            <w:shd w:val="clear" w:color="auto" w:fill="auto"/>
            <w:vAlign w:val="center"/>
          </w:tcPr>
          <w:p w14:paraId="04AD10C4">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755" w:type="pct"/>
            <w:vAlign w:val="center"/>
          </w:tcPr>
          <w:p w14:paraId="648C20FF">
            <w:pPr>
              <w:jc w:val="center"/>
              <w:rPr>
                <w:rFonts w:hint="eastAsia" w:ascii="宋体" w:hAnsi="宋体" w:eastAsia="宋体" w:cs="宋体"/>
                <w:color w:val="000000"/>
                <w:kern w:val="0"/>
                <w:sz w:val="18"/>
                <w:szCs w:val="18"/>
                <w:lang w:val="en-US" w:eastAsia="zh-CN" w:bidi="ar-SA"/>
              </w:rPr>
            </w:pPr>
          </w:p>
        </w:tc>
        <w:tc>
          <w:tcPr>
            <w:tcW w:w="752" w:type="pct"/>
            <w:vAlign w:val="center"/>
          </w:tcPr>
          <w:p w14:paraId="194D2A7E">
            <w:pPr>
              <w:jc w:val="center"/>
              <w:rPr>
                <w:rFonts w:hint="eastAsia" w:ascii="宋体" w:hAnsi="宋体" w:eastAsia="宋体" w:cs="宋体"/>
                <w:color w:val="000000"/>
                <w:kern w:val="0"/>
                <w:sz w:val="18"/>
                <w:szCs w:val="18"/>
                <w:lang w:val="en-US" w:eastAsia="zh-CN" w:bidi="ar-SA"/>
              </w:rPr>
            </w:pPr>
          </w:p>
        </w:tc>
        <w:tc>
          <w:tcPr>
            <w:tcW w:w="752" w:type="pct"/>
            <w:vAlign w:val="center"/>
          </w:tcPr>
          <w:p w14:paraId="46A47104">
            <w:pPr>
              <w:jc w:val="center"/>
              <w:rPr>
                <w:rFonts w:hint="eastAsia" w:ascii="宋体" w:hAnsi="宋体" w:eastAsia="宋体" w:cs="宋体"/>
                <w:color w:val="000000"/>
                <w:kern w:val="0"/>
                <w:sz w:val="18"/>
                <w:szCs w:val="18"/>
                <w:lang w:val="en-US" w:eastAsia="zh-CN" w:bidi="ar-SA"/>
              </w:rPr>
            </w:pPr>
          </w:p>
        </w:tc>
        <w:tc>
          <w:tcPr>
            <w:tcW w:w="753" w:type="pct"/>
            <w:vAlign w:val="center"/>
          </w:tcPr>
          <w:p w14:paraId="1B0E05FA">
            <w:pPr>
              <w:jc w:val="center"/>
              <w:rPr>
                <w:rFonts w:hint="eastAsia" w:ascii="宋体" w:hAnsi="宋体" w:eastAsia="宋体" w:cs="宋体"/>
                <w:color w:val="000000"/>
                <w:kern w:val="0"/>
                <w:sz w:val="18"/>
                <w:szCs w:val="18"/>
                <w:lang w:val="en-US" w:eastAsia="zh-CN" w:bidi="ar-SA"/>
              </w:rPr>
            </w:pPr>
          </w:p>
        </w:tc>
        <w:tc>
          <w:tcPr>
            <w:tcW w:w="752" w:type="pct"/>
            <w:vAlign w:val="center"/>
          </w:tcPr>
          <w:p w14:paraId="6F43E009">
            <w:pPr>
              <w:jc w:val="center"/>
              <w:rPr>
                <w:rFonts w:hint="eastAsia" w:ascii="宋体" w:hAnsi="宋体" w:eastAsia="宋体" w:cs="宋体"/>
                <w:color w:val="000000"/>
                <w:kern w:val="0"/>
                <w:sz w:val="18"/>
                <w:szCs w:val="18"/>
                <w:lang w:val="en-US" w:eastAsia="zh-CN" w:bidi="ar-SA"/>
              </w:rPr>
            </w:pPr>
          </w:p>
        </w:tc>
      </w:tr>
      <w:tr w14:paraId="7788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23EFE49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794" w:type="pct"/>
            <w:shd w:val="clear" w:color="auto" w:fill="auto"/>
            <w:vAlign w:val="center"/>
          </w:tcPr>
          <w:p w14:paraId="10E9938E">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755" w:type="pct"/>
            <w:vAlign w:val="center"/>
          </w:tcPr>
          <w:p w14:paraId="059E7C7C">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3048969E">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4348AE5D">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6,923.16 </w:t>
            </w:r>
          </w:p>
        </w:tc>
        <w:tc>
          <w:tcPr>
            <w:tcW w:w="753" w:type="pct"/>
            <w:vAlign w:val="center"/>
          </w:tcPr>
          <w:p w14:paraId="2FCF0294">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7,042.69 </w:t>
            </w:r>
          </w:p>
        </w:tc>
        <w:tc>
          <w:tcPr>
            <w:tcW w:w="752" w:type="pct"/>
            <w:vAlign w:val="center"/>
          </w:tcPr>
          <w:p w14:paraId="6214CA8B">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10,899.11 </w:t>
            </w:r>
          </w:p>
        </w:tc>
      </w:tr>
      <w:tr w14:paraId="2435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jc w:val="center"/>
        </w:trPr>
        <w:tc>
          <w:tcPr>
            <w:tcW w:w="440" w:type="pct"/>
            <w:shd w:val="clear" w:color="auto" w:fill="auto"/>
            <w:vAlign w:val="center"/>
          </w:tcPr>
          <w:p w14:paraId="072AD0E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94" w:type="pct"/>
            <w:shd w:val="clear" w:color="auto" w:fill="auto"/>
            <w:vAlign w:val="center"/>
          </w:tcPr>
          <w:p w14:paraId="327A1E5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755" w:type="pct"/>
            <w:vAlign w:val="center"/>
          </w:tcPr>
          <w:p w14:paraId="699DEA8E">
            <w:pPr>
              <w:jc w:val="center"/>
              <w:rPr>
                <w:rFonts w:hint="eastAsia" w:ascii="宋体" w:hAnsi="宋体" w:eastAsia="宋体" w:cs="宋体"/>
                <w:color w:val="000000"/>
                <w:kern w:val="0"/>
                <w:sz w:val="18"/>
                <w:szCs w:val="18"/>
                <w:lang w:val="en-US" w:eastAsia="zh-CN" w:bidi="ar-SA"/>
              </w:rPr>
            </w:pPr>
          </w:p>
        </w:tc>
        <w:tc>
          <w:tcPr>
            <w:tcW w:w="752" w:type="pct"/>
            <w:vAlign w:val="center"/>
          </w:tcPr>
          <w:p w14:paraId="4B6B4EA6">
            <w:pPr>
              <w:jc w:val="center"/>
              <w:rPr>
                <w:rFonts w:hint="eastAsia" w:ascii="宋体" w:hAnsi="宋体" w:eastAsia="宋体" w:cs="宋体"/>
                <w:color w:val="000000"/>
                <w:kern w:val="0"/>
                <w:sz w:val="18"/>
                <w:szCs w:val="18"/>
                <w:lang w:val="en-US" w:eastAsia="zh-CN" w:bidi="ar-SA"/>
              </w:rPr>
            </w:pPr>
          </w:p>
        </w:tc>
        <w:tc>
          <w:tcPr>
            <w:tcW w:w="752" w:type="pct"/>
            <w:vAlign w:val="center"/>
          </w:tcPr>
          <w:p w14:paraId="7900FDE3">
            <w:pPr>
              <w:jc w:val="center"/>
              <w:rPr>
                <w:rFonts w:hint="eastAsia" w:ascii="宋体" w:hAnsi="宋体" w:eastAsia="宋体" w:cs="宋体"/>
                <w:color w:val="000000"/>
                <w:kern w:val="0"/>
                <w:sz w:val="18"/>
                <w:szCs w:val="18"/>
                <w:lang w:val="en-US" w:eastAsia="zh-CN" w:bidi="ar-SA"/>
              </w:rPr>
            </w:pPr>
          </w:p>
        </w:tc>
        <w:tc>
          <w:tcPr>
            <w:tcW w:w="753" w:type="pct"/>
            <w:vAlign w:val="center"/>
          </w:tcPr>
          <w:p w14:paraId="6B041180">
            <w:pPr>
              <w:jc w:val="center"/>
              <w:rPr>
                <w:rFonts w:hint="eastAsia" w:ascii="宋体" w:hAnsi="宋体" w:eastAsia="宋体" w:cs="宋体"/>
                <w:color w:val="000000"/>
                <w:kern w:val="0"/>
                <w:sz w:val="18"/>
                <w:szCs w:val="18"/>
                <w:lang w:val="en-US" w:eastAsia="zh-CN" w:bidi="ar-SA"/>
              </w:rPr>
            </w:pPr>
          </w:p>
        </w:tc>
        <w:tc>
          <w:tcPr>
            <w:tcW w:w="752" w:type="pct"/>
            <w:vAlign w:val="center"/>
          </w:tcPr>
          <w:p w14:paraId="3D2103CF">
            <w:pPr>
              <w:jc w:val="center"/>
              <w:rPr>
                <w:rFonts w:hint="eastAsia" w:ascii="宋体" w:hAnsi="宋体" w:eastAsia="宋体" w:cs="宋体"/>
                <w:color w:val="000000"/>
                <w:kern w:val="0"/>
                <w:sz w:val="18"/>
                <w:szCs w:val="18"/>
                <w:lang w:val="en-US" w:eastAsia="zh-CN" w:bidi="ar-SA"/>
              </w:rPr>
            </w:pPr>
          </w:p>
        </w:tc>
      </w:tr>
      <w:tr w14:paraId="258A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513ECEE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94" w:type="pct"/>
            <w:shd w:val="clear" w:color="auto" w:fill="auto"/>
            <w:vAlign w:val="center"/>
          </w:tcPr>
          <w:p w14:paraId="1D186D9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755" w:type="pct"/>
            <w:vAlign w:val="bottom"/>
          </w:tcPr>
          <w:p w14:paraId="66CA086C">
            <w:pPr>
              <w:rPr>
                <w:rFonts w:hint="eastAsia" w:ascii="宋体" w:hAnsi="宋体" w:eastAsia="宋体" w:cs="宋体"/>
                <w:color w:val="000000"/>
                <w:kern w:val="0"/>
                <w:sz w:val="18"/>
                <w:szCs w:val="18"/>
                <w:lang w:val="en-US" w:eastAsia="zh-CN" w:bidi="ar-SA"/>
              </w:rPr>
            </w:pPr>
          </w:p>
        </w:tc>
        <w:tc>
          <w:tcPr>
            <w:tcW w:w="752" w:type="pct"/>
            <w:vAlign w:val="bottom"/>
          </w:tcPr>
          <w:p w14:paraId="5B4832F1">
            <w:pPr>
              <w:rPr>
                <w:rFonts w:hint="eastAsia" w:ascii="宋体" w:hAnsi="宋体" w:eastAsia="宋体" w:cs="宋体"/>
                <w:color w:val="000000"/>
                <w:kern w:val="0"/>
                <w:sz w:val="18"/>
                <w:szCs w:val="18"/>
                <w:lang w:val="en-US" w:eastAsia="zh-CN" w:bidi="ar-SA"/>
              </w:rPr>
            </w:pPr>
          </w:p>
        </w:tc>
        <w:tc>
          <w:tcPr>
            <w:tcW w:w="752" w:type="pct"/>
            <w:vAlign w:val="bottom"/>
          </w:tcPr>
          <w:p w14:paraId="24472F81">
            <w:pPr>
              <w:rPr>
                <w:rFonts w:hint="eastAsia" w:ascii="宋体" w:hAnsi="宋体" w:eastAsia="宋体" w:cs="宋体"/>
                <w:color w:val="000000"/>
                <w:kern w:val="0"/>
                <w:sz w:val="18"/>
                <w:szCs w:val="18"/>
                <w:lang w:val="en-US" w:eastAsia="zh-CN" w:bidi="ar-SA"/>
              </w:rPr>
            </w:pPr>
          </w:p>
        </w:tc>
        <w:tc>
          <w:tcPr>
            <w:tcW w:w="753" w:type="pct"/>
            <w:vAlign w:val="bottom"/>
          </w:tcPr>
          <w:p w14:paraId="7F429230">
            <w:pPr>
              <w:rPr>
                <w:rFonts w:hint="eastAsia" w:ascii="宋体" w:hAnsi="宋体" w:eastAsia="宋体" w:cs="宋体"/>
                <w:color w:val="000000"/>
                <w:kern w:val="0"/>
                <w:sz w:val="18"/>
                <w:szCs w:val="18"/>
                <w:lang w:val="en-US" w:eastAsia="zh-CN" w:bidi="ar-SA"/>
              </w:rPr>
            </w:pPr>
          </w:p>
        </w:tc>
        <w:tc>
          <w:tcPr>
            <w:tcW w:w="752" w:type="pct"/>
            <w:vAlign w:val="bottom"/>
          </w:tcPr>
          <w:p w14:paraId="23DC9C9F">
            <w:pPr>
              <w:rPr>
                <w:rFonts w:hint="eastAsia" w:ascii="宋体" w:hAnsi="宋体" w:eastAsia="宋体" w:cs="宋体"/>
                <w:color w:val="000000"/>
                <w:kern w:val="0"/>
                <w:sz w:val="18"/>
                <w:szCs w:val="18"/>
                <w:lang w:val="en-US" w:eastAsia="zh-CN" w:bidi="ar-SA"/>
              </w:rPr>
            </w:pPr>
          </w:p>
        </w:tc>
      </w:tr>
      <w:tr w14:paraId="741D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3B9C558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94" w:type="pct"/>
            <w:shd w:val="clear" w:color="auto" w:fill="auto"/>
            <w:vAlign w:val="center"/>
          </w:tcPr>
          <w:p w14:paraId="3C1E361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755" w:type="pct"/>
            <w:vAlign w:val="bottom"/>
          </w:tcPr>
          <w:p w14:paraId="1B14E1F9">
            <w:pPr>
              <w:rPr>
                <w:rFonts w:hint="eastAsia" w:ascii="宋体" w:hAnsi="宋体" w:eastAsia="宋体" w:cs="宋体"/>
                <w:color w:val="000000"/>
                <w:kern w:val="0"/>
                <w:sz w:val="18"/>
                <w:szCs w:val="18"/>
                <w:lang w:val="en-US" w:eastAsia="zh-CN" w:bidi="ar-SA"/>
              </w:rPr>
            </w:pPr>
          </w:p>
        </w:tc>
        <w:tc>
          <w:tcPr>
            <w:tcW w:w="752" w:type="pct"/>
            <w:vAlign w:val="bottom"/>
          </w:tcPr>
          <w:p w14:paraId="735A67A9">
            <w:pPr>
              <w:rPr>
                <w:rFonts w:hint="eastAsia" w:ascii="宋体" w:hAnsi="宋体" w:eastAsia="宋体" w:cs="宋体"/>
                <w:color w:val="000000"/>
                <w:kern w:val="0"/>
                <w:sz w:val="18"/>
                <w:szCs w:val="18"/>
                <w:lang w:val="en-US" w:eastAsia="zh-CN" w:bidi="ar-SA"/>
              </w:rPr>
            </w:pPr>
          </w:p>
        </w:tc>
        <w:tc>
          <w:tcPr>
            <w:tcW w:w="752" w:type="pct"/>
            <w:vAlign w:val="bottom"/>
          </w:tcPr>
          <w:p w14:paraId="0F837861">
            <w:pPr>
              <w:rPr>
                <w:rFonts w:hint="eastAsia" w:ascii="宋体" w:hAnsi="宋体" w:eastAsia="宋体" w:cs="宋体"/>
                <w:color w:val="000000"/>
                <w:kern w:val="0"/>
                <w:sz w:val="18"/>
                <w:szCs w:val="18"/>
                <w:lang w:val="en-US" w:eastAsia="zh-CN" w:bidi="ar-SA"/>
              </w:rPr>
            </w:pPr>
          </w:p>
        </w:tc>
        <w:tc>
          <w:tcPr>
            <w:tcW w:w="753" w:type="pct"/>
            <w:vAlign w:val="bottom"/>
          </w:tcPr>
          <w:p w14:paraId="5FB6C6BF">
            <w:pPr>
              <w:rPr>
                <w:rFonts w:hint="eastAsia" w:ascii="宋体" w:hAnsi="宋体" w:eastAsia="宋体" w:cs="宋体"/>
                <w:color w:val="000000"/>
                <w:kern w:val="0"/>
                <w:sz w:val="18"/>
                <w:szCs w:val="18"/>
                <w:lang w:val="en-US" w:eastAsia="zh-CN" w:bidi="ar-SA"/>
              </w:rPr>
            </w:pPr>
          </w:p>
        </w:tc>
        <w:tc>
          <w:tcPr>
            <w:tcW w:w="752" w:type="pct"/>
            <w:vAlign w:val="bottom"/>
          </w:tcPr>
          <w:p w14:paraId="0F26A1A9">
            <w:pPr>
              <w:rPr>
                <w:rFonts w:hint="eastAsia" w:ascii="宋体" w:hAnsi="宋体" w:eastAsia="宋体" w:cs="宋体"/>
                <w:color w:val="000000"/>
                <w:kern w:val="0"/>
                <w:sz w:val="18"/>
                <w:szCs w:val="18"/>
                <w:lang w:val="en-US" w:eastAsia="zh-CN" w:bidi="ar-SA"/>
              </w:rPr>
            </w:pPr>
          </w:p>
        </w:tc>
      </w:tr>
      <w:tr w14:paraId="7676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jc w:val="center"/>
        </w:trPr>
        <w:tc>
          <w:tcPr>
            <w:tcW w:w="440" w:type="pct"/>
            <w:shd w:val="clear" w:color="auto" w:fill="auto"/>
            <w:vAlign w:val="center"/>
          </w:tcPr>
          <w:p w14:paraId="359A21DE">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94" w:type="pct"/>
            <w:shd w:val="clear" w:color="auto" w:fill="auto"/>
            <w:vAlign w:val="center"/>
          </w:tcPr>
          <w:p w14:paraId="63A14CA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755" w:type="pct"/>
            <w:vAlign w:val="center"/>
          </w:tcPr>
          <w:p w14:paraId="2BF62493">
            <w:pPr>
              <w:jc w:val="center"/>
              <w:rPr>
                <w:rFonts w:hint="eastAsia" w:ascii="宋体" w:hAnsi="宋体" w:eastAsia="宋体" w:cs="宋体"/>
                <w:color w:val="000000"/>
                <w:kern w:val="0"/>
                <w:sz w:val="18"/>
                <w:szCs w:val="18"/>
                <w:lang w:val="en-US" w:eastAsia="zh-CN" w:bidi="ar-SA"/>
              </w:rPr>
            </w:pPr>
          </w:p>
        </w:tc>
        <w:tc>
          <w:tcPr>
            <w:tcW w:w="752" w:type="pct"/>
            <w:vAlign w:val="center"/>
          </w:tcPr>
          <w:p w14:paraId="6D7630D7">
            <w:pPr>
              <w:jc w:val="center"/>
              <w:rPr>
                <w:rFonts w:hint="eastAsia" w:ascii="宋体" w:hAnsi="宋体" w:eastAsia="宋体" w:cs="宋体"/>
                <w:color w:val="000000"/>
                <w:kern w:val="0"/>
                <w:sz w:val="18"/>
                <w:szCs w:val="18"/>
                <w:lang w:val="en-US" w:eastAsia="zh-CN" w:bidi="ar-SA"/>
              </w:rPr>
            </w:pPr>
          </w:p>
        </w:tc>
        <w:tc>
          <w:tcPr>
            <w:tcW w:w="752" w:type="pct"/>
            <w:vAlign w:val="center"/>
          </w:tcPr>
          <w:p w14:paraId="7D99F9F1">
            <w:pPr>
              <w:jc w:val="center"/>
              <w:rPr>
                <w:rFonts w:hint="eastAsia" w:ascii="宋体" w:hAnsi="宋体" w:eastAsia="宋体" w:cs="宋体"/>
                <w:color w:val="000000"/>
                <w:kern w:val="0"/>
                <w:sz w:val="18"/>
                <w:szCs w:val="18"/>
                <w:lang w:val="en-US" w:eastAsia="zh-CN" w:bidi="ar-SA"/>
              </w:rPr>
            </w:pPr>
          </w:p>
        </w:tc>
        <w:tc>
          <w:tcPr>
            <w:tcW w:w="753" w:type="pct"/>
            <w:vAlign w:val="center"/>
          </w:tcPr>
          <w:p w14:paraId="09FD8A8B">
            <w:pPr>
              <w:jc w:val="center"/>
              <w:rPr>
                <w:rFonts w:hint="eastAsia" w:ascii="宋体" w:hAnsi="宋体" w:eastAsia="宋体" w:cs="宋体"/>
                <w:color w:val="000000"/>
                <w:kern w:val="0"/>
                <w:sz w:val="18"/>
                <w:szCs w:val="18"/>
                <w:lang w:val="en-US" w:eastAsia="zh-CN" w:bidi="ar-SA"/>
              </w:rPr>
            </w:pPr>
          </w:p>
        </w:tc>
        <w:tc>
          <w:tcPr>
            <w:tcW w:w="752" w:type="pct"/>
            <w:vAlign w:val="center"/>
          </w:tcPr>
          <w:p w14:paraId="33711D77">
            <w:pPr>
              <w:jc w:val="center"/>
              <w:rPr>
                <w:rFonts w:hint="eastAsia" w:ascii="宋体" w:hAnsi="宋体" w:eastAsia="宋体" w:cs="宋体"/>
                <w:color w:val="000000"/>
                <w:kern w:val="0"/>
                <w:sz w:val="18"/>
                <w:szCs w:val="18"/>
                <w:lang w:val="en-US" w:eastAsia="zh-CN" w:bidi="ar-SA"/>
              </w:rPr>
            </w:pPr>
          </w:p>
        </w:tc>
      </w:tr>
      <w:tr w14:paraId="2D06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8" w:hRule="atLeast"/>
          <w:jc w:val="center"/>
        </w:trPr>
        <w:tc>
          <w:tcPr>
            <w:tcW w:w="440" w:type="pct"/>
            <w:shd w:val="clear" w:color="auto" w:fill="auto"/>
            <w:vAlign w:val="center"/>
          </w:tcPr>
          <w:p w14:paraId="7B79BA90">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94" w:type="pct"/>
            <w:shd w:val="clear" w:color="auto" w:fill="auto"/>
            <w:vAlign w:val="center"/>
          </w:tcPr>
          <w:p w14:paraId="7ACFFD59">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755" w:type="pct"/>
            <w:vAlign w:val="center"/>
          </w:tcPr>
          <w:p w14:paraId="3711FC99">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55837B68">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4EEFFDC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6,923.16 </w:t>
            </w:r>
          </w:p>
        </w:tc>
        <w:tc>
          <w:tcPr>
            <w:tcW w:w="753" w:type="pct"/>
            <w:vAlign w:val="center"/>
          </w:tcPr>
          <w:p w14:paraId="727B91A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7,042.69 </w:t>
            </w:r>
          </w:p>
        </w:tc>
        <w:tc>
          <w:tcPr>
            <w:tcW w:w="752" w:type="pct"/>
            <w:vAlign w:val="center"/>
          </w:tcPr>
          <w:p w14:paraId="2CC5853D">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10,899.11 </w:t>
            </w:r>
          </w:p>
        </w:tc>
      </w:tr>
      <w:tr w14:paraId="1950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73CAC6AA">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794" w:type="pct"/>
            <w:shd w:val="clear" w:color="auto" w:fill="auto"/>
            <w:vAlign w:val="center"/>
          </w:tcPr>
          <w:p w14:paraId="77739B65">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755" w:type="pct"/>
            <w:vAlign w:val="center"/>
          </w:tcPr>
          <w:p w14:paraId="5CF8CCA2">
            <w:pPr>
              <w:jc w:val="center"/>
              <w:rPr>
                <w:rFonts w:hint="eastAsia" w:ascii="宋体" w:hAnsi="宋体" w:eastAsia="宋体" w:cs="宋体"/>
                <w:color w:val="000000"/>
                <w:kern w:val="0"/>
                <w:sz w:val="18"/>
                <w:szCs w:val="18"/>
                <w:lang w:val="en-US" w:eastAsia="zh-CN" w:bidi="ar-SA"/>
              </w:rPr>
            </w:pPr>
          </w:p>
        </w:tc>
        <w:tc>
          <w:tcPr>
            <w:tcW w:w="752" w:type="pct"/>
            <w:vAlign w:val="center"/>
          </w:tcPr>
          <w:p w14:paraId="2C65EC2F">
            <w:pPr>
              <w:jc w:val="center"/>
              <w:rPr>
                <w:rFonts w:hint="eastAsia" w:ascii="宋体" w:hAnsi="宋体" w:eastAsia="宋体" w:cs="宋体"/>
                <w:color w:val="000000"/>
                <w:kern w:val="0"/>
                <w:sz w:val="18"/>
                <w:szCs w:val="18"/>
                <w:lang w:val="en-US" w:eastAsia="zh-CN" w:bidi="ar-SA"/>
              </w:rPr>
            </w:pPr>
          </w:p>
        </w:tc>
        <w:tc>
          <w:tcPr>
            <w:tcW w:w="752" w:type="pct"/>
            <w:vAlign w:val="center"/>
          </w:tcPr>
          <w:p w14:paraId="52DF9CF4">
            <w:pPr>
              <w:jc w:val="center"/>
              <w:rPr>
                <w:rFonts w:hint="eastAsia" w:ascii="宋体" w:hAnsi="宋体" w:eastAsia="宋体" w:cs="宋体"/>
                <w:color w:val="000000"/>
                <w:kern w:val="0"/>
                <w:sz w:val="18"/>
                <w:szCs w:val="18"/>
                <w:lang w:val="en-US" w:eastAsia="zh-CN" w:bidi="ar-SA"/>
              </w:rPr>
            </w:pPr>
          </w:p>
        </w:tc>
        <w:tc>
          <w:tcPr>
            <w:tcW w:w="753" w:type="pct"/>
            <w:vAlign w:val="center"/>
          </w:tcPr>
          <w:p w14:paraId="2CF0825D">
            <w:pPr>
              <w:jc w:val="center"/>
              <w:rPr>
                <w:rFonts w:hint="eastAsia" w:ascii="宋体" w:hAnsi="宋体" w:eastAsia="宋体" w:cs="宋体"/>
                <w:color w:val="000000"/>
                <w:kern w:val="0"/>
                <w:sz w:val="18"/>
                <w:szCs w:val="18"/>
                <w:lang w:val="en-US" w:eastAsia="zh-CN" w:bidi="ar-SA"/>
              </w:rPr>
            </w:pPr>
          </w:p>
        </w:tc>
        <w:tc>
          <w:tcPr>
            <w:tcW w:w="752" w:type="pct"/>
            <w:vAlign w:val="center"/>
          </w:tcPr>
          <w:p w14:paraId="15FBFFB8">
            <w:pPr>
              <w:jc w:val="center"/>
              <w:rPr>
                <w:rFonts w:hint="eastAsia" w:ascii="宋体" w:hAnsi="宋体" w:eastAsia="宋体" w:cs="宋体"/>
                <w:color w:val="000000"/>
                <w:kern w:val="0"/>
                <w:sz w:val="18"/>
                <w:szCs w:val="18"/>
                <w:lang w:val="en-US" w:eastAsia="zh-CN" w:bidi="ar-SA"/>
              </w:rPr>
            </w:pPr>
          </w:p>
        </w:tc>
      </w:tr>
      <w:tr w14:paraId="770D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05A0DFD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94" w:type="pct"/>
            <w:shd w:val="clear" w:color="auto" w:fill="auto"/>
            <w:vAlign w:val="center"/>
          </w:tcPr>
          <w:p w14:paraId="735DCCFF">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755" w:type="pct"/>
            <w:vAlign w:val="center"/>
          </w:tcPr>
          <w:p w14:paraId="1E564A3E">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   </w:t>
            </w:r>
          </w:p>
        </w:tc>
        <w:tc>
          <w:tcPr>
            <w:tcW w:w="752" w:type="pct"/>
            <w:vAlign w:val="center"/>
          </w:tcPr>
          <w:p w14:paraId="487052E6">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   </w:t>
            </w:r>
          </w:p>
        </w:tc>
        <w:tc>
          <w:tcPr>
            <w:tcW w:w="752" w:type="pct"/>
            <w:vAlign w:val="center"/>
          </w:tcPr>
          <w:p w14:paraId="090FF734">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6,110.00 </w:t>
            </w:r>
          </w:p>
        </w:tc>
        <w:tc>
          <w:tcPr>
            <w:tcW w:w="753" w:type="pct"/>
            <w:vAlign w:val="center"/>
          </w:tcPr>
          <w:p w14:paraId="77B112FE">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6,400.00 </w:t>
            </w:r>
          </w:p>
        </w:tc>
        <w:tc>
          <w:tcPr>
            <w:tcW w:w="752" w:type="pct"/>
            <w:vAlign w:val="center"/>
          </w:tcPr>
          <w:p w14:paraId="6341C168">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10,490.00 </w:t>
            </w:r>
          </w:p>
        </w:tc>
      </w:tr>
      <w:tr w14:paraId="7AB2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6ECBA892">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794" w:type="pct"/>
            <w:shd w:val="clear" w:color="auto" w:fill="auto"/>
            <w:vAlign w:val="center"/>
          </w:tcPr>
          <w:p w14:paraId="17A062A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755" w:type="pct"/>
            <w:vAlign w:val="center"/>
          </w:tcPr>
          <w:p w14:paraId="2CCFA499">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2D4D228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3413CDC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3" w:type="pct"/>
            <w:vAlign w:val="center"/>
          </w:tcPr>
          <w:p w14:paraId="71054320">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642.69 </w:t>
            </w:r>
          </w:p>
        </w:tc>
        <w:tc>
          <w:tcPr>
            <w:tcW w:w="752" w:type="pct"/>
            <w:vAlign w:val="center"/>
          </w:tcPr>
          <w:p w14:paraId="3A3803B6">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409.11 </w:t>
            </w:r>
          </w:p>
        </w:tc>
      </w:tr>
      <w:tr w14:paraId="2E8A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jc w:val="center"/>
        </w:trPr>
        <w:tc>
          <w:tcPr>
            <w:tcW w:w="440" w:type="pct"/>
            <w:shd w:val="clear" w:color="auto" w:fill="auto"/>
            <w:vAlign w:val="center"/>
          </w:tcPr>
          <w:p w14:paraId="2E9781BD">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794" w:type="pct"/>
            <w:shd w:val="clear" w:color="auto" w:fill="auto"/>
            <w:vAlign w:val="center"/>
          </w:tcPr>
          <w:p w14:paraId="581BFDF3">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755" w:type="pct"/>
            <w:vAlign w:val="center"/>
          </w:tcPr>
          <w:p w14:paraId="14FB9ACC">
            <w:pPr>
              <w:jc w:val="center"/>
              <w:rPr>
                <w:rFonts w:hint="eastAsia" w:ascii="宋体" w:hAnsi="宋体" w:eastAsia="宋体" w:cs="宋体"/>
                <w:color w:val="000000"/>
                <w:kern w:val="0"/>
                <w:sz w:val="18"/>
                <w:szCs w:val="18"/>
                <w:lang w:val="en-US" w:eastAsia="zh-CN" w:bidi="ar-SA"/>
              </w:rPr>
            </w:pPr>
          </w:p>
        </w:tc>
        <w:tc>
          <w:tcPr>
            <w:tcW w:w="752" w:type="pct"/>
            <w:vAlign w:val="center"/>
          </w:tcPr>
          <w:p w14:paraId="53B7DACC">
            <w:pPr>
              <w:jc w:val="center"/>
              <w:rPr>
                <w:rFonts w:hint="eastAsia" w:ascii="宋体" w:hAnsi="宋体" w:eastAsia="宋体" w:cs="宋体"/>
                <w:color w:val="000000"/>
                <w:kern w:val="0"/>
                <w:sz w:val="18"/>
                <w:szCs w:val="18"/>
                <w:lang w:val="en-US" w:eastAsia="zh-CN" w:bidi="ar-SA"/>
              </w:rPr>
            </w:pPr>
          </w:p>
        </w:tc>
        <w:tc>
          <w:tcPr>
            <w:tcW w:w="752" w:type="pct"/>
            <w:vAlign w:val="center"/>
          </w:tcPr>
          <w:p w14:paraId="50151AFE">
            <w:pPr>
              <w:jc w:val="center"/>
              <w:rPr>
                <w:rFonts w:hint="eastAsia" w:ascii="宋体" w:hAnsi="宋体" w:eastAsia="宋体" w:cs="宋体"/>
                <w:color w:val="000000"/>
                <w:kern w:val="0"/>
                <w:sz w:val="18"/>
                <w:szCs w:val="18"/>
                <w:lang w:val="en-US" w:eastAsia="zh-CN" w:bidi="ar-SA"/>
              </w:rPr>
            </w:pPr>
          </w:p>
        </w:tc>
        <w:tc>
          <w:tcPr>
            <w:tcW w:w="753" w:type="pct"/>
            <w:vAlign w:val="center"/>
          </w:tcPr>
          <w:p w14:paraId="5EBE4C12">
            <w:pPr>
              <w:jc w:val="center"/>
              <w:rPr>
                <w:rFonts w:hint="eastAsia" w:ascii="宋体" w:hAnsi="宋体" w:eastAsia="宋体" w:cs="宋体"/>
                <w:color w:val="000000"/>
                <w:kern w:val="0"/>
                <w:sz w:val="18"/>
                <w:szCs w:val="18"/>
                <w:lang w:val="en-US" w:eastAsia="zh-CN" w:bidi="ar-SA"/>
              </w:rPr>
            </w:pPr>
          </w:p>
        </w:tc>
        <w:tc>
          <w:tcPr>
            <w:tcW w:w="752" w:type="pct"/>
            <w:vAlign w:val="center"/>
          </w:tcPr>
          <w:p w14:paraId="51B5D3A6">
            <w:pPr>
              <w:jc w:val="center"/>
              <w:rPr>
                <w:rFonts w:hint="eastAsia" w:ascii="宋体" w:hAnsi="宋体" w:eastAsia="宋体" w:cs="宋体"/>
                <w:color w:val="000000"/>
                <w:kern w:val="0"/>
                <w:sz w:val="18"/>
                <w:szCs w:val="18"/>
                <w:lang w:val="en-US" w:eastAsia="zh-CN" w:bidi="ar-SA"/>
              </w:rPr>
            </w:pPr>
          </w:p>
        </w:tc>
      </w:tr>
      <w:tr w14:paraId="2CE1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9" w:hRule="atLeast"/>
          <w:jc w:val="center"/>
        </w:trPr>
        <w:tc>
          <w:tcPr>
            <w:tcW w:w="440" w:type="pct"/>
            <w:shd w:val="clear" w:color="auto" w:fill="auto"/>
            <w:vAlign w:val="center"/>
          </w:tcPr>
          <w:p w14:paraId="3131162C">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794" w:type="pct"/>
            <w:shd w:val="clear" w:color="auto" w:fill="auto"/>
            <w:vAlign w:val="center"/>
          </w:tcPr>
          <w:p w14:paraId="45AA0C38">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755" w:type="pct"/>
            <w:vAlign w:val="center"/>
          </w:tcPr>
          <w:p w14:paraId="5E10F2D2">
            <w:pPr>
              <w:jc w:val="center"/>
              <w:rPr>
                <w:rFonts w:hint="eastAsia" w:ascii="宋体" w:hAnsi="宋体" w:eastAsia="宋体" w:cs="宋体"/>
                <w:color w:val="000000"/>
                <w:kern w:val="0"/>
                <w:sz w:val="18"/>
                <w:szCs w:val="18"/>
                <w:lang w:val="en-US" w:eastAsia="zh-CN" w:bidi="ar-SA"/>
              </w:rPr>
            </w:pPr>
          </w:p>
        </w:tc>
        <w:tc>
          <w:tcPr>
            <w:tcW w:w="752" w:type="pct"/>
            <w:vAlign w:val="center"/>
          </w:tcPr>
          <w:p w14:paraId="6F63F075">
            <w:pPr>
              <w:jc w:val="center"/>
              <w:rPr>
                <w:rFonts w:hint="eastAsia" w:ascii="宋体" w:hAnsi="宋体" w:eastAsia="宋体" w:cs="宋体"/>
                <w:color w:val="000000"/>
                <w:kern w:val="0"/>
                <w:sz w:val="18"/>
                <w:szCs w:val="18"/>
                <w:lang w:val="en-US" w:eastAsia="zh-CN" w:bidi="ar-SA"/>
              </w:rPr>
            </w:pPr>
          </w:p>
        </w:tc>
        <w:tc>
          <w:tcPr>
            <w:tcW w:w="752" w:type="pct"/>
            <w:vAlign w:val="center"/>
          </w:tcPr>
          <w:p w14:paraId="05DF1C25">
            <w:pPr>
              <w:jc w:val="center"/>
              <w:rPr>
                <w:rFonts w:hint="eastAsia" w:ascii="宋体" w:hAnsi="宋体" w:eastAsia="宋体" w:cs="宋体"/>
                <w:color w:val="000000"/>
                <w:kern w:val="0"/>
                <w:sz w:val="18"/>
                <w:szCs w:val="18"/>
                <w:lang w:val="en-US" w:eastAsia="zh-CN" w:bidi="ar-SA"/>
              </w:rPr>
            </w:pPr>
          </w:p>
        </w:tc>
        <w:tc>
          <w:tcPr>
            <w:tcW w:w="753" w:type="pct"/>
            <w:vAlign w:val="center"/>
          </w:tcPr>
          <w:p w14:paraId="682F4F83">
            <w:pPr>
              <w:jc w:val="center"/>
              <w:rPr>
                <w:rFonts w:hint="eastAsia" w:ascii="宋体" w:hAnsi="宋体" w:eastAsia="宋体" w:cs="宋体"/>
                <w:color w:val="000000"/>
                <w:kern w:val="0"/>
                <w:sz w:val="18"/>
                <w:szCs w:val="18"/>
                <w:lang w:val="en-US" w:eastAsia="zh-CN" w:bidi="ar-SA"/>
              </w:rPr>
            </w:pPr>
          </w:p>
        </w:tc>
        <w:tc>
          <w:tcPr>
            <w:tcW w:w="752" w:type="pct"/>
            <w:vAlign w:val="center"/>
          </w:tcPr>
          <w:p w14:paraId="205CF3CA">
            <w:pPr>
              <w:jc w:val="center"/>
              <w:rPr>
                <w:rFonts w:hint="eastAsia" w:ascii="宋体" w:hAnsi="宋体" w:eastAsia="宋体" w:cs="宋体"/>
                <w:color w:val="000000"/>
                <w:kern w:val="0"/>
                <w:sz w:val="18"/>
                <w:szCs w:val="18"/>
                <w:lang w:val="en-US" w:eastAsia="zh-CN" w:bidi="ar-SA"/>
              </w:rPr>
            </w:pPr>
          </w:p>
        </w:tc>
      </w:tr>
      <w:tr w14:paraId="53CB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50A06BB8">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794" w:type="pct"/>
            <w:shd w:val="clear" w:color="auto" w:fill="auto"/>
            <w:vAlign w:val="center"/>
          </w:tcPr>
          <w:p w14:paraId="217FD736">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755" w:type="pct"/>
            <w:vAlign w:val="center"/>
          </w:tcPr>
          <w:p w14:paraId="7881F386">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4D6D1F24">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-813.16 </w:t>
            </w:r>
          </w:p>
        </w:tc>
        <w:tc>
          <w:tcPr>
            <w:tcW w:w="752" w:type="pct"/>
            <w:vAlign w:val="center"/>
          </w:tcPr>
          <w:p w14:paraId="1FED628D">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-6,923.16 </w:t>
            </w:r>
          </w:p>
        </w:tc>
        <w:tc>
          <w:tcPr>
            <w:tcW w:w="753" w:type="pct"/>
            <w:vAlign w:val="center"/>
          </w:tcPr>
          <w:p w14:paraId="377C7DB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-7,042.69 </w:t>
            </w:r>
          </w:p>
        </w:tc>
        <w:tc>
          <w:tcPr>
            <w:tcW w:w="752" w:type="pct"/>
            <w:vAlign w:val="center"/>
          </w:tcPr>
          <w:p w14:paraId="289E7195">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-10,899.11 </w:t>
            </w:r>
          </w:p>
        </w:tc>
      </w:tr>
      <w:tr w14:paraId="2E127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17E2E57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794" w:type="pct"/>
            <w:shd w:val="clear" w:color="auto" w:fill="auto"/>
            <w:vAlign w:val="center"/>
          </w:tcPr>
          <w:p w14:paraId="00D5E98C">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755" w:type="pct"/>
            <w:vAlign w:val="center"/>
          </w:tcPr>
          <w:p w14:paraId="32AB8B8D">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112,247.52 </w:t>
            </w:r>
          </w:p>
        </w:tc>
        <w:tc>
          <w:tcPr>
            <w:tcW w:w="752" w:type="pct"/>
            <w:vAlign w:val="center"/>
          </w:tcPr>
          <w:p w14:paraId="5F1931EB">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111,434.36 </w:t>
            </w:r>
          </w:p>
        </w:tc>
        <w:tc>
          <w:tcPr>
            <w:tcW w:w="752" w:type="pct"/>
            <w:vAlign w:val="center"/>
          </w:tcPr>
          <w:p w14:paraId="0CDF6541">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110,621.20 </w:t>
            </w:r>
          </w:p>
        </w:tc>
        <w:tc>
          <w:tcPr>
            <w:tcW w:w="753" w:type="pct"/>
            <w:vAlign w:val="center"/>
          </w:tcPr>
          <w:p w14:paraId="6B97E678">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103,698.04 </w:t>
            </w:r>
          </w:p>
        </w:tc>
        <w:tc>
          <w:tcPr>
            <w:tcW w:w="752" w:type="pct"/>
            <w:vAlign w:val="center"/>
          </w:tcPr>
          <w:p w14:paraId="6E11E5A7">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96,655.35 </w:t>
            </w:r>
          </w:p>
        </w:tc>
      </w:tr>
      <w:tr w14:paraId="20EE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440" w:type="pct"/>
            <w:shd w:val="clear" w:color="auto" w:fill="auto"/>
            <w:vAlign w:val="center"/>
          </w:tcPr>
          <w:p w14:paraId="622654BB">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794" w:type="pct"/>
            <w:shd w:val="clear" w:color="auto" w:fill="auto"/>
            <w:vAlign w:val="center"/>
          </w:tcPr>
          <w:p w14:paraId="6734C3FA">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755" w:type="pct"/>
            <w:vAlign w:val="center"/>
          </w:tcPr>
          <w:p w14:paraId="073691AF">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111,434.36 </w:t>
            </w:r>
          </w:p>
        </w:tc>
        <w:tc>
          <w:tcPr>
            <w:tcW w:w="752" w:type="pct"/>
            <w:vAlign w:val="center"/>
          </w:tcPr>
          <w:p w14:paraId="3BFB43C7">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110,621.20 </w:t>
            </w:r>
          </w:p>
        </w:tc>
        <w:tc>
          <w:tcPr>
            <w:tcW w:w="752" w:type="pct"/>
            <w:vAlign w:val="center"/>
          </w:tcPr>
          <w:p w14:paraId="08BD46A9">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103,698.04 </w:t>
            </w:r>
          </w:p>
        </w:tc>
        <w:tc>
          <w:tcPr>
            <w:tcW w:w="753" w:type="pct"/>
            <w:vAlign w:val="center"/>
          </w:tcPr>
          <w:p w14:paraId="2B71438C">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96,655.35 </w:t>
            </w:r>
          </w:p>
        </w:tc>
        <w:tc>
          <w:tcPr>
            <w:tcW w:w="752" w:type="pct"/>
            <w:vAlign w:val="center"/>
          </w:tcPr>
          <w:p w14:paraId="28568B94">
            <w:pPr>
              <w:widowControl/>
              <w:spacing w:after="0" w:line="240" w:lineRule="auto"/>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 xml:space="preserve"> 85,756.24 </w:t>
            </w:r>
          </w:p>
        </w:tc>
      </w:tr>
      <w:tr w14:paraId="77ED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989" w:type="pct"/>
            <w:gridSpan w:val="3"/>
            <w:shd w:val="clear" w:color="auto" w:fill="auto"/>
            <w:vAlign w:val="center"/>
          </w:tcPr>
          <w:p w14:paraId="15CDFFC3">
            <w:pPr>
              <w:jc w:val="center"/>
              <w:rPr>
                <w:rFonts w:ascii="宋体" w:hAnsi="宋体" w:cs="宋体"/>
                <w:b/>
                <w:color w:val="000000"/>
                <w:kern w:val="0"/>
                <w:sz w:val="18"/>
                <w:szCs w:val="18"/>
              </w:rPr>
            </w:pPr>
            <w:r>
              <w:rPr>
                <w:rFonts w:hint="eastAsia" w:ascii="宋体" w:hAnsi="宋体" w:cs="宋体"/>
                <w:b/>
                <w:color w:val="000000"/>
                <w:kern w:val="0"/>
                <w:sz w:val="18"/>
                <w:szCs w:val="18"/>
              </w:rPr>
              <w:t>债券资金覆盖倍数</w:t>
            </w:r>
          </w:p>
        </w:tc>
        <w:tc>
          <w:tcPr>
            <w:tcW w:w="3010" w:type="pct"/>
            <w:gridSpan w:val="4"/>
          </w:tcPr>
          <w:p w14:paraId="663CCF4C">
            <w:pPr>
              <w:jc w:val="center"/>
              <w:rPr>
                <w:rFonts w:hint="eastAsia" w:ascii="宋体" w:hAnsi="宋体" w:cs="宋体"/>
                <w:b/>
                <w:color w:val="000000"/>
                <w:kern w:val="0"/>
                <w:sz w:val="18"/>
                <w:szCs w:val="18"/>
              </w:rPr>
            </w:pPr>
            <w:r>
              <w:rPr>
                <w:rFonts w:hint="eastAsia" w:ascii="宋体" w:hAnsi="宋体" w:cs="宋体"/>
                <w:b/>
                <w:color w:val="000000"/>
                <w:kern w:val="0"/>
                <w:sz w:val="18"/>
                <w:szCs w:val="18"/>
              </w:rPr>
              <w:t>3</w:t>
            </w:r>
            <w:r>
              <w:rPr>
                <w:rFonts w:ascii="宋体" w:hAnsi="宋体" w:cs="宋体"/>
                <w:b/>
                <w:color w:val="000000"/>
                <w:kern w:val="0"/>
                <w:sz w:val="18"/>
                <w:szCs w:val="18"/>
              </w:rPr>
              <w:t>.99</w:t>
            </w:r>
          </w:p>
        </w:tc>
      </w:tr>
    </w:tbl>
    <w:p w14:paraId="61500EA3">
      <w:pPr>
        <w:pStyle w:val="20"/>
        <w:spacing w:before="0" w:beforeAutospacing="0" w:after="156" w:afterLines="50" w:afterAutospacing="0" w:line="360" w:lineRule="exact"/>
        <w:ind w:firstLine="360" w:firstLineChars="200"/>
        <w:rPr>
          <w:color w:val="000000" w:themeColor="text1"/>
          <w:sz w:val="18"/>
          <w:szCs w:val="18"/>
          <w14:textFill>
            <w14:solidFill>
              <w14:schemeClr w14:val="tx1"/>
            </w14:solidFill>
          </w14:textFill>
        </w:rPr>
        <w:sectPr>
          <w:pgSz w:w="16838" w:h="11906" w:orient="landscape"/>
          <w:pgMar w:top="1701" w:right="1531" w:bottom="1701" w:left="1418" w:header="851" w:footer="992" w:gutter="0"/>
          <w:pgNumType w:fmt="decimal"/>
          <w:cols w:space="425" w:num="1"/>
          <w:docGrid w:type="linesAndChars" w:linePitch="312" w:charSpace="0"/>
        </w:sect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.按照南昌县城市建设投资发展有限公司在存续期内预期收入和预期支出测算，该项目在存续期间能够产生持续稳定的净现金流。按照预计条件的资金测算平衡结果，项目存续期内可达到的债券资金覆盖率</w:t>
      </w:r>
      <w:r>
        <w:rPr>
          <w:color w:val="000000" w:themeColor="text1"/>
          <w:sz w:val="18"/>
          <w:szCs w:val="18"/>
          <w14:textFill>
            <w14:solidFill>
              <w14:schemeClr w14:val="tx1"/>
            </w14:solidFill>
          </w14:textFill>
        </w:rPr>
        <w:t>3.99</w:t>
      </w:r>
      <w:r>
        <w:rPr>
          <w:rFonts w:hint="eastAsia"/>
          <w:color w:val="000000" w:themeColor="text1"/>
          <w:sz w:val="18"/>
          <w:szCs w:val="18"/>
          <w14:textFill>
            <w14:solidFill>
              <w14:schemeClr w14:val="tx1"/>
            </w14:solidFill>
          </w14:textFill>
        </w:rPr>
        <w:t>倍，还本付息资金有充分保障。2</w:t>
      </w:r>
      <w:r>
        <w:rPr>
          <w:color w:val="000000" w:themeColor="text1"/>
          <w:sz w:val="18"/>
          <w:szCs w:val="18"/>
          <w14:textFill>
            <w14:solidFill>
              <w14:schemeClr w14:val="tx1"/>
            </w14:solidFill>
          </w14:textFill>
        </w:rPr>
        <w:t>.2023</w:t>
      </w:r>
      <w:r>
        <w:rPr>
          <w:rFonts w:hint="eastAsia"/>
          <w:color w:val="000000" w:themeColor="text1"/>
          <w:sz w:val="18"/>
          <w:szCs w:val="18"/>
          <w14:textFill>
            <w14:solidFill>
              <w14:schemeClr w14:val="tx1"/>
            </w14:solidFill>
          </w14:textFill>
        </w:rPr>
        <w:t>年至2</w:t>
      </w:r>
      <w:r>
        <w:rPr>
          <w:color w:val="000000" w:themeColor="text1"/>
          <w:sz w:val="18"/>
          <w:szCs w:val="18"/>
          <w14:textFill>
            <w14:solidFill>
              <w14:schemeClr w14:val="tx1"/>
            </w14:solidFill>
          </w14:textFill>
        </w:rPr>
        <w:t>024</w:t>
      </w:r>
      <w:r>
        <w:rPr>
          <w:rFonts w:hint="eastAsia"/>
          <w:color w:val="000000" w:themeColor="text1"/>
          <w:sz w:val="18"/>
          <w:szCs w:val="18"/>
          <w14:textFill>
            <w14:solidFill>
              <w14:schemeClr w14:val="tx1"/>
            </w14:solidFill>
          </w14:textFill>
        </w:rPr>
        <w:t>年期末现金为负数，需由单位自行筹资解决。</w:t>
      </w:r>
    </w:p>
    <w:p w14:paraId="61D57A73">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发行专项债券各项目预期业务活动现金流入合计114,471.36万元，债券到期年份（2031年）的期末现金仍有85,760.69万元，偿还完债券存续期内债券本金与利息合计28,692.12万元，项目存续期内偿债资金覆盖倍数为3.99倍，还本付息资金有充分保障，项目实施方案资金计划能够满足发行专项债券资金充足性要求。债券存续期间整体资金流入、流出情况及期末现金如下图所示：</w:t>
      </w:r>
    </w:p>
    <w:p w14:paraId="7D88AE02">
      <w:pPr>
        <w:pStyle w:val="20"/>
        <w:spacing w:before="0" w:beforeAutospacing="0" w:after="0" w:afterAutospacing="0" w:line="360" w:lineRule="exact"/>
        <w:ind w:firstLine="440" w:firstLineChars="200"/>
        <w:jc w:val="right"/>
        <w:rPr>
          <w:color w:val="000000" w:themeColor="text1"/>
          <w:sz w:val="18"/>
          <w:szCs w:val="18"/>
          <w14:textFill>
            <w14:solidFill>
              <w14:schemeClr w14:val="tx1"/>
            </w14:solidFill>
          </w14:textFill>
        </w:rPr>
      </w:pPr>
      <w:r>
        <w:drawing>
          <wp:anchor distT="0" distB="0" distL="114300" distR="114300" simplePos="0" relativeHeight="251662336" behindDoc="0" locked="0" layoutInCell="1" allowOverlap="1">
            <wp:simplePos x="0" y="0"/>
            <wp:positionH relativeFrom="margin">
              <wp:align>right</wp:align>
            </wp:positionH>
            <wp:positionV relativeFrom="paragraph">
              <wp:posOffset>287655</wp:posOffset>
            </wp:positionV>
            <wp:extent cx="5403850" cy="2508250"/>
            <wp:effectExtent l="4445" t="4445" r="20955" b="2095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Pr>
          <w:color w:val="000000" w:themeColor="text1"/>
          <w14:textFill>
            <w14:solidFill>
              <w14:schemeClr w14:val="tx1"/>
            </w14:solidFill>
          </w14:textFill>
        </w:rPr>
        <w:t xml:space="preserve"> </w:t>
      </w:r>
      <w:r>
        <w:rPr>
          <w:rFonts w:hint="eastAsia"/>
          <w:color w:val="000000" w:themeColor="text1"/>
          <w:sz w:val="18"/>
          <w:szCs w:val="18"/>
          <w14:textFill>
            <w14:solidFill>
              <w14:schemeClr w14:val="tx1"/>
            </w14:solidFill>
          </w14:textFill>
        </w:rPr>
        <w:t>单位：万元</w:t>
      </w:r>
    </w:p>
    <w:p w14:paraId="790ECD7E">
      <w:pPr>
        <w:pStyle w:val="20"/>
        <w:spacing w:before="0" w:beforeAutospacing="0" w:after="156" w:afterLines="50" w:afterAutospacing="0" w:line="360" w:lineRule="exact"/>
        <w:ind w:firstLine="420" w:firstLineChars="20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图3-</w:t>
      </w:r>
      <w:r>
        <w:rPr>
          <w:color w:val="000000" w:themeColor="text1"/>
          <w:sz w:val="21"/>
          <w:szCs w:val="21"/>
          <w14:textFill>
            <w14:solidFill>
              <w14:schemeClr w14:val="tx1"/>
            </w14:solidFill>
          </w14:textFill>
        </w:rPr>
        <w:t xml:space="preserve">1  </w:t>
      </w:r>
      <w:r>
        <w:rPr>
          <w:rFonts w:hint="eastAsia"/>
          <w:color w:val="000000" w:themeColor="text1"/>
          <w:sz w:val="21"/>
          <w:szCs w:val="21"/>
          <w14:textFill>
            <w14:solidFill>
              <w14:schemeClr w14:val="tx1"/>
            </w14:solidFill>
          </w14:textFill>
        </w:rPr>
        <w:t>债券存续期间现金流情况图</w:t>
      </w:r>
    </w:p>
    <w:p w14:paraId="17BE7A13">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15" w:name="_Toc5501"/>
      <w:r>
        <w:rPr>
          <w:rFonts w:hint="eastAsia" w:ascii="微软雅黑" w:hAnsi="微软雅黑" w:eastAsia="微软雅黑" w:cs="微软雅黑"/>
          <w:b w:val="0"/>
          <w:bCs w:val="0"/>
          <w:color w:val="000000"/>
          <w:sz w:val="32"/>
          <w:szCs w:val="24"/>
          <w:highlight w:val="none"/>
          <w:lang w:val="en-US"/>
        </w:rPr>
        <w:t>四、事前绩效评价</w:t>
      </w:r>
      <w:bookmarkEnd w:id="115"/>
    </w:p>
    <w:p w14:paraId="40D909F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imes New Roman" w:hAnsi="Times New Roman" w:eastAsia="仿宋_GB2312" w:cs="Times New Roman"/>
          <w:color w:val="000000"/>
          <w:kern w:val="2"/>
          <w:sz w:val="28"/>
          <w:szCs w:val="28"/>
          <w:highlight w:val="none"/>
          <w:lang w:val="en-US" w:eastAsia="zh-CN" w:bidi="ar-SA"/>
        </w:rPr>
        <w:t>1</w:t>
      </w:r>
      <w:r>
        <w:rPr>
          <w:rFonts w:hint="eastAsia" w:asciiTheme="minorEastAsia" w:hAnsiTheme="minorEastAsia" w:eastAsiaTheme="minorEastAsia" w:cstheme="minorEastAsia"/>
          <w:color w:val="000000"/>
          <w:kern w:val="2"/>
          <w:sz w:val="28"/>
          <w:szCs w:val="28"/>
          <w:highlight w:val="none"/>
          <w:lang w:val="en-US" w:eastAsia="zh-CN" w:bidi="ar-SA"/>
        </w:rPr>
        <w:t>、项目实施的必要性、公益性、收益性</w:t>
      </w:r>
    </w:p>
    <w:p w14:paraId="260F645B">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（1）必要性</w:t>
      </w:r>
    </w:p>
    <w:p w14:paraId="23907B4B">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1）项目建设是大力提高人民群众的居住水平，是全面建设小康社会和实现现代化的重要方面与重要内容之一。</w:t>
      </w:r>
    </w:p>
    <w:p w14:paraId="1693D60C">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4A4E791C">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1153173B">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（2）公益性</w:t>
      </w:r>
    </w:p>
    <w:p w14:paraId="1C18131A">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目前南昌县经济发展不断加快，城市化进程不断加速，城市范围在不断扩大，城市新区各项功能不断完善，街上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6A4787E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（3）收益性</w:t>
      </w:r>
    </w:p>
    <w:p w14:paraId="533D4C90">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本项目实施后，可产生运营收益，根据测算收入约为 114,471.36 万元，可用于偿债的项目收益为 114,471.36 万元，满足资金平衡需求。</w:t>
      </w:r>
    </w:p>
    <w:p w14:paraId="020B873C">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2、项目建设投资合规性与项目成熟度</w:t>
      </w:r>
    </w:p>
    <w:p w14:paraId="29176AB0">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项目于2022年4月18日已获得南昌县行政审批局《关于冈上镇综合安置房（城市棚户区改造）项目可行性研究报告的批复》（南行审投资投字【2022】56号）。</w:t>
      </w:r>
    </w:p>
    <w:p w14:paraId="0FBCB40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项目建设有期充分的必要性，前期手续完善，项目资金为部分项目单位自筹，部分申请政府专项债券资金。项目成熟度、可靠度较高。</w:t>
      </w:r>
    </w:p>
    <w:p w14:paraId="4E0D1892">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项目资金来源和可到位性</w:t>
      </w:r>
    </w:p>
    <w:p w14:paraId="763101E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其中：自筹资金6306.03万元，占总投资比例21.52%；本期发行专项债券1950.00万元，期限7年，占总投资的78.48%。</w:t>
      </w:r>
    </w:p>
    <w:p w14:paraId="61DA8391">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4、项目收入、成本、收益预测合理性</w:t>
      </w:r>
    </w:p>
    <w:p w14:paraId="38F3318D">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根据项目可行性研究报告并结合实际情况进行测算，本项目债券存续期内收入包含土地出让收入万元。</w:t>
      </w:r>
    </w:p>
    <w:p w14:paraId="11680E33">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债券存续期收益已由业主单位盖章确认，预测合理性较高。</w:t>
      </w:r>
    </w:p>
    <w:p w14:paraId="15024B4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5、债券资金需求合理性</w:t>
      </w:r>
    </w:p>
    <w:p w14:paraId="66BE06CC">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本项目资本金比例21.52%，满足国家发改委对固定资产投资项目资本金比例的要求。项目拟申请债券资金本息额共计28,692.12万元，项目收益预计为 114,471.36 万元，项目收益对债券本息的覆盖倍数计算为3.99，偿债保障性较高，债券需求额度合理。</w:t>
      </w:r>
    </w:p>
    <w:p w14:paraId="00C051E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6、项目偿债计划可行性和偿债风险</w:t>
      </w:r>
    </w:p>
    <w:p w14:paraId="77249B6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本项目2024年本期拟申请发行7年期专项债券1950.00万元；每年付息一次，到期一次偿还本金。其均以资本金偿还，可保障建设期利息可靠偿还。</w:t>
      </w:r>
    </w:p>
    <w:p w14:paraId="6C948B5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项目自2023年起可实现收益，可满足后续债券各年利息偿还，结余资金转账管理，用于到期一次还本，偿债计划可行。</w:t>
      </w:r>
    </w:p>
    <w:p w14:paraId="0401595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7、绩效目标合理性</w:t>
      </w:r>
    </w:p>
    <w:p w14:paraId="72CEAF92">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7A9395EA">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其他需要纳入其他绩效评估的事项</w:t>
      </w:r>
    </w:p>
    <w:p w14:paraId="51C215EB">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16" w:name="_Toc28933"/>
      <w:r>
        <w:rPr>
          <w:rFonts w:hint="eastAsia" w:ascii="微软雅黑" w:hAnsi="微软雅黑" w:eastAsia="微软雅黑" w:cs="微软雅黑"/>
          <w:b w:val="0"/>
          <w:bCs w:val="0"/>
          <w:color w:val="000000"/>
          <w:sz w:val="32"/>
          <w:szCs w:val="24"/>
          <w:highlight w:val="none"/>
          <w:lang w:val="en-US"/>
        </w:rPr>
        <w:t>五、项目风险分析</w:t>
      </w:r>
      <w:bookmarkEnd w:id="116"/>
    </w:p>
    <w:p w14:paraId="5D093FD4">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1、投资估算风险</w:t>
      </w:r>
    </w:p>
    <w:p w14:paraId="1D5714F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549D5CC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2、工程风险</w:t>
      </w:r>
    </w:p>
    <w:p w14:paraId="45860DF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5F58A0B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3、融资风险</w:t>
      </w:r>
    </w:p>
    <w:p w14:paraId="2D2B103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3E8EE9EB">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4、财务风险</w:t>
      </w:r>
    </w:p>
    <w:p w14:paraId="3D320C78">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4B1E4D2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5、自然风险</w:t>
      </w:r>
    </w:p>
    <w:p w14:paraId="220488BF">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本项目在经营期间遇到人力不可抗拒的自然灾害是完全可能的，为了降低此间风险，要根据项目的特点制定的相应的措施，以便使不可抗拒自然灾害的风险降到最低。</w:t>
      </w:r>
    </w:p>
    <w:p w14:paraId="785FAC69">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Chars="200"/>
        <w:textAlignment w:val="auto"/>
        <w:rPr>
          <w:rFonts w:hint="eastAsia" w:ascii="微软雅黑" w:hAnsi="微软雅黑" w:eastAsia="微软雅黑" w:cs="微软雅黑"/>
          <w:b w:val="0"/>
          <w:bCs w:val="0"/>
          <w:color w:val="000000"/>
          <w:sz w:val="32"/>
          <w:szCs w:val="24"/>
          <w:highlight w:val="none"/>
          <w:lang w:val="en-US"/>
        </w:rPr>
      </w:pPr>
      <w:bookmarkStart w:id="117" w:name="_Toc30768"/>
      <w:r>
        <w:rPr>
          <w:rFonts w:hint="eastAsia" w:ascii="微软雅黑" w:hAnsi="微软雅黑" w:eastAsia="微软雅黑" w:cs="微软雅黑"/>
          <w:b w:val="0"/>
          <w:bCs w:val="0"/>
          <w:color w:val="000000"/>
          <w:sz w:val="32"/>
          <w:szCs w:val="24"/>
          <w:highlight w:val="none"/>
          <w:lang w:val="en-US" w:eastAsia="zh-CN"/>
        </w:rPr>
        <w:t>六</w:t>
      </w:r>
      <w:r>
        <w:rPr>
          <w:rFonts w:hint="eastAsia" w:ascii="微软雅黑" w:hAnsi="微软雅黑" w:eastAsia="微软雅黑" w:cs="微软雅黑"/>
          <w:b w:val="0"/>
          <w:bCs w:val="0"/>
          <w:color w:val="000000"/>
          <w:sz w:val="32"/>
          <w:szCs w:val="24"/>
          <w:highlight w:val="none"/>
          <w:lang w:val="en-US"/>
        </w:rPr>
        <w:t>、专项债发行方案</w:t>
      </w:r>
      <w:bookmarkEnd w:id="117"/>
    </w:p>
    <w:p w14:paraId="4520166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1、发行主体资格:根据《关于试点发展项目收益与融资自求平衡的地方政府专项债券品种的通知》（财预[2017]89号）之规定，地方政府专项债券需由江西省人民政府作为发行主体。本项目的实施机构为南昌县住建和城乡建设局，是依法批准设立的机关单位，具备机关单位法人资格，具有相应的民事权利能力和民事行为能力；项目业主为南昌县城市建设投资发展有限公司,是依法批准设立的企业法人，具备作为项目业主的资格。</w:t>
      </w:r>
    </w:p>
    <w:p w14:paraId="4F622973">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2、发行计划: 冈上镇综合安置房（城市棚户区改造）项目本期年申请发行地方政府专项债券1950.00万元，期限7年，专项债券融资成本按3.9%估算。</w:t>
      </w:r>
    </w:p>
    <w:p w14:paraId="0422EF67">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3、发行场所:通过全国银行间债券市场、证券交易所债券市场发行。将来条件具备时也可在银行柜台债券市场发行。</w:t>
      </w:r>
    </w:p>
    <w:p w14:paraId="183DD04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4、时间安排:计划发行时间为2024年09月，以后年度结合当年发债计划安排。</w:t>
      </w:r>
    </w:p>
    <w:p w14:paraId="4CE8920A">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5、信息披露：在专项债发行日前5个工作日通过</w:t>
      </w:r>
      <w:r>
        <w:rPr>
          <w:rFonts w:hint="eastAsia" w:asciiTheme="minorEastAsia" w:hAnsiTheme="minorEastAsia" w:eastAsiaTheme="minorEastAsia" w:cstheme="minorEastAsia"/>
          <w:color w:val="000000"/>
          <w:kern w:val="2"/>
          <w:sz w:val="28"/>
          <w:szCs w:val="28"/>
          <w:highlight w:val="none"/>
          <w:lang w:val="en-US" w:eastAsia="zh-CN" w:bidi="ar-SA"/>
        </w:rPr>
        <w:fldChar w:fldCharType="begin"/>
      </w:r>
      <w:r>
        <w:rPr>
          <w:rFonts w:hint="eastAsia" w:asciiTheme="minorEastAsia" w:hAnsiTheme="minorEastAsia" w:eastAsiaTheme="minorEastAsia" w:cstheme="minorEastAsia"/>
          <w:color w:val="000000"/>
          <w:kern w:val="2"/>
          <w:sz w:val="28"/>
          <w:szCs w:val="28"/>
          <w:highlight w:val="none"/>
          <w:lang w:val="en-US" w:eastAsia="zh-CN" w:bidi="ar-SA"/>
        </w:rPr>
        <w:instrText xml:space="preserve"> HYPERLINK "https://www.sogou.com/link?url=DSOYnZeCC_pzE53eXNhcqFoov_MuMQYQreaVHN88tHY." \t "https://www.sogou.com/_blank" </w:instrText>
      </w:r>
      <w:r>
        <w:rPr>
          <w:rFonts w:hint="eastAsia" w:asciiTheme="minorEastAsia" w:hAnsiTheme="minorEastAsia" w:eastAsiaTheme="minorEastAsia" w:cstheme="minorEastAsia"/>
          <w:color w:val="000000"/>
          <w:kern w:val="2"/>
          <w:sz w:val="28"/>
          <w:szCs w:val="28"/>
          <w:highlight w:val="none"/>
          <w:lang w:val="en-US" w:eastAsia="zh-CN" w:bidi="ar-SA"/>
        </w:rPr>
        <w:fldChar w:fldCharType="separate"/>
      </w:r>
      <w:r>
        <w:rPr>
          <w:rFonts w:hint="eastAsia" w:asciiTheme="minorEastAsia" w:hAnsiTheme="minorEastAsia" w:eastAsiaTheme="minorEastAsia" w:cstheme="minorEastAsia"/>
          <w:color w:val="000000"/>
          <w:kern w:val="2"/>
          <w:sz w:val="28"/>
          <w:szCs w:val="28"/>
          <w:highlight w:val="none"/>
          <w:lang w:val="en-US" w:eastAsia="zh-CN" w:bidi="ar-SA"/>
        </w:rPr>
        <w:t>中国地方政府债券信息公开平台</w:t>
      </w:r>
      <w:r>
        <w:rPr>
          <w:rFonts w:hint="eastAsia" w:asciiTheme="minorEastAsia" w:hAnsiTheme="minorEastAsia" w:eastAsiaTheme="minorEastAsia" w:cstheme="minorEastAsia"/>
          <w:color w:val="000000"/>
          <w:kern w:val="2"/>
          <w:sz w:val="28"/>
          <w:szCs w:val="28"/>
          <w:highlight w:val="none"/>
          <w:lang w:val="en-US" w:eastAsia="zh-CN" w:bidi="ar-SA"/>
        </w:rPr>
        <w:fldChar w:fldCharType="end"/>
      </w:r>
      <w:r>
        <w:rPr>
          <w:rFonts w:hint="eastAsia" w:asciiTheme="minorEastAsia" w:hAnsiTheme="minorEastAsia" w:eastAsiaTheme="minorEastAsia" w:cstheme="minorEastAsia"/>
          <w:color w:val="000000"/>
          <w:kern w:val="2"/>
          <w:sz w:val="28"/>
          <w:szCs w:val="28"/>
          <w:highlight w:val="none"/>
          <w:lang w:val="en-US" w:eastAsia="zh-CN" w:bidi="ar-SA"/>
        </w:rPr>
        <w:t>、江西省财政厅官方网站和中国债券信息网-中央结算公司官方网站披露（http：//www.chinabond.com.cn/）详细披露债券发行全套信息披露文件。</w:t>
      </w:r>
    </w:p>
    <w:p w14:paraId="515D3561">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t>总体而言，冈上镇综合安置房（城市棚户区改造）项目通过发行专项债可以降低项目融资成本，是现阶段解决建设资金问题的推荐方案。且基于财政部对地方政府发行项目收益与融资自求平衡专项债券的要求，并根据项目重大建设意义，冈上镇综合安置房（城市棚户区改造）项目可以通过申请专项债券的方式进行融资以完成资金筹措。</w:t>
      </w:r>
    </w:p>
    <w:p w14:paraId="0D1E593C">
      <w:pPr>
        <w:rPr>
          <w:rFonts w:hint="eastAsia" w:asciiTheme="minorEastAsia" w:hAnsiTheme="minorEastAsia" w:eastAsiaTheme="minorEastAsia" w:cstheme="minorEastAsia"/>
          <w:color w:val="000000"/>
          <w:kern w:val="2"/>
          <w:sz w:val="28"/>
          <w:szCs w:val="28"/>
          <w:highlight w:val="none"/>
          <w:lang w:val="en-US" w:eastAsia="zh-CN" w:bidi="ar-SA"/>
        </w:rPr>
      </w:pPr>
      <w:r>
        <w:rPr>
          <w:rFonts w:hint="eastAsia" w:asciiTheme="minorEastAsia" w:hAnsiTheme="minorEastAsia" w:eastAsiaTheme="minorEastAsia" w:cstheme="minorEastAsia"/>
          <w:color w:val="000000"/>
          <w:kern w:val="2"/>
          <w:sz w:val="28"/>
          <w:szCs w:val="28"/>
          <w:highlight w:val="none"/>
          <w:lang w:val="en-US" w:eastAsia="zh-CN" w:bidi="ar-SA"/>
        </w:rPr>
        <w:br w:type="page"/>
      </w:r>
    </w:p>
    <w:p w14:paraId="5332A1D5">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firstLine="560" w:firstLineChars="200"/>
        <w:jc w:val="both"/>
        <w:textAlignment w:val="auto"/>
        <w:rPr>
          <w:rFonts w:hint="eastAsia" w:asciiTheme="minorEastAsia" w:hAnsiTheme="minorEastAsia" w:eastAsiaTheme="minorEastAsia" w:cstheme="minorEastAsia"/>
          <w:color w:val="000000"/>
          <w:kern w:val="2"/>
          <w:sz w:val="28"/>
          <w:szCs w:val="28"/>
          <w:highlight w:val="none"/>
          <w:lang w:val="en-US" w:eastAsia="zh-CN" w:bidi="ar-SA"/>
        </w:rPr>
      </w:pPr>
    </w:p>
    <w:p w14:paraId="3B14E475">
      <w:pPr>
        <w:jc w:val="center"/>
        <w:rPr>
          <w:rFonts w:ascii="楷体" w:hAnsi="楷体" w:eastAsia="楷体"/>
          <w:b/>
          <w:sz w:val="44"/>
          <w:szCs w:val="44"/>
        </w:rPr>
      </w:pPr>
    </w:p>
    <w:p w14:paraId="05F83F3A">
      <w:pPr>
        <w:ind w:left="-141" w:leftChars="-67" w:right="-99" w:rightChars="-47" w:firstLine="439" w:firstLineChars="157"/>
        <w:rPr>
          <w:rFonts w:ascii="宋体" w:hAnsi="宋体" w:eastAsia="宋体"/>
          <w:sz w:val="28"/>
          <w:szCs w:val="28"/>
        </w:rPr>
      </w:pPr>
    </w:p>
    <w:p w14:paraId="4E9CFC19">
      <w:pPr>
        <w:widowControl/>
        <w:spacing w:line="480" w:lineRule="auto"/>
        <w:jc w:val="center"/>
        <w:rPr>
          <w:rFonts w:hint="eastAsia" w:ascii="仿宋" w:hAnsi="仿宋" w:eastAsia="楷体"/>
          <w:b/>
          <w:sz w:val="44"/>
          <w:szCs w:val="44"/>
          <w:lang w:eastAsia="zh-CN"/>
        </w:rPr>
      </w:pPr>
      <w:r>
        <w:rPr>
          <w:rFonts w:hint="eastAsia" w:ascii="仿宋" w:hAnsi="仿宋" w:eastAsia="楷体"/>
          <w:b/>
          <w:sz w:val="44"/>
          <w:szCs w:val="44"/>
          <w:lang w:eastAsia="zh-CN"/>
        </w:rPr>
        <w:t>南昌县张坊三期（棚户区）安置房建设工程</w:t>
      </w:r>
    </w:p>
    <w:p w14:paraId="5B183634">
      <w:pPr>
        <w:widowControl/>
        <w:spacing w:line="480" w:lineRule="auto"/>
        <w:jc w:val="center"/>
        <w:rPr>
          <w:rFonts w:ascii="仿宋" w:hAnsi="仿宋" w:eastAsia="楷体"/>
          <w:b/>
          <w:sz w:val="44"/>
          <w:szCs w:val="44"/>
        </w:rPr>
      </w:pPr>
      <w:r>
        <w:rPr>
          <w:rFonts w:hint="eastAsia" w:ascii="仿宋" w:hAnsi="仿宋" w:eastAsia="楷体"/>
          <w:b/>
          <w:sz w:val="44"/>
          <w:szCs w:val="44"/>
        </w:rPr>
        <w:t>专项债券实施方案</w:t>
      </w:r>
    </w:p>
    <w:p w14:paraId="132A2A34">
      <w:pPr>
        <w:ind w:left="-141" w:leftChars="-67" w:right="-99" w:rightChars="-47" w:firstLine="439" w:firstLineChars="157"/>
        <w:rPr>
          <w:rFonts w:ascii="宋体" w:hAnsi="宋体" w:eastAsia="宋体"/>
          <w:sz w:val="28"/>
          <w:szCs w:val="28"/>
        </w:rPr>
      </w:pPr>
    </w:p>
    <w:p w14:paraId="72A50E38">
      <w:pPr>
        <w:ind w:left="-141" w:leftChars="-67" w:right="-99" w:rightChars="-47" w:firstLine="439" w:firstLineChars="157"/>
        <w:rPr>
          <w:rFonts w:ascii="宋体" w:hAnsi="宋体" w:eastAsia="宋体"/>
          <w:sz w:val="28"/>
          <w:szCs w:val="28"/>
        </w:rPr>
      </w:pPr>
    </w:p>
    <w:p w14:paraId="41E82616">
      <w:pPr>
        <w:ind w:left="-141" w:leftChars="-67" w:right="-99" w:rightChars="-47" w:firstLine="439" w:firstLineChars="157"/>
        <w:rPr>
          <w:rFonts w:ascii="宋体" w:hAnsi="宋体" w:eastAsia="宋体"/>
          <w:sz w:val="28"/>
          <w:szCs w:val="28"/>
        </w:rPr>
      </w:pPr>
    </w:p>
    <w:p w14:paraId="7D76605A">
      <w:pPr>
        <w:ind w:left="-141" w:leftChars="-67" w:right="-99" w:rightChars="-47" w:firstLine="439" w:firstLineChars="157"/>
        <w:rPr>
          <w:rFonts w:ascii="宋体" w:hAnsi="宋体" w:eastAsia="宋体"/>
          <w:sz w:val="28"/>
          <w:szCs w:val="28"/>
          <w:u w:val="single"/>
        </w:rPr>
      </w:pPr>
    </w:p>
    <w:p w14:paraId="06BA58DE">
      <w:pPr>
        <w:ind w:left="-141" w:leftChars="-67" w:right="-99" w:rightChars="-47" w:firstLine="439" w:firstLineChars="157"/>
        <w:rPr>
          <w:rFonts w:ascii="宋体" w:hAnsi="宋体" w:eastAsia="宋体"/>
          <w:sz w:val="28"/>
          <w:szCs w:val="28"/>
          <w:u w:val="single"/>
        </w:rPr>
      </w:pPr>
    </w:p>
    <w:p w14:paraId="61EA61D5">
      <w:pPr>
        <w:ind w:left="-141" w:leftChars="-67" w:right="-99" w:rightChars="-47" w:firstLine="502" w:firstLineChars="157"/>
        <w:rPr>
          <w:sz w:val="32"/>
          <w:szCs w:val="32"/>
          <w:u w:val="single"/>
        </w:rPr>
      </w:pPr>
    </w:p>
    <w:p w14:paraId="539BC5BD">
      <w:pPr>
        <w:ind w:left="-141" w:leftChars="-67" w:right="-99" w:rightChars="-47" w:firstLine="502" w:firstLineChars="157"/>
        <w:rPr>
          <w:sz w:val="32"/>
          <w:szCs w:val="32"/>
          <w:u w:val="single"/>
        </w:rPr>
      </w:pPr>
    </w:p>
    <w:p w14:paraId="13E9B8DB">
      <w:pPr>
        <w:spacing w:line="360" w:lineRule="auto"/>
        <w:jc w:val="center"/>
        <w:rPr>
          <w:rFonts w:ascii="仿宋" w:hAnsi="仿宋" w:eastAsia="楷体"/>
          <w:b/>
          <w:sz w:val="44"/>
          <w:szCs w:val="44"/>
        </w:rPr>
      </w:pPr>
    </w:p>
    <w:p w14:paraId="58CC7FCC">
      <w:pPr>
        <w:spacing w:line="360" w:lineRule="auto"/>
        <w:jc w:val="center"/>
        <w:rPr>
          <w:rFonts w:ascii="仿宋" w:hAnsi="仿宋" w:eastAsia="楷体"/>
          <w:b/>
          <w:sz w:val="44"/>
          <w:szCs w:val="44"/>
        </w:rPr>
      </w:pPr>
    </w:p>
    <w:p w14:paraId="4E4EC291">
      <w:pPr>
        <w:spacing w:line="360" w:lineRule="auto"/>
        <w:jc w:val="center"/>
        <w:rPr>
          <w:rFonts w:ascii="仿宋" w:hAnsi="仿宋" w:eastAsia="楷体"/>
          <w:b/>
          <w:sz w:val="44"/>
          <w:szCs w:val="44"/>
        </w:rPr>
      </w:pPr>
    </w:p>
    <w:p w14:paraId="106834C7">
      <w:pPr>
        <w:spacing w:line="360" w:lineRule="auto"/>
        <w:jc w:val="center"/>
        <w:rPr>
          <w:rFonts w:ascii="仿宋" w:hAnsi="仿宋" w:eastAsia="楷体"/>
          <w:b/>
          <w:sz w:val="44"/>
          <w:szCs w:val="44"/>
        </w:rPr>
      </w:pPr>
    </w:p>
    <w:p w14:paraId="71E7E567">
      <w:pPr>
        <w:spacing w:line="360" w:lineRule="auto"/>
        <w:jc w:val="center"/>
        <w:rPr>
          <w:rFonts w:ascii="仿宋" w:hAnsi="仿宋" w:eastAsia="楷体"/>
          <w:b/>
          <w:sz w:val="44"/>
          <w:szCs w:val="44"/>
        </w:rPr>
      </w:pPr>
    </w:p>
    <w:p w14:paraId="77E5B2AA">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39E00C1D">
      <w:pPr>
        <w:spacing w:line="360" w:lineRule="auto"/>
        <w:jc w:val="center"/>
        <w:rPr>
          <w:rFonts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CN"/>
        </w:rPr>
        <w:t>九</w:t>
      </w:r>
      <w:r>
        <w:rPr>
          <w:rFonts w:hint="eastAsia" w:ascii="仿宋" w:hAnsi="仿宋" w:eastAsia="楷体"/>
          <w:b/>
          <w:sz w:val="44"/>
          <w:szCs w:val="44"/>
        </w:rPr>
        <w:t>月</w:t>
      </w:r>
    </w:p>
    <w:p w14:paraId="5FA35EFB">
      <w:pPr>
        <w:ind w:right="-99" w:rightChars="-47"/>
        <w:rPr>
          <w:rFonts w:ascii="楷体" w:hAnsi="楷体" w:eastAsia="楷体"/>
          <w:b/>
          <w:sz w:val="44"/>
          <w:szCs w:val="44"/>
        </w:rPr>
      </w:pPr>
    </w:p>
    <w:p w14:paraId="7F106E6E">
      <w:pPr>
        <w:ind w:right="-99" w:rightChars="-47"/>
        <w:jc w:val="center"/>
        <w:rPr>
          <w:rFonts w:hint="eastAsia" w:ascii="楷体" w:hAnsi="楷体" w:eastAsia="楷体"/>
          <w:b/>
          <w:sz w:val="44"/>
          <w:szCs w:val="44"/>
          <w:lang w:val="en-US" w:eastAsia="zh-CN"/>
        </w:rPr>
      </w:pPr>
      <w:r>
        <w:rPr>
          <w:rFonts w:hint="eastAsia" w:ascii="楷体" w:hAnsi="楷体" w:eastAsia="楷体"/>
          <w:b/>
          <w:sz w:val="44"/>
          <w:szCs w:val="44"/>
          <w:lang w:val="en-US" w:eastAsia="zh-CN"/>
        </w:rPr>
        <w:t>前 言</w:t>
      </w:r>
    </w:p>
    <w:p w14:paraId="36CFE1AE">
      <w:pPr>
        <w:ind w:right="-99" w:rightChars="-47"/>
        <w:jc w:val="center"/>
        <w:rPr>
          <w:rFonts w:ascii="楷体" w:hAnsi="楷体" w:eastAsia="楷体"/>
          <w:b/>
          <w:sz w:val="44"/>
          <w:szCs w:val="44"/>
        </w:rPr>
      </w:pPr>
    </w:p>
    <w:p w14:paraId="4A69B6DB">
      <w:pPr>
        <w:pStyle w:val="20"/>
        <w:spacing w:before="0" w:beforeAutospacing="0" w:after="300" w:afterAutospacing="0" w:line="240" w:lineRule="auto"/>
        <w:ind w:firstLine="560" w:firstLineChars="200"/>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287DDC29">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w:t>
      </w:r>
      <w:r>
        <w:rPr>
          <w:rFonts w:hint="eastAsia" w:ascii="楷体" w:hAnsi="楷体" w:eastAsia="楷体" w:cs="楷体"/>
          <w:bCs/>
          <w:sz w:val="28"/>
          <w:szCs w:val="28"/>
          <w:lang w:eastAsia="zh-CN"/>
        </w:rPr>
        <w:t>南昌县张坊三期（棚户区）安置房建设工程</w:t>
      </w:r>
      <w:r>
        <w:rPr>
          <w:rFonts w:hint="eastAsia" w:ascii="楷体" w:hAnsi="楷体" w:eastAsia="楷体" w:cs="楷体"/>
          <w:bCs/>
          <w:sz w:val="28"/>
          <w:szCs w:val="28"/>
        </w:rPr>
        <w:t>拟于本期发行地方政府专项债</w:t>
      </w:r>
      <w:r>
        <w:rPr>
          <w:rFonts w:ascii="楷体" w:hAnsi="楷体" w:eastAsia="楷体" w:cs="楷体"/>
          <w:bCs/>
          <w:sz w:val="28"/>
          <w:szCs w:val="28"/>
        </w:rPr>
        <w:t>融资</w:t>
      </w:r>
      <w:r>
        <w:rPr>
          <w:rFonts w:hint="eastAsia" w:ascii="楷体" w:hAnsi="楷体" w:eastAsia="楷体" w:cs="楷体"/>
          <w:bCs/>
          <w:sz w:val="28"/>
          <w:szCs w:val="28"/>
          <w:lang w:val="en-US" w:eastAsia="zh-CN"/>
        </w:rPr>
        <w:t>8500.00</w:t>
      </w:r>
      <w:r>
        <w:rPr>
          <w:rFonts w:hint="eastAsia" w:ascii="楷体" w:hAnsi="楷体" w:eastAsia="楷体" w:cs="楷体"/>
          <w:bCs/>
          <w:sz w:val="28"/>
          <w:szCs w:val="28"/>
        </w:rPr>
        <w:t>万</w:t>
      </w:r>
      <w:r>
        <w:rPr>
          <w:rFonts w:ascii="楷体" w:hAnsi="楷体" w:eastAsia="楷体" w:cs="楷体"/>
          <w:bCs/>
          <w:sz w:val="28"/>
          <w:szCs w:val="28"/>
        </w:rPr>
        <w:t>元</w:t>
      </w:r>
      <w:r>
        <w:rPr>
          <w:rFonts w:hint="eastAsia" w:ascii="楷体" w:hAnsi="楷体" w:eastAsia="楷体" w:cs="楷体"/>
          <w:bCs/>
          <w:sz w:val="28"/>
          <w:szCs w:val="28"/>
        </w:rPr>
        <w:t>。</w:t>
      </w:r>
    </w:p>
    <w:p w14:paraId="33ECBCE9">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2FCDB07E">
      <w:pPr>
        <w:widowControl/>
        <w:spacing w:line="360" w:lineRule="auto"/>
        <w:ind w:left="-141" w:leftChars="-67" w:right="-99" w:rightChars="-47" w:firstLine="439" w:firstLineChars="157"/>
        <w:jc w:val="left"/>
        <w:rPr>
          <w:rFonts w:ascii="宋体" w:hAnsi="宋体" w:eastAsia="宋体"/>
          <w:sz w:val="28"/>
          <w:szCs w:val="28"/>
        </w:rPr>
        <w:sectPr>
          <w:pgSz w:w="11906" w:h="16838"/>
          <w:pgMar w:top="1440" w:right="1133" w:bottom="1440" w:left="1800" w:header="851" w:footer="992" w:gutter="0"/>
          <w:cols w:space="425" w:num="1"/>
          <w:docGrid w:type="lines" w:linePitch="312" w:charSpace="0"/>
        </w:sectPr>
      </w:pPr>
    </w:p>
    <w:p w14:paraId="3C14C648">
      <w:pPr>
        <w:widowControl/>
        <w:spacing w:line="560" w:lineRule="exact"/>
        <w:ind w:firstLine="564" w:firstLineChars="200"/>
        <w:jc w:val="left"/>
        <w:outlineLvl w:val="0"/>
        <w:rPr>
          <w:rFonts w:ascii="黑体" w:hAnsi="黑体" w:eastAsia="黑体" w:cs="黑体"/>
          <w:sz w:val="28"/>
          <w:szCs w:val="28"/>
        </w:rPr>
      </w:pPr>
      <w:bookmarkStart w:id="118" w:name="_Toc27853"/>
      <w:r>
        <w:rPr>
          <w:rFonts w:hint="eastAsia" w:ascii="黑体" w:hAnsi="黑体" w:eastAsia="黑体" w:cs="黑体"/>
          <w:sz w:val="28"/>
          <w:szCs w:val="28"/>
        </w:rPr>
        <w:t>一、项目概况</w:t>
      </w:r>
      <w:bookmarkEnd w:id="118"/>
    </w:p>
    <w:p w14:paraId="41FFFC29">
      <w:pPr>
        <w:widowControl/>
        <w:spacing w:line="560" w:lineRule="exact"/>
        <w:ind w:firstLine="564" w:firstLineChars="200"/>
        <w:jc w:val="left"/>
        <w:outlineLvl w:val="1"/>
        <w:rPr>
          <w:rFonts w:ascii="楷体" w:hAnsi="楷体" w:eastAsia="楷体" w:cs="楷体"/>
          <w:b/>
          <w:bCs/>
          <w:sz w:val="28"/>
          <w:szCs w:val="28"/>
        </w:rPr>
      </w:pPr>
      <w:bookmarkStart w:id="119" w:name="_Toc25851"/>
      <w:r>
        <w:rPr>
          <w:rFonts w:hint="eastAsia" w:ascii="楷体" w:hAnsi="楷体" w:eastAsia="楷体" w:cs="楷体"/>
          <w:b/>
          <w:bCs/>
          <w:sz w:val="28"/>
          <w:szCs w:val="28"/>
        </w:rPr>
        <w:t>（一）项目所在地基本情况</w:t>
      </w:r>
      <w:bookmarkEnd w:id="119"/>
    </w:p>
    <w:p w14:paraId="06B63BE8">
      <w:pPr>
        <w:pStyle w:val="39"/>
        <w:spacing w:line="560" w:lineRule="exact"/>
        <w:ind w:left="-142" w:leftChars="-67" w:right="-99" w:rightChars="-47" w:firstLine="564" w:firstLineChars="200"/>
        <w:outlineLvl w:val="2"/>
        <w:rPr>
          <w:rFonts w:ascii="楷体" w:hAnsi="楷体" w:eastAsia="楷体"/>
          <w:b w:val="0"/>
        </w:rPr>
      </w:pPr>
      <w:bookmarkStart w:id="120" w:name="_Toc8047"/>
      <w:r>
        <w:rPr>
          <w:rFonts w:hint="eastAsia" w:ascii="楷体" w:hAnsi="楷体" w:eastAsia="楷体"/>
          <w:b w:val="0"/>
        </w:rPr>
        <w:t>1、</w:t>
      </w:r>
      <w:r>
        <w:rPr>
          <w:rFonts w:ascii="楷体" w:hAnsi="楷体" w:eastAsia="楷体"/>
          <w:b w:val="0"/>
        </w:rPr>
        <w:t>所在地情况</w:t>
      </w:r>
      <w:bookmarkEnd w:id="120"/>
    </w:p>
    <w:p w14:paraId="34B45DBE">
      <w:pPr>
        <w:pStyle w:val="30"/>
        <w:spacing w:line="600" w:lineRule="exact"/>
        <w:ind w:firstLine="484" w:firstLineChars="200"/>
        <w:rPr>
          <w:rFonts w:cs="Times New Roman" w:asciiTheme="minorEastAsia" w:hAnsiTheme="minorEastAsia" w:eastAsiaTheme="minorEastAsia"/>
          <w:color w:val="auto"/>
          <w:kern w:val="2"/>
        </w:rPr>
      </w:pPr>
      <w:r>
        <w:rPr>
          <w:rFonts w:cs="Times New Roman" w:asciiTheme="minorEastAsia" w:hAnsiTheme="minorEastAsia" w:eastAsiaTheme="minorEastAsia"/>
          <w:color w:val="auto"/>
          <w:kern w:val="2"/>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7C64EB47">
      <w:pPr>
        <w:pStyle w:val="30"/>
        <w:spacing w:line="600" w:lineRule="exact"/>
        <w:ind w:firstLine="484" w:firstLineChars="200"/>
        <w:rPr>
          <w:rFonts w:cs="Times New Roman" w:asciiTheme="minorEastAsia" w:hAnsiTheme="minorEastAsia" w:eastAsiaTheme="minorEastAsia"/>
          <w:color w:val="auto"/>
          <w:kern w:val="2"/>
        </w:rPr>
      </w:pPr>
      <w:r>
        <w:rPr>
          <w:rFonts w:cs="Times New Roman" w:asciiTheme="minorEastAsia" w:hAnsiTheme="minorEastAsia" w:eastAsiaTheme="minorEastAsia"/>
          <w:color w:val="auto"/>
          <w:kern w:val="2"/>
        </w:rPr>
        <w:t>南昌县面积1810.7平方公里；辖7个乡9个镇、1个国家级开发区和银三角管委会；2017年，户籍总人口1039778人，全县地区生产总值（GDP）782亿，按可比价格计算，比2016年增长9.2%。</w:t>
      </w:r>
    </w:p>
    <w:p w14:paraId="5B5B6BAE">
      <w:pPr>
        <w:pStyle w:val="30"/>
        <w:spacing w:line="600" w:lineRule="exact"/>
        <w:ind w:firstLine="484" w:firstLineChars="200"/>
        <w:rPr>
          <w:rFonts w:cs="Times New Roman" w:asciiTheme="minorEastAsia" w:hAnsiTheme="minorEastAsia" w:eastAsiaTheme="minorEastAsia"/>
          <w:color w:val="auto"/>
          <w:kern w:val="2"/>
        </w:rPr>
      </w:pPr>
      <w:r>
        <w:rPr>
          <w:rFonts w:cs="Times New Roman" w:asciiTheme="minorEastAsia" w:hAnsiTheme="minorEastAsia" w:eastAsiaTheme="minorEastAsia"/>
          <w:color w:val="auto"/>
          <w:kern w:val="2"/>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1D6CFB0E">
      <w:pPr>
        <w:widowControl/>
        <w:spacing w:line="560" w:lineRule="exact"/>
        <w:ind w:firstLine="484" w:firstLineChars="200"/>
        <w:jc w:val="left"/>
        <w:rPr>
          <w:rFonts w:cs="Times New Roman" w:asciiTheme="minorEastAsia" w:hAnsiTheme="minorEastAsia"/>
          <w:sz w:val="24"/>
          <w:szCs w:val="24"/>
        </w:rPr>
      </w:pPr>
      <w:r>
        <w:rPr>
          <w:rFonts w:cs="Times New Roman" w:asciiTheme="minorEastAsia" w:hAnsiTheme="minorEastAsia"/>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0D5B0DB4">
      <w:pPr>
        <w:pStyle w:val="39"/>
        <w:spacing w:before="244"/>
        <w:ind w:left="-142" w:leftChars="-67" w:right="-99" w:rightChars="-47" w:firstLine="442" w:firstLineChars="157"/>
        <w:outlineLvl w:val="9"/>
        <w:rPr>
          <w:rFonts w:ascii="楷体" w:hAnsi="楷体" w:eastAsia="楷体"/>
          <w:b w:val="0"/>
        </w:rPr>
      </w:pPr>
    </w:p>
    <w:p w14:paraId="295A8B41">
      <w:pPr>
        <w:pStyle w:val="39"/>
        <w:spacing w:before="244"/>
        <w:ind w:left="-142" w:leftChars="-67" w:right="-99" w:rightChars="-47" w:firstLine="442" w:firstLineChars="157"/>
        <w:outlineLvl w:val="9"/>
        <w:rPr>
          <w:rFonts w:ascii="楷体" w:hAnsi="楷体" w:eastAsia="楷体"/>
          <w:b w:val="0"/>
        </w:rPr>
      </w:pPr>
    </w:p>
    <w:p w14:paraId="50F4727B">
      <w:pPr>
        <w:pStyle w:val="39"/>
        <w:spacing w:before="244"/>
        <w:ind w:left="-142" w:leftChars="-67" w:right="-99" w:rightChars="-47" w:firstLine="442" w:firstLineChars="157"/>
        <w:outlineLvl w:val="2"/>
        <w:rPr>
          <w:rFonts w:ascii="楷体" w:hAnsi="楷体" w:eastAsia="楷体"/>
          <w:b w:val="0"/>
        </w:rPr>
      </w:pPr>
      <w:bookmarkStart w:id="121" w:name="_Toc11088"/>
      <w:r>
        <w:rPr>
          <w:rFonts w:hint="eastAsia" w:ascii="楷体" w:hAnsi="楷体" w:eastAsia="楷体"/>
          <w:b w:val="0"/>
        </w:rPr>
        <w:t>2、</w:t>
      </w:r>
      <w:r>
        <w:rPr>
          <w:rFonts w:ascii="楷体" w:hAnsi="楷体" w:eastAsia="楷体"/>
          <w:b w:val="0"/>
        </w:rPr>
        <w:t>财政收支情况</w:t>
      </w:r>
      <w:bookmarkEnd w:id="121"/>
    </w:p>
    <w:p w14:paraId="50C71B4B">
      <w:pPr>
        <w:widowControl/>
        <w:spacing w:before="100" w:beforeAutospacing="1" w:after="100" w:afterAutospacing="1"/>
        <w:ind w:firstLine="480"/>
        <w:jc w:val="center"/>
        <w:rPr>
          <w:rFonts w:ascii="宋体" w:hAnsi="宋体" w:eastAsia="宋体" w:cs="宋体"/>
          <w:kern w:val="0"/>
          <w:sz w:val="24"/>
          <w:szCs w:val="24"/>
        </w:rPr>
      </w:pPr>
      <w:r>
        <w:rPr>
          <w:rFonts w:ascii="宋体" w:hAnsi="宋体" w:eastAsia="宋体" w:cs="宋体"/>
          <w:kern w:val="0"/>
          <w:sz w:val="24"/>
          <w:szCs w:val="24"/>
        </w:rPr>
        <w:t>南昌县财政支出情况</w:t>
      </w:r>
    </w:p>
    <w:p w14:paraId="0F309F64">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0373ED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7B260F50">
            <w:pPr>
              <w:widowControl/>
              <w:spacing w:before="100" w:beforeAutospacing="1" w:after="100" w:afterAutospacing="1"/>
              <w:jc w:val="center"/>
              <w:rPr>
                <w:rFonts w:ascii="宋体" w:hAnsi="宋体" w:eastAsia="宋体" w:cs="宋体"/>
                <w:kern w:val="0"/>
                <w:sz w:val="24"/>
                <w:szCs w:val="24"/>
              </w:rPr>
            </w:pPr>
            <w:bookmarkStart w:id="122" w:name="_Toc10593"/>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37A4320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78DA8B7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3EFBCE1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20EFB6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18946EC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786746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34213EF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27F6C95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025BAB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408030F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55E64AD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04F29C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6E142CD8">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62721C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9F2DF0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FDA4C9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2862EFF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3D7B6FA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6CF715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3AF9995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B0A9BD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5484FF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3F1AD639">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45336B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1F1CC4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3B05FA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618937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06D57058">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7D8265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33995A7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60878EA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1AB9CB72">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1B55C1C2">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24692C92">
      <w:pPr>
        <w:widowControl/>
        <w:spacing w:line="560" w:lineRule="exact"/>
        <w:ind w:firstLine="564"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（二）项目实施背景</w:t>
      </w:r>
      <w:bookmarkEnd w:id="122"/>
    </w:p>
    <w:p w14:paraId="57575637">
      <w:pPr>
        <w:spacing w:line="360" w:lineRule="auto"/>
        <w:ind w:firstLine="560"/>
        <w:rPr>
          <w:bCs/>
          <w:sz w:val="24"/>
          <w:lang w:bidi="en-US"/>
        </w:rPr>
      </w:pPr>
      <w:r>
        <w:rPr>
          <w:bCs/>
          <w:sz w:val="24"/>
          <w:lang w:bidi="en-US"/>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0656F537">
      <w:pPr>
        <w:spacing w:line="360" w:lineRule="auto"/>
        <w:ind w:firstLine="560"/>
        <w:rPr>
          <w:bCs/>
          <w:sz w:val="24"/>
          <w:lang w:bidi="en-US"/>
        </w:rPr>
      </w:pPr>
      <w:r>
        <w:rPr>
          <w:bCs/>
          <w:sz w:val="24"/>
          <w:lang w:bidi="en-US"/>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6079D330">
      <w:pPr>
        <w:tabs>
          <w:tab w:val="left" w:pos="3067"/>
        </w:tabs>
        <w:spacing w:line="560" w:lineRule="exact"/>
        <w:ind w:firstLine="564" w:firstLineChars="200"/>
        <w:rPr>
          <w:rFonts w:ascii="楷体" w:hAnsi="楷体" w:eastAsia="楷体" w:cs="楷体"/>
          <w:b/>
          <w:bCs/>
          <w:sz w:val="28"/>
          <w:szCs w:val="28"/>
        </w:rPr>
      </w:pPr>
      <w:r>
        <w:rPr>
          <w:rFonts w:hint="eastAsia" w:ascii="楷体" w:hAnsi="楷体" w:eastAsia="楷体" w:cs="楷体"/>
          <w:b/>
          <w:bCs/>
          <w:sz w:val="28"/>
          <w:szCs w:val="28"/>
        </w:rPr>
        <w:t>（三）项目基本情况</w:t>
      </w:r>
    </w:p>
    <w:p w14:paraId="7D746489">
      <w:pPr>
        <w:keepNext w:val="0"/>
        <w:keepLines w:val="0"/>
        <w:pageBreakBefore w:val="0"/>
        <w:widowControl/>
        <w:kinsoku/>
        <w:wordWrap/>
        <w:overflowPunct/>
        <w:topLinePunct w:val="0"/>
        <w:autoSpaceDE/>
        <w:autoSpaceDN/>
        <w:bidi w:val="0"/>
        <w:adjustRightInd/>
        <w:snapToGrid/>
        <w:spacing w:line="560" w:lineRule="exact"/>
        <w:ind w:firstLine="484" w:firstLineChars="200"/>
        <w:jc w:val="left"/>
        <w:textAlignment w:val="auto"/>
        <w:rPr>
          <w:rFonts w:hint="eastAsia" w:eastAsiaTheme="minorEastAsia"/>
          <w:sz w:val="24"/>
          <w:szCs w:val="24"/>
          <w:lang w:eastAsia="zh-CN"/>
        </w:rPr>
      </w:pPr>
      <w:r>
        <w:rPr>
          <w:rFonts w:hint="eastAsia" w:cs="仿宋" w:asciiTheme="minorEastAsia" w:hAnsiTheme="minorEastAsia"/>
          <w:sz w:val="24"/>
          <w:szCs w:val="24"/>
        </w:rPr>
        <w:t>项目名称：</w:t>
      </w:r>
      <w:r>
        <w:rPr>
          <w:rFonts w:hint="eastAsia"/>
          <w:sz w:val="24"/>
          <w:szCs w:val="24"/>
          <w:lang w:eastAsia="zh-CN"/>
        </w:rPr>
        <w:t>南昌县张坊三期（棚户区）安置房建设工程</w:t>
      </w:r>
    </w:p>
    <w:p w14:paraId="74C2E0F9">
      <w:pPr>
        <w:keepNext w:val="0"/>
        <w:keepLines w:val="0"/>
        <w:pageBreakBefore w:val="0"/>
        <w:widowControl/>
        <w:kinsoku/>
        <w:wordWrap/>
        <w:overflowPunct/>
        <w:topLinePunct w:val="0"/>
        <w:autoSpaceDE/>
        <w:autoSpaceDN/>
        <w:bidi w:val="0"/>
        <w:adjustRightInd/>
        <w:snapToGrid/>
        <w:spacing w:line="560" w:lineRule="exact"/>
        <w:ind w:firstLine="484" w:firstLineChars="200"/>
        <w:jc w:val="left"/>
        <w:textAlignment w:val="auto"/>
        <w:rPr>
          <w:rFonts w:hint="eastAsia" w:cs="仿宋" w:asciiTheme="minorEastAsia" w:hAnsiTheme="minorEastAsia"/>
          <w:sz w:val="24"/>
          <w:szCs w:val="24"/>
        </w:rPr>
      </w:pPr>
      <w:r>
        <w:rPr>
          <w:rFonts w:hint="eastAsia" w:cs="仿宋" w:asciiTheme="minorEastAsia" w:hAnsiTheme="minorEastAsia"/>
          <w:sz w:val="24"/>
          <w:szCs w:val="24"/>
        </w:rPr>
        <w:t>建设单位：南昌县城市建设投资发展有限公司</w:t>
      </w:r>
    </w:p>
    <w:p w14:paraId="4A3611DC">
      <w:pPr>
        <w:keepNext w:val="0"/>
        <w:keepLines w:val="0"/>
        <w:pageBreakBefore w:val="0"/>
        <w:widowControl/>
        <w:kinsoku/>
        <w:wordWrap/>
        <w:overflowPunct/>
        <w:topLinePunct w:val="0"/>
        <w:autoSpaceDE/>
        <w:autoSpaceDN/>
        <w:bidi w:val="0"/>
        <w:adjustRightInd/>
        <w:snapToGrid/>
        <w:spacing w:line="560" w:lineRule="exact"/>
        <w:ind w:firstLine="484" w:firstLineChars="200"/>
        <w:jc w:val="left"/>
        <w:textAlignment w:val="auto"/>
        <w:rPr>
          <w:rFonts w:hint="eastAsia" w:cs="仿宋" w:asciiTheme="minorEastAsia" w:hAnsiTheme="minorEastAsia"/>
          <w:sz w:val="24"/>
          <w:szCs w:val="24"/>
        </w:rPr>
      </w:pPr>
      <w:r>
        <w:rPr>
          <w:rFonts w:hint="eastAsia" w:cs="仿宋" w:asciiTheme="minorEastAsia" w:hAnsiTheme="minorEastAsia"/>
          <w:sz w:val="24"/>
          <w:szCs w:val="24"/>
        </w:rPr>
        <w:t>建设内容：</w:t>
      </w:r>
      <w:r>
        <w:rPr>
          <w:rFonts w:hint="eastAsia" w:cs="仿宋" w:asciiTheme="minorEastAsia" w:hAnsiTheme="minorEastAsia"/>
          <w:sz w:val="24"/>
          <w:szCs w:val="24"/>
          <w:lang w:eastAsia="zh-CN"/>
        </w:rPr>
        <w:t>项目用地面积约89765.61m(约134.65亩)，总建筑面积约231627.84 m，计容建筑面积约188909.24 m(其中住宅179999.28 m、商业4087.19 m、物业办公579.40 m'、社区服务1040.85 m'、老年活动用房510.18 m、幼儿园2504.06 m、消防控制室24.84m.垃圾站及公厕163.44 m),不计容建筑面积约427I18.60(其中地下室42130.38 m、架空588.22 m)。容积率2.10。建筑密度17.14%,绿地率32.50%。住宅总户数1898户,机动车停车位1960个。非机动车停车位949个。项目采用装配式设计，整体裴配率不低于40%</w:t>
      </w:r>
      <w:r>
        <w:rPr>
          <w:rFonts w:hint="eastAsia" w:cs="仿宋" w:asciiTheme="minorEastAsia" w:hAnsiTheme="minorEastAsia"/>
          <w:sz w:val="24"/>
          <w:szCs w:val="24"/>
        </w:rPr>
        <w:t>。</w:t>
      </w:r>
    </w:p>
    <w:p w14:paraId="386FAD64">
      <w:pPr>
        <w:spacing w:before="156" w:line="560" w:lineRule="exact"/>
        <w:rPr>
          <w:rFonts w:ascii="楷体" w:hAnsi="楷体" w:eastAsia="楷体" w:cs="楷体"/>
          <w:b/>
          <w:bCs/>
          <w:sz w:val="28"/>
          <w:szCs w:val="28"/>
        </w:rPr>
      </w:pPr>
      <w:r>
        <w:rPr>
          <w:rFonts w:hint="eastAsia" w:ascii="楷体" w:hAnsi="楷体" w:eastAsia="楷体" w:cs="楷体"/>
          <w:b/>
          <w:bCs/>
          <w:sz w:val="28"/>
          <w:szCs w:val="28"/>
        </w:rPr>
        <w:t>项目总投资额</w:t>
      </w:r>
    </w:p>
    <w:p w14:paraId="7249D85F">
      <w:pPr>
        <w:pStyle w:val="20"/>
        <w:spacing w:before="0" w:beforeAutospacing="0" w:after="156" w:afterLines="50" w:afterAutospacing="0" w:line="360" w:lineRule="auto"/>
        <w:ind w:firstLine="484" w:firstLineChars="200"/>
        <w:jc w:val="both"/>
        <w:rPr>
          <w:sz w:val="24"/>
          <w:szCs w:val="24"/>
        </w:rPr>
      </w:pPr>
      <w:r>
        <w:rPr>
          <w:rFonts w:hint="eastAsia"/>
          <w:color w:val="000000" w:themeColor="text1"/>
          <w:sz w:val="24"/>
          <w:szCs w:val="24"/>
          <w14:textFill>
            <w14:solidFill>
              <w14:schemeClr w14:val="tx1"/>
            </w14:solidFill>
          </w14:textFill>
        </w:rPr>
        <w:t>南昌县张坊三期（棚户区改造）安置房建设工程根据南昌县行政审批局《关于对《南昌县张坊三期(棚户区改造)安置房》项目可行性研究报告的重新批复》（南行审投资投字[2022]374号）核定总投资为</w:t>
      </w:r>
      <w:r>
        <w:rPr>
          <w:color w:val="000000" w:themeColor="text1"/>
          <w:sz w:val="24"/>
          <w:szCs w:val="24"/>
          <w14:textFill>
            <w14:solidFill>
              <w14:schemeClr w14:val="tx1"/>
            </w14:solidFill>
          </w14:textFill>
        </w:rPr>
        <w:t>82592.92</w:t>
      </w:r>
      <w:r>
        <w:rPr>
          <w:rFonts w:hint="eastAsia"/>
          <w:color w:val="000000" w:themeColor="text1"/>
          <w:sz w:val="24"/>
          <w:szCs w:val="24"/>
          <w14:textFill>
            <w14:solidFill>
              <w14:schemeClr w14:val="tx1"/>
            </w14:solidFill>
          </w14:textFill>
        </w:rPr>
        <w:t>万元。</w:t>
      </w:r>
      <w:r>
        <w:rPr>
          <w:rFonts w:hint="eastAsia"/>
          <w:sz w:val="24"/>
          <w:szCs w:val="24"/>
        </w:rPr>
        <w:t>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49F82F03">
      <w:pPr>
        <w:pStyle w:val="20"/>
        <w:keepNext/>
        <w:spacing w:before="0" w:beforeAutospacing="0" w:after="156" w:afterAutospacing="0" w:line="360" w:lineRule="exact"/>
        <w:ind w:firstLine="364" w:firstLineChars="200"/>
        <w:jc w:val="right"/>
        <w:rPr>
          <w:sz w:val="18"/>
          <w:szCs w:val="18"/>
        </w:rPr>
      </w:pPr>
      <w:r>
        <w:rPr>
          <w:rFonts w:hint="eastAsia"/>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435"/>
        <w:gridCol w:w="1343"/>
        <w:gridCol w:w="1338"/>
        <w:gridCol w:w="1523"/>
        <w:gridCol w:w="1338"/>
        <w:gridCol w:w="1149"/>
      </w:tblGrid>
      <w:tr w14:paraId="1944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1" w:type="pct"/>
            <w:shd w:val="clear" w:color="auto" w:fill="auto"/>
            <w:noWrap/>
            <w:vAlign w:val="center"/>
          </w:tcPr>
          <w:p w14:paraId="65982B1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823" w:type="pct"/>
            <w:shd w:val="clear" w:color="auto" w:fill="auto"/>
            <w:noWrap/>
            <w:vAlign w:val="center"/>
          </w:tcPr>
          <w:p w14:paraId="4B6C32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770" w:type="pct"/>
            <w:shd w:val="clear" w:color="auto" w:fill="auto"/>
            <w:noWrap/>
            <w:vAlign w:val="center"/>
          </w:tcPr>
          <w:p w14:paraId="6D7D4FF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67" w:type="pct"/>
            <w:shd w:val="clear" w:color="auto" w:fill="auto"/>
            <w:noWrap/>
            <w:vAlign w:val="center"/>
          </w:tcPr>
          <w:p w14:paraId="6E6E205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873" w:type="pct"/>
            <w:shd w:val="clear" w:color="auto" w:fill="auto"/>
            <w:noWrap/>
            <w:vAlign w:val="center"/>
          </w:tcPr>
          <w:p w14:paraId="01C675C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767" w:type="pct"/>
            <w:shd w:val="clear" w:color="auto" w:fill="auto"/>
            <w:noWrap/>
            <w:vAlign w:val="center"/>
          </w:tcPr>
          <w:p w14:paraId="044B343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659" w:type="pct"/>
            <w:shd w:val="clear" w:color="auto" w:fill="auto"/>
            <w:noWrap/>
            <w:vAlign w:val="center"/>
          </w:tcPr>
          <w:p w14:paraId="6A41E15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109C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341" w:type="pct"/>
            <w:shd w:val="clear" w:color="auto" w:fill="auto"/>
            <w:noWrap/>
            <w:vAlign w:val="center"/>
          </w:tcPr>
          <w:p w14:paraId="399413B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435" w:type="dxa"/>
            <w:shd w:val="clear" w:color="auto" w:fill="auto"/>
            <w:vAlign w:val="center"/>
          </w:tcPr>
          <w:p w14:paraId="1480F29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南昌县城市建设投资发展有限公司</w:t>
            </w:r>
          </w:p>
        </w:tc>
        <w:tc>
          <w:tcPr>
            <w:tcW w:w="1343" w:type="dxa"/>
            <w:shd w:val="clear" w:color="auto" w:fill="auto"/>
            <w:vAlign w:val="center"/>
          </w:tcPr>
          <w:p w14:paraId="0E8E46DE">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南昌县张坊三期（棚户区改造）安置房建设工程</w:t>
            </w:r>
          </w:p>
        </w:tc>
        <w:tc>
          <w:tcPr>
            <w:tcW w:w="1338" w:type="dxa"/>
            <w:shd w:val="clear" w:color="auto" w:fill="auto"/>
            <w:noWrap/>
            <w:vAlign w:val="center"/>
          </w:tcPr>
          <w:p w14:paraId="56DE3223">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82,592.92</w:t>
            </w:r>
          </w:p>
        </w:tc>
        <w:tc>
          <w:tcPr>
            <w:tcW w:w="1523" w:type="dxa"/>
            <w:shd w:val="clear" w:color="auto" w:fill="auto"/>
            <w:vAlign w:val="center"/>
          </w:tcPr>
          <w:p w14:paraId="0DA0087B">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1,268.72</w:t>
            </w:r>
          </w:p>
        </w:tc>
        <w:tc>
          <w:tcPr>
            <w:tcW w:w="1338" w:type="dxa"/>
            <w:shd w:val="clear" w:color="auto" w:fill="auto"/>
            <w:noWrap/>
            <w:vAlign w:val="center"/>
          </w:tcPr>
          <w:p w14:paraId="181666C1">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67.37</w:t>
            </w:r>
          </w:p>
        </w:tc>
        <w:tc>
          <w:tcPr>
            <w:tcW w:w="1149" w:type="dxa"/>
            <w:shd w:val="clear" w:color="auto" w:fill="auto"/>
            <w:noWrap/>
            <w:vAlign w:val="center"/>
          </w:tcPr>
          <w:p w14:paraId="1DA58EF1">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83,929.01</w:t>
            </w:r>
          </w:p>
        </w:tc>
      </w:tr>
    </w:tbl>
    <w:p w14:paraId="1A5EA8B9">
      <w:pPr>
        <w:pStyle w:val="20"/>
        <w:spacing w:before="0" w:beforeAutospacing="0" w:after="156" w:afterLines="50" w:afterAutospacing="0" w:line="360" w:lineRule="auto"/>
        <w:ind w:firstLine="484" w:firstLineChars="200"/>
        <w:jc w:val="both"/>
        <w:rPr>
          <w:rFonts w:hint="eastAsia"/>
          <w:sz w:val="24"/>
          <w:szCs w:val="24"/>
        </w:rPr>
      </w:pPr>
      <w:r>
        <w:rPr>
          <w:rFonts w:hint="eastAsia"/>
          <w:sz w:val="24"/>
          <w:szCs w:val="24"/>
        </w:rPr>
        <w:t>为了保障以上建设项目合理的融资需求，更好地发挥专项债券对本项目的支持作用，本次项目计划通过自筹资金及发行地方政府专项债券的方式完成项目建设。南昌向塘铁路口岸开发有限责任公司申请地方政府专项债券的明细情况见下表：</w:t>
      </w:r>
    </w:p>
    <w:tbl>
      <w:tblPr>
        <w:tblStyle w:val="24"/>
        <w:tblpPr w:leftFromText="180" w:rightFromText="180" w:vertAnchor="text" w:horzAnchor="page" w:tblpX="1713" w:tblpY="355"/>
        <w:tblOverlap w:val="never"/>
        <w:tblW w:w="4998" w:type="pct"/>
        <w:tblInd w:w="0" w:type="dxa"/>
        <w:tblLayout w:type="autofit"/>
        <w:tblCellMar>
          <w:top w:w="0" w:type="dxa"/>
          <w:left w:w="108" w:type="dxa"/>
          <w:bottom w:w="0" w:type="dxa"/>
          <w:right w:w="108" w:type="dxa"/>
        </w:tblCellMar>
      </w:tblPr>
      <w:tblGrid>
        <w:gridCol w:w="1209"/>
        <w:gridCol w:w="1599"/>
        <w:gridCol w:w="1205"/>
        <w:gridCol w:w="703"/>
        <w:gridCol w:w="701"/>
        <w:gridCol w:w="1650"/>
        <w:gridCol w:w="1650"/>
      </w:tblGrid>
      <w:tr w14:paraId="0BA7BCA3">
        <w:trPr>
          <w:trHeight w:val="270" w:hRule="atLeast"/>
        </w:trPr>
        <w:tc>
          <w:tcPr>
            <w:tcW w:w="69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6E6F72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9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5549B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1094" w:type="pct"/>
            <w:gridSpan w:val="2"/>
            <w:tcBorders>
              <w:top w:val="single" w:color="auto" w:sz="4" w:space="0"/>
              <w:left w:val="nil"/>
              <w:bottom w:val="single" w:color="auto" w:sz="4" w:space="0"/>
              <w:right w:val="nil"/>
            </w:tcBorders>
            <w:vAlign w:val="center"/>
          </w:tcPr>
          <w:p w14:paraId="213FFDB7">
            <w:pPr>
              <w:widowControl/>
              <w:jc w:val="center"/>
              <w:rPr>
                <w:rFonts w:hint="eastAsia" w:ascii="宋体" w:hAnsi="宋体" w:cs="宋体"/>
                <w:b/>
                <w:bCs/>
                <w:color w:val="000000"/>
                <w:kern w:val="0"/>
                <w:sz w:val="18"/>
                <w:szCs w:val="18"/>
              </w:rPr>
            </w:pPr>
          </w:p>
        </w:tc>
        <w:tc>
          <w:tcPr>
            <w:tcW w:w="2294" w:type="pct"/>
            <w:gridSpan w:val="3"/>
            <w:tcBorders>
              <w:top w:val="single" w:color="auto" w:sz="4" w:space="0"/>
              <w:left w:val="nil"/>
              <w:bottom w:val="single" w:color="auto" w:sz="4" w:space="0"/>
              <w:right w:val="single" w:color="auto" w:sz="4" w:space="0"/>
            </w:tcBorders>
            <w:vAlign w:val="center"/>
          </w:tcPr>
          <w:p w14:paraId="3DCE89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401BB23">
        <w:trPr>
          <w:trHeight w:val="270" w:hRule="atLeast"/>
        </w:trPr>
        <w:tc>
          <w:tcPr>
            <w:tcW w:w="693" w:type="pct"/>
            <w:vMerge w:val="continue"/>
            <w:tcBorders>
              <w:top w:val="single" w:color="auto" w:sz="4" w:space="0"/>
              <w:left w:val="single" w:color="auto" w:sz="4" w:space="0"/>
              <w:bottom w:val="single" w:color="auto" w:sz="4" w:space="0"/>
              <w:right w:val="single" w:color="auto" w:sz="4" w:space="0"/>
            </w:tcBorders>
            <w:vAlign w:val="center"/>
          </w:tcPr>
          <w:p w14:paraId="463AB275">
            <w:pPr>
              <w:widowControl/>
              <w:jc w:val="center"/>
              <w:rPr>
                <w:rFonts w:ascii="宋体" w:hAnsi="宋体" w:cs="宋体"/>
                <w:b/>
                <w:bCs/>
                <w:color w:val="000000"/>
                <w:kern w:val="0"/>
                <w:sz w:val="18"/>
                <w:szCs w:val="18"/>
              </w:rPr>
            </w:pPr>
          </w:p>
        </w:tc>
        <w:tc>
          <w:tcPr>
            <w:tcW w:w="917" w:type="pct"/>
            <w:vMerge w:val="continue"/>
            <w:tcBorders>
              <w:top w:val="single" w:color="auto" w:sz="4" w:space="0"/>
              <w:left w:val="single" w:color="auto" w:sz="4" w:space="0"/>
              <w:bottom w:val="single" w:color="auto" w:sz="4" w:space="0"/>
              <w:right w:val="single" w:color="auto" w:sz="4" w:space="0"/>
            </w:tcBorders>
            <w:vAlign w:val="center"/>
          </w:tcPr>
          <w:p w14:paraId="4B4E01B6">
            <w:pPr>
              <w:widowControl/>
              <w:jc w:val="center"/>
              <w:rPr>
                <w:rFonts w:ascii="宋体" w:hAnsi="宋体" w:cs="宋体"/>
                <w:b/>
                <w:bCs/>
                <w:color w:val="000000"/>
                <w:kern w:val="0"/>
                <w:sz w:val="18"/>
                <w:szCs w:val="18"/>
              </w:rPr>
            </w:pPr>
          </w:p>
        </w:tc>
        <w:tc>
          <w:tcPr>
            <w:tcW w:w="691" w:type="pct"/>
            <w:tcBorders>
              <w:top w:val="nil"/>
              <w:left w:val="nil"/>
              <w:bottom w:val="single" w:color="auto" w:sz="4" w:space="0"/>
              <w:right w:val="single" w:color="auto" w:sz="4" w:space="0"/>
            </w:tcBorders>
            <w:shd w:val="clear" w:color="auto" w:fill="auto"/>
            <w:vAlign w:val="center"/>
          </w:tcPr>
          <w:p w14:paraId="3EF1389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805" w:type="pct"/>
            <w:gridSpan w:val="2"/>
            <w:tcBorders>
              <w:top w:val="single" w:color="auto" w:sz="4" w:space="0"/>
              <w:left w:val="nil"/>
              <w:bottom w:val="single" w:color="auto" w:sz="4" w:space="0"/>
              <w:right w:val="single" w:color="auto" w:sz="4" w:space="0"/>
            </w:tcBorders>
            <w:vAlign w:val="center"/>
          </w:tcPr>
          <w:p w14:paraId="36C0BAD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本次调整金额</w:t>
            </w:r>
          </w:p>
        </w:tc>
        <w:tc>
          <w:tcPr>
            <w:tcW w:w="94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06CAE1">
            <w:pPr>
              <w:widowControl/>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2024年计划发行</w:t>
            </w:r>
          </w:p>
        </w:tc>
        <w:tc>
          <w:tcPr>
            <w:tcW w:w="946" w:type="pct"/>
            <w:tcBorders>
              <w:top w:val="single" w:color="auto" w:sz="4" w:space="0"/>
              <w:left w:val="single" w:color="auto" w:sz="4" w:space="0"/>
              <w:bottom w:val="single" w:color="auto" w:sz="4" w:space="0"/>
              <w:right w:val="single" w:color="auto" w:sz="4" w:space="0"/>
            </w:tcBorders>
            <w:vAlign w:val="center"/>
          </w:tcPr>
          <w:p w14:paraId="073275F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w:t>
            </w:r>
            <w:r>
              <w:rPr>
                <w:rFonts w:ascii="宋体" w:hAnsi="宋体" w:cs="宋体"/>
                <w:b/>
                <w:bCs/>
                <w:color w:val="000000"/>
                <w:kern w:val="0"/>
                <w:sz w:val="18"/>
                <w:szCs w:val="18"/>
              </w:rPr>
              <w:t>5</w:t>
            </w:r>
            <w:r>
              <w:rPr>
                <w:rFonts w:hint="eastAsia" w:ascii="宋体" w:hAnsi="宋体" w:cs="宋体"/>
                <w:b/>
                <w:bCs/>
                <w:color w:val="000000"/>
                <w:kern w:val="0"/>
                <w:sz w:val="18"/>
                <w:szCs w:val="18"/>
              </w:rPr>
              <w:t>年</w:t>
            </w:r>
            <w:r>
              <w:rPr>
                <w:rFonts w:hint="eastAsia" w:ascii="宋体" w:hAnsi="宋体" w:cs="宋体"/>
                <w:b/>
                <w:bCs/>
                <w:color w:val="000000"/>
                <w:kern w:val="0"/>
                <w:sz w:val="18"/>
                <w:szCs w:val="18"/>
                <w:lang w:val="en-US" w:eastAsia="zh-CN"/>
              </w:rPr>
              <w:t>计划</w:t>
            </w:r>
            <w:r>
              <w:rPr>
                <w:rFonts w:hint="eastAsia" w:ascii="宋体" w:hAnsi="宋体" w:cs="宋体"/>
                <w:b/>
                <w:bCs/>
                <w:color w:val="000000"/>
                <w:kern w:val="0"/>
                <w:sz w:val="18"/>
                <w:szCs w:val="18"/>
              </w:rPr>
              <w:t>发行</w:t>
            </w:r>
          </w:p>
        </w:tc>
      </w:tr>
      <w:tr w14:paraId="06BF7378">
        <w:trPr>
          <w:trHeight w:val="270" w:hRule="atLeast"/>
        </w:trPr>
        <w:tc>
          <w:tcPr>
            <w:tcW w:w="693" w:type="pct"/>
            <w:tcBorders>
              <w:top w:val="nil"/>
              <w:left w:val="single" w:color="auto" w:sz="4" w:space="0"/>
              <w:bottom w:val="single" w:color="auto" w:sz="4" w:space="0"/>
              <w:right w:val="single" w:color="auto" w:sz="4" w:space="0"/>
            </w:tcBorders>
            <w:shd w:val="clear" w:color="auto" w:fill="auto"/>
            <w:noWrap/>
            <w:vAlign w:val="center"/>
          </w:tcPr>
          <w:p w14:paraId="5DF45D19">
            <w:pPr>
              <w:widowControl/>
              <w:jc w:val="center"/>
              <w:rPr>
                <w:rFonts w:ascii="宋体" w:hAnsi="宋体" w:cs="宋体"/>
                <w:color w:val="000000"/>
                <w:kern w:val="0"/>
                <w:sz w:val="18"/>
                <w:szCs w:val="18"/>
              </w:rPr>
            </w:pPr>
            <w:r>
              <w:rPr>
                <w:rFonts w:ascii="宋体" w:hAnsi="宋体" w:cs="宋体"/>
                <w:color w:val="000000"/>
                <w:kern w:val="0"/>
                <w:sz w:val="18"/>
                <w:szCs w:val="18"/>
              </w:rPr>
              <w:t>83,929.01</w:t>
            </w:r>
          </w:p>
        </w:tc>
        <w:tc>
          <w:tcPr>
            <w:tcW w:w="917" w:type="pct"/>
            <w:tcBorders>
              <w:top w:val="nil"/>
              <w:left w:val="nil"/>
              <w:bottom w:val="single" w:color="auto" w:sz="4" w:space="0"/>
              <w:right w:val="single" w:color="auto" w:sz="4" w:space="0"/>
            </w:tcBorders>
            <w:shd w:val="clear" w:color="auto" w:fill="auto"/>
            <w:noWrap/>
            <w:vAlign w:val="center"/>
          </w:tcPr>
          <w:p w14:paraId="2C13A503">
            <w:pPr>
              <w:widowControl/>
              <w:jc w:val="center"/>
              <w:rPr>
                <w:rFonts w:ascii="宋体" w:hAnsi="宋体" w:cs="宋体"/>
                <w:color w:val="000000"/>
                <w:kern w:val="0"/>
                <w:sz w:val="18"/>
                <w:szCs w:val="18"/>
              </w:rPr>
            </w:pPr>
            <w:r>
              <w:rPr>
                <w:rFonts w:ascii="宋体" w:hAnsi="宋体" w:cs="宋体"/>
                <w:color w:val="000000"/>
                <w:kern w:val="0"/>
                <w:sz w:val="18"/>
                <w:szCs w:val="18"/>
              </w:rPr>
              <w:t>16,559.01</w:t>
            </w:r>
          </w:p>
        </w:tc>
        <w:tc>
          <w:tcPr>
            <w:tcW w:w="1205" w:type="dxa"/>
            <w:tcBorders>
              <w:top w:val="nil"/>
              <w:left w:val="nil"/>
              <w:bottom w:val="single" w:color="auto" w:sz="4" w:space="0"/>
              <w:right w:val="single" w:color="auto" w:sz="4" w:space="0"/>
            </w:tcBorders>
            <w:shd w:val="clear" w:color="auto" w:fill="auto"/>
            <w:vAlign w:val="center"/>
          </w:tcPr>
          <w:p w14:paraId="63A5E344">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805" w:type="pct"/>
            <w:gridSpan w:val="2"/>
            <w:tcBorders>
              <w:top w:val="single" w:color="auto" w:sz="4" w:space="0"/>
              <w:left w:val="nil"/>
              <w:bottom w:val="single" w:color="auto" w:sz="4" w:space="0"/>
              <w:right w:val="single" w:color="auto" w:sz="4" w:space="0"/>
            </w:tcBorders>
            <w:vAlign w:val="center"/>
          </w:tcPr>
          <w:p w14:paraId="47221496">
            <w:pPr>
              <w:widowControl/>
              <w:jc w:val="center"/>
              <w:rPr>
                <w:rFonts w:ascii="宋体" w:hAnsi="宋体" w:cs="宋体"/>
                <w:color w:val="000000"/>
                <w:kern w:val="0"/>
                <w:sz w:val="18"/>
                <w:szCs w:val="18"/>
              </w:rPr>
            </w:pPr>
            <w:r>
              <w:rPr>
                <w:rFonts w:ascii="宋体" w:hAnsi="宋体" w:cs="宋体"/>
                <w:color w:val="000000"/>
                <w:kern w:val="0"/>
                <w:sz w:val="18"/>
                <w:szCs w:val="18"/>
              </w:rPr>
              <w:t>12,500.00</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bottom"/>
          </w:tcPr>
          <w:p w14:paraId="3E1C41D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 xml:space="preserve"> 42,370.00 </w:t>
            </w:r>
          </w:p>
        </w:tc>
        <w:tc>
          <w:tcPr>
            <w:tcW w:w="946" w:type="pct"/>
            <w:tcBorders>
              <w:top w:val="single" w:color="auto" w:sz="4" w:space="0"/>
              <w:left w:val="single" w:color="auto" w:sz="4" w:space="0"/>
              <w:bottom w:val="single" w:color="auto" w:sz="4" w:space="0"/>
              <w:right w:val="single" w:color="auto" w:sz="4" w:space="0"/>
            </w:tcBorders>
            <w:vAlign w:val="top"/>
          </w:tcPr>
          <w:p w14:paraId="6A674F32">
            <w:pPr>
              <w:widowControl/>
              <w:jc w:val="center"/>
              <w:rPr>
                <w:rFonts w:ascii="宋体" w:hAnsi="宋体" w:cs="宋体"/>
                <w:color w:val="000000"/>
                <w:kern w:val="0"/>
                <w:sz w:val="18"/>
                <w:szCs w:val="18"/>
              </w:rPr>
            </w:pPr>
            <w:r>
              <w:rPr>
                <w:rFonts w:ascii="宋体" w:hAnsi="宋体" w:cs="宋体"/>
                <w:color w:val="000000"/>
                <w:kern w:val="0"/>
                <w:sz w:val="18"/>
                <w:szCs w:val="18"/>
              </w:rPr>
              <w:t>12,500.00</w:t>
            </w:r>
          </w:p>
        </w:tc>
      </w:tr>
    </w:tbl>
    <w:p w14:paraId="095ACCF7">
      <w:pPr>
        <w:pStyle w:val="20"/>
        <w:keepNext/>
        <w:spacing w:before="0" w:beforeAutospacing="0" w:after="0" w:afterAutospacing="0" w:line="360" w:lineRule="exact"/>
        <w:ind w:firstLine="364"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p w14:paraId="16F8F876">
      <w:pPr>
        <w:widowControl/>
        <w:spacing w:line="360" w:lineRule="auto"/>
        <w:ind w:firstLine="484" w:firstLineChars="200"/>
        <w:rPr>
          <w:rFonts w:hint="eastAsia" w:ascii="宋体" w:hAnsi="宋体" w:eastAsia="宋体" w:cs="宋体"/>
          <w:sz w:val="24"/>
          <w:szCs w:val="24"/>
        </w:rPr>
      </w:pPr>
      <w:r>
        <w:rPr>
          <w:rFonts w:hint="eastAsia" w:ascii="宋体" w:hAnsi="宋体" w:eastAsia="宋体" w:cs="宋体"/>
          <w:color w:val="000000" w:themeColor="text1"/>
          <w:kern w:val="0"/>
          <w:sz w:val="24"/>
          <w:szCs w:val="24"/>
          <w14:textFill>
            <w14:solidFill>
              <w14:schemeClr w14:val="tx1"/>
            </w14:solidFill>
          </w14:textFill>
        </w:rPr>
        <w:t>按照发行方案及筹资计划，本次拟发行项目的总投资为83,929.01万元，通过自筹资金、申请专项债券、其他合规性融资等途径解决，其一，自筹资金 16,559.01万元。其二，拟发行专项债券54,870.00万元，2024年计划发行54,870.00万元，2025年计划发行12,500.00万元，发行期限7年；其中，12,500.00万元由2022年江西省高质量发展补短板专项债券（十二期）——2022年江西省政府专项债券（二十期）调整至本项目，发行期限30年；2024年计划发行42,370.00万元，发行期限7年</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其中本次发行8,500.00万元</w:t>
      </w:r>
      <w:r>
        <w:rPr>
          <w:rFonts w:hint="eastAsia" w:ascii="宋体" w:hAnsi="宋体" w:eastAsia="宋体" w:cs="宋体"/>
          <w:color w:val="000000" w:themeColor="text1"/>
          <w:kern w:val="0"/>
          <w:sz w:val="24"/>
          <w:szCs w:val="24"/>
          <w14:textFill>
            <w14:solidFill>
              <w14:schemeClr w14:val="tx1"/>
            </w14:solidFill>
          </w14:textFill>
        </w:rPr>
        <w:t>。</w:t>
      </w:r>
    </w:p>
    <w:p w14:paraId="134AB1B2">
      <w:pPr>
        <w:pStyle w:val="20"/>
        <w:spacing w:after="156" w:afterLines="50" w:line="360" w:lineRule="auto"/>
        <w:ind w:firstLine="484"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南昌县张坊三期（棚户区改造）安置房建设工程项目可行性研究报告》（以下简称“可研报告”），项目建设内容为：根据项目和规划要求，本项目用地面积89765.61平方米，总建筑面积约为231627.84㎡，其中地上计容建筑面积约为188909.24 ㎡（住宅面积179999.28㎡，商业面积4087.19㎡，物业办公579.4㎡，社区服务1040.85㎡，老年活动用房510.18㎡，幼儿园2504.06㎡，消防控制室24.84㎡，垃圾站及公厕163.44㎡），不计容建筑面积为42718.60㎡（地下室42130.38㎡，架空588.22㎡），容积率2.10，占地面积约为15382.4㎡（建筑占地面积14611.21㎡，坡道占地面积771.19㎡），建筑密度17.14%，绿地占地面积为29173.88㎡，绿地率32.50 %。住宅总户数1898户（其中：60㎡户型420户，80㎡户型284户，100㎡户型877户，120㎡户型317户）。机动车停车位1960个（地上停车位593个，地下停车位1367个）。非机动车停车位949个（地上停车位949个，地下停车位0个）。</w:t>
      </w:r>
    </w:p>
    <w:p w14:paraId="59257B21">
      <w:pPr>
        <w:pStyle w:val="20"/>
        <w:spacing w:before="0" w:beforeAutospacing="0" w:after="156" w:afterLines="50" w:afterAutospacing="0" w:line="360" w:lineRule="auto"/>
        <w:ind w:firstLine="484"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根据可研报告及其批复，本项目投资估算详见表1-1；项目建设期内的年度资金计划表详见表1-2。</w:t>
      </w:r>
    </w:p>
    <w:p w14:paraId="2A6F1517">
      <w:pPr>
        <w:pStyle w:val="20"/>
        <w:spacing w:after="156" w:afterLines="50" w:line="360" w:lineRule="exact"/>
        <w:ind w:firstLine="424" w:firstLineChars="200"/>
        <w:jc w:val="center"/>
        <w:rPr>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表1-</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项目总投资估算表</w:t>
      </w:r>
    </w:p>
    <w:p w14:paraId="6CCBE12E">
      <w:pPr>
        <w:pStyle w:val="20"/>
        <w:spacing w:before="0" w:beforeAutospacing="0" w:after="156" w:afterLines="50" w:afterAutospacing="0" w:line="360" w:lineRule="exact"/>
        <w:ind w:firstLine="364" w:firstLineChars="200"/>
        <w:jc w:val="right"/>
        <w:rPr>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2091"/>
        <w:gridCol w:w="3732"/>
        <w:gridCol w:w="2897"/>
      </w:tblGrid>
      <w:tr w14:paraId="2DEE2DED">
        <w:trPr>
          <w:trHeight w:val="285" w:hRule="atLeast"/>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60E4CE3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序号 </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6C122C2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项目名称 </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62B64CE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合计 </w:t>
            </w:r>
          </w:p>
        </w:tc>
      </w:tr>
      <w:tr w14:paraId="7924A16A">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3D599B4C">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140" w:type="pct"/>
            <w:tcBorders>
              <w:top w:val="nil"/>
              <w:left w:val="nil"/>
              <w:bottom w:val="single" w:color="auto" w:sz="8" w:space="0"/>
              <w:right w:val="single" w:color="auto" w:sz="8" w:space="0"/>
            </w:tcBorders>
            <w:shd w:val="clear" w:color="auto" w:fill="auto"/>
            <w:vAlign w:val="center"/>
          </w:tcPr>
          <w:p w14:paraId="7E452E7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建设工程费用 </w:t>
            </w:r>
          </w:p>
        </w:tc>
        <w:tc>
          <w:tcPr>
            <w:tcW w:w="1661" w:type="pct"/>
            <w:tcBorders>
              <w:top w:val="nil"/>
              <w:left w:val="nil"/>
              <w:bottom w:val="single" w:color="auto" w:sz="8" w:space="0"/>
              <w:right w:val="single" w:color="auto" w:sz="8" w:space="0"/>
            </w:tcBorders>
            <w:shd w:val="clear" w:color="auto" w:fill="auto"/>
          </w:tcPr>
          <w:p w14:paraId="6A06312E">
            <w:pPr>
              <w:widowControl/>
              <w:jc w:val="center"/>
              <w:rPr>
                <w:rFonts w:ascii="宋体" w:hAnsi="宋体" w:cs="宋体"/>
                <w:color w:val="000000"/>
                <w:kern w:val="0"/>
                <w:sz w:val="18"/>
                <w:szCs w:val="18"/>
              </w:rPr>
            </w:pPr>
            <w:r>
              <w:rPr>
                <w:rFonts w:ascii="宋体" w:hAnsi="宋体" w:cs="宋体"/>
                <w:color w:val="000000"/>
                <w:kern w:val="0"/>
                <w:sz w:val="18"/>
                <w:szCs w:val="18"/>
              </w:rPr>
              <w:t xml:space="preserve"> 72,630.22 </w:t>
            </w:r>
          </w:p>
        </w:tc>
      </w:tr>
      <w:tr w14:paraId="2240EE81">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0244C055">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140" w:type="pct"/>
            <w:tcBorders>
              <w:top w:val="nil"/>
              <w:left w:val="nil"/>
              <w:bottom w:val="single" w:color="auto" w:sz="8" w:space="0"/>
              <w:right w:val="single" w:color="auto" w:sz="8" w:space="0"/>
            </w:tcBorders>
            <w:shd w:val="clear" w:color="auto" w:fill="auto"/>
            <w:vAlign w:val="center"/>
          </w:tcPr>
          <w:p w14:paraId="5E5F8E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工程建设其他费用 </w:t>
            </w:r>
          </w:p>
        </w:tc>
        <w:tc>
          <w:tcPr>
            <w:tcW w:w="1661" w:type="pct"/>
            <w:tcBorders>
              <w:top w:val="nil"/>
              <w:left w:val="nil"/>
              <w:bottom w:val="single" w:color="auto" w:sz="8" w:space="0"/>
              <w:right w:val="single" w:color="auto" w:sz="8" w:space="0"/>
            </w:tcBorders>
            <w:shd w:val="clear" w:color="auto" w:fill="auto"/>
          </w:tcPr>
          <w:p w14:paraId="43E0B09A">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5,405.19 </w:t>
            </w:r>
          </w:p>
        </w:tc>
      </w:tr>
      <w:tr w14:paraId="0826982F">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4F3EF696">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140" w:type="pct"/>
            <w:tcBorders>
              <w:top w:val="nil"/>
              <w:left w:val="nil"/>
              <w:bottom w:val="single" w:color="auto" w:sz="8" w:space="0"/>
              <w:right w:val="single" w:color="auto" w:sz="8" w:space="0"/>
            </w:tcBorders>
            <w:shd w:val="clear" w:color="auto" w:fill="auto"/>
            <w:vAlign w:val="center"/>
          </w:tcPr>
          <w:p w14:paraId="440126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基本预备费 </w:t>
            </w:r>
          </w:p>
        </w:tc>
        <w:tc>
          <w:tcPr>
            <w:tcW w:w="1661" w:type="pct"/>
            <w:tcBorders>
              <w:top w:val="nil"/>
              <w:left w:val="nil"/>
              <w:bottom w:val="single" w:color="auto" w:sz="8" w:space="0"/>
              <w:right w:val="single" w:color="auto" w:sz="8" w:space="0"/>
            </w:tcBorders>
            <w:shd w:val="clear" w:color="auto" w:fill="auto"/>
          </w:tcPr>
          <w:p w14:paraId="5C6DD250">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4,557.51 </w:t>
            </w:r>
          </w:p>
        </w:tc>
      </w:tr>
      <w:tr w14:paraId="379FB04A">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2CA37FD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 xml:space="preserve"> 项目总投资 </w:t>
            </w:r>
          </w:p>
        </w:tc>
        <w:tc>
          <w:tcPr>
            <w:tcW w:w="1661" w:type="pct"/>
            <w:tcBorders>
              <w:top w:val="nil"/>
              <w:left w:val="nil"/>
              <w:bottom w:val="single" w:color="auto" w:sz="8" w:space="0"/>
              <w:right w:val="single" w:color="auto" w:sz="8" w:space="0"/>
            </w:tcBorders>
            <w:shd w:val="clear" w:color="auto" w:fill="auto"/>
            <w:vAlign w:val="center"/>
          </w:tcPr>
          <w:p w14:paraId="1BC0200B">
            <w:pPr>
              <w:widowControl/>
              <w:jc w:val="center"/>
              <w:rPr>
                <w:rFonts w:ascii="宋体" w:hAnsi="宋体" w:cs="宋体"/>
                <w:b/>
                <w:color w:val="000000"/>
                <w:kern w:val="0"/>
                <w:sz w:val="18"/>
                <w:szCs w:val="18"/>
              </w:rPr>
            </w:pPr>
            <w:r>
              <w:rPr>
                <w:rFonts w:ascii="宋体" w:hAnsi="宋体" w:cs="宋体"/>
                <w:b/>
                <w:color w:val="000000"/>
                <w:kern w:val="0"/>
                <w:sz w:val="18"/>
                <w:szCs w:val="18"/>
              </w:rPr>
              <w:t>82,592.92</w:t>
            </w:r>
          </w:p>
        </w:tc>
      </w:tr>
    </w:tbl>
    <w:p w14:paraId="0B972DB3">
      <w:pPr>
        <w:spacing w:before="156" w:beforeLines="50" w:line="360" w:lineRule="auto"/>
        <w:rPr>
          <w:rFonts w:ascii="宋体" w:hAnsi="宋体" w:cs="仿宋"/>
          <w:b/>
          <w:bCs/>
          <w:color w:val="000000" w:themeColor="text1"/>
          <w:szCs w:val="28"/>
          <w14:textFill>
            <w14:solidFill>
              <w14:schemeClr w14:val="tx1"/>
            </w14:solidFill>
          </w14:textFill>
        </w:rPr>
      </w:pPr>
    </w:p>
    <w:p w14:paraId="7A31B884">
      <w:pPr>
        <w:spacing w:before="156" w:beforeLines="50" w:line="360" w:lineRule="auto"/>
        <w:ind w:firstLine="424" w:firstLineChars="200"/>
        <w:jc w:val="center"/>
        <w:rPr>
          <w:rFonts w:ascii="宋体" w:hAnsi="宋体" w:cs="仿宋"/>
          <w:b/>
          <w:bCs/>
          <w:color w:val="000000" w:themeColor="text1"/>
          <w:szCs w:val="28"/>
          <w14:textFill>
            <w14:solidFill>
              <w14:schemeClr w14:val="tx1"/>
            </w14:solidFill>
          </w14:textFill>
        </w:rPr>
      </w:pPr>
      <w:r>
        <w:rPr>
          <w:rFonts w:hint="eastAsia" w:ascii="宋体" w:hAnsi="宋体" w:cs="仿宋"/>
          <w:b/>
          <w:bCs/>
          <w:color w:val="000000" w:themeColor="text1"/>
          <w:szCs w:val="28"/>
          <w14:textFill>
            <w14:solidFill>
              <w14:schemeClr w14:val="tx1"/>
            </w14:solidFill>
          </w14:textFill>
        </w:rPr>
        <w:t>表1-2</w:t>
      </w:r>
      <w:r>
        <w:rPr>
          <w:rFonts w:ascii="宋体" w:hAnsi="宋体" w:cs="仿宋"/>
          <w:b/>
          <w:bCs/>
          <w:color w:val="000000" w:themeColor="text1"/>
          <w:szCs w:val="28"/>
          <w14:textFill>
            <w14:solidFill>
              <w14:schemeClr w14:val="tx1"/>
            </w14:solidFill>
          </w14:textFill>
        </w:rPr>
        <w:t xml:space="preserve"> </w:t>
      </w:r>
      <w:r>
        <w:rPr>
          <w:rFonts w:hint="eastAsia" w:ascii="宋体" w:hAnsi="宋体" w:cs="仿宋"/>
          <w:b/>
          <w:bCs/>
          <w:color w:val="000000" w:themeColor="text1"/>
          <w:szCs w:val="28"/>
          <w14:textFill>
            <w14:solidFill>
              <w14:schemeClr w14:val="tx1"/>
            </w14:solidFill>
          </w14:textFill>
        </w:rPr>
        <w:t xml:space="preserve"> 项目分年度支出计划表</w:t>
      </w:r>
    </w:p>
    <w:p w14:paraId="128086C1">
      <w:pPr>
        <w:ind w:firstLine="364" w:firstLineChars="200"/>
        <w:jc w:val="right"/>
        <w:rPr>
          <w:rFonts w:ascii="宋体" w:hAnsi="宋体" w:cs="仿宋"/>
          <w:b/>
          <w:bCs/>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697"/>
        <w:gridCol w:w="2002"/>
        <w:gridCol w:w="1249"/>
        <w:gridCol w:w="1139"/>
        <w:gridCol w:w="1249"/>
        <w:gridCol w:w="1249"/>
        <w:gridCol w:w="1135"/>
      </w:tblGrid>
      <w:tr w14:paraId="37FEBCCF">
        <w:trPr>
          <w:trHeight w:val="285" w:hRule="atLeast"/>
        </w:trPr>
        <w:tc>
          <w:tcPr>
            <w:tcW w:w="400" w:type="pct"/>
            <w:tcBorders>
              <w:top w:val="single" w:color="auto" w:sz="8" w:space="0"/>
              <w:left w:val="single" w:color="auto" w:sz="8" w:space="0"/>
              <w:bottom w:val="single" w:color="auto" w:sz="8" w:space="0"/>
              <w:right w:val="single" w:color="auto" w:sz="8" w:space="0"/>
            </w:tcBorders>
            <w:shd w:val="clear" w:color="auto" w:fill="auto"/>
            <w:vAlign w:val="center"/>
          </w:tcPr>
          <w:p w14:paraId="7199551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148" w:type="pct"/>
            <w:tcBorders>
              <w:top w:val="single" w:color="auto" w:sz="8" w:space="0"/>
              <w:left w:val="nil"/>
              <w:bottom w:val="single" w:color="auto" w:sz="8" w:space="0"/>
              <w:right w:val="single" w:color="auto" w:sz="8" w:space="0"/>
            </w:tcBorders>
            <w:shd w:val="clear" w:color="auto" w:fill="auto"/>
            <w:vAlign w:val="center"/>
          </w:tcPr>
          <w:p w14:paraId="727FC14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费用类型</w:t>
            </w:r>
          </w:p>
        </w:tc>
        <w:tc>
          <w:tcPr>
            <w:tcW w:w="716" w:type="pct"/>
            <w:tcBorders>
              <w:top w:val="single" w:color="auto" w:sz="8" w:space="0"/>
              <w:left w:val="nil"/>
              <w:bottom w:val="single" w:color="auto" w:sz="8" w:space="0"/>
              <w:right w:val="single" w:color="auto" w:sz="8" w:space="0"/>
            </w:tcBorders>
            <w:shd w:val="clear" w:color="auto" w:fill="auto"/>
            <w:vAlign w:val="center"/>
          </w:tcPr>
          <w:p w14:paraId="5621BDD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53" w:type="pct"/>
            <w:tcBorders>
              <w:top w:val="single" w:color="auto" w:sz="8" w:space="0"/>
              <w:left w:val="nil"/>
              <w:bottom w:val="single" w:color="auto" w:sz="8" w:space="0"/>
              <w:right w:val="single" w:color="auto" w:sz="8" w:space="0"/>
            </w:tcBorders>
            <w:shd w:val="clear" w:color="auto" w:fill="auto"/>
            <w:vAlign w:val="center"/>
          </w:tcPr>
          <w:p w14:paraId="190044D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716" w:type="pct"/>
            <w:tcBorders>
              <w:top w:val="single" w:color="auto" w:sz="8" w:space="0"/>
              <w:left w:val="nil"/>
              <w:bottom w:val="single" w:color="auto" w:sz="8" w:space="0"/>
              <w:right w:val="single" w:color="auto" w:sz="8" w:space="0"/>
            </w:tcBorders>
            <w:shd w:val="clear" w:color="auto" w:fill="auto"/>
            <w:vAlign w:val="center"/>
          </w:tcPr>
          <w:p w14:paraId="022F8C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716" w:type="pct"/>
            <w:tcBorders>
              <w:top w:val="single" w:color="auto" w:sz="8" w:space="0"/>
              <w:left w:val="nil"/>
              <w:bottom w:val="single" w:color="auto" w:sz="8" w:space="0"/>
              <w:right w:val="single" w:color="auto" w:sz="8" w:space="0"/>
            </w:tcBorders>
            <w:shd w:val="clear" w:color="auto" w:fill="auto"/>
            <w:vAlign w:val="center"/>
          </w:tcPr>
          <w:p w14:paraId="51FC39C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651" w:type="pct"/>
            <w:tcBorders>
              <w:top w:val="single" w:color="auto" w:sz="8" w:space="0"/>
              <w:left w:val="nil"/>
              <w:bottom w:val="single" w:color="auto" w:sz="8" w:space="0"/>
              <w:right w:val="single" w:color="auto" w:sz="8" w:space="0"/>
            </w:tcBorders>
            <w:shd w:val="clear" w:color="auto" w:fill="auto"/>
            <w:vAlign w:val="center"/>
          </w:tcPr>
          <w:p w14:paraId="5E15CAC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r>
      <w:tr w14:paraId="6D07B43F">
        <w:trPr>
          <w:trHeight w:val="285" w:hRule="atLeast"/>
        </w:trPr>
        <w:tc>
          <w:tcPr>
            <w:tcW w:w="400" w:type="pct"/>
            <w:tcBorders>
              <w:top w:val="nil"/>
              <w:left w:val="single" w:color="auto" w:sz="8" w:space="0"/>
              <w:bottom w:val="single" w:color="auto" w:sz="8" w:space="0"/>
              <w:right w:val="single" w:color="auto" w:sz="8" w:space="0"/>
            </w:tcBorders>
            <w:shd w:val="clear" w:color="auto" w:fill="auto"/>
            <w:vAlign w:val="center"/>
          </w:tcPr>
          <w:p w14:paraId="0BBA0C7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1148" w:type="pct"/>
            <w:tcBorders>
              <w:top w:val="nil"/>
              <w:left w:val="nil"/>
              <w:bottom w:val="single" w:color="auto" w:sz="8" w:space="0"/>
              <w:right w:val="single" w:color="auto" w:sz="8" w:space="0"/>
            </w:tcBorders>
            <w:shd w:val="clear" w:color="auto" w:fill="auto"/>
            <w:vAlign w:val="center"/>
          </w:tcPr>
          <w:p w14:paraId="61852448">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建设工程费用</w:t>
            </w:r>
          </w:p>
        </w:tc>
        <w:tc>
          <w:tcPr>
            <w:tcW w:w="7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711917">
            <w:pPr>
              <w:widowControl/>
              <w:jc w:val="center"/>
              <w:rPr>
                <w:rFonts w:ascii="宋体" w:hAnsi="宋体" w:cs="宋体"/>
                <w:color w:val="000000"/>
                <w:kern w:val="0"/>
                <w:sz w:val="18"/>
                <w:szCs w:val="18"/>
              </w:rPr>
            </w:pPr>
            <w:r>
              <w:rPr>
                <w:rFonts w:ascii="宋体" w:hAnsi="宋体" w:cs="宋体"/>
                <w:color w:val="000000"/>
                <w:kern w:val="0"/>
                <w:sz w:val="18"/>
                <w:szCs w:val="18"/>
              </w:rPr>
              <w:t>72,630.22</w:t>
            </w:r>
          </w:p>
        </w:tc>
        <w:tc>
          <w:tcPr>
            <w:tcW w:w="653" w:type="pct"/>
            <w:tcBorders>
              <w:top w:val="nil"/>
              <w:left w:val="nil"/>
              <w:bottom w:val="single" w:color="auto" w:sz="8" w:space="0"/>
              <w:right w:val="single" w:color="auto" w:sz="8" w:space="0"/>
            </w:tcBorders>
            <w:shd w:val="clear" w:color="auto" w:fill="auto"/>
            <w:vAlign w:val="center"/>
          </w:tcPr>
          <w:p w14:paraId="4E2240D8">
            <w:pPr>
              <w:widowControl/>
              <w:jc w:val="center"/>
              <w:rPr>
                <w:rFonts w:ascii="宋体" w:hAnsi="宋体" w:cs="宋体"/>
                <w:color w:val="000000"/>
                <w:kern w:val="0"/>
                <w:sz w:val="18"/>
                <w:szCs w:val="18"/>
              </w:rPr>
            </w:pPr>
            <w:r>
              <w:rPr>
                <w:rFonts w:ascii="宋体" w:hAnsi="宋体" w:cs="宋体"/>
                <w:color w:val="000000"/>
                <w:kern w:val="0"/>
                <w:sz w:val="18"/>
                <w:szCs w:val="18"/>
              </w:rPr>
              <w:t>3,425.26</w:t>
            </w:r>
          </w:p>
        </w:tc>
        <w:tc>
          <w:tcPr>
            <w:tcW w:w="716" w:type="pct"/>
            <w:tcBorders>
              <w:top w:val="nil"/>
              <w:left w:val="nil"/>
              <w:bottom w:val="single" w:color="auto" w:sz="8" w:space="0"/>
              <w:right w:val="single" w:color="auto" w:sz="8" w:space="0"/>
            </w:tcBorders>
            <w:shd w:val="clear" w:color="auto" w:fill="auto"/>
            <w:vAlign w:val="center"/>
          </w:tcPr>
          <w:p w14:paraId="40280E05">
            <w:pPr>
              <w:widowControl/>
              <w:jc w:val="center"/>
              <w:rPr>
                <w:rFonts w:ascii="宋体" w:hAnsi="宋体" w:cs="宋体"/>
                <w:color w:val="000000"/>
                <w:kern w:val="0"/>
                <w:sz w:val="18"/>
                <w:szCs w:val="18"/>
              </w:rPr>
            </w:pPr>
            <w:r>
              <w:rPr>
                <w:rFonts w:ascii="宋体" w:hAnsi="宋体" w:cs="宋体"/>
                <w:color w:val="000000"/>
                <w:kern w:val="0"/>
                <w:sz w:val="18"/>
                <w:szCs w:val="18"/>
              </w:rPr>
              <w:t>7,661.20</w:t>
            </w:r>
          </w:p>
        </w:tc>
        <w:tc>
          <w:tcPr>
            <w:tcW w:w="716" w:type="pct"/>
            <w:tcBorders>
              <w:top w:val="nil"/>
              <w:left w:val="nil"/>
              <w:bottom w:val="single" w:color="auto" w:sz="8" w:space="0"/>
              <w:right w:val="single" w:color="auto" w:sz="8" w:space="0"/>
            </w:tcBorders>
            <w:shd w:val="clear" w:color="auto" w:fill="auto"/>
            <w:vAlign w:val="center"/>
          </w:tcPr>
          <w:p w14:paraId="05D8D4E5">
            <w:pPr>
              <w:widowControl/>
              <w:jc w:val="center"/>
              <w:rPr>
                <w:rFonts w:ascii="宋体" w:hAnsi="宋体" w:cs="宋体"/>
                <w:color w:val="000000"/>
                <w:kern w:val="0"/>
                <w:sz w:val="18"/>
                <w:szCs w:val="18"/>
              </w:rPr>
            </w:pPr>
            <w:r>
              <w:rPr>
                <w:rFonts w:ascii="宋体" w:hAnsi="宋体" w:cs="宋体"/>
                <w:color w:val="000000"/>
                <w:kern w:val="0"/>
                <w:sz w:val="18"/>
                <w:szCs w:val="18"/>
              </w:rPr>
              <w:t>49,871.05</w:t>
            </w:r>
          </w:p>
        </w:tc>
        <w:tc>
          <w:tcPr>
            <w:tcW w:w="651" w:type="pct"/>
            <w:tcBorders>
              <w:top w:val="nil"/>
              <w:left w:val="nil"/>
              <w:bottom w:val="single" w:color="auto" w:sz="8" w:space="0"/>
              <w:right w:val="single" w:color="auto" w:sz="8" w:space="0"/>
            </w:tcBorders>
            <w:shd w:val="clear" w:color="auto" w:fill="auto"/>
            <w:vAlign w:val="center"/>
          </w:tcPr>
          <w:p w14:paraId="1FF2AEDE">
            <w:pPr>
              <w:widowControl/>
              <w:jc w:val="center"/>
              <w:rPr>
                <w:rFonts w:ascii="宋体" w:hAnsi="宋体" w:cs="宋体"/>
                <w:color w:val="000000"/>
                <w:kern w:val="0"/>
                <w:sz w:val="18"/>
                <w:szCs w:val="18"/>
              </w:rPr>
            </w:pPr>
            <w:r>
              <w:rPr>
                <w:rFonts w:ascii="宋体" w:hAnsi="宋体" w:cs="宋体"/>
                <w:color w:val="000000"/>
                <w:kern w:val="0"/>
                <w:sz w:val="18"/>
                <w:szCs w:val="18"/>
              </w:rPr>
              <w:t>11,672.71</w:t>
            </w:r>
          </w:p>
        </w:tc>
      </w:tr>
      <w:tr w14:paraId="3267DBD9">
        <w:trPr>
          <w:trHeight w:val="285" w:hRule="atLeast"/>
        </w:trPr>
        <w:tc>
          <w:tcPr>
            <w:tcW w:w="400" w:type="pct"/>
            <w:tcBorders>
              <w:top w:val="nil"/>
              <w:left w:val="single" w:color="auto" w:sz="8" w:space="0"/>
              <w:bottom w:val="single" w:color="auto" w:sz="8" w:space="0"/>
              <w:right w:val="single" w:color="auto" w:sz="8" w:space="0"/>
            </w:tcBorders>
            <w:shd w:val="clear" w:color="auto" w:fill="auto"/>
            <w:vAlign w:val="center"/>
          </w:tcPr>
          <w:p w14:paraId="658B0EB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1148" w:type="pct"/>
            <w:tcBorders>
              <w:top w:val="nil"/>
              <w:left w:val="nil"/>
              <w:bottom w:val="single" w:color="auto" w:sz="8" w:space="0"/>
              <w:right w:val="single" w:color="auto" w:sz="8" w:space="0"/>
            </w:tcBorders>
            <w:shd w:val="clear" w:color="auto" w:fill="auto"/>
            <w:vAlign w:val="center"/>
          </w:tcPr>
          <w:p w14:paraId="1204D09A">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716" w:type="pct"/>
            <w:tcBorders>
              <w:top w:val="nil"/>
              <w:left w:val="single" w:color="auto" w:sz="4" w:space="0"/>
              <w:bottom w:val="single" w:color="auto" w:sz="4" w:space="0"/>
              <w:right w:val="single" w:color="auto" w:sz="4" w:space="0"/>
            </w:tcBorders>
            <w:shd w:val="clear" w:color="auto" w:fill="auto"/>
            <w:noWrap/>
            <w:vAlign w:val="center"/>
          </w:tcPr>
          <w:p w14:paraId="5070E593">
            <w:pPr>
              <w:widowControl/>
              <w:jc w:val="center"/>
              <w:rPr>
                <w:rFonts w:ascii="宋体" w:hAnsi="宋体" w:cs="宋体"/>
                <w:color w:val="000000"/>
                <w:kern w:val="0"/>
                <w:sz w:val="18"/>
                <w:szCs w:val="18"/>
              </w:rPr>
            </w:pPr>
            <w:r>
              <w:rPr>
                <w:rFonts w:ascii="宋体" w:hAnsi="宋体" w:cs="宋体"/>
                <w:color w:val="000000"/>
                <w:kern w:val="0"/>
                <w:sz w:val="18"/>
                <w:szCs w:val="18"/>
              </w:rPr>
              <w:t>5,405.19</w:t>
            </w:r>
          </w:p>
        </w:tc>
        <w:tc>
          <w:tcPr>
            <w:tcW w:w="653" w:type="pct"/>
            <w:tcBorders>
              <w:top w:val="nil"/>
              <w:left w:val="nil"/>
              <w:bottom w:val="single" w:color="auto" w:sz="8" w:space="0"/>
              <w:right w:val="single" w:color="auto" w:sz="8" w:space="0"/>
            </w:tcBorders>
            <w:shd w:val="clear" w:color="auto" w:fill="auto"/>
            <w:vAlign w:val="center"/>
          </w:tcPr>
          <w:p w14:paraId="4FFB1FEC">
            <w:pPr>
              <w:widowControl/>
              <w:jc w:val="center"/>
              <w:rPr>
                <w:rFonts w:ascii="宋体" w:hAnsi="宋体" w:cs="宋体"/>
                <w:color w:val="000000"/>
                <w:kern w:val="0"/>
                <w:sz w:val="18"/>
                <w:szCs w:val="18"/>
              </w:rPr>
            </w:pPr>
            <w:r>
              <w:rPr>
                <w:rFonts w:ascii="宋体" w:hAnsi="宋体" w:cs="宋体"/>
                <w:color w:val="000000"/>
                <w:kern w:val="0"/>
                <w:sz w:val="18"/>
                <w:szCs w:val="18"/>
              </w:rPr>
              <w:t>456.03</w:t>
            </w:r>
          </w:p>
        </w:tc>
        <w:tc>
          <w:tcPr>
            <w:tcW w:w="716" w:type="pct"/>
            <w:tcBorders>
              <w:top w:val="nil"/>
              <w:left w:val="nil"/>
              <w:bottom w:val="single" w:color="auto" w:sz="8" w:space="0"/>
              <w:right w:val="single" w:color="auto" w:sz="8" w:space="0"/>
            </w:tcBorders>
            <w:shd w:val="clear" w:color="auto" w:fill="auto"/>
            <w:vAlign w:val="center"/>
          </w:tcPr>
          <w:p w14:paraId="68E37FE9">
            <w:pPr>
              <w:widowControl/>
              <w:jc w:val="center"/>
              <w:rPr>
                <w:rFonts w:ascii="宋体" w:hAnsi="宋体" w:cs="宋体"/>
                <w:color w:val="000000"/>
                <w:kern w:val="0"/>
                <w:sz w:val="18"/>
                <w:szCs w:val="18"/>
              </w:rPr>
            </w:pPr>
            <w:r>
              <w:rPr>
                <w:rFonts w:ascii="宋体" w:hAnsi="宋体" w:cs="宋体"/>
                <w:color w:val="000000"/>
                <w:kern w:val="0"/>
                <w:sz w:val="18"/>
                <w:szCs w:val="18"/>
              </w:rPr>
              <w:t>1,824.12</w:t>
            </w:r>
          </w:p>
        </w:tc>
        <w:tc>
          <w:tcPr>
            <w:tcW w:w="716" w:type="pct"/>
            <w:tcBorders>
              <w:top w:val="nil"/>
              <w:left w:val="nil"/>
              <w:bottom w:val="single" w:color="auto" w:sz="8" w:space="0"/>
              <w:right w:val="single" w:color="auto" w:sz="8" w:space="0"/>
            </w:tcBorders>
            <w:shd w:val="clear" w:color="auto" w:fill="auto"/>
            <w:vAlign w:val="center"/>
          </w:tcPr>
          <w:p w14:paraId="40C787B3">
            <w:pPr>
              <w:widowControl/>
              <w:jc w:val="center"/>
              <w:rPr>
                <w:rFonts w:ascii="宋体" w:hAnsi="宋体" w:cs="宋体"/>
                <w:color w:val="000000"/>
                <w:kern w:val="0"/>
                <w:sz w:val="18"/>
                <w:szCs w:val="18"/>
              </w:rPr>
            </w:pPr>
            <w:r>
              <w:rPr>
                <w:rFonts w:ascii="宋体" w:hAnsi="宋体" w:cs="宋体"/>
                <w:color w:val="000000"/>
                <w:kern w:val="0"/>
                <w:sz w:val="18"/>
                <w:szCs w:val="18"/>
              </w:rPr>
              <w:t>2,669.01</w:t>
            </w:r>
          </w:p>
        </w:tc>
        <w:tc>
          <w:tcPr>
            <w:tcW w:w="651" w:type="pct"/>
            <w:tcBorders>
              <w:top w:val="nil"/>
              <w:left w:val="nil"/>
              <w:bottom w:val="single" w:color="auto" w:sz="8" w:space="0"/>
              <w:right w:val="single" w:color="auto" w:sz="8" w:space="0"/>
            </w:tcBorders>
            <w:shd w:val="clear" w:color="auto" w:fill="auto"/>
            <w:vAlign w:val="center"/>
          </w:tcPr>
          <w:p w14:paraId="0076CAF5">
            <w:pPr>
              <w:widowControl/>
              <w:jc w:val="center"/>
              <w:rPr>
                <w:rFonts w:ascii="宋体" w:hAnsi="宋体" w:cs="宋体"/>
                <w:color w:val="000000"/>
                <w:kern w:val="0"/>
                <w:sz w:val="18"/>
                <w:szCs w:val="18"/>
              </w:rPr>
            </w:pPr>
            <w:r>
              <w:rPr>
                <w:rFonts w:ascii="宋体" w:hAnsi="宋体" w:cs="宋体"/>
                <w:color w:val="000000"/>
                <w:kern w:val="0"/>
                <w:sz w:val="18"/>
                <w:szCs w:val="18"/>
              </w:rPr>
              <w:t>456.03</w:t>
            </w:r>
          </w:p>
        </w:tc>
      </w:tr>
      <w:tr w14:paraId="48019E6D">
        <w:trPr>
          <w:trHeight w:val="285" w:hRule="atLeast"/>
        </w:trPr>
        <w:tc>
          <w:tcPr>
            <w:tcW w:w="400" w:type="pct"/>
            <w:tcBorders>
              <w:top w:val="nil"/>
              <w:left w:val="single" w:color="auto" w:sz="8" w:space="0"/>
              <w:bottom w:val="single" w:color="auto" w:sz="8" w:space="0"/>
              <w:right w:val="single" w:color="auto" w:sz="8" w:space="0"/>
            </w:tcBorders>
            <w:shd w:val="clear" w:color="auto" w:fill="auto"/>
            <w:vAlign w:val="center"/>
          </w:tcPr>
          <w:p w14:paraId="4FE7668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1148" w:type="pct"/>
            <w:tcBorders>
              <w:top w:val="nil"/>
              <w:left w:val="nil"/>
              <w:bottom w:val="single" w:color="auto" w:sz="8" w:space="0"/>
              <w:right w:val="single" w:color="auto" w:sz="8" w:space="0"/>
            </w:tcBorders>
            <w:shd w:val="clear" w:color="auto" w:fill="auto"/>
            <w:vAlign w:val="center"/>
          </w:tcPr>
          <w:p w14:paraId="443B5C72">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基本预备费</w:t>
            </w:r>
          </w:p>
        </w:tc>
        <w:tc>
          <w:tcPr>
            <w:tcW w:w="716" w:type="pct"/>
            <w:tcBorders>
              <w:top w:val="nil"/>
              <w:left w:val="single" w:color="auto" w:sz="4" w:space="0"/>
              <w:bottom w:val="single" w:color="auto" w:sz="4" w:space="0"/>
              <w:right w:val="single" w:color="auto" w:sz="4" w:space="0"/>
            </w:tcBorders>
            <w:shd w:val="clear" w:color="auto" w:fill="auto"/>
            <w:noWrap/>
            <w:vAlign w:val="center"/>
          </w:tcPr>
          <w:p w14:paraId="2A078D5A">
            <w:pPr>
              <w:widowControl/>
              <w:jc w:val="center"/>
              <w:rPr>
                <w:rFonts w:ascii="宋体" w:hAnsi="宋体" w:cs="宋体"/>
                <w:color w:val="000000"/>
                <w:kern w:val="0"/>
                <w:sz w:val="18"/>
                <w:szCs w:val="18"/>
              </w:rPr>
            </w:pPr>
            <w:r>
              <w:rPr>
                <w:rFonts w:ascii="宋体" w:hAnsi="宋体" w:cs="宋体"/>
                <w:color w:val="000000"/>
                <w:kern w:val="0"/>
                <w:sz w:val="18"/>
                <w:szCs w:val="18"/>
              </w:rPr>
              <w:t>4,557.51</w:t>
            </w:r>
          </w:p>
        </w:tc>
        <w:tc>
          <w:tcPr>
            <w:tcW w:w="653" w:type="pct"/>
            <w:tcBorders>
              <w:top w:val="nil"/>
              <w:left w:val="nil"/>
              <w:bottom w:val="single" w:color="auto" w:sz="8" w:space="0"/>
              <w:right w:val="single" w:color="auto" w:sz="8" w:space="0"/>
            </w:tcBorders>
            <w:shd w:val="clear" w:color="auto" w:fill="auto"/>
            <w:vAlign w:val="center"/>
          </w:tcPr>
          <w:p w14:paraId="2B154BED">
            <w:pPr>
              <w:widowControl/>
              <w:jc w:val="center"/>
              <w:rPr>
                <w:rFonts w:ascii="宋体" w:hAnsi="宋体" w:cs="宋体"/>
                <w:color w:val="000000"/>
                <w:kern w:val="0"/>
                <w:sz w:val="18"/>
                <w:szCs w:val="18"/>
              </w:rPr>
            </w:pPr>
            <w:r>
              <w:rPr>
                <w:rFonts w:ascii="宋体" w:hAnsi="宋体" w:cs="宋体"/>
                <w:color w:val="000000"/>
                <w:kern w:val="0"/>
                <w:sz w:val="18"/>
                <w:szCs w:val="18"/>
              </w:rPr>
              <w:t>371.26</w:t>
            </w:r>
          </w:p>
        </w:tc>
        <w:tc>
          <w:tcPr>
            <w:tcW w:w="716" w:type="pct"/>
            <w:tcBorders>
              <w:top w:val="nil"/>
              <w:left w:val="nil"/>
              <w:bottom w:val="single" w:color="auto" w:sz="8" w:space="0"/>
              <w:right w:val="single" w:color="auto" w:sz="8" w:space="0"/>
            </w:tcBorders>
            <w:shd w:val="clear" w:color="auto" w:fill="auto"/>
            <w:vAlign w:val="center"/>
          </w:tcPr>
          <w:p w14:paraId="2868F806">
            <w:pPr>
              <w:widowControl/>
              <w:jc w:val="center"/>
              <w:rPr>
                <w:rFonts w:ascii="宋体" w:hAnsi="宋体" w:cs="宋体"/>
                <w:color w:val="000000"/>
                <w:kern w:val="0"/>
                <w:sz w:val="18"/>
                <w:szCs w:val="18"/>
              </w:rPr>
            </w:pPr>
            <w:r>
              <w:rPr>
                <w:rFonts w:ascii="宋体" w:hAnsi="宋体" w:cs="宋体"/>
                <w:color w:val="000000"/>
                <w:kern w:val="0"/>
                <w:sz w:val="18"/>
                <w:szCs w:val="18"/>
              </w:rPr>
              <w:t>1,485.05</w:t>
            </w:r>
          </w:p>
        </w:tc>
        <w:tc>
          <w:tcPr>
            <w:tcW w:w="716" w:type="pct"/>
            <w:tcBorders>
              <w:top w:val="nil"/>
              <w:left w:val="nil"/>
              <w:bottom w:val="single" w:color="auto" w:sz="8" w:space="0"/>
              <w:right w:val="single" w:color="auto" w:sz="8" w:space="0"/>
            </w:tcBorders>
            <w:shd w:val="clear" w:color="auto" w:fill="auto"/>
            <w:vAlign w:val="center"/>
          </w:tcPr>
          <w:p w14:paraId="25ACCD6E">
            <w:pPr>
              <w:widowControl/>
              <w:jc w:val="center"/>
              <w:rPr>
                <w:rFonts w:ascii="宋体" w:hAnsi="宋体" w:cs="宋体"/>
                <w:color w:val="000000"/>
                <w:kern w:val="0"/>
                <w:sz w:val="18"/>
                <w:szCs w:val="18"/>
              </w:rPr>
            </w:pPr>
            <w:r>
              <w:rPr>
                <w:rFonts w:ascii="宋体" w:hAnsi="宋体" w:cs="宋体"/>
                <w:color w:val="000000"/>
                <w:kern w:val="0"/>
                <w:sz w:val="18"/>
                <w:szCs w:val="18"/>
              </w:rPr>
              <w:t>2,329.94</w:t>
            </w:r>
          </w:p>
        </w:tc>
        <w:tc>
          <w:tcPr>
            <w:tcW w:w="651" w:type="pct"/>
            <w:tcBorders>
              <w:top w:val="nil"/>
              <w:left w:val="nil"/>
              <w:bottom w:val="single" w:color="auto" w:sz="8" w:space="0"/>
              <w:right w:val="single" w:color="auto" w:sz="8" w:space="0"/>
            </w:tcBorders>
            <w:shd w:val="clear" w:color="auto" w:fill="auto"/>
            <w:vAlign w:val="center"/>
          </w:tcPr>
          <w:p w14:paraId="5860EF9A">
            <w:pPr>
              <w:widowControl/>
              <w:jc w:val="center"/>
              <w:rPr>
                <w:rFonts w:ascii="宋体" w:hAnsi="宋体" w:cs="宋体"/>
                <w:color w:val="000000"/>
                <w:kern w:val="0"/>
                <w:sz w:val="18"/>
                <w:szCs w:val="18"/>
              </w:rPr>
            </w:pPr>
            <w:r>
              <w:rPr>
                <w:rFonts w:ascii="宋体" w:hAnsi="宋体" w:cs="宋体"/>
                <w:color w:val="000000"/>
                <w:kern w:val="0"/>
                <w:sz w:val="18"/>
                <w:szCs w:val="18"/>
              </w:rPr>
              <w:t>371.26</w:t>
            </w:r>
          </w:p>
        </w:tc>
      </w:tr>
      <w:tr w14:paraId="2521C07B">
        <w:trPr>
          <w:trHeight w:val="285" w:hRule="atLeast"/>
        </w:trPr>
        <w:tc>
          <w:tcPr>
            <w:tcW w:w="1548"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3D5AB46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716" w:type="pct"/>
            <w:tcBorders>
              <w:top w:val="single" w:color="auto" w:sz="8" w:space="0"/>
              <w:left w:val="nil"/>
              <w:bottom w:val="single" w:color="auto" w:sz="8" w:space="0"/>
              <w:right w:val="single" w:color="auto" w:sz="8" w:space="0"/>
            </w:tcBorders>
            <w:shd w:val="clear" w:color="auto" w:fill="auto"/>
            <w:vAlign w:val="center"/>
          </w:tcPr>
          <w:p w14:paraId="7448E011">
            <w:pPr>
              <w:widowControl/>
              <w:jc w:val="center"/>
              <w:rPr>
                <w:rFonts w:ascii="宋体" w:hAnsi="宋体" w:cs="宋体"/>
                <w:b/>
                <w:color w:val="000000"/>
                <w:kern w:val="0"/>
                <w:sz w:val="18"/>
                <w:szCs w:val="18"/>
              </w:rPr>
            </w:pPr>
            <w:r>
              <w:rPr>
                <w:rFonts w:ascii="宋体" w:hAnsi="宋体" w:cs="宋体"/>
                <w:b/>
                <w:color w:val="000000"/>
                <w:kern w:val="0"/>
                <w:sz w:val="18"/>
                <w:szCs w:val="18"/>
              </w:rPr>
              <w:t>82,592.92</w:t>
            </w:r>
          </w:p>
        </w:tc>
        <w:tc>
          <w:tcPr>
            <w:tcW w:w="653" w:type="pct"/>
            <w:tcBorders>
              <w:top w:val="nil"/>
              <w:left w:val="nil"/>
              <w:bottom w:val="single" w:color="auto" w:sz="8" w:space="0"/>
              <w:right w:val="single" w:color="auto" w:sz="8" w:space="0"/>
            </w:tcBorders>
            <w:shd w:val="clear" w:color="auto" w:fill="auto"/>
            <w:vAlign w:val="center"/>
          </w:tcPr>
          <w:p w14:paraId="7952227E">
            <w:pPr>
              <w:jc w:val="center"/>
              <w:rPr>
                <w:rFonts w:ascii="宋体" w:hAnsi="宋体" w:cs="宋体"/>
                <w:b/>
                <w:color w:val="000000"/>
                <w:kern w:val="0"/>
                <w:sz w:val="18"/>
                <w:szCs w:val="18"/>
              </w:rPr>
            </w:pPr>
            <w:r>
              <w:rPr>
                <w:rFonts w:ascii="宋体" w:hAnsi="宋体" w:cs="宋体"/>
                <w:b/>
                <w:color w:val="000000"/>
                <w:kern w:val="0"/>
                <w:sz w:val="18"/>
                <w:szCs w:val="18"/>
              </w:rPr>
              <w:t>4,252.55</w:t>
            </w:r>
          </w:p>
        </w:tc>
        <w:tc>
          <w:tcPr>
            <w:tcW w:w="716" w:type="pct"/>
            <w:tcBorders>
              <w:top w:val="nil"/>
              <w:left w:val="nil"/>
              <w:bottom w:val="single" w:color="auto" w:sz="8" w:space="0"/>
              <w:right w:val="single" w:color="auto" w:sz="8" w:space="0"/>
            </w:tcBorders>
            <w:shd w:val="clear" w:color="auto" w:fill="auto"/>
            <w:vAlign w:val="center"/>
          </w:tcPr>
          <w:p w14:paraId="6E0D3DBF">
            <w:pPr>
              <w:jc w:val="center"/>
              <w:rPr>
                <w:rFonts w:ascii="宋体" w:hAnsi="宋体" w:cs="宋体"/>
                <w:b/>
                <w:color w:val="000000"/>
                <w:kern w:val="0"/>
                <w:sz w:val="18"/>
                <w:szCs w:val="18"/>
              </w:rPr>
            </w:pPr>
            <w:r>
              <w:rPr>
                <w:rFonts w:ascii="宋体" w:hAnsi="宋体" w:cs="宋体"/>
                <w:b/>
                <w:color w:val="000000"/>
                <w:kern w:val="0"/>
                <w:sz w:val="18"/>
                <w:szCs w:val="18"/>
              </w:rPr>
              <w:t>10,970.37</w:t>
            </w:r>
          </w:p>
        </w:tc>
        <w:tc>
          <w:tcPr>
            <w:tcW w:w="716" w:type="pct"/>
            <w:tcBorders>
              <w:top w:val="nil"/>
              <w:left w:val="nil"/>
              <w:bottom w:val="single" w:color="auto" w:sz="8" w:space="0"/>
              <w:right w:val="single" w:color="auto" w:sz="8" w:space="0"/>
            </w:tcBorders>
            <w:shd w:val="clear" w:color="auto" w:fill="auto"/>
            <w:vAlign w:val="center"/>
          </w:tcPr>
          <w:p w14:paraId="7AAECE93">
            <w:pPr>
              <w:jc w:val="center"/>
              <w:rPr>
                <w:rFonts w:ascii="宋体" w:hAnsi="宋体" w:cs="宋体"/>
                <w:b/>
                <w:color w:val="000000"/>
                <w:kern w:val="0"/>
                <w:sz w:val="18"/>
                <w:szCs w:val="18"/>
              </w:rPr>
            </w:pPr>
            <w:r>
              <w:rPr>
                <w:rFonts w:ascii="宋体" w:hAnsi="宋体" w:cs="宋体"/>
                <w:b/>
                <w:color w:val="000000"/>
                <w:kern w:val="0"/>
                <w:sz w:val="18"/>
                <w:szCs w:val="18"/>
              </w:rPr>
              <w:t>54,870.00</w:t>
            </w:r>
          </w:p>
        </w:tc>
        <w:tc>
          <w:tcPr>
            <w:tcW w:w="651" w:type="pct"/>
            <w:tcBorders>
              <w:top w:val="nil"/>
              <w:left w:val="nil"/>
              <w:bottom w:val="single" w:color="auto" w:sz="8" w:space="0"/>
              <w:right w:val="single" w:color="auto" w:sz="8" w:space="0"/>
            </w:tcBorders>
            <w:shd w:val="clear" w:color="auto" w:fill="auto"/>
            <w:vAlign w:val="center"/>
          </w:tcPr>
          <w:p w14:paraId="541C28A5">
            <w:pPr>
              <w:jc w:val="center"/>
              <w:rPr>
                <w:rFonts w:ascii="宋体" w:hAnsi="宋体" w:cs="宋体"/>
                <w:b/>
                <w:color w:val="000000"/>
                <w:kern w:val="0"/>
                <w:sz w:val="18"/>
                <w:szCs w:val="18"/>
              </w:rPr>
            </w:pPr>
            <w:r>
              <w:rPr>
                <w:rFonts w:ascii="宋体" w:hAnsi="宋体" w:cs="宋体"/>
                <w:b/>
                <w:color w:val="000000"/>
                <w:kern w:val="0"/>
                <w:sz w:val="18"/>
                <w:szCs w:val="18"/>
              </w:rPr>
              <w:t>12,500.00</w:t>
            </w:r>
          </w:p>
        </w:tc>
      </w:tr>
    </w:tbl>
    <w:p w14:paraId="0414806B">
      <w:pPr>
        <w:pStyle w:val="20"/>
        <w:spacing w:before="0" w:beforeAutospacing="0" w:after="156" w:afterLines="50" w:afterAutospacing="0" w:line="360" w:lineRule="exact"/>
        <w:ind w:firstLine="364"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注：项目建设周期为</w:t>
      </w:r>
      <w:r>
        <w:rPr>
          <w:color w:val="000000" w:themeColor="text1"/>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年。</w:t>
      </w:r>
    </w:p>
    <w:p w14:paraId="11C99A19">
      <w:pPr>
        <w:widowControl/>
        <w:spacing w:line="560" w:lineRule="exact"/>
        <w:ind w:firstLine="564" w:firstLineChars="200"/>
        <w:jc w:val="left"/>
        <w:rPr>
          <w:rFonts w:ascii="楷体" w:hAnsi="楷体" w:eastAsia="楷体" w:cs="楷体"/>
          <w:b/>
          <w:bCs/>
          <w:sz w:val="28"/>
          <w:szCs w:val="28"/>
        </w:rPr>
      </w:pPr>
      <w:r>
        <w:rPr>
          <w:rFonts w:hint="eastAsia" w:ascii="楷体" w:hAnsi="楷体" w:eastAsia="楷体" w:cs="楷体"/>
          <w:b/>
          <w:bCs/>
          <w:sz w:val="28"/>
          <w:szCs w:val="28"/>
        </w:rPr>
        <w:t>项目实施</w:t>
      </w:r>
    </w:p>
    <w:p w14:paraId="6A2B61DD">
      <w:pPr>
        <w:spacing w:before="156" w:line="560" w:lineRule="exact"/>
        <w:ind w:firstLine="480" w:firstLineChars="199"/>
        <w:outlineLvl w:val="9"/>
        <w:rPr>
          <w:rFonts w:asciiTheme="minorEastAsia" w:hAnsiTheme="minorEastAsia"/>
          <w:sz w:val="24"/>
          <w:szCs w:val="24"/>
        </w:rPr>
      </w:pPr>
      <w:r>
        <w:rPr>
          <w:rFonts w:hint="eastAsia"/>
          <w:color w:val="000000" w:themeColor="text1"/>
          <w:sz w:val="24"/>
          <w:szCs w:val="24"/>
          <w:lang w:eastAsia="zh-CN"/>
          <w14:textFill>
            <w14:solidFill>
              <w14:schemeClr w14:val="tx1"/>
            </w14:solidFill>
          </w14:textFill>
        </w:rPr>
        <w:t>南昌县张坊三期（棚户区）安置房建设工程</w:t>
      </w:r>
      <w:r>
        <w:rPr>
          <w:rFonts w:hint="eastAsia" w:asciiTheme="minorEastAsia" w:hAnsiTheme="minorEastAsia"/>
          <w:sz w:val="24"/>
          <w:szCs w:val="24"/>
        </w:rPr>
        <w:t>计算期</w:t>
      </w:r>
      <w:r>
        <w:rPr>
          <w:rFonts w:asciiTheme="minorEastAsia" w:hAnsiTheme="minorEastAsia"/>
          <w:sz w:val="24"/>
          <w:szCs w:val="24"/>
        </w:rPr>
        <w:t>7</w:t>
      </w:r>
      <w:r>
        <w:rPr>
          <w:rFonts w:hint="eastAsia" w:asciiTheme="minorEastAsia" w:hAnsiTheme="minorEastAsia"/>
          <w:sz w:val="24"/>
          <w:szCs w:val="24"/>
        </w:rPr>
        <w:t>年，其中建设期</w:t>
      </w:r>
      <w:r>
        <w:rPr>
          <w:rFonts w:hint="eastAsia" w:asciiTheme="minorEastAsia" w:hAnsiTheme="minorEastAsia"/>
          <w:sz w:val="24"/>
          <w:szCs w:val="24"/>
          <w:lang w:val="en-US" w:eastAsia="zh-CN"/>
        </w:rPr>
        <w:t>27</w:t>
      </w:r>
      <w:r>
        <w:rPr>
          <w:rFonts w:hint="eastAsia" w:asciiTheme="minorEastAsia" w:hAnsiTheme="minorEastAsia"/>
          <w:sz w:val="24"/>
          <w:szCs w:val="24"/>
        </w:rPr>
        <w:t>个月</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2022.12-2025.3）</w:t>
      </w:r>
      <w:r>
        <w:rPr>
          <w:rFonts w:hint="eastAsia" w:asciiTheme="minorEastAsia" w:hAnsiTheme="minorEastAsia"/>
          <w:sz w:val="24"/>
          <w:szCs w:val="24"/>
        </w:rPr>
        <w:t>。</w:t>
      </w:r>
    </w:p>
    <w:p w14:paraId="1C27ACB9">
      <w:pPr>
        <w:widowControl/>
        <w:spacing w:line="560" w:lineRule="exact"/>
        <w:ind w:firstLine="564" w:firstLineChars="200"/>
        <w:jc w:val="left"/>
        <w:outlineLvl w:val="0"/>
        <w:rPr>
          <w:rFonts w:ascii="黑体" w:hAnsi="黑体" w:eastAsia="黑体" w:cs="黑体"/>
          <w:sz w:val="28"/>
          <w:szCs w:val="28"/>
        </w:rPr>
      </w:pPr>
      <w:bookmarkStart w:id="123" w:name="_Toc4030"/>
      <w:r>
        <w:rPr>
          <w:rFonts w:hint="eastAsia" w:ascii="黑体" w:hAnsi="黑体" w:eastAsia="黑体" w:cs="黑体"/>
          <w:sz w:val="28"/>
          <w:szCs w:val="28"/>
        </w:rPr>
        <w:t>二、项目投资估算及资金筹措方案</w:t>
      </w:r>
      <w:bookmarkEnd w:id="123"/>
    </w:p>
    <w:p w14:paraId="25764156">
      <w:pPr>
        <w:widowControl/>
        <w:spacing w:line="560" w:lineRule="exact"/>
        <w:ind w:firstLine="564" w:firstLineChars="200"/>
        <w:jc w:val="left"/>
        <w:outlineLvl w:val="1"/>
        <w:rPr>
          <w:rFonts w:ascii="楷体" w:hAnsi="楷体" w:eastAsia="楷体" w:cs="楷体"/>
          <w:b/>
          <w:bCs/>
          <w:sz w:val="28"/>
          <w:szCs w:val="28"/>
        </w:rPr>
      </w:pPr>
      <w:bookmarkStart w:id="124" w:name="_Toc10729"/>
      <w:r>
        <w:rPr>
          <w:rFonts w:hint="eastAsia" w:ascii="楷体" w:hAnsi="楷体" w:eastAsia="楷体" w:cs="楷体"/>
          <w:b/>
          <w:bCs/>
          <w:sz w:val="28"/>
          <w:szCs w:val="28"/>
        </w:rPr>
        <w:t>（一）投资估算</w:t>
      </w:r>
      <w:bookmarkEnd w:id="124"/>
    </w:p>
    <w:p w14:paraId="4C047F0D">
      <w:pPr>
        <w:pStyle w:val="39"/>
        <w:keepNext w:val="0"/>
        <w:keepLines w:val="0"/>
        <w:pageBreakBefore w:val="0"/>
        <w:kinsoku/>
        <w:wordWrap/>
        <w:overflowPunct/>
        <w:topLinePunct w:val="0"/>
        <w:bidi w:val="0"/>
        <w:adjustRightInd/>
        <w:snapToGrid/>
        <w:spacing w:before="244" w:line="400" w:lineRule="exact"/>
        <w:ind w:left="-142" w:leftChars="-67" w:right="-99" w:rightChars="-47" w:firstLine="564" w:firstLineChars="200"/>
        <w:textAlignment w:val="auto"/>
        <w:outlineLvl w:val="2"/>
        <w:rPr>
          <w:rFonts w:ascii="楷体" w:hAnsi="楷体" w:eastAsia="楷体"/>
          <w:b w:val="0"/>
        </w:rPr>
      </w:pPr>
      <w:bookmarkStart w:id="125" w:name="_Toc26320"/>
      <w:r>
        <w:rPr>
          <w:rFonts w:hint="eastAsia" w:ascii="楷体" w:hAnsi="楷体" w:eastAsia="楷体"/>
          <w:b w:val="0"/>
        </w:rPr>
        <w:t>1、估算编制依据</w:t>
      </w:r>
      <w:bookmarkEnd w:id="125"/>
    </w:p>
    <w:p w14:paraId="46CDF758">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1)关于南昌县行政审批局《关于</w:t>
      </w:r>
      <w:r>
        <w:rPr>
          <w:rFonts w:hint="eastAsia" w:ascii="宋体" w:hAnsi="宋体" w:eastAsia="宋体" w:cs="宋体"/>
          <w:color w:val="000000" w:themeColor="text1"/>
          <w:sz w:val="24"/>
          <w:szCs w:val="24"/>
          <w:lang w:eastAsia="zh-CN"/>
          <w14:textFill>
            <w14:solidFill>
              <w14:schemeClr w14:val="tx1"/>
            </w14:solidFill>
          </w14:textFill>
        </w:rPr>
        <w:t>南昌县张坊三期（棚户区）安置房建设工程</w:t>
      </w:r>
      <w:r>
        <w:rPr>
          <w:rFonts w:hint="eastAsia" w:ascii="宋体" w:hAnsi="宋体" w:eastAsia="宋体" w:cs="宋体"/>
          <w:color w:val="000000" w:themeColor="text1"/>
          <w:sz w:val="24"/>
          <w:szCs w:val="24"/>
          <w14:textFill>
            <w14:solidFill>
              <w14:schemeClr w14:val="tx1"/>
            </w14:solidFill>
          </w14:textFill>
        </w:rPr>
        <w:t>可行性研究报告的批复》（南行审投资投字【</w:t>
      </w:r>
      <w:r>
        <w:rPr>
          <w:rFonts w:hint="eastAsia" w:ascii="宋体" w:hAnsi="宋体" w:eastAsia="宋体" w:cs="宋体"/>
          <w:color w:val="000000" w:themeColor="text1"/>
          <w:sz w:val="24"/>
          <w:szCs w:val="24"/>
          <w:lang w:val="en-US" w:eastAsia="zh-CN"/>
          <w14:textFill>
            <w14:solidFill>
              <w14:schemeClr w14:val="tx1"/>
            </w14:solidFill>
          </w14:textFill>
        </w:rPr>
        <w:t>2022</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374</w:t>
      </w:r>
      <w:r>
        <w:rPr>
          <w:rFonts w:hint="eastAsia" w:ascii="宋体" w:hAnsi="宋体" w:eastAsia="宋体" w:cs="宋体"/>
          <w:color w:val="000000" w:themeColor="text1"/>
          <w:sz w:val="24"/>
          <w:szCs w:val="24"/>
          <w14:textFill>
            <w14:solidFill>
              <w14:schemeClr w14:val="tx1"/>
            </w14:solidFill>
          </w14:textFill>
        </w:rPr>
        <w:t>号)</w:t>
      </w:r>
    </w:p>
    <w:p w14:paraId="105497EC">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2)财政部《关于试点发展项目收益与融资自求平衡的地方政府专项债券品种的通知》（财预〔2017〕89号文）；</w:t>
      </w:r>
    </w:p>
    <w:p w14:paraId="2CBA4643">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3)财政部《关于做好2018年地方政府债券发行工作的意见》（财库〔2018〕61号）；</w:t>
      </w:r>
    </w:p>
    <w:p w14:paraId="1D03052E">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4)《国家鼓励发展的资源节约综合利用和环境保护技术》（国家发展改革委令[2005]第65号）；</w:t>
      </w:r>
    </w:p>
    <w:p w14:paraId="45CC554A">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5)《中华人民共和国电力法（2015年修正）》（国家主席令[2015]第24号）；</w:t>
      </w:r>
    </w:p>
    <w:p w14:paraId="33C1892C">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6)《水利建设项目经济评价规范》（SL72-2013）；</w:t>
      </w:r>
    </w:p>
    <w:p w14:paraId="66C58FB9">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7)《水电建设项目经济评价规范》（DL/T5441-2010）；</w:t>
      </w:r>
    </w:p>
    <w:p w14:paraId="27E39FB1">
      <w:pPr>
        <w:keepNext w:val="0"/>
        <w:keepLines w:val="0"/>
        <w:pageBreakBefore w:val="0"/>
        <w:kinsoku/>
        <w:wordWrap/>
        <w:overflowPunct/>
        <w:topLinePunct w:val="0"/>
        <w:bidi w:val="0"/>
        <w:adjustRightInd/>
        <w:snapToGrid/>
        <w:spacing w:before="156" w:beforeLines="50" w:after="156" w:afterLines="50"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w:t>
      </w:r>
      <w:r>
        <w:rPr>
          <w:rFonts w:hint="eastAsia" w:asciiTheme="minorEastAsia" w:hAnsiTheme="minorEastAsia"/>
          <w:sz w:val="24"/>
          <w:szCs w:val="24"/>
        </w:rPr>
        <w:t xml:space="preserve"> 《可行性研究报告》</w:t>
      </w:r>
      <w:r>
        <w:rPr>
          <w:rFonts w:hint="eastAsia" w:ascii="宋体" w:hAnsi="宋体" w:eastAsia="宋体" w:cs="宋体"/>
          <w:color w:val="000000" w:themeColor="text1"/>
          <w:sz w:val="24"/>
          <w:szCs w:val="24"/>
          <w14:textFill>
            <w14:solidFill>
              <w14:schemeClr w14:val="tx1"/>
            </w14:solidFill>
          </w14:textFill>
        </w:rPr>
        <w:t>；</w:t>
      </w:r>
    </w:p>
    <w:p w14:paraId="0867D40B">
      <w:pPr>
        <w:keepNext w:val="0"/>
        <w:keepLines w:val="0"/>
        <w:pageBreakBefore w:val="0"/>
        <w:widowControl/>
        <w:kinsoku/>
        <w:wordWrap/>
        <w:overflowPunct/>
        <w:topLinePunct w:val="0"/>
        <w:bidi w:val="0"/>
        <w:adjustRightInd/>
        <w:snapToGrid/>
        <w:spacing w:line="400" w:lineRule="exact"/>
        <w:ind w:firstLine="484" w:firstLineChars="200"/>
        <w:jc w:val="left"/>
        <w:textAlignment w:val="auto"/>
        <w:rPr>
          <w:rFonts w:ascii="楷体" w:hAnsi="楷体" w:eastAsia="楷体" w:cs="楷体"/>
          <w:sz w:val="28"/>
          <w:szCs w:val="28"/>
        </w:rPr>
      </w:pPr>
      <w:r>
        <w:rPr>
          <w:rFonts w:hint="eastAsia" w:ascii="宋体" w:hAnsi="宋体" w:eastAsia="宋体" w:cs="宋体"/>
          <w:color w:val="000000" w:themeColor="text1"/>
          <w:sz w:val="24"/>
          <w:szCs w:val="24"/>
          <w14:textFill>
            <w14:solidFill>
              <w14:schemeClr w14:val="tx1"/>
            </w14:solidFill>
          </w14:textFill>
        </w:rPr>
        <w:t>9)建设工程规划设计要求（蓝协（2</w:t>
      </w:r>
      <w:r>
        <w:rPr>
          <w:rFonts w:ascii="宋体" w:hAnsi="宋体" w:eastAsia="宋体" w:cs="宋体"/>
          <w:color w:val="000000" w:themeColor="text1"/>
          <w:sz w:val="24"/>
          <w:szCs w:val="24"/>
          <w14:textFill>
            <w14:solidFill>
              <w14:schemeClr w14:val="tx1"/>
            </w14:solidFill>
          </w14:textFill>
        </w:rPr>
        <w:t>018</w:t>
      </w:r>
      <w:r>
        <w:rPr>
          <w:rFonts w:hint="eastAsia" w:ascii="宋体" w:hAnsi="宋体" w:eastAsia="宋体" w:cs="宋体"/>
          <w:color w:val="000000" w:themeColor="text1"/>
          <w:sz w:val="24"/>
          <w:szCs w:val="24"/>
          <w14:textFill>
            <w14:solidFill>
              <w14:schemeClr w14:val="tx1"/>
            </w14:solidFill>
          </w14:textFill>
        </w:rPr>
        <w:t>）第0</w:t>
      </w:r>
      <w:r>
        <w:rPr>
          <w:rFonts w:ascii="宋体" w:hAnsi="宋体" w:eastAsia="宋体" w:cs="宋体"/>
          <w:color w:val="000000" w:themeColor="text1"/>
          <w:sz w:val="24"/>
          <w:szCs w:val="24"/>
          <w14:textFill>
            <w14:solidFill>
              <w14:schemeClr w14:val="tx1"/>
            </w14:solidFill>
          </w14:textFill>
        </w:rPr>
        <w:t>01</w:t>
      </w:r>
      <w:r>
        <w:rPr>
          <w:rFonts w:hint="eastAsia" w:ascii="宋体" w:hAnsi="宋体" w:eastAsia="宋体" w:cs="宋体"/>
          <w:color w:val="000000" w:themeColor="text1"/>
          <w:sz w:val="24"/>
          <w:szCs w:val="24"/>
          <w14:textFill>
            <w14:solidFill>
              <w14:schemeClr w14:val="tx1"/>
            </w14:solidFill>
          </w14:textFill>
        </w:rPr>
        <w:t>号）；</w:t>
      </w:r>
    </w:p>
    <w:p w14:paraId="433C3E35">
      <w:pPr>
        <w:pStyle w:val="39"/>
        <w:keepNext w:val="0"/>
        <w:keepLines w:val="0"/>
        <w:pageBreakBefore w:val="0"/>
        <w:kinsoku/>
        <w:wordWrap/>
        <w:overflowPunct/>
        <w:topLinePunct w:val="0"/>
        <w:bidi w:val="0"/>
        <w:adjustRightInd/>
        <w:snapToGrid/>
        <w:spacing w:before="244" w:line="400" w:lineRule="exact"/>
        <w:ind w:left="-142" w:leftChars="-67" w:right="-99" w:rightChars="-47" w:firstLine="564" w:firstLineChars="200"/>
        <w:textAlignment w:val="auto"/>
        <w:outlineLvl w:val="2"/>
        <w:rPr>
          <w:rFonts w:ascii="楷体" w:hAnsi="楷体" w:eastAsia="楷体"/>
          <w:b w:val="0"/>
        </w:rPr>
      </w:pPr>
      <w:bookmarkStart w:id="126" w:name="_Toc29782"/>
      <w:r>
        <w:rPr>
          <w:rFonts w:hint="eastAsia" w:ascii="楷体" w:hAnsi="楷体" w:eastAsia="楷体"/>
          <w:b w:val="0"/>
        </w:rPr>
        <w:t>2、费率及参数</w:t>
      </w:r>
      <w:bookmarkEnd w:id="126"/>
    </w:p>
    <w:p w14:paraId="55729235">
      <w:pPr>
        <w:keepNext w:val="0"/>
        <w:keepLines w:val="0"/>
        <w:pageBreakBefore w:val="0"/>
        <w:kinsoku/>
        <w:wordWrap/>
        <w:overflowPunct/>
        <w:topLinePunct w:val="0"/>
        <w:bidi w:val="0"/>
        <w:adjustRightInd/>
        <w:snapToGrid/>
        <w:spacing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本项目从客观、谨慎角度出发、发行利率取</w:t>
      </w:r>
      <w:r>
        <w:rPr>
          <w:rFonts w:ascii="宋体" w:hAnsi="宋体" w:eastAsia="宋体" w:cs="宋体"/>
          <w:color w:val="000000" w:themeColor="text1"/>
          <w:sz w:val="24"/>
          <w:szCs w:val="24"/>
          <w14:textFill>
            <w14:solidFill>
              <w14:schemeClr w14:val="tx1"/>
            </w14:solidFill>
          </w14:textFill>
        </w:rPr>
        <w:t>3.9</w:t>
      </w:r>
      <w:r>
        <w:rPr>
          <w:rFonts w:hint="eastAsia" w:ascii="宋体" w:hAnsi="宋体" w:eastAsia="宋体" w:cs="宋体"/>
          <w:color w:val="000000" w:themeColor="text1"/>
          <w:sz w:val="24"/>
          <w:szCs w:val="24"/>
          <w14:textFill>
            <w14:solidFill>
              <w14:schemeClr w14:val="tx1"/>
            </w14:solidFill>
          </w14:textFill>
        </w:rPr>
        <w:t>%进行测算，本次债券发行按照每半年付息，到期一次性还本的方式。另外，按0.1%费率计算债券发行费用，符合专项债发行现状。</w:t>
      </w:r>
    </w:p>
    <w:p w14:paraId="2CF39D65">
      <w:pPr>
        <w:keepNext w:val="0"/>
        <w:keepLines w:val="0"/>
        <w:pageBreakBefore w:val="0"/>
        <w:widowControl/>
        <w:kinsoku/>
        <w:wordWrap/>
        <w:overflowPunct/>
        <w:topLinePunct w:val="0"/>
        <w:bidi w:val="0"/>
        <w:adjustRightInd/>
        <w:snapToGrid/>
        <w:spacing w:line="400" w:lineRule="exact"/>
        <w:ind w:firstLine="564" w:firstLineChars="200"/>
        <w:jc w:val="left"/>
        <w:textAlignment w:val="auto"/>
        <w:outlineLvl w:val="1"/>
        <w:rPr>
          <w:rFonts w:ascii="楷体" w:hAnsi="楷体" w:eastAsia="楷体" w:cs="楷体"/>
          <w:b/>
          <w:bCs/>
          <w:sz w:val="28"/>
          <w:szCs w:val="28"/>
        </w:rPr>
      </w:pPr>
      <w:bookmarkStart w:id="127" w:name="_Toc3010"/>
      <w:r>
        <w:rPr>
          <w:rFonts w:hint="eastAsia" w:ascii="楷体" w:hAnsi="楷体" w:eastAsia="楷体" w:cs="楷体"/>
          <w:b/>
          <w:bCs/>
          <w:sz w:val="28"/>
          <w:szCs w:val="28"/>
        </w:rPr>
        <w:t>（二）资金筹措方案</w:t>
      </w:r>
      <w:bookmarkEnd w:id="127"/>
    </w:p>
    <w:p w14:paraId="02DCEF6F">
      <w:pPr>
        <w:pStyle w:val="39"/>
        <w:keepNext w:val="0"/>
        <w:keepLines w:val="0"/>
        <w:pageBreakBefore w:val="0"/>
        <w:kinsoku/>
        <w:wordWrap/>
        <w:overflowPunct/>
        <w:topLinePunct w:val="0"/>
        <w:bidi w:val="0"/>
        <w:adjustRightInd/>
        <w:snapToGrid/>
        <w:spacing w:before="244" w:line="400" w:lineRule="exact"/>
        <w:ind w:left="-142" w:leftChars="-67" w:right="-99" w:rightChars="-47" w:firstLine="564" w:firstLineChars="200"/>
        <w:textAlignment w:val="auto"/>
        <w:outlineLvl w:val="2"/>
        <w:rPr>
          <w:rFonts w:ascii="楷体" w:hAnsi="楷体" w:eastAsia="楷体"/>
          <w:b w:val="0"/>
        </w:rPr>
      </w:pPr>
      <w:bookmarkStart w:id="128" w:name="_Toc8054"/>
      <w:r>
        <w:rPr>
          <w:rFonts w:hint="eastAsia" w:ascii="楷体" w:hAnsi="楷体" w:eastAsia="楷体"/>
          <w:b w:val="0"/>
        </w:rPr>
        <w:t>1、资金筹措原则</w:t>
      </w:r>
      <w:bookmarkEnd w:id="128"/>
    </w:p>
    <w:p w14:paraId="37E31F74">
      <w:pPr>
        <w:keepNext w:val="0"/>
        <w:keepLines w:val="0"/>
        <w:pageBreakBefore w:val="0"/>
        <w:kinsoku/>
        <w:wordWrap/>
        <w:overflowPunct/>
        <w:topLinePunct w:val="0"/>
        <w:bidi w:val="0"/>
        <w:adjustRightInd/>
        <w:snapToGrid/>
        <w:spacing w:line="400" w:lineRule="exact"/>
        <w:ind w:left="-142" w:leftChars="-67" w:right="-99" w:rightChars="-47" w:firstLine="484" w:firstLineChars="200"/>
        <w:textAlignment w:val="auto"/>
        <w:rPr>
          <w:rFonts w:cs="宋体"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color w:val="000000" w:themeColor="text1"/>
          <w:sz w:val="24"/>
          <w:szCs w:val="24"/>
          <w14:textFill>
            <w14:solidFill>
              <w14:schemeClr w14:val="tx1"/>
            </w14:solidFill>
          </w14:textFill>
        </w:rPr>
        <w:t>本次资金筹措遵循以下原则：</w:t>
      </w:r>
    </w:p>
    <w:p w14:paraId="04870E3C">
      <w:pPr>
        <w:keepNext w:val="0"/>
        <w:keepLines w:val="0"/>
        <w:pageBreakBefore w:val="0"/>
        <w:kinsoku/>
        <w:wordWrap/>
        <w:overflowPunct/>
        <w:topLinePunct w:val="0"/>
        <w:bidi w:val="0"/>
        <w:adjustRightInd/>
        <w:snapToGrid/>
        <w:spacing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（1）项目投入一定资本金，保证项目顺利开工及后续融资的可能；</w:t>
      </w:r>
    </w:p>
    <w:p w14:paraId="4F10593C">
      <w:pPr>
        <w:keepNext w:val="0"/>
        <w:keepLines w:val="0"/>
        <w:pageBreakBefore w:val="0"/>
        <w:kinsoku/>
        <w:wordWrap/>
        <w:overflowPunct/>
        <w:topLinePunct w:val="0"/>
        <w:bidi w:val="0"/>
        <w:adjustRightInd/>
        <w:snapToGrid/>
        <w:spacing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（2）发行地方政府专项债券、其他融资。</w:t>
      </w:r>
    </w:p>
    <w:p w14:paraId="31149305">
      <w:pPr>
        <w:pStyle w:val="39"/>
        <w:keepNext w:val="0"/>
        <w:keepLines w:val="0"/>
        <w:pageBreakBefore w:val="0"/>
        <w:kinsoku/>
        <w:wordWrap/>
        <w:overflowPunct/>
        <w:topLinePunct w:val="0"/>
        <w:bidi w:val="0"/>
        <w:adjustRightInd/>
        <w:snapToGrid/>
        <w:spacing w:before="244" w:line="400" w:lineRule="exact"/>
        <w:ind w:left="-142" w:leftChars="-67" w:right="-99" w:rightChars="-47" w:firstLine="564" w:firstLineChars="200"/>
        <w:textAlignment w:val="auto"/>
        <w:outlineLvl w:val="2"/>
        <w:rPr>
          <w:rFonts w:ascii="楷体" w:hAnsi="楷体" w:eastAsia="楷体"/>
          <w:b w:val="0"/>
        </w:rPr>
      </w:pPr>
      <w:bookmarkStart w:id="129" w:name="_Toc18597"/>
      <w:r>
        <w:rPr>
          <w:rFonts w:hint="eastAsia" w:ascii="楷体" w:hAnsi="楷体" w:eastAsia="楷体"/>
          <w:b w:val="0"/>
        </w:rPr>
        <w:t>2、资金筹措方案</w:t>
      </w:r>
      <w:bookmarkEnd w:id="129"/>
    </w:p>
    <w:p w14:paraId="3CC6333F">
      <w:pPr>
        <w:keepNext w:val="0"/>
        <w:keepLines w:val="0"/>
        <w:pageBreakBefore w:val="0"/>
        <w:kinsoku/>
        <w:wordWrap/>
        <w:overflowPunct/>
        <w:topLinePunct w:val="0"/>
        <w:bidi w:val="0"/>
        <w:adjustRightInd/>
        <w:snapToGrid/>
        <w:spacing w:line="400" w:lineRule="exact"/>
        <w:ind w:firstLine="484" w:firstLineChars="200"/>
        <w:textAlignment w:val="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考虑资金成本，结合本次发行项目实际情况，为降低资金成本，减轻财务负担，提高资金流动性，保障项目现金流最大化，本项目投资人根据国家相关规定，初步确定项目资金来源如下：</w:t>
      </w:r>
    </w:p>
    <w:p w14:paraId="0F69EC58">
      <w:pPr>
        <w:pStyle w:val="20"/>
        <w:keepNext/>
        <w:spacing w:before="0" w:beforeAutospacing="0" w:after="0" w:afterAutospacing="0" w:line="360" w:lineRule="exact"/>
        <w:ind w:firstLine="364" w:firstLineChars="200"/>
        <w:jc w:val="right"/>
        <w:rPr>
          <w:color w:val="000000" w:themeColor="text1"/>
          <w:sz w:val="18"/>
          <w:szCs w:val="18"/>
          <w14:textFill>
            <w14:solidFill>
              <w14:schemeClr w14:val="tx1"/>
            </w14:solidFill>
          </w14:textFill>
        </w:rPr>
      </w:pPr>
      <w:bookmarkStart w:id="130" w:name="_Toc2468"/>
      <w:r>
        <w:rPr>
          <w:rFonts w:hint="eastAsia"/>
          <w:color w:val="000000" w:themeColor="text1"/>
          <w:sz w:val="18"/>
          <w:szCs w:val="18"/>
          <w14:textFill>
            <w14:solidFill>
              <w14:schemeClr w14:val="tx1"/>
            </w14:solidFill>
          </w14:textFill>
        </w:rPr>
        <w:t>单位：万元</w:t>
      </w:r>
    </w:p>
    <w:tbl>
      <w:tblPr>
        <w:tblStyle w:val="24"/>
        <w:tblpPr w:leftFromText="180" w:rightFromText="180" w:vertAnchor="text" w:horzAnchor="page" w:tblpX="1713" w:tblpY="355"/>
        <w:tblOverlap w:val="never"/>
        <w:tblW w:w="4998" w:type="pct"/>
        <w:tblInd w:w="0" w:type="dxa"/>
        <w:tblLayout w:type="autofit"/>
        <w:tblCellMar>
          <w:top w:w="0" w:type="dxa"/>
          <w:left w:w="108" w:type="dxa"/>
          <w:bottom w:w="0" w:type="dxa"/>
          <w:right w:w="108" w:type="dxa"/>
        </w:tblCellMar>
      </w:tblPr>
      <w:tblGrid>
        <w:gridCol w:w="1209"/>
        <w:gridCol w:w="1599"/>
        <w:gridCol w:w="1205"/>
        <w:gridCol w:w="703"/>
        <w:gridCol w:w="701"/>
        <w:gridCol w:w="1650"/>
        <w:gridCol w:w="1650"/>
      </w:tblGrid>
      <w:tr w14:paraId="4E6B9654">
        <w:trPr>
          <w:trHeight w:val="270" w:hRule="atLeast"/>
        </w:trPr>
        <w:tc>
          <w:tcPr>
            <w:tcW w:w="69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183214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9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18EF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1094" w:type="pct"/>
            <w:gridSpan w:val="2"/>
            <w:tcBorders>
              <w:top w:val="single" w:color="auto" w:sz="4" w:space="0"/>
              <w:left w:val="nil"/>
              <w:bottom w:val="single" w:color="auto" w:sz="4" w:space="0"/>
              <w:right w:val="nil"/>
            </w:tcBorders>
            <w:vAlign w:val="center"/>
          </w:tcPr>
          <w:p w14:paraId="4DF90FA6">
            <w:pPr>
              <w:widowControl/>
              <w:jc w:val="center"/>
              <w:rPr>
                <w:rFonts w:hint="eastAsia" w:ascii="宋体" w:hAnsi="宋体" w:cs="宋体"/>
                <w:b/>
                <w:bCs/>
                <w:color w:val="000000"/>
                <w:kern w:val="0"/>
                <w:sz w:val="18"/>
                <w:szCs w:val="18"/>
              </w:rPr>
            </w:pPr>
          </w:p>
        </w:tc>
        <w:tc>
          <w:tcPr>
            <w:tcW w:w="2294" w:type="pct"/>
            <w:gridSpan w:val="3"/>
            <w:tcBorders>
              <w:top w:val="single" w:color="auto" w:sz="4" w:space="0"/>
              <w:left w:val="nil"/>
              <w:bottom w:val="single" w:color="auto" w:sz="4" w:space="0"/>
              <w:right w:val="single" w:color="auto" w:sz="4" w:space="0"/>
            </w:tcBorders>
            <w:vAlign w:val="center"/>
          </w:tcPr>
          <w:p w14:paraId="5BA531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20D53F56">
        <w:trPr>
          <w:trHeight w:val="270" w:hRule="atLeast"/>
        </w:trPr>
        <w:tc>
          <w:tcPr>
            <w:tcW w:w="693" w:type="pct"/>
            <w:vMerge w:val="continue"/>
            <w:tcBorders>
              <w:top w:val="single" w:color="auto" w:sz="4" w:space="0"/>
              <w:left w:val="single" w:color="auto" w:sz="4" w:space="0"/>
              <w:bottom w:val="single" w:color="auto" w:sz="4" w:space="0"/>
              <w:right w:val="single" w:color="auto" w:sz="4" w:space="0"/>
            </w:tcBorders>
            <w:vAlign w:val="center"/>
          </w:tcPr>
          <w:p w14:paraId="2913231C">
            <w:pPr>
              <w:widowControl/>
              <w:jc w:val="center"/>
              <w:rPr>
                <w:rFonts w:ascii="宋体" w:hAnsi="宋体" w:cs="宋体"/>
                <w:b/>
                <w:bCs/>
                <w:color w:val="000000"/>
                <w:kern w:val="0"/>
                <w:sz w:val="18"/>
                <w:szCs w:val="18"/>
              </w:rPr>
            </w:pPr>
          </w:p>
        </w:tc>
        <w:tc>
          <w:tcPr>
            <w:tcW w:w="917" w:type="pct"/>
            <w:vMerge w:val="continue"/>
            <w:tcBorders>
              <w:top w:val="single" w:color="auto" w:sz="4" w:space="0"/>
              <w:left w:val="single" w:color="auto" w:sz="4" w:space="0"/>
              <w:bottom w:val="single" w:color="auto" w:sz="4" w:space="0"/>
              <w:right w:val="single" w:color="auto" w:sz="4" w:space="0"/>
            </w:tcBorders>
            <w:vAlign w:val="center"/>
          </w:tcPr>
          <w:p w14:paraId="7A4C871A">
            <w:pPr>
              <w:widowControl/>
              <w:jc w:val="center"/>
              <w:rPr>
                <w:rFonts w:ascii="宋体" w:hAnsi="宋体" w:cs="宋体"/>
                <w:b/>
                <w:bCs/>
                <w:color w:val="000000"/>
                <w:kern w:val="0"/>
                <w:sz w:val="18"/>
                <w:szCs w:val="18"/>
              </w:rPr>
            </w:pPr>
          </w:p>
        </w:tc>
        <w:tc>
          <w:tcPr>
            <w:tcW w:w="691" w:type="pct"/>
            <w:tcBorders>
              <w:top w:val="nil"/>
              <w:left w:val="nil"/>
              <w:bottom w:val="single" w:color="auto" w:sz="4" w:space="0"/>
              <w:right w:val="single" w:color="auto" w:sz="4" w:space="0"/>
            </w:tcBorders>
            <w:shd w:val="clear" w:color="auto" w:fill="auto"/>
            <w:vAlign w:val="center"/>
          </w:tcPr>
          <w:p w14:paraId="7E5160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805" w:type="pct"/>
            <w:gridSpan w:val="2"/>
            <w:tcBorders>
              <w:top w:val="single" w:color="auto" w:sz="4" w:space="0"/>
              <w:left w:val="nil"/>
              <w:bottom w:val="single" w:color="auto" w:sz="4" w:space="0"/>
              <w:right w:val="single" w:color="auto" w:sz="4" w:space="0"/>
            </w:tcBorders>
            <w:vAlign w:val="center"/>
          </w:tcPr>
          <w:p w14:paraId="7C0A53D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本次调整金额</w:t>
            </w:r>
          </w:p>
        </w:tc>
        <w:tc>
          <w:tcPr>
            <w:tcW w:w="94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9FA1568">
            <w:pPr>
              <w:widowControl/>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2024年计划发行</w:t>
            </w:r>
          </w:p>
        </w:tc>
        <w:tc>
          <w:tcPr>
            <w:tcW w:w="946" w:type="pct"/>
            <w:tcBorders>
              <w:top w:val="single" w:color="auto" w:sz="4" w:space="0"/>
              <w:left w:val="single" w:color="auto" w:sz="4" w:space="0"/>
              <w:bottom w:val="single" w:color="auto" w:sz="4" w:space="0"/>
              <w:right w:val="single" w:color="auto" w:sz="4" w:space="0"/>
            </w:tcBorders>
            <w:vAlign w:val="center"/>
          </w:tcPr>
          <w:p w14:paraId="0FD4A28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w:t>
            </w:r>
            <w:r>
              <w:rPr>
                <w:rFonts w:ascii="宋体" w:hAnsi="宋体" w:cs="宋体"/>
                <w:b/>
                <w:bCs/>
                <w:color w:val="000000"/>
                <w:kern w:val="0"/>
                <w:sz w:val="18"/>
                <w:szCs w:val="18"/>
              </w:rPr>
              <w:t>5</w:t>
            </w:r>
            <w:r>
              <w:rPr>
                <w:rFonts w:hint="eastAsia" w:ascii="宋体" w:hAnsi="宋体" w:cs="宋体"/>
                <w:b/>
                <w:bCs/>
                <w:color w:val="000000"/>
                <w:kern w:val="0"/>
                <w:sz w:val="18"/>
                <w:szCs w:val="18"/>
              </w:rPr>
              <w:t>年</w:t>
            </w:r>
            <w:r>
              <w:rPr>
                <w:rFonts w:hint="eastAsia" w:ascii="宋体" w:hAnsi="宋体" w:cs="宋体"/>
                <w:b/>
                <w:bCs/>
                <w:color w:val="000000"/>
                <w:kern w:val="0"/>
                <w:sz w:val="18"/>
                <w:szCs w:val="18"/>
                <w:lang w:val="en-US" w:eastAsia="zh-CN"/>
              </w:rPr>
              <w:t>计划</w:t>
            </w:r>
            <w:r>
              <w:rPr>
                <w:rFonts w:hint="eastAsia" w:ascii="宋体" w:hAnsi="宋体" w:cs="宋体"/>
                <w:b/>
                <w:bCs/>
                <w:color w:val="000000"/>
                <w:kern w:val="0"/>
                <w:sz w:val="18"/>
                <w:szCs w:val="18"/>
              </w:rPr>
              <w:t>发行</w:t>
            </w:r>
          </w:p>
        </w:tc>
      </w:tr>
      <w:tr w14:paraId="354F9910">
        <w:trPr>
          <w:trHeight w:val="270" w:hRule="atLeast"/>
        </w:trPr>
        <w:tc>
          <w:tcPr>
            <w:tcW w:w="693" w:type="pct"/>
            <w:tcBorders>
              <w:top w:val="nil"/>
              <w:left w:val="single" w:color="auto" w:sz="4" w:space="0"/>
              <w:bottom w:val="single" w:color="auto" w:sz="4" w:space="0"/>
              <w:right w:val="single" w:color="auto" w:sz="4" w:space="0"/>
            </w:tcBorders>
            <w:shd w:val="clear" w:color="auto" w:fill="auto"/>
            <w:noWrap/>
            <w:vAlign w:val="center"/>
          </w:tcPr>
          <w:p w14:paraId="1B991073">
            <w:pPr>
              <w:widowControl/>
              <w:jc w:val="center"/>
              <w:rPr>
                <w:rFonts w:ascii="宋体" w:hAnsi="宋体" w:cs="宋体"/>
                <w:color w:val="000000"/>
                <w:kern w:val="0"/>
                <w:sz w:val="18"/>
                <w:szCs w:val="18"/>
              </w:rPr>
            </w:pPr>
            <w:r>
              <w:rPr>
                <w:rFonts w:ascii="宋体" w:hAnsi="宋体" w:cs="宋体"/>
                <w:color w:val="000000"/>
                <w:kern w:val="0"/>
                <w:sz w:val="18"/>
                <w:szCs w:val="18"/>
              </w:rPr>
              <w:t>83,929.01</w:t>
            </w:r>
          </w:p>
        </w:tc>
        <w:tc>
          <w:tcPr>
            <w:tcW w:w="917" w:type="pct"/>
            <w:tcBorders>
              <w:top w:val="nil"/>
              <w:left w:val="nil"/>
              <w:bottom w:val="single" w:color="auto" w:sz="4" w:space="0"/>
              <w:right w:val="single" w:color="auto" w:sz="4" w:space="0"/>
            </w:tcBorders>
            <w:shd w:val="clear" w:color="auto" w:fill="auto"/>
            <w:noWrap/>
            <w:vAlign w:val="center"/>
          </w:tcPr>
          <w:p w14:paraId="173479A3">
            <w:pPr>
              <w:widowControl/>
              <w:jc w:val="center"/>
              <w:rPr>
                <w:rFonts w:ascii="宋体" w:hAnsi="宋体" w:cs="宋体"/>
                <w:color w:val="000000"/>
                <w:kern w:val="0"/>
                <w:sz w:val="18"/>
                <w:szCs w:val="18"/>
              </w:rPr>
            </w:pPr>
            <w:r>
              <w:rPr>
                <w:rFonts w:ascii="宋体" w:hAnsi="宋体" w:cs="宋体"/>
                <w:color w:val="000000"/>
                <w:kern w:val="0"/>
                <w:sz w:val="18"/>
                <w:szCs w:val="18"/>
              </w:rPr>
              <w:t>16,559.01</w:t>
            </w:r>
          </w:p>
        </w:tc>
        <w:tc>
          <w:tcPr>
            <w:tcW w:w="1205" w:type="dxa"/>
            <w:tcBorders>
              <w:top w:val="nil"/>
              <w:left w:val="nil"/>
              <w:bottom w:val="single" w:color="auto" w:sz="4" w:space="0"/>
              <w:right w:val="single" w:color="auto" w:sz="4" w:space="0"/>
            </w:tcBorders>
            <w:shd w:val="clear" w:color="auto" w:fill="auto"/>
            <w:vAlign w:val="center"/>
          </w:tcPr>
          <w:p w14:paraId="640028C5">
            <w:pPr>
              <w:keepNext w:val="0"/>
              <w:keepLines w:val="0"/>
              <w:widowControl/>
              <w:suppressLineNumbers w:val="0"/>
              <w:jc w:val="righ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805" w:type="pct"/>
            <w:gridSpan w:val="2"/>
            <w:tcBorders>
              <w:top w:val="single" w:color="auto" w:sz="4" w:space="0"/>
              <w:left w:val="nil"/>
              <w:bottom w:val="single" w:color="auto" w:sz="4" w:space="0"/>
              <w:right w:val="single" w:color="auto" w:sz="4" w:space="0"/>
            </w:tcBorders>
            <w:vAlign w:val="center"/>
          </w:tcPr>
          <w:p w14:paraId="53B37876">
            <w:pPr>
              <w:widowControl/>
              <w:jc w:val="center"/>
              <w:rPr>
                <w:rFonts w:ascii="宋体" w:hAnsi="宋体" w:cs="宋体"/>
                <w:color w:val="000000"/>
                <w:kern w:val="0"/>
                <w:sz w:val="18"/>
                <w:szCs w:val="18"/>
              </w:rPr>
            </w:pPr>
            <w:r>
              <w:rPr>
                <w:rFonts w:ascii="宋体" w:hAnsi="宋体" w:cs="宋体"/>
                <w:color w:val="000000"/>
                <w:kern w:val="0"/>
                <w:sz w:val="18"/>
                <w:szCs w:val="18"/>
              </w:rPr>
              <w:t>12,500.00</w:t>
            </w:r>
          </w:p>
        </w:tc>
        <w:tc>
          <w:tcPr>
            <w:tcW w:w="1650" w:type="dxa"/>
            <w:tcBorders>
              <w:top w:val="single" w:color="auto" w:sz="4" w:space="0"/>
              <w:left w:val="single" w:color="auto" w:sz="4" w:space="0"/>
              <w:bottom w:val="single" w:color="auto" w:sz="4" w:space="0"/>
              <w:right w:val="single" w:color="auto" w:sz="4" w:space="0"/>
            </w:tcBorders>
            <w:shd w:val="clear" w:color="auto" w:fill="auto"/>
            <w:vAlign w:val="bottom"/>
          </w:tcPr>
          <w:p w14:paraId="2A6180A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 xml:space="preserve"> 42,370.00 </w:t>
            </w:r>
          </w:p>
        </w:tc>
        <w:tc>
          <w:tcPr>
            <w:tcW w:w="946" w:type="pct"/>
            <w:tcBorders>
              <w:top w:val="single" w:color="auto" w:sz="4" w:space="0"/>
              <w:left w:val="single" w:color="auto" w:sz="4" w:space="0"/>
              <w:bottom w:val="single" w:color="auto" w:sz="4" w:space="0"/>
              <w:right w:val="single" w:color="auto" w:sz="4" w:space="0"/>
            </w:tcBorders>
            <w:vAlign w:val="top"/>
          </w:tcPr>
          <w:p w14:paraId="48612DE1">
            <w:pPr>
              <w:widowControl/>
              <w:jc w:val="center"/>
              <w:rPr>
                <w:rFonts w:ascii="宋体" w:hAnsi="宋体" w:cs="宋体"/>
                <w:color w:val="000000"/>
                <w:kern w:val="0"/>
                <w:sz w:val="18"/>
                <w:szCs w:val="18"/>
              </w:rPr>
            </w:pPr>
            <w:r>
              <w:rPr>
                <w:rFonts w:ascii="宋体" w:hAnsi="宋体" w:cs="宋体"/>
                <w:color w:val="000000"/>
                <w:kern w:val="0"/>
                <w:sz w:val="18"/>
                <w:szCs w:val="18"/>
              </w:rPr>
              <w:t>12,500.00</w:t>
            </w:r>
          </w:p>
        </w:tc>
      </w:tr>
    </w:tbl>
    <w:p w14:paraId="1F3AE44B">
      <w:pPr>
        <w:pStyle w:val="20"/>
        <w:keepNext/>
        <w:spacing w:before="0" w:beforeAutospacing="0" w:after="0" w:afterAutospacing="0" w:line="360" w:lineRule="exact"/>
        <w:ind w:firstLine="364"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p w14:paraId="713C7477">
      <w:pPr>
        <w:widowControl/>
        <w:spacing w:line="360" w:lineRule="auto"/>
        <w:ind w:firstLine="484" w:firstLineChars="200"/>
        <w:rPr>
          <w:rFonts w:hint="eastAsia" w:ascii="宋体" w:hAnsi="宋体" w:eastAsia="宋体" w:cs="宋体"/>
          <w:sz w:val="24"/>
          <w:szCs w:val="24"/>
        </w:rPr>
      </w:pPr>
      <w:r>
        <w:rPr>
          <w:rFonts w:hint="eastAsia" w:ascii="宋体" w:hAnsi="宋体" w:eastAsia="宋体" w:cs="宋体"/>
          <w:color w:val="000000" w:themeColor="text1"/>
          <w:kern w:val="0"/>
          <w:sz w:val="24"/>
          <w:szCs w:val="24"/>
          <w14:textFill>
            <w14:solidFill>
              <w14:schemeClr w14:val="tx1"/>
            </w14:solidFill>
          </w14:textFill>
        </w:rPr>
        <w:t>按照发行方案及筹资计划，本次拟发行项目的总投资为83,929.01万元，通过自筹资金、申请专项债券、其他合规性融资等途径解决，其一，自筹资金 16,559.01万元。其二，拟发行专项债券54,870.00万元，2024年计划发行54,870.00万元，2025年计划发行12,500.00万元，发行期限7年；其中，12,500.00万元由2022年江西省高质量发展补短板专项债券（十二期）——2022年江西省政府专项债券（二十期）调整至本项目，发行期限30年；2024年计划发行42,370.00万元，发行期限7年</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其中本次发行8,500.00万元</w:t>
      </w:r>
      <w:r>
        <w:rPr>
          <w:rFonts w:hint="eastAsia" w:ascii="宋体" w:hAnsi="宋体" w:eastAsia="宋体" w:cs="宋体"/>
          <w:color w:val="000000" w:themeColor="text1"/>
          <w:kern w:val="0"/>
          <w:sz w:val="24"/>
          <w:szCs w:val="24"/>
          <w14:textFill>
            <w14:solidFill>
              <w14:schemeClr w14:val="tx1"/>
            </w14:solidFill>
          </w14:textFill>
        </w:rPr>
        <w:t>。</w:t>
      </w:r>
    </w:p>
    <w:p w14:paraId="5691FB9A">
      <w:pPr>
        <w:widowControl/>
        <w:spacing w:line="560" w:lineRule="exact"/>
        <w:jc w:val="left"/>
        <w:outlineLvl w:val="0"/>
        <w:rPr>
          <w:rFonts w:ascii="黑体" w:hAnsi="黑体" w:eastAsia="黑体" w:cs="黑体"/>
          <w:sz w:val="28"/>
          <w:szCs w:val="28"/>
        </w:rPr>
      </w:pPr>
      <w:r>
        <w:rPr>
          <w:rFonts w:hint="eastAsia" w:ascii="黑体" w:hAnsi="黑体" w:eastAsia="黑体" w:cs="黑体"/>
          <w:sz w:val="28"/>
          <w:szCs w:val="28"/>
        </w:rPr>
        <w:t>三、项目预期收益、成本及融资平衡情况</w:t>
      </w:r>
      <w:bookmarkEnd w:id="130"/>
    </w:p>
    <w:p w14:paraId="1E3F95F4">
      <w:pPr>
        <w:widowControl/>
        <w:spacing w:line="560" w:lineRule="exact"/>
        <w:ind w:firstLine="564" w:firstLineChars="200"/>
        <w:jc w:val="left"/>
        <w:outlineLvl w:val="1"/>
        <w:rPr>
          <w:rFonts w:ascii="楷体" w:hAnsi="楷体" w:eastAsia="楷体" w:cs="楷体"/>
          <w:b/>
          <w:bCs/>
          <w:sz w:val="28"/>
          <w:szCs w:val="28"/>
        </w:rPr>
      </w:pPr>
      <w:bookmarkStart w:id="131" w:name="_Toc5297"/>
      <w:r>
        <w:rPr>
          <w:rFonts w:hint="eastAsia" w:ascii="楷体" w:hAnsi="楷体" w:eastAsia="楷体" w:cs="楷体"/>
          <w:b/>
          <w:bCs/>
          <w:sz w:val="28"/>
          <w:szCs w:val="28"/>
        </w:rPr>
        <w:t>（一）收入测算</w:t>
      </w:r>
      <w:bookmarkEnd w:id="131"/>
    </w:p>
    <w:p w14:paraId="0F275564">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bookmarkStart w:id="132" w:name="_Toc15969"/>
      <w:r>
        <w:rPr>
          <w:rFonts w:hint="eastAsia" w:ascii="宋体" w:hAnsi="宋体" w:eastAsia="宋体" w:cs="宋体"/>
          <w:color w:val="000000" w:themeColor="text1"/>
          <w:kern w:val="0"/>
          <w:sz w:val="24"/>
          <w:szCs w:val="24"/>
          <w:lang w:val="en-US" w:eastAsia="zh-CN"/>
          <w14:textFill>
            <w14:solidFill>
              <w14:schemeClr w14:val="tx1"/>
            </w14:solidFill>
          </w14:textFill>
        </w:rPr>
        <w:t>本次申请发行的2022年江西省高质量发展补短板专项债券（十二期）——2022年江西省政府专项债券（二十期）调整债券之南昌县张坊三期（棚户区改造）安置房建设工程专项债券项目，在债券存续期内合理预计业务活动现金流入合计160,823.88万元，其中：土地出让收入160,823.88万元。项目收益年度分布情况如下：</w:t>
      </w:r>
    </w:p>
    <w:p w14:paraId="450CD644">
      <w:pPr>
        <w:pStyle w:val="20"/>
        <w:keepNext/>
        <w:spacing w:before="0" w:beforeAutospacing="0" w:after="0" w:afterAutospacing="0" w:line="360" w:lineRule="exact"/>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项目收益年度分布情况分析</w:t>
      </w:r>
    </w:p>
    <w:p w14:paraId="1C10D875">
      <w:pPr>
        <w:pStyle w:val="20"/>
        <w:keepNext/>
        <w:spacing w:before="0" w:beforeAutospacing="0" w:after="0" w:afterAutospacing="0" w:line="360" w:lineRule="exact"/>
        <w:ind w:right="55" w:rightChars="26" w:firstLine="364"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3788"/>
        <w:gridCol w:w="3249"/>
      </w:tblGrid>
      <w:tr w14:paraId="3141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65" w:type="pct"/>
            <w:shd w:val="clear" w:color="auto" w:fill="auto"/>
            <w:noWrap/>
            <w:vAlign w:val="center"/>
          </w:tcPr>
          <w:p w14:paraId="7060BADF">
            <w:pPr>
              <w:widowControl/>
              <w:jc w:val="center"/>
              <w:rPr>
                <w:rFonts w:ascii="宋体" w:hAnsi="宋体" w:cs="宋体"/>
                <w:b/>
                <w:bCs/>
                <w:kern w:val="0"/>
                <w:sz w:val="18"/>
                <w:szCs w:val="18"/>
              </w:rPr>
            </w:pPr>
            <w:r>
              <w:rPr>
                <w:rFonts w:hint="eastAsia" w:ascii="宋体" w:hAnsi="宋体" w:cs="宋体"/>
                <w:b/>
                <w:bCs/>
                <w:kern w:val="0"/>
                <w:sz w:val="18"/>
                <w:szCs w:val="18"/>
              </w:rPr>
              <w:t>年份</w:t>
            </w:r>
          </w:p>
        </w:tc>
        <w:tc>
          <w:tcPr>
            <w:tcW w:w="2172" w:type="pct"/>
            <w:shd w:val="clear" w:color="auto" w:fill="auto"/>
            <w:noWrap/>
            <w:vAlign w:val="center"/>
          </w:tcPr>
          <w:p w14:paraId="1D3DD9CF">
            <w:pPr>
              <w:widowControl/>
              <w:jc w:val="center"/>
              <w:rPr>
                <w:rFonts w:ascii="宋体" w:hAnsi="宋体" w:cs="宋体"/>
                <w:b/>
                <w:bCs/>
                <w:kern w:val="0"/>
                <w:sz w:val="18"/>
                <w:szCs w:val="18"/>
              </w:rPr>
            </w:pPr>
            <w:r>
              <w:rPr>
                <w:rFonts w:hint="eastAsia" w:ascii="宋体" w:hAnsi="宋体" w:cs="宋体"/>
                <w:b/>
                <w:bCs/>
                <w:kern w:val="0"/>
                <w:sz w:val="18"/>
                <w:szCs w:val="18"/>
              </w:rPr>
              <w:t>土地出让收入</w:t>
            </w:r>
          </w:p>
        </w:tc>
        <w:tc>
          <w:tcPr>
            <w:tcW w:w="1863" w:type="pct"/>
            <w:shd w:val="clear" w:color="auto" w:fill="auto"/>
            <w:noWrap/>
            <w:vAlign w:val="center"/>
          </w:tcPr>
          <w:p w14:paraId="52D649AF">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743A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9" w:hRule="atLeast"/>
        </w:trPr>
        <w:tc>
          <w:tcPr>
            <w:tcW w:w="965" w:type="pct"/>
            <w:shd w:val="clear" w:color="auto" w:fill="auto"/>
            <w:noWrap/>
            <w:vAlign w:val="center"/>
          </w:tcPr>
          <w:p w14:paraId="4FF35C7A">
            <w:pPr>
              <w:widowControl/>
              <w:jc w:val="center"/>
              <w:rPr>
                <w:rFonts w:ascii="宋体" w:hAnsi="宋体" w:cs="宋体"/>
                <w:kern w:val="0"/>
                <w:sz w:val="18"/>
                <w:szCs w:val="18"/>
              </w:rPr>
            </w:pPr>
            <w:r>
              <w:rPr>
                <w:rFonts w:hint="eastAsia" w:ascii="宋体" w:hAnsi="宋体" w:cs="宋体"/>
                <w:kern w:val="0"/>
                <w:sz w:val="18"/>
                <w:szCs w:val="18"/>
              </w:rPr>
              <w:t>202</w:t>
            </w:r>
            <w:r>
              <w:rPr>
                <w:rFonts w:ascii="宋体" w:hAnsi="宋体" w:cs="宋体"/>
                <w:kern w:val="0"/>
                <w:sz w:val="18"/>
                <w:szCs w:val="18"/>
              </w:rPr>
              <w:t>3</w:t>
            </w:r>
          </w:p>
        </w:tc>
        <w:tc>
          <w:tcPr>
            <w:tcW w:w="2172" w:type="pct"/>
            <w:shd w:val="clear" w:color="auto" w:fill="auto"/>
            <w:noWrap/>
            <w:vAlign w:val="center"/>
          </w:tcPr>
          <w:p w14:paraId="305CC92E">
            <w:pPr>
              <w:widowControl/>
              <w:jc w:val="center"/>
              <w:rPr>
                <w:rFonts w:ascii="宋体" w:hAnsi="宋体" w:cs="宋体"/>
                <w:kern w:val="0"/>
                <w:sz w:val="18"/>
                <w:szCs w:val="18"/>
              </w:rPr>
            </w:pPr>
            <w:r>
              <w:rPr>
                <w:rFonts w:ascii="宋体" w:hAnsi="宋体"/>
                <w:sz w:val="18"/>
                <w:szCs w:val="18"/>
              </w:rPr>
              <w:t>160,823.88</w:t>
            </w:r>
          </w:p>
        </w:tc>
        <w:tc>
          <w:tcPr>
            <w:tcW w:w="1863" w:type="pct"/>
            <w:shd w:val="clear" w:color="auto" w:fill="auto"/>
            <w:noWrap/>
            <w:vAlign w:val="center"/>
          </w:tcPr>
          <w:p w14:paraId="3549B174">
            <w:pPr>
              <w:widowControl/>
              <w:jc w:val="center"/>
              <w:rPr>
                <w:rFonts w:ascii="宋体" w:hAnsi="宋体" w:cs="宋体"/>
                <w:kern w:val="0"/>
                <w:sz w:val="18"/>
                <w:szCs w:val="18"/>
              </w:rPr>
            </w:pPr>
            <w:r>
              <w:rPr>
                <w:rFonts w:ascii="宋体" w:hAnsi="宋体"/>
                <w:color w:val="000000"/>
                <w:sz w:val="18"/>
                <w:szCs w:val="18"/>
              </w:rPr>
              <w:t>160,823.88</w:t>
            </w:r>
          </w:p>
        </w:tc>
      </w:tr>
      <w:tr w14:paraId="64F1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65" w:type="pct"/>
            <w:shd w:val="clear" w:color="auto" w:fill="auto"/>
            <w:noWrap/>
            <w:vAlign w:val="center"/>
          </w:tcPr>
          <w:p w14:paraId="42E3D432">
            <w:pPr>
              <w:widowControl/>
              <w:jc w:val="center"/>
              <w:rPr>
                <w:rFonts w:ascii="宋体" w:hAnsi="宋体" w:cs="宋体"/>
                <w:kern w:val="0"/>
                <w:sz w:val="18"/>
                <w:szCs w:val="18"/>
              </w:rPr>
            </w:pPr>
            <w:r>
              <w:rPr>
                <w:rFonts w:hint="eastAsia" w:ascii="宋体" w:hAnsi="宋体" w:cs="宋体"/>
                <w:kern w:val="0"/>
                <w:sz w:val="18"/>
                <w:szCs w:val="18"/>
              </w:rPr>
              <w:t>合计</w:t>
            </w:r>
          </w:p>
        </w:tc>
        <w:tc>
          <w:tcPr>
            <w:tcW w:w="2172" w:type="pct"/>
            <w:shd w:val="clear" w:color="auto" w:fill="auto"/>
            <w:noWrap/>
          </w:tcPr>
          <w:p w14:paraId="605C1AA9">
            <w:pPr>
              <w:widowControl/>
              <w:jc w:val="center"/>
              <w:rPr>
                <w:rFonts w:ascii="宋体" w:hAnsi="宋体" w:cs="宋体"/>
                <w:kern w:val="0"/>
                <w:sz w:val="18"/>
                <w:szCs w:val="18"/>
              </w:rPr>
            </w:pPr>
            <w:r>
              <w:rPr>
                <w:rFonts w:ascii="宋体" w:hAnsi="宋体"/>
                <w:sz w:val="18"/>
                <w:szCs w:val="18"/>
              </w:rPr>
              <w:t>160,823.88</w:t>
            </w:r>
          </w:p>
        </w:tc>
        <w:tc>
          <w:tcPr>
            <w:tcW w:w="1863" w:type="pct"/>
            <w:shd w:val="clear" w:color="auto" w:fill="auto"/>
            <w:noWrap/>
          </w:tcPr>
          <w:p w14:paraId="7EBC9C2C">
            <w:pPr>
              <w:widowControl/>
              <w:jc w:val="center"/>
              <w:rPr>
                <w:rFonts w:ascii="宋体" w:hAnsi="宋体" w:cs="宋体"/>
                <w:kern w:val="0"/>
                <w:sz w:val="18"/>
                <w:szCs w:val="18"/>
              </w:rPr>
            </w:pPr>
            <w:r>
              <w:rPr>
                <w:rFonts w:ascii="宋体" w:hAnsi="宋体"/>
                <w:sz w:val="18"/>
                <w:szCs w:val="18"/>
              </w:rPr>
              <w:t>160,823.88</w:t>
            </w:r>
          </w:p>
        </w:tc>
      </w:tr>
    </w:tbl>
    <w:p w14:paraId="0C1D54B6">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本项目经营收入的估算依据如下：</w:t>
      </w:r>
    </w:p>
    <w:p w14:paraId="7D5E542E">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（1）土地出让收入</w:t>
      </w:r>
    </w:p>
    <w:p w14:paraId="5D7A85DC">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1．土地市场情况和土地出让价格预测</w:t>
      </w:r>
    </w:p>
    <w:p w14:paraId="53FEE77C">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项目采用项目周边商住用地土地单价作为参考，结合时间因素，配套因素和地块的区位因素，并考虑地理位置及土地性质、使用年限等确定权重值。计算出让区域内住宅、商用土地2023年综合地价。根据项目建设及出让计划，拟2023年进行土地出让。得出本项目2023年土地出让价格为756万元。 </w:t>
      </w:r>
    </w:p>
    <w:p w14:paraId="274561C8">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2．土地出让面积</w:t>
      </w:r>
    </w:p>
    <w:p w14:paraId="13087FF1">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南昌县张坊三期（棚户区）安置房建设工程根据建设及出让计划，可出让土地约212.73亩。</w:t>
      </w:r>
    </w:p>
    <w:p w14:paraId="5E0BF66E">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南昌县城市建设投资发展有限公司综合考虑适度增长因素，保守预测了运营期间的收入、支出，在本项目的实施过程中，可以产生持续稳定的收益，各年现金流入及现金流出均保持了稳定的增长，且保持了现金结余的总体增长。</w:t>
      </w:r>
      <w:r>
        <w:rPr>
          <w:rFonts w:hint="eastAsia" w:ascii="宋体" w:hAnsi="宋体" w:eastAsia="宋体" w:cs="宋体"/>
          <w:color w:val="000000" w:themeColor="text1"/>
          <w:kern w:val="0"/>
          <w:sz w:val="24"/>
          <w:szCs w:val="24"/>
          <w:lang w:val="en-US" w:eastAsia="zh-CN"/>
          <w14:textFill>
            <w14:solidFill>
              <w14:schemeClr w14:val="tx1"/>
            </w14:solidFill>
          </w14:textFill>
        </w:rPr>
        <w:cr/>
      </w:r>
    </w:p>
    <w:p w14:paraId="7BAAA979">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南昌县城市建设投资发展有限公司综合考虑适度增长因素，保守预测了2023年的收入、支出，在本项目的实施过程中，可以产生持续稳定的收益，各年现金流入及现金流出均保持了稳定的增长，且保持了各年现金结余的总体增长。</w:t>
      </w:r>
    </w:p>
    <w:p w14:paraId="20759E31">
      <w:pPr>
        <w:widowControl/>
        <w:spacing w:line="560" w:lineRule="exact"/>
        <w:ind w:firstLine="564" w:firstLineChars="200"/>
        <w:jc w:val="left"/>
        <w:outlineLvl w:val="1"/>
        <w:rPr>
          <w:rFonts w:hint="eastAsia" w:ascii="楷体" w:hAnsi="楷体" w:eastAsia="楷体" w:cs="楷体"/>
          <w:b/>
          <w:bCs/>
          <w:sz w:val="28"/>
          <w:szCs w:val="28"/>
        </w:rPr>
      </w:pPr>
      <w:r>
        <w:rPr>
          <w:rFonts w:hint="eastAsia" w:ascii="楷体" w:hAnsi="楷体" w:eastAsia="楷体" w:cs="楷体"/>
          <w:b/>
          <w:bCs/>
          <w:sz w:val="28"/>
          <w:szCs w:val="28"/>
        </w:rPr>
        <w:t>（二）项目运营成本测算</w:t>
      </w:r>
      <w:bookmarkEnd w:id="132"/>
    </w:p>
    <w:p w14:paraId="41CF1072">
      <w:pPr>
        <w:pStyle w:val="39"/>
        <w:spacing w:before="244" w:line="560" w:lineRule="exact"/>
        <w:ind w:left="-142" w:leftChars="-67" w:right="-99" w:rightChars="-47" w:firstLine="442" w:firstLineChars="157"/>
        <w:outlineLvl w:val="2"/>
        <w:rPr>
          <w:rFonts w:hint="eastAsia" w:ascii="楷体" w:hAnsi="楷体" w:eastAsia="楷体"/>
          <w:b w:val="0"/>
        </w:rPr>
      </w:pPr>
      <w:r>
        <w:rPr>
          <w:rFonts w:hint="eastAsia" w:ascii="楷体" w:hAnsi="楷体" w:eastAsia="楷体"/>
          <w:b w:val="0"/>
        </w:rPr>
        <w:t>1、运营成本</w:t>
      </w:r>
    </w:p>
    <w:p w14:paraId="7DAEC546">
      <w:pPr>
        <w:pStyle w:val="20"/>
        <w:spacing w:before="0" w:beforeAutospacing="0" w:after="156" w:afterLines="50" w:afterAutospacing="0" w:line="360" w:lineRule="exact"/>
        <w:ind w:firstLine="424" w:firstLineChars="200"/>
        <w:jc w:val="both"/>
        <w:rPr>
          <w:rFonts w:hint="eastAsia" w:ascii="楷体" w:hAnsi="楷体" w:eastAsia="楷体"/>
          <w:b w:val="0"/>
        </w:rPr>
      </w:pPr>
      <w:r>
        <w:rPr>
          <w:rFonts w:hint="eastAsia"/>
          <w:color w:val="000000" w:themeColor="text1"/>
          <w:sz w:val="21"/>
          <w:szCs w:val="21"/>
          <w14:textFill>
            <w14:solidFill>
              <w14:schemeClr w14:val="tx1"/>
            </w14:solidFill>
          </w14:textFill>
        </w:rPr>
        <w:t>项目为土地出让出让收入，无相关成本。</w:t>
      </w:r>
    </w:p>
    <w:p w14:paraId="22F7687C">
      <w:pPr>
        <w:pStyle w:val="39"/>
        <w:spacing w:before="244"/>
        <w:ind w:left="0" w:right="-99" w:rightChars="-47" w:firstLine="282" w:firstLineChars="100"/>
        <w:outlineLvl w:val="2"/>
        <w:rPr>
          <w:rFonts w:ascii="楷体" w:hAnsi="楷体" w:eastAsia="楷体"/>
          <w:b w:val="0"/>
        </w:rPr>
      </w:pPr>
      <w:bookmarkStart w:id="133" w:name="_Toc20884"/>
      <w:r>
        <w:rPr>
          <w:rFonts w:hint="eastAsia" w:ascii="楷体" w:hAnsi="楷体" w:eastAsia="楷体"/>
          <w:b w:val="0"/>
        </w:rPr>
        <w:t>2、财务费用</w:t>
      </w:r>
      <w:bookmarkEnd w:id="133"/>
    </w:p>
    <w:p w14:paraId="7C9E4F67">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本次拟发行南昌县张坊三期（棚户区）安置房建设工程地方政府专项债券以满足项目投资需求，债券计划在2024年发行，年利率按照3.9%计算。根据债券发行计划及利率计算每年财务费用。按照债券发行要求，专项债券每半年偿还债券利息，到期一次性偿还本金。</w:t>
      </w:r>
    </w:p>
    <w:p w14:paraId="6CC49163">
      <w:pPr>
        <w:widowControl/>
        <w:spacing w:line="560" w:lineRule="exact"/>
        <w:ind w:firstLine="564" w:firstLineChars="200"/>
        <w:jc w:val="left"/>
        <w:outlineLvl w:val="1"/>
        <w:rPr>
          <w:rFonts w:hint="eastAsia" w:ascii="楷体" w:hAnsi="楷体" w:eastAsia="楷体" w:cs="楷体"/>
          <w:b/>
          <w:bCs/>
          <w:sz w:val="28"/>
          <w:szCs w:val="28"/>
        </w:rPr>
      </w:pPr>
      <w:bookmarkStart w:id="134" w:name="_Toc15933"/>
      <w:r>
        <w:rPr>
          <w:rFonts w:hint="eastAsia" w:ascii="楷体" w:hAnsi="楷体" w:eastAsia="楷体" w:cs="楷体"/>
          <w:b/>
          <w:bCs/>
          <w:sz w:val="28"/>
          <w:szCs w:val="28"/>
        </w:rPr>
        <w:t>（三）项目资金测算平衡表</w:t>
      </w:r>
      <w:bookmarkEnd w:id="134"/>
    </w:p>
    <w:p w14:paraId="073EEC39">
      <w:pPr>
        <w:spacing w:before="156" w:line="560" w:lineRule="exact"/>
        <w:ind w:firstLine="480" w:firstLineChars="199"/>
        <w:outlineLvl w:val="9"/>
        <w:rPr>
          <w:rFonts w:asciiTheme="minorEastAsia" w:hAnsiTheme="minorEastAsia"/>
          <w:sz w:val="24"/>
          <w:szCs w:val="24"/>
        </w:rPr>
      </w:pPr>
      <w:r>
        <w:rPr>
          <w:rFonts w:asciiTheme="minorEastAsia" w:hAnsiTheme="minorEastAsia"/>
          <w:sz w:val="24"/>
          <w:szCs w:val="24"/>
        </w:rPr>
        <w:t>1</w:t>
      </w:r>
      <w:r>
        <w:rPr>
          <w:rFonts w:hint="eastAsia" w:asciiTheme="minorEastAsia" w:hAnsiTheme="minorEastAsia"/>
          <w:sz w:val="24"/>
          <w:szCs w:val="24"/>
        </w:rPr>
        <w:t>．</w:t>
      </w:r>
      <w:r>
        <w:rPr>
          <w:rFonts w:asciiTheme="minorEastAsia" w:hAnsiTheme="minorEastAsia"/>
          <w:sz w:val="24"/>
          <w:szCs w:val="24"/>
        </w:rPr>
        <w:t>本期债券</w:t>
      </w:r>
      <w:r>
        <w:rPr>
          <w:rFonts w:hint="eastAsia" w:asciiTheme="minorEastAsia" w:hAnsiTheme="minorEastAsia"/>
          <w:sz w:val="24"/>
          <w:szCs w:val="24"/>
        </w:rPr>
        <w:t>调整项目</w:t>
      </w:r>
      <w:r>
        <w:rPr>
          <w:rFonts w:asciiTheme="minorEastAsia" w:hAnsiTheme="minorEastAsia"/>
          <w:sz w:val="24"/>
          <w:szCs w:val="24"/>
        </w:rPr>
        <w:t>应付本息情况</w:t>
      </w:r>
    </w:p>
    <w:p w14:paraId="72985FC9">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本次南昌县城市建设投资发展有限公司组织申报发行南昌县张坊三期（棚户区改造）安置房建设工程项目专项债券项目的总投资额83,929.01万元。计划发行专项债券金额54,870.00 万元，其中：12,500.00万元由2022年江西省高质量发展补短板专项债券（十二期）——2022年江西省政府专项债券（二十期）调整至本项目，发行期限30年，发行利率3.54%；2024年计划发行54,870.00万元，2025年计划发行12,500.00万元，发行期限7年</w:t>
      </w:r>
      <w:r>
        <w:rPr>
          <w:rFonts w:hint="eastAsia" w:ascii="宋体" w:hAnsi="宋体" w:eastAsia="宋体" w:cs="宋体"/>
          <w:color w:val="000000" w:themeColor="text1"/>
          <w:kern w:val="0"/>
          <w:sz w:val="24"/>
          <w:szCs w:val="24"/>
          <w:lang w:val="en-GB" w:eastAsia="zh-CN"/>
          <w14:textFill>
            <w14:solidFill>
              <w14:schemeClr w14:val="tx1"/>
            </w14:solidFill>
          </w14:textFill>
        </w:rPr>
        <w:t>。从客观、谨慎角度出发，7年期债券利率预计3.90%,发行费率暂按照0.10</w:t>
      </w:r>
      <w:r>
        <w:rPr>
          <w:rFonts w:hint="eastAsia" w:ascii="宋体" w:hAnsi="宋体" w:eastAsia="宋体" w:cs="宋体"/>
          <w:color w:val="000000" w:themeColor="text1"/>
          <w:kern w:val="0"/>
          <w:sz w:val="24"/>
          <w:szCs w:val="24"/>
          <w:lang w:val="en-US" w:eastAsia="zh-CN"/>
          <w14:textFill>
            <w14:solidFill>
              <w14:schemeClr w14:val="tx1"/>
            </w14:solidFill>
          </w14:textFill>
        </w:rPr>
        <w:t>%测算，据此预计专项债券利息合计为27,812.02万元，预计发行费用为67.37万元。</w:t>
      </w:r>
    </w:p>
    <w:p w14:paraId="651BCF2B">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按照该项目专项债券发行计划，2024年发行7年期债券以年利率3.90%计算利息，到期一次还本，本项目专项债券还本付息情况如下表所示：</w:t>
      </w:r>
    </w:p>
    <w:p w14:paraId="025C1B8A">
      <w:pPr>
        <w:pStyle w:val="20"/>
        <w:spacing w:before="156" w:beforeLines="50" w:beforeAutospacing="0" w:after="156" w:afterLines="50" w:afterAutospacing="0" w:line="360" w:lineRule="exact"/>
        <w:ind w:firstLine="424" w:firstLineChars="200"/>
        <w:jc w:val="both"/>
        <w:rPr>
          <w:rFonts w:hint="eastAsia"/>
          <w:color w:val="000000" w:themeColor="text1"/>
          <w:sz w:val="21"/>
          <w:szCs w:val="21"/>
          <w14:textFill>
            <w14:solidFill>
              <w14:schemeClr w14:val="tx1"/>
            </w14:solidFill>
          </w14:textFill>
        </w:rPr>
      </w:pPr>
    </w:p>
    <w:p w14:paraId="5B3C116E">
      <w:pPr>
        <w:jc w:val="center"/>
        <w:rPr>
          <w:rFonts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w:t>
      </w:r>
      <w:r>
        <w:rPr>
          <w:rFonts w:hint="eastAsia" w:ascii="宋体" w:hAnsi="宋体"/>
          <w:b/>
          <w:color w:val="000000" w:themeColor="text1"/>
          <w:szCs w:val="24"/>
          <w14:textFill>
            <w14:solidFill>
              <w14:schemeClr w14:val="tx1"/>
            </w14:solidFill>
          </w14:textFill>
        </w:rPr>
        <w:t xml:space="preserve"> </w:t>
      </w:r>
      <w:r>
        <w:rPr>
          <w:rFonts w:ascii="宋体" w:hAnsi="宋体"/>
          <w:b/>
          <w:color w:val="000000" w:themeColor="text1"/>
          <w:szCs w:val="24"/>
          <w14:textFill>
            <w14:solidFill>
              <w14:schemeClr w14:val="tx1"/>
            </w14:solidFill>
          </w14:textFill>
        </w:rPr>
        <w:t xml:space="preserve"> 2024</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2052</w:t>
      </w:r>
      <w:r>
        <w:rPr>
          <w:rFonts w:hint="eastAsia" w:ascii="宋体" w:hAnsi="宋体" w:cs="仿宋"/>
          <w:b/>
          <w:color w:val="000000" w:themeColor="text1"/>
          <w:szCs w:val="24"/>
          <w14:textFill>
            <w14:solidFill>
              <w14:schemeClr w14:val="tx1"/>
            </w14:solidFill>
          </w14:textFill>
        </w:rPr>
        <w:t>年专项债券还本付息情况预测表</w:t>
      </w:r>
    </w:p>
    <w:p w14:paraId="6D3DE21D">
      <w:pPr>
        <w:jc w:val="right"/>
        <w:rPr>
          <w:rFonts w:ascii="宋体" w:hAnsi="宋体" w:cs="仿宋"/>
          <w:color w:val="000000" w:themeColor="text1"/>
          <w:sz w:val="18"/>
          <w:szCs w:val="18"/>
          <w14:textFill>
            <w14:solidFill>
              <w14:schemeClr w14:val="tx1"/>
            </w14:solidFill>
          </w14:textFill>
        </w:rPr>
      </w:pPr>
      <w:r>
        <w:rPr>
          <w:rFonts w:hint="eastAsia" w:ascii="宋体" w:hAnsi="宋体" w:cs="仿宋"/>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392"/>
        <w:gridCol w:w="1097"/>
        <w:gridCol w:w="1005"/>
        <w:gridCol w:w="1097"/>
        <w:gridCol w:w="1097"/>
        <w:gridCol w:w="1392"/>
      </w:tblGrid>
      <w:tr w14:paraId="3C71FB6D">
        <w:trPr>
          <w:trHeight w:val="285" w:hRule="atLeast"/>
          <w:tblHeader/>
        </w:trPr>
        <w:tc>
          <w:tcPr>
            <w:tcW w:w="940" w:type="pct"/>
            <w:shd w:val="clear" w:color="auto" w:fill="auto"/>
            <w:vAlign w:val="center"/>
          </w:tcPr>
          <w:p w14:paraId="4F98CD5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798" w:type="pct"/>
            <w:shd w:val="clear" w:color="auto" w:fill="auto"/>
            <w:vAlign w:val="center"/>
          </w:tcPr>
          <w:p w14:paraId="51AA0A2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629" w:type="pct"/>
            <w:shd w:val="clear" w:color="auto" w:fill="auto"/>
            <w:vAlign w:val="center"/>
          </w:tcPr>
          <w:p w14:paraId="36F28E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576" w:type="pct"/>
            <w:shd w:val="clear" w:color="auto" w:fill="auto"/>
            <w:vAlign w:val="center"/>
          </w:tcPr>
          <w:p w14:paraId="3217B40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629" w:type="pct"/>
            <w:shd w:val="clear" w:color="auto" w:fill="auto"/>
            <w:vAlign w:val="center"/>
          </w:tcPr>
          <w:p w14:paraId="6C5D76B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629" w:type="pct"/>
            <w:shd w:val="clear" w:color="auto" w:fill="auto"/>
            <w:vAlign w:val="center"/>
          </w:tcPr>
          <w:p w14:paraId="5C72E50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798" w:type="pct"/>
            <w:shd w:val="clear" w:color="auto" w:fill="auto"/>
            <w:vAlign w:val="center"/>
          </w:tcPr>
          <w:p w14:paraId="0426924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2904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6" w:hRule="atLeast"/>
        </w:trPr>
        <w:tc>
          <w:tcPr>
            <w:tcW w:w="940" w:type="pct"/>
            <w:shd w:val="clear" w:color="auto" w:fill="auto"/>
            <w:vAlign w:val="center"/>
          </w:tcPr>
          <w:p w14:paraId="24DCD204">
            <w:pPr>
              <w:widowControl/>
              <w:jc w:val="center"/>
              <w:rPr>
                <w:rFonts w:ascii="宋体" w:hAnsi="宋体" w:cs="宋体"/>
                <w:kern w:val="0"/>
                <w:sz w:val="18"/>
                <w:szCs w:val="18"/>
              </w:rPr>
            </w:pPr>
            <w:r>
              <w:rPr>
                <w:rFonts w:hint="eastAsia" w:ascii="宋体" w:hAnsi="宋体" w:cs="宋体"/>
                <w:kern w:val="0"/>
                <w:sz w:val="18"/>
                <w:szCs w:val="18"/>
              </w:rPr>
              <w:t>2024年调整发行</w:t>
            </w:r>
          </w:p>
        </w:tc>
        <w:tc>
          <w:tcPr>
            <w:tcW w:w="1392" w:type="dxa"/>
            <w:shd w:val="clear" w:color="auto" w:fill="auto"/>
            <w:vAlign w:val="center"/>
          </w:tcPr>
          <w:p w14:paraId="50B20963">
            <w:pPr>
              <w:jc w:val="center"/>
              <w:rPr>
                <w:rFonts w:ascii="宋体" w:hAnsi="宋体" w:cs="宋体"/>
                <w:kern w:val="0"/>
                <w:sz w:val="18"/>
                <w:szCs w:val="18"/>
              </w:rPr>
            </w:pPr>
          </w:p>
        </w:tc>
        <w:tc>
          <w:tcPr>
            <w:tcW w:w="1097" w:type="dxa"/>
            <w:shd w:val="clear" w:color="auto" w:fill="auto"/>
            <w:vAlign w:val="center"/>
          </w:tcPr>
          <w:p w14:paraId="3D283DB8">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05" w:type="dxa"/>
            <w:shd w:val="clear" w:color="auto" w:fill="auto"/>
            <w:vAlign w:val="center"/>
          </w:tcPr>
          <w:p w14:paraId="5AA8C131">
            <w:pPr>
              <w:jc w:val="center"/>
              <w:rPr>
                <w:rFonts w:ascii="宋体" w:hAnsi="宋体" w:cs="宋体"/>
                <w:kern w:val="0"/>
                <w:sz w:val="18"/>
                <w:szCs w:val="18"/>
              </w:rPr>
            </w:pPr>
          </w:p>
        </w:tc>
        <w:tc>
          <w:tcPr>
            <w:tcW w:w="1097" w:type="dxa"/>
            <w:shd w:val="clear" w:color="auto" w:fill="auto"/>
            <w:vAlign w:val="center"/>
          </w:tcPr>
          <w:p w14:paraId="21474FE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221.25</w:t>
            </w:r>
          </w:p>
        </w:tc>
        <w:tc>
          <w:tcPr>
            <w:tcW w:w="1097" w:type="dxa"/>
            <w:shd w:val="clear" w:color="auto" w:fill="auto"/>
            <w:vAlign w:val="center"/>
          </w:tcPr>
          <w:p w14:paraId="1C30DAAD">
            <w:pPr>
              <w:jc w:val="center"/>
              <w:rPr>
                <w:rFonts w:ascii="宋体" w:hAnsi="宋体" w:cs="宋体"/>
                <w:kern w:val="0"/>
                <w:sz w:val="18"/>
                <w:szCs w:val="18"/>
              </w:rPr>
            </w:pPr>
          </w:p>
        </w:tc>
        <w:tc>
          <w:tcPr>
            <w:tcW w:w="1392" w:type="dxa"/>
            <w:shd w:val="clear" w:color="auto" w:fill="auto"/>
            <w:vAlign w:val="center"/>
          </w:tcPr>
          <w:p w14:paraId="4612A9D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388E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80BFEE6">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2024年</w:t>
            </w:r>
            <w:r>
              <w:rPr>
                <w:rFonts w:hint="eastAsia" w:ascii="宋体" w:hAnsi="宋体" w:cs="宋体"/>
                <w:kern w:val="0"/>
                <w:sz w:val="18"/>
                <w:szCs w:val="18"/>
                <w:lang w:val="en-US" w:eastAsia="zh-CN"/>
              </w:rPr>
              <w:t>发行</w:t>
            </w:r>
          </w:p>
        </w:tc>
        <w:tc>
          <w:tcPr>
            <w:tcW w:w="1392" w:type="dxa"/>
            <w:shd w:val="clear" w:color="auto" w:fill="auto"/>
            <w:vAlign w:val="center"/>
          </w:tcPr>
          <w:p w14:paraId="59EF901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2DF5D47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42,370.00</w:t>
            </w:r>
          </w:p>
        </w:tc>
        <w:tc>
          <w:tcPr>
            <w:tcW w:w="1005" w:type="dxa"/>
            <w:shd w:val="clear" w:color="auto" w:fill="auto"/>
            <w:vAlign w:val="center"/>
          </w:tcPr>
          <w:p w14:paraId="0AC0F2C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54.87</w:t>
            </w:r>
          </w:p>
        </w:tc>
        <w:tc>
          <w:tcPr>
            <w:tcW w:w="1097" w:type="dxa"/>
            <w:shd w:val="clear" w:color="auto" w:fill="auto"/>
            <w:vAlign w:val="center"/>
          </w:tcPr>
          <w:p w14:paraId="4A0BA60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1,268.72</w:t>
            </w:r>
          </w:p>
        </w:tc>
        <w:tc>
          <w:tcPr>
            <w:tcW w:w="1097" w:type="dxa"/>
            <w:shd w:val="clear" w:color="auto" w:fill="auto"/>
            <w:vAlign w:val="center"/>
          </w:tcPr>
          <w:p w14:paraId="73AC3FA3">
            <w:pPr>
              <w:jc w:val="center"/>
              <w:rPr>
                <w:rFonts w:ascii="宋体" w:hAnsi="宋体" w:cs="宋体"/>
                <w:kern w:val="0"/>
                <w:sz w:val="18"/>
                <w:szCs w:val="18"/>
              </w:rPr>
            </w:pPr>
          </w:p>
        </w:tc>
        <w:tc>
          <w:tcPr>
            <w:tcW w:w="1392" w:type="dxa"/>
            <w:shd w:val="clear" w:color="auto" w:fill="auto"/>
            <w:vAlign w:val="center"/>
          </w:tcPr>
          <w:p w14:paraId="2F47E2F0">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54,870.00</w:t>
            </w:r>
          </w:p>
        </w:tc>
      </w:tr>
      <w:tr w14:paraId="41F6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8CB3805">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rPr>
              <w:t>2025年</w:t>
            </w:r>
            <w:r>
              <w:rPr>
                <w:rFonts w:hint="eastAsia" w:ascii="宋体" w:hAnsi="宋体" w:cs="宋体"/>
                <w:kern w:val="0"/>
                <w:sz w:val="18"/>
                <w:szCs w:val="18"/>
                <w:lang w:val="en-US" w:eastAsia="zh-CN"/>
              </w:rPr>
              <w:t>发行</w:t>
            </w:r>
          </w:p>
        </w:tc>
        <w:tc>
          <w:tcPr>
            <w:tcW w:w="1392" w:type="dxa"/>
            <w:shd w:val="clear" w:color="auto" w:fill="auto"/>
            <w:vAlign w:val="center"/>
          </w:tcPr>
          <w:p w14:paraId="24D2E89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54,870.00</w:t>
            </w:r>
          </w:p>
        </w:tc>
        <w:tc>
          <w:tcPr>
            <w:tcW w:w="1097" w:type="dxa"/>
            <w:shd w:val="clear" w:color="auto" w:fill="auto"/>
            <w:vAlign w:val="center"/>
          </w:tcPr>
          <w:p w14:paraId="115501D5">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05" w:type="dxa"/>
            <w:shd w:val="clear" w:color="auto" w:fill="auto"/>
            <w:vAlign w:val="center"/>
          </w:tcPr>
          <w:p w14:paraId="402A5FEC">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w:t>
            </w:r>
          </w:p>
        </w:tc>
        <w:tc>
          <w:tcPr>
            <w:tcW w:w="1097" w:type="dxa"/>
            <w:shd w:val="clear" w:color="auto" w:fill="auto"/>
            <w:vAlign w:val="center"/>
          </w:tcPr>
          <w:p w14:paraId="3298130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2,338.68</w:t>
            </w:r>
          </w:p>
        </w:tc>
        <w:tc>
          <w:tcPr>
            <w:tcW w:w="1097" w:type="dxa"/>
            <w:shd w:val="clear" w:color="auto" w:fill="auto"/>
            <w:vAlign w:val="center"/>
          </w:tcPr>
          <w:p w14:paraId="79E4BEA0">
            <w:pPr>
              <w:jc w:val="center"/>
              <w:rPr>
                <w:rFonts w:ascii="宋体" w:hAnsi="宋体" w:cs="宋体"/>
                <w:kern w:val="0"/>
                <w:sz w:val="18"/>
                <w:szCs w:val="18"/>
              </w:rPr>
            </w:pPr>
          </w:p>
        </w:tc>
        <w:tc>
          <w:tcPr>
            <w:tcW w:w="1392" w:type="dxa"/>
            <w:shd w:val="clear" w:color="auto" w:fill="auto"/>
            <w:vAlign w:val="center"/>
          </w:tcPr>
          <w:p w14:paraId="2BF51D2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6181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586B9979">
            <w:pPr>
              <w:widowControl/>
              <w:jc w:val="center"/>
              <w:rPr>
                <w:rFonts w:ascii="宋体" w:hAnsi="宋体" w:cs="宋体"/>
                <w:kern w:val="0"/>
                <w:sz w:val="18"/>
                <w:szCs w:val="18"/>
              </w:rPr>
            </w:pPr>
            <w:r>
              <w:rPr>
                <w:rFonts w:hint="eastAsia" w:ascii="宋体" w:hAnsi="宋体" w:cs="宋体"/>
                <w:kern w:val="0"/>
                <w:sz w:val="18"/>
                <w:szCs w:val="18"/>
              </w:rPr>
              <w:t>2026年</w:t>
            </w:r>
          </w:p>
        </w:tc>
        <w:tc>
          <w:tcPr>
            <w:tcW w:w="1392" w:type="dxa"/>
            <w:shd w:val="clear" w:color="auto" w:fill="auto"/>
            <w:vAlign w:val="center"/>
          </w:tcPr>
          <w:p w14:paraId="33D02B2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2FA36112">
            <w:pPr>
              <w:jc w:val="center"/>
              <w:rPr>
                <w:rFonts w:ascii="宋体" w:hAnsi="宋体" w:cs="宋体"/>
                <w:kern w:val="0"/>
                <w:sz w:val="18"/>
                <w:szCs w:val="18"/>
              </w:rPr>
            </w:pPr>
          </w:p>
        </w:tc>
        <w:tc>
          <w:tcPr>
            <w:tcW w:w="1005" w:type="dxa"/>
            <w:shd w:val="clear" w:color="auto" w:fill="auto"/>
            <w:vAlign w:val="center"/>
          </w:tcPr>
          <w:p w14:paraId="73B57C3D">
            <w:pPr>
              <w:jc w:val="center"/>
              <w:rPr>
                <w:rFonts w:ascii="宋体" w:hAnsi="宋体" w:cs="宋体"/>
                <w:kern w:val="0"/>
                <w:sz w:val="18"/>
                <w:szCs w:val="18"/>
              </w:rPr>
            </w:pPr>
          </w:p>
        </w:tc>
        <w:tc>
          <w:tcPr>
            <w:tcW w:w="1097" w:type="dxa"/>
            <w:shd w:val="clear" w:color="auto" w:fill="auto"/>
            <w:vAlign w:val="center"/>
          </w:tcPr>
          <w:p w14:paraId="61D35A1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2,582.43</w:t>
            </w:r>
          </w:p>
        </w:tc>
        <w:tc>
          <w:tcPr>
            <w:tcW w:w="1097" w:type="dxa"/>
            <w:shd w:val="clear" w:color="auto" w:fill="auto"/>
            <w:vAlign w:val="center"/>
          </w:tcPr>
          <w:p w14:paraId="5061BE8C">
            <w:pPr>
              <w:jc w:val="center"/>
              <w:rPr>
                <w:rFonts w:ascii="宋体" w:hAnsi="宋体" w:cs="宋体"/>
                <w:kern w:val="0"/>
                <w:sz w:val="18"/>
                <w:szCs w:val="18"/>
              </w:rPr>
            </w:pPr>
          </w:p>
        </w:tc>
        <w:tc>
          <w:tcPr>
            <w:tcW w:w="1392" w:type="dxa"/>
            <w:shd w:val="clear" w:color="auto" w:fill="auto"/>
            <w:vAlign w:val="center"/>
          </w:tcPr>
          <w:p w14:paraId="7BEA2ED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13B9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5B659937">
            <w:pPr>
              <w:widowControl/>
              <w:jc w:val="center"/>
              <w:rPr>
                <w:rFonts w:ascii="宋体" w:hAnsi="宋体" w:cs="宋体"/>
                <w:kern w:val="0"/>
                <w:sz w:val="18"/>
                <w:szCs w:val="18"/>
              </w:rPr>
            </w:pPr>
            <w:r>
              <w:rPr>
                <w:rFonts w:hint="eastAsia" w:ascii="宋体" w:hAnsi="宋体" w:cs="宋体"/>
                <w:kern w:val="0"/>
                <w:sz w:val="18"/>
                <w:szCs w:val="18"/>
              </w:rPr>
              <w:t>2027年</w:t>
            </w:r>
          </w:p>
        </w:tc>
        <w:tc>
          <w:tcPr>
            <w:tcW w:w="1392" w:type="dxa"/>
            <w:shd w:val="clear" w:color="auto" w:fill="auto"/>
            <w:vAlign w:val="center"/>
          </w:tcPr>
          <w:p w14:paraId="0DD945D2">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780D4AA3">
            <w:pPr>
              <w:jc w:val="center"/>
              <w:rPr>
                <w:rFonts w:ascii="宋体" w:hAnsi="宋体" w:cs="宋体"/>
                <w:kern w:val="0"/>
                <w:sz w:val="18"/>
                <w:szCs w:val="18"/>
              </w:rPr>
            </w:pPr>
          </w:p>
        </w:tc>
        <w:tc>
          <w:tcPr>
            <w:tcW w:w="1005" w:type="dxa"/>
            <w:shd w:val="clear" w:color="auto" w:fill="auto"/>
            <w:vAlign w:val="center"/>
          </w:tcPr>
          <w:p w14:paraId="74ED013A">
            <w:pPr>
              <w:jc w:val="center"/>
              <w:rPr>
                <w:rFonts w:ascii="宋体" w:hAnsi="宋体" w:cs="宋体"/>
                <w:kern w:val="0"/>
                <w:sz w:val="18"/>
                <w:szCs w:val="18"/>
              </w:rPr>
            </w:pPr>
          </w:p>
        </w:tc>
        <w:tc>
          <w:tcPr>
            <w:tcW w:w="1097" w:type="dxa"/>
            <w:shd w:val="clear" w:color="auto" w:fill="auto"/>
            <w:vAlign w:val="center"/>
          </w:tcPr>
          <w:p w14:paraId="166B2DB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2,582.43</w:t>
            </w:r>
          </w:p>
        </w:tc>
        <w:tc>
          <w:tcPr>
            <w:tcW w:w="1097" w:type="dxa"/>
            <w:shd w:val="clear" w:color="auto" w:fill="auto"/>
            <w:vAlign w:val="center"/>
          </w:tcPr>
          <w:p w14:paraId="242F445F">
            <w:pPr>
              <w:jc w:val="center"/>
              <w:rPr>
                <w:rFonts w:ascii="宋体" w:hAnsi="宋体" w:cs="宋体"/>
                <w:kern w:val="0"/>
                <w:sz w:val="18"/>
                <w:szCs w:val="18"/>
              </w:rPr>
            </w:pPr>
          </w:p>
        </w:tc>
        <w:tc>
          <w:tcPr>
            <w:tcW w:w="1392" w:type="dxa"/>
            <w:shd w:val="clear" w:color="auto" w:fill="auto"/>
            <w:vAlign w:val="center"/>
          </w:tcPr>
          <w:p w14:paraId="792F498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6285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CA050A8">
            <w:pPr>
              <w:widowControl/>
              <w:jc w:val="center"/>
              <w:rPr>
                <w:rFonts w:ascii="宋体" w:hAnsi="宋体" w:cs="宋体"/>
                <w:kern w:val="0"/>
                <w:sz w:val="18"/>
                <w:szCs w:val="18"/>
              </w:rPr>
            </w:pPr>
            <w:r>
              <w:rPr>
                <w:rFonts w:hint="eastAsia" w:ascii="宋体" w:hAnsi="宋体" w:cs="宋体"/>
                <w:kern w:val="0"/>
                <w:sz w:val="18"/>
                <w:szCs w:val="18"/>
              </w:rPr>
              <w:t>2028年</w:t>
            </w:r>
          </w:p>
        </w:tc>
        <w:tc>
          <w:tcPr>
            <w:tcW w:w="1392" w:type="dxa"/>
            <w:shd w:val="clear" w:color="auto" w:fill="auto"/>
            <w:vAlign w:val="center"/>
          </w:tcPr>
          <w:p w14:paraId="7F96171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5C2D52B4">
            <w:pPr>
              <w:jc w:val="center"/>
              <w:rPr>
                <w:rFonts w:ascii="宋体" w:hAnsi="宋体" w:cs="宋体"/>
                <w:kern w:val="0"/>
                <w:sz w:val="18"/>
                <w:szCs w:val="18"/>
              </w:rPr>
            </w:pPr>
          </w:p>
        </w:tc>
        <w:tc>
          <w:tcPr>
            <w:tcW w:w="1005" w:type="dxa"/>
            <w:shd w:val="clear" w:color="auto" w:fill="auto"/>
            <w:vAlign w:val="center"/>
          </w:tcPr>
          <w:p w14:paraId="650386C7">
            <w:pPr>
              <w:jc w:val="center"/>
              <w:rPr>
                <w:rFonts w:ascii="宋体" w:hAnsi="宋体" w:cs="宋体"/>
                <w:kern w:val="0"/>
                <w:sz w:val="18"/>
                <w:szCs w:val="18"/>
              </w:rPr>
            </w:pPr>
          </w:p>
        </w:tc>
        <w:tc>
          <w:tcPr>
            <w:tcW w:w="1097" w:type="dxa"/>
            <w:shd w:val="clear" w:color="auto" w:fill="auto"/>
            <w:vAlign w:val="center"/>
          </w:tcPr>
          <w:p w14:paraId="247575B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2,582.43</w:t>
            </w:r>
          </w:p>
        </w:tc>
        <w:tc>
          <w:tcPr>
            <w:tcW w:w="1097" w:type="dxa"/>
            <w:shd w:val="clear" w:color="auto" w:fill="auto"/>
            <w:vAlign w:val="center"/>
          </w:tcPr>
          <w:p w14:paraId="58F6B2B7">
            <w:pPr>
              <w:jc w:val="center"/>
              <w:rPr>
                <w:rFonts w:ascii="宋体" w:hAnsi="宋体" w:cs="宋体"/>
                <w:kern w:val="0"/>
                <w:sz w:val="18"/>
                <w:szCs w:val="18"/>
              </w:rPr>
            </w:pPr>
          </w:p>
        </w:tc>
        <w:tc>
          <w:tcPr>
            <w:tcW w:w="1392" w:type="dxa"/>
            <w:shd w:val="clear" w:color="auto" w:fill="auto"/>
            <w:vAlign w:val="center"/>
          </w:tcPr>
          <w:p w14:paraId="0BABE4E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3581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45B0E70C">
            <w:pPr>
              <w:widowControl/>
              <w:jc w:val="center"/>
              <w:rPr>
                <w:rFonts w:ascii="宋体" w:hAnsi="宋体" w:cs="宋体"/>
                <w:kern w:val="0"/>
                <w:sz w:val="18"/>
                <w:szCs w:val="18"/>
              </w:rPr>
            </w:pPr>
            <w:r>
              <w:rPr>
                <w:rFonts w:hint="eastAsia" w:ascii="宋体" w:hAnsi="宋体" w:cs="宋体"/>
                <w:kern w:val="0"/>
                <w:sz w:val="18"/>
                <w:szCs w:val="18"/>
              </w:rPr>
              <w:t>2029年</w:t>
            </w:r>
          </w:p>
        </w:tc>
        <w:tc>
          <w:tcPr>
            <w:tcW w:w="1392" w:type="dxa"/>
            <w:shd w:val="clear" w:color="auto" w:fill="auto"/>
            <w:vAlign w:val="center"/>
          </w:tcPr>
          <w:p w14:paraId="54BE17D0">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4343E12E">
            <w:pPr>
              <w:jc w:val="center"/>
              <w:rPr>
                <w:rFonts w:ascii="宋体" w:hAnsi="宋体" w:cs="宋体"/>
                <w:kern w:val="0"/>
                <w:sz w:val="18"/>
                <w:szCs w:val="18"/>
              </w:rPr>
            </w:pPr>
          </w:p>
        </w:tc>
        <w:tc>
          <w:tcPr>
            <w:tcW w:w="1005" w:type="dxa"/>
            <w:shd w:val="clear" w:color="auto" w:fill="auto"/>
            <w:vAlign w:val="center"/>
          </w:tcPr>
          <w:p w14:paraId="3F4F18E4">
            <w:pPr>
              <w:jc w:val="center"/>
              <w:rPr>
                <w:rFonts w:ascii="宋体" w:hAnsi="宋体" w:cs="宋体"/>
                <w:kern w:val="0"/>
                <w:sz w:val="18"/>
                <w:szCs w:val="18"/>
              </w:rPr>
            </w:pPr>
          </w:p>
        </w:tc>
        <w:tc>
          <w:tcPr>
            <w:tcW w:w="1097" w:type="dxa"/>
            <w:shd w:val="clear" w:color="auto" w:fill="auto"/>
            <w:vAlign w:val="center"/>
          </w:tcPr>
          <w:p w14:paraId="4334113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2,582.43</w:t>
            </w:r>
          </w:p>
        </w:tc>
        <w:tc>
          <w:tcPr>
            <w:tcW w:w="1097" w:type="dxa"/>
            <w:shd w:val="clear" w:color="auto" w:fill="auto"/>
            <w:vAlign w:val="center"/>
          </w:tcPr>
          <w:p w14:paraId="4CE7B8FE">
            <w:pPr>
              <w:jc w:val="center"/>
              <w:rPr>
                <w:rFonts w:ascii="宋体" w:hAnsi="宋体" w:cs="宋体"/>
                <w:kern w:val="0"/>
                <w:sz w:val="18"/>
                <w:szCs w:val="18"/>
              </w:rPr>
            </w:pPr>
          </w:p>
        </w:tc>
        <w:tc>
          <w:tcPr>
            <w:tcW w:w="1392" w:type="dxa"/>
            <w:shd w:val="clear" w:color="auto" w:fill="auto"/>
            <w:vAlign w:val="center"/>
          </w:tcPr>
          <w:p w14:paraId="423E591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2A85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1127FC01">
            <w:pPr>
              <w:widowControl/>
              <w:jc w:val="center"/>
              <w:rPr>
                <w:rFonts w:ascii="宋体" w:hAnsi="宋体" w:cs="宋体"/>
                <w:kern w:val="0"/>
                <w:sz w:val="18"/>
                <w:szCs w:val="18"/>
              </w:rPr>
            </w:pPr>
            <w:r>
              <w:rPr>
                <w:rFonts w:hint="eastAsia" w:ascii="宋体" w:hAnsi="宋体" w:cs="宋体"/>
                <w:kern w:val="0"/>
                <w:sz w:val="18"/>
                <w:szCs w:val="18"/>
              </w:rPr>
              <w:t>2030年</w:t>
            </w:r>
          </w:p>
        </w:tc>
        <w:tc>
          <w:tcPr>
            <w:tcW w:w="1392" w:type="dxa"/>
            <w:shd w:val="clear" w:color="auto" w:fill="auto"/>
            <w:vAlign w:val="center"/>
          </w:tcPr>
          <w:p w14:paraId="4E4258B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24F4C14A">
            <w:pPr>
              <w:jc w:val="center"/>
              <w:rPr>
                <w:rFonts w:ascii="宋体" w:hAnsi="宋体" w:cs="宋体"/>
                <w:kern w:val="0"/>
                <w:sz w:val="18"/>
                <w:szCs w:val="18"/>
              </w:rPr>
            </w:pPr>
          </w:p>
        </w:tc>
        <w:tc>
          <w:tcPr>
            <w:tcW w:w="1005" w:type="dxa"/>
            <w:shd w:val="clear" w:color="auto" w:fill="auto"/>
            <w:vAlign w:val="center"/>
          </w:tcPr>
          <w:p w14:paraId="765CB823">
            <w:pPr>
              <w:jc w:val="center"/>
              <w:rPr>
                <w:rFonts w:ascii="宋体" w:hAnsi="宋体" w:cs="宋体"/>
                <w:kern w:val="0"/>
                <w:sz w:val="18"/>
                <w:szCs w:val="18"/>
              </w:rPr>
            </w:pPr>
          </w:p>
        </w:tc>
        <w:tc>
          <w:tcPr>
            <w:tcW w:w="1097" w:type="dxa"/>
            <w:shd w:val="clear" w:color="auto" w:fill="auto"/>
            <w:vAlign w:val="center"/>
          </w:tcPr>
          <w:p w14:paraId="79846BC5">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2,582.43</w:t>
            </w:r>
          </w:p>
        </w:tc>
        <w:tc>
          <w:tcPr>
            <w:tcW w:w="1097" w:type="dxa"/>
            <w:shd w:val="clear" w:color="auto" w:fill="auto"/>
            <w:vAlign w:val="center"/>
          </w:tcPr>
          <w:p w14:paraId="45BEDA68">
            <w:pPr>
              <w:jc w:val="center"/>
              <w:rPr>
                <w:rFonts w:ascii="宋体" w:hAnsi="宋体" w:cs="宋体"/>
                <w:kern w:val="0"/>
                <w:sz w:val="18"/>
                <w:szCs w:val="18"/>
              </w:rPr>
            </w:pPr>
          </w:p>
        </w:tc>
        <w:tc>
          <w:tcPr>
            <w:tcW w:w="1392" w:type="dxa"/>
            <w:shd w:val="clear" w:color="auto" w:fill="auto"/>
            <w:vAlign w:val="center"/>
          </w:tcPr>
          <w:p w14:paraId="2BDB029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r>
      <w:tr w14:paraId="66FC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1C40F11C">
            <w:pPr>
              <w:widowControl/>
              <w:jc w:val="center"/>
              <w:rPr>
                <w:rFonts w:ascii="宋体" w:hAnsi="宋体" w:cs="宋体"/>
                <w:kern w:val="0"/>
                <w:sz w:val="18"/>
                <w:szCs w:val="18"/>
              </w:rPr>
            </w:pPr>
            <w:r>
              <w:rPr>
                <w:rFonts w:hint="eastAsia" w:ascii="宋体" w:hAnsi="宋体" w:cs="宋体"/>
                <w:kern w:val="0"/>
                <w:sz w:val="18"/>
                <w:szCs w:val="18"/>
              </w:rPr>
              <w:t>2031年</w:t>
            </w:r>
          </w:p>
        </w:tc>
        <w:tc>
          <w:tcPr>
            <w:tcW w:w="1392" w:type="dxa"/>
            <w:shd w:val="clear" w:color="auto" w:fill="auto"/>
            <w:vAlign w:val="center"/>
          </w:tcPr>
          <w:p w14:paraId="0046E7E5">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67,370.00</w:t>
            </w:r>
          </w:p>
        </w:tc>
        <w:tc>
          <w:tcPr>
            <w:tcW w:w="1097" w:type="dxa"/>
            <w:shd w:val="clear" w:color="auto" w:fill="auto"/>
            <w:vAlign w:val="center"/>
          </w:tcPr>
          <w:p w14:paraId="48DDE840">
            <w:pPr>
              <w:jc w:val="center"/>
              <w:rPr>
                <w:rFonts w:ascii="宋体" w:hAnsi="宋体" w:cs="宋体"/>
                <w:kern w:val="0"/>
                <w:sz w:val="18"/>
                <w:szCs w:val="18"/>
              </w:rPr>
            </w:pPr>
          </w:p>
        </w:tc>
        <w:tc>
          <w:tcPr>
            <w:tcW w:w="1005" w:type="dxa"/>
            <w:shd w:val="clear" w:color="auto" w:fill="auto"/>
            <w:vAlign w:val="center"/>
          </w:tcPr>
          <w:p w14:paraId="3756AE89">
            <w:pPr>
              <w:jc w:val="center"/>
              <w:rPr>
                <w:rFonts w:ascii="宋体" w:hAnsi="宋体" w:cs="宋体"/>
                <w:kern w:val="0"/>
                <w:sz w:val="18"/>
                <w:szCs w:val="18"/>
              </w:rPr>
            </w:pPr>
          </w:p>
        </w:tc>
        <w:tc>
          <w:tcPr>
            <w:tcW w:w="1097" w:type="dxa"/>
            <w:shd w:val="clear" w:color="auto" w:fill="auto"/>
            <w:vAlign w:val="center"/>
          </w:tcPr>
          <w:p w14:paraId="34ED6C0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1,756.22</w:t>
            </w:r>
          </w:p>
        </w:tc>
        <w:tc>
          <w:tcPr>
            <w:tcW w:w="1097" w:type="dxa"/>
            <w:shd w:val="clear" w:color="auto" w:fill="auto"/>
            <w:vAlign w:val="center"/>
          </w:tcPr>
          <w:p w14:paraId="5371BE0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42,370.00</w:t>
            </w:r>
          </w:p>
        </w:tc>
        <w:tc>
          <w:tcPr>
            <w:tcW w:w="1392" w:type="dxa"/>
            <w:shd w:val="clear" w:color="auto" w:fill="auto"/>
            <w:vAlign w:val="center"/>
          </w:tcPr>
          <w:p w14:paraId="2990809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25,000.00</w:t>
            </w:r>
          </w:p>
        </w:tc>
      </w:tr>
      <w:tr w14:paraId="25D8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AA811B5">
            <w:pPr>
              <w:widowControl/>
              <w:jc w:val="center"/>
              <w:rPr>
                <w:rFonts w:ascii="宋体" w:hAnsi="宋体" w:cs="宋体"/>
                <w:kern w:val="0"/>
                <w:sz w:val="18"/>
                <w:szCs w:val="18"/>
              </w:rPr>
            </w:pPr>
            <w:r>
              <w:rPr>
                <w:rFonts w:hint="eastAsia" w:ascii="宋体" w:hAnsi="宋体" w:cs="宋体"/>
                <w:kern w:val="0"/>
                <w:sz w:val="18"/>
                <w:szCs w:val="18"/>
              </w:rPr>
              <w:t>2032年</w:t>
            </w:r>
          </w:p>
        </w:tc>
        <w:tc>
          <w:tcPr>
            <w:tcW w:w="1392" w:type="dxa"/>
            <w:shd w:val="clear" w:color="auto" w:fill="auto"/>
            <w:vAlign w:val="center"/>
          </w:tcPr>
          <w:p w14:paraId="5F95D604">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25,000.00</w:t>
            </w:r>
          </w:p>
        </w:tc>
        <w:tc>
          <w:tcPr>
            <w:tcW w:w="1097" w:type="dxa"/>
            <w:shd w:val="clear" w:color="auto" w:fill="auto"/>
            <w:vAlign w:val="center"/>
          </w:tcPr>
          <w:p w14:paraId="4FD3A1D7">
            <w:pPr>
              <w:jc w:val="center"/>
              <w:rPr>
                <w:rFonts w:ascii="宋体" w:hAnsi="宋体" w:cs="宋体"/>
                <w:kern w:val="0"/>
                <w:sz w:val="18"/>
                <w:szCs w:val="18"/>
              </w:rPr>
            </w:pPr>
          </w:p>
        </w:tc>
        <w:tc>
          <w:tcPr>
            <w:tcW w:w="1005" w:type="dxa"/>
            <w:shd w:val="clear" w:color="auto" w:fill="auto"/>
            <w:vAlign w:val="center"/>
          </w:tcPr>
          <w:p w14:paraId="4CA87053">
            <w:pPr>
              <w:jc w:val="center"/>
              <w:rPr>
                <w:rFonts w:ascii="宋体" w:hAnsi="宋体" w:cs="宋体"/>
                <w:kern w:val="0"/>
                <w:sz w:val="18"/>
                <w:szCs w:val="18"/>
              </w:rPr>
            </w:pPr>
          </w:p>
        </w:tc>
        <w:tc>
          <w:tcPr>
            <w:tcW w:w="1097" w:type="dxa"/>
            <w:shd w:val="clear" w:color="auto" w:fill="auto"/>
            <w:vAlign w:val="center"/>
          </w:tcPr>
          <w:p w14:paraId="3A6C65A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686.25</w:t>
            </w:r>
          </w:p>
        </w:tc>
        <w:tc>
          <w:tcPr>
            <w:tcW w:w="1097" w:type="dxa"/>
            <w:shd w:val="clear" w:color="auto" w:fill="auto"/>
            <w:vAlign w:val="center"/>
          </w:tcPr>
          <w:p w14:paraId="3222A14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392" w:type="dxa"/>
            <w:shd w:val="clear" w:color="auto" w:fill="auto"/>
            <w:vAlign w:val="center"/>
          </w:tcPr>
          <w:p w14:paraId="212FF633">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46BE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4BA10D4E">
            <w:pPr>
              <w:widowControl/>
              <w:jc w:val="center"/>
              <w:rPr>
                <w:rFonts w:ascii="宋体" w:hAnsi="宋体" w:cs="宋体"/>
                <w:kern w:val="0"/>
                <w:sz w:val="18"/>
                <w:szCs w:val="18"/>
              </w:rPr>
            </w:pPr>
            <w:r>
              <w:rPr>
                <w:rFonts w:hint="eastAsia" w:ascii="宋体" w:hAnsi="宋体" w:cs="宋体"/>
                <w:kern w:val="0"/>
                <w:sz w:val="18"/>
                <w:szCs w:val="18"/>
              </w:rPr>
              <w:t>2033年</w:t>
            </w:r>
          </w:p>
        </w:tc>
        <w:tc>
          <w:tcPr>
            <w:tcW w:w="1392" w:type="dxa"/>
            <w:shd w:val="clear" w:color="auto" w:fill="auto"/>
            <w:vAlign w:val="center"/>
          </w:tcPr>
          <w:p w14:paraId="4A4DB66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20AA9A26">
            <w:pPr>
              <w:jc w:val="center"/>
              <w:rPr>
                <w:rFonts w:ascii="宋体" w:hAnsi="宋体" w:cs="宋体"/>
                <w:kern w:val="0"/>
                <w:sz w:val="18"/>
                <w:szCs w:val="18"/>
              </w:rPr>
            </w:pPr>
          </w:p>
        </w:tc>
        <w:tc>
          <w:tcPr>
            <w:tcW w:w="1005" w:type="dxa"/>
            <w:shd w:val="clear" w:color="auto" w:fill="auto"/>
            <w:vAlign w:val="center"/>
          </w:tcPr>
          <w:p w14:paraId="04675610">
            <w:pPr>
              <w:jc w:val="center"/>
              <w:rPr>
                <w:rFonts w:ascii="宋体" w:hAnsi="宋体" w:cs="宋体"/>
                <w:kern w:val="0"/>
                <w:sz w:val="18"/>
                <w:szCs w:val="18"/>
              </w:rPr>
            </w:pPr>
          </w:p>
        </w:tc>
        <w:tc>
          <w:tcPr>
            <w:tcW w:w="1097" w:type="dxa"/>
            <w:shd w:val="clear" w:color="auto" w:fill="auto"/>
            <w:vAlign w:val="center"/>
          </w:tcPr>
          <w:p w14:paraId="01CAE4F3">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099A6421">
            <w:pPr>
              <w:jc w:val="center"/>
              <w:rPr>
                <w:rFonts w:ascii="宋体" w:hAnsi="宋体" w:cs="宋体"/>
                <w:kern w:val="0"/>
                <w:sz w:val="18"/>
                <w:szCs w:val="18"/>
              </w:rPr>
            </w:pPr>
          </w:p>
        </w:tc>
        <w:tc>
          <w:tcPr>
            <w:tcW w:w="1392" w:type="dxa"/>
            <w:shd w:val="clear" w:color="auto" w:fill="auto"/>
            <w:vAlign w:val="center"/>
          </w:tcPr>
          <w:p w14:paraId="5542DF3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746A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46A91AF">
            <w:pPr>
              <w:widowControl/>
              <w:jc w:val="center"/>
              <w:rPr>
                <w:rFonts w:ascii="宋体" w:hAnsi="宋体" w:cs="宋体"/>
                <w:kern w:val="0"/>
                <w:sz w:val="18"/>
                <w:szCs w:val="18"/>
              </w:rPr>
            </w:pPr>
            <w:r>
              <w:rPr>
                <w:rFonts w:hint="eastAsia" w:ascii="宋体" w:hAnsi="宋体" w:cs="宋体"/>
                <w:kern w:val="0"/>
                <w:sz w:val="18"/>
                <w:szCs w:val="18"/>
              </w:rPr>
              <w:t>2034年</w:t>
            </w:r>
          </w:p>
        </w:tc>
        <w:tc>
          <w:tcPr>
            <w:tcW w:w="1392" w:type="dxa"/>
            <w:shd w:val="clear" w:color="auto" w:fill="auto"/>
            <w:vAlign w:val="center"/>
          </w:tcPr>
          <w:p w14:paraId="28D83F4D">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48D4B04A">
            <w:pPr>
              <w:jc w:val="center"/>
              <w:rPr>
                <w:rFonts w:ascii="宋体" w:hAnsi="宋体" w:cs="宋体"/>
                <w:kern w:val="0"/>
                <w:sz w:val="18"/>
                <w:szCs w:val="18"/>
              </w:rPr>
            </w:pPr>
          </w:p>
        </w:tc>
        <w:tc>
          <w:tcPr>
            <w:tcW w:w="1005" w:type="dxa"/>
            <w:shd w:val="clear" w:color="auto" w:fill="auto"/>
            <w:vAlign w:val="center"/>
          </w:tcPr>
          <w:p w14:paraId="20C125F0">
            <w:pPr>
              <w:jc w:val="center"/>
              <w:rPr>
                <w:rFonts w:ascii="宋体" w:hAnsi="宋体" w:cs="宋体"/>
                <w:kern w:val="0"/>
                <w:sz w:val="18"/>
                <w:szCs w:val="18"/>
              </w:rPr>
            </w:pPr>
          </w:p>
        </w:tc>
        <w:tc>
          <w:tcPr>
            <w:tcW w:w="1097" w:type="dxa"/>
            <w:shd w:val="clear" w:color="auto" w:fill="auto"/>
            <w:vAlign w:val="center"/>
          </w:tcPr>
          <w:p w14:paraId="1657891D">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40CD6E1E">
            <w:pPr>
              <w:jc w:val="center"/>
              <w:rPr>
                <w:rFonts w:ascii="宋体" w:hAnsi="宋体" w:cs="宋体"/>
                <w:kern w:val="0"/>
                <w:sz w:val="18"/>
                <w:szCs w:val="18"/>
              </w:rPr>
            </w:pPr>
          </w:p>
        </w:tc>
        <w:tc>
          <w:tcPr>
            <w:tcW w:w="1392" w:type="dxa"/>
            <w:shd w:val="clear" w:color="auto" w:fill="auto"/>
            <w:vAlign w:val="center"/>
          </w:tcPr>
          <w:p w14:paraId="0DF0131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4E55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EEDB628">
            <w:pPr>
              <w:widowControl/>
              <w:jc w:val="center"/>
              <w:rPr>
                <w:rFonts w:ascii="宋体" w:hAnsi="宋体" w:cs="宋体"/>
                <w:kern w:val="0"/>
                <w:sz w:val="18"/>
                <w:szCs w:val="18"/>
              </w:rPr>
            </w:pPr>
            <w:r>
              <w:rPr>
                <w:rFonts w:hint="eastAsia" w:ascii="宋体" w:hAnsi="宋体" w:cs="宋体"/>
                <w:kern w:val="0"/>
                <w:sz w:val="18"/>
                <w:szCs w:val="18"/>
              </w:rPr>
              <w:t>2035年</w:t>
            </w:r>
          </w:p>
        </w:tc>
        <w:tc>
          <w:tcPr>
            <w:tcW w:w="1392" w:type="dxa"/>
            <w:shd w:val="clear" w:color="auto" w:fill="auto"/>
            <w:vAlign w:val="center"/>
          </w:tcPr>
          <w:p w14:paraId="3F429043">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53296C73">
            <w:pPr>
              <w:jc w:val="center"/>
              <w:rPr>
                <w:rFonts w:ascii="宋体" w:hAnsi="宋体" w:cs="宋体"/>
                <w:kern w:val="0"/>
                <w:sz w:val="18"/>
                <w:szCs w:val="18"/>
              </w:rPr>
            </w:pPr>
          </w:p>
        </w:tc>
        <w:tc>
          <w:tcPr>
            <w:tcW w:w="1005" w:type="dxa"/>
            <w:shd w:val="clear" w:color="auto" w:fill="auto"/>
            <w:vAlign w:val="center"/>
          </w:tcPr>
          <w:p w14:paraId="0593C2E9">
            <w:pPr>
              <w:jc w:val="center"/>
              <w:rPr>
                <w:rFonts w:ascii="宋体" w:hAnsi="宋体" w:cs="宋体"/>
                <w:kern w:val="0"/>
                <w:sz w:val="18"/>
                <w:szCs w:val="18"/>
              </w:rPr>
            </w:pPr>
          </w:p>
        </w:tc>
        <w:tc>
          <w:tcPr>
            <w:tcW w:w="1097" w:type="dxa"/>
            <w:shd w:val="clear" w:color="auto" w:fill="auto"/>
            <w:vAlign w:val="center"/>
          </w:tcPr>
          <w:p w14:paraId="724C7EA0">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24CC7F97">
            <w:pPr>
              <w:jc w:val="center"/>
              <w:rPr>
                <w:rFonts w:ascii="宋体" w:hAnsi="宋体" w:cs="宋体"/>
                <w:kern w:val="0"/>
                <w:sz w:val="18"/>
                <w:szCs w:val="18"/>
              </w:rPr>
            </w:pPr>
          </w:p>
        </w:tc>
        <w:tc>
          <w:tcPr>
            <w:tcW w:w="1392" w:type="dxa"/>
            <w:shd w:val="clear" w:color="auto" w:fill="auto"/>
            <w:vAlign w:val="center"/>
          </w:tcPr>
          <w:p w14:paraId="16EA0C3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79AA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2FB47B0">
            <w:pPr>
              <w:widowControl/>
              <w:jc w:val="center"/>
              <w:rPr>
                <w:rFonts w:ascii="宋体" w:hAnsi="宋体" w:cs="宋体"/>
                <w:kern w:val="0"/>
                <w:sz w:val="18"/>
                <w:szCs w:val="18"/>
              </w:rPr>
            </w:pPr>
            <w:r>
              <w:rPr>
                <w:rFonts w:hint="eastAsia" w:ascii="宋体" w:hAnsi="宋体" w:cs="宋体"/>
                <w:kern w:val="0"/>
                <w:sz w:val="18"/>
                <w:szCs w:val="18"/>
              </w:rPr>
              <w:t>2036年</w:t>
            </w:r>
          </w:p>
        </w:tc>
        <w:tc>
          <w:tcPr>
            <w:tcW w:w="1392" w:type="dxa"/>
            <w:shd w:val="clear" w:color="auto" w:fill="auto"/>
            <w:vAlign w:val="center"/>
          </w:tcPr>
          <w:p w14:paraId="4991758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54C8518E">
            <w:pPr>
              <w:jc w:val="center"/>
              <w:rPr>
                <w:rFonts w:ascii="宋体" w:hAnsi="宋体" w:cs="宋体"/>
                <w:kern w:val="0"/>
                <w:sz w:val="18"/>
                <w:szCs w:val="18"/>
              </w:rPr>
            </w:pPr>
          </w:p>
        </w:tc>
        <w:tc>
          <w:tcPr>
            <w:tcW w:w="1005" w:type="dxa"/>
            <w:shd w:val="clear" w:color="auto" w:fill="auto"/>
            <w:vAlign w:val="center"/>
          </w:tcPr>
          <w:p w14:paraId="14098DC5">
            <w:pPr>
              <w:jc w:val="center"/>
              <w:rPr>
                <w:rFonts w:ascii="宋体" w:hAnsi="宋体" w:cs="宋体"/>
                <w:kern w:val="0"/>
                <w:sz w:val="18"/>
                <w:szCs w:val="18"/>
              </w:rPr>
            </w:pPr>
          </w:p>
        </w:tc>
        <w:tc>
          <w:tcPr>
            <w:tcW w:w="1097" w:type="dxa"/>
            <w:shd w:val="clear" w:color="auto" w:fill="auto"/>
            <w:vAlign w:val="center"/>
          </w:tcPr>
          <w:p w14:paraId="7E9FED0D">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2698C23F">
            <w:pPr>
              <w:jc w:val="center"/>
              <w:rPr>
                <w:rFonts w:ascii="宋体" w:hAnsi="宋体" w:cs="宋体"/>
                <w:kern w:val="0"/>
                <w:sz w:val="18"/>
                <w:szCs w:val="18"/>
              </w:rPr>
            </w:pPr>
          </w:p>
        </w:tc>
        <w:tc>
          <w:tcPr>
            <w:tcW w:w="1392" w:type="dxa"/>
            <w:shd w:val="clear" w:color="auto" w:fill="auto"/>
            <w:vAlign w:val="center"/>
          </w:tcPr>
          <w:p w14:paraId="5ACF3235">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6546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1BD62F65">
            <w:pPr>
              <w:widowControl/>
              <w:jc w:val="center"/>
              <w:rPr>
                <w:rFonts w:ascii="宋体" w:hAnsi="宋体" w:cs="宋体"/>
                <w:kern w:val="0"/>
                <w:sz w:val="18"/>
                <w:szCs w:val="18"/>
              </w:rPr>
            </w:pPr>
            <w:r>
              <w:rPr>
                <w:rFonts w:hint="eastAsia" w:ascii="宋体" w:hAnsi="宋体" w:cs="宋体"/>
                <w:kern w:val="0"/>
                <w:sz w:val="18"/>
                <w:szCs w:val="18"/>
              </w:rPr>
              <w:t>2037年</w:t>
            </w:r>
          </w:p>
        </w:tc>
        <w:tc>
          <w:tcPr>
            <w:tcW w:w="1392" w:type="dxa"/>
            <w:shd w:val="clear" w:color="auto" w:fill="auto"/>
            <w:vAlign w:val="center"/>
          </w:tcPr>
          <w:p w14:paraId="56E9268C">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032A1761">
            <w:pPr>
              <w:jc w:val="center"/>
              <w:rPr>
                <w:rFonts w:ascii="宋体" w:hAnsi="宋体" w:cs="宋体"/>
                <w:kern w:val="0"/>
                <w:sz w:val="18"/>
                <w:szCs w:val="18"/>
              </w:rPr>
            </w:pPr>
          </w:p>
        </w:tc>
        <w:tc>
          <w:tcPr>
            <w:tcW w:w="1005" w:type="dxa"/>
            <w:shd w:val="clear" w:color="auto" w:fill="auto"/>
            <w:vAlign w:val="center"/>
          </w:tcPr>
          <w:p w14:paraId="3EE1FDC5">
            <w:pPr>
              <w:jc w:val="center"/>
              <w:rPr>
                <w:rFonts w:ascii="宋体" w:hAnsi="宋体" w:cs="宋体"/>
                <w:kern w:val="0"/>
                <w:sz w:val="18"/>
                <w:szCs w:val="18"/>
              </w:rPr>
            </w:pPr>
          </w:p>
        </w:tc>
        <w:tc>
          <w:tcPr>
            <w:tcW w:w="1097" w:type="dxa"/>
            <w:shd w:val="clear" w:color="auto" w:fill="auto"/>
            <w:vAlign w:val="center"/>
          </w:tcPr>
          <w:p w14:paraId="09C7E9F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35A6FD90">
            <w:pPr>
              <w:jc w:val="center"/>
              <w:rPr>
                <w:rFonts w:ascii="宋体" w:hAnsi="宋体" w:cs="宋体"/>
                <w:kern w:val="0"/>
                <w:sz w:val="18"/>
                <w:szCs w:val="18"/>
              </w:rPr>
            </w:pPr>
          </w:p>
        </w:tc>
        <w:tc>
          <w:tcPr>
            <w:tcW w:w="1392" w:type="dxa"/>
            <w:shd w:val="clear" w:color="auto" w:fill="auto"/>
            <w:vAlign w:val="center"/>
          </w:tcPr>
          <w:p w14:paraId="581B9DD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2783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484A6D1">
            <w:pPr>
              <w:widowControl/>
              <w:jc w:val="center"/>
              <w:rPr>
                <w:rFonts w:ascii="宋体" w:hAnsi="宋体" w:cs="宋体"/>
                <w:kern w:val="0"/>
                <w:sz w:val="18"/>
                <w:szCs w:val="18"/>
              </w:rPr>
            </w:pPr>
            <w:r>
              <w:rPr>
                <w:rFonts w:hint="eastAsia" w:ascii="宋体" w:hAnsi="宋体" w:cs="宋体"/>
                <w:kern w:val="0"/>
                <w:sz w:val="18"/>
                <w:szCs w:val="18"/>
              </w:rPr>
              <w:t>2038年</w:t>
            </w:r>
          </w:p>
        </w:tc>
        <w:tc>
          <w:tcPr>
            <w:tcW w:w="1392" w:type="dxa"/>
            <w:shd w:val="clear" w:color="auto" w:fill="auto"/>
            <w:vAlign w:val="center"/>
          </w:tcPr>
          <w:p w14:paraId="1D9B4CA8">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7866573D">
            <w:pPr>
              <w:jc w:val="center"/>
              <w:rPr>
                <w:rFonts w:ascii="宋体" w:hAnsi="宋体" w:cs="宋体"/>
                <w:kern w:val="0"/>
                <w:sz w:val="18"/>
                <w:szCs w:val="18"/>
              </w:rPr>
            </w:pPr>
          </w:p>
        </w:tc>
        <w:tc>
          <w:tcPr>
            <w:tcW w:w="1005" w:type="dxa"/>
            <w:shd w:val="clear" w:color="auto" w:fill="auto"/>
            <w:vAlign w:val="center"/>
          </w:tcPr>
          <w:p w14:paraId="6E3D18E0">
            <w:pPr>
              <w:jc w:val="center"/>
              <w:rPr>
                <w:rFonts w:ascii="宋体" w:hAnsi="宋体" w:cs="宋体"/>
                <w:kern w:val="0"/>
                <w:sz w:val="18"/>
                <w:szCs w:val="18"/>
              </w:rPr>
            </w:pPr>
          </w:p>
        </w:tc>
        <w:tc>
          <w:tcPr>
            <w:tcW w:w="1097" w:type="dxa"/>
            <w:shd w:val="clear" w:color="auto" w:fill="auto"/>
            <w:vAlign w:val="center"/>
          </w:tcPr>
          <w:p w14:paraId="247CFE5C">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261A88DA">
            <w:pPr>
              <w:jc w:val="center"/>
              <w:rPr>
                <w:rFonts w:ascii="宋体" w:hAnsi="宋体" w:cs="宋体"/>
                <w:kern w:val="0"/>
                <w:sz w:val="18"/>
                <w:szCs w:val="18"/>
              </w:rPr>
            </w:pPr>
          </w:p>
        </w:tc>
        <w:tc>
          <w:tcPr>
            <w:tcW w:w="1392" w:type="dxa"/>
            <w:shd w:val="clear" w:color="auto" w:fill="auto"/>
            <w:vAlign w:val="center"/>
          </w:tcPr>
          <w:p w14:paraId="439B5BD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543E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D6E54AC">
            <w:pPr>
              <w:widowControl/>
              <w:jc w:val="center"/>
              <w:rPr>
                <w:rFonts w:ascii="宋体" w:hAnsi="宋体" w:cs="宋体"/>
                <w:kern w:val="0"/>
                <w:sz w:val="18"/>
                <w:szCs w:val="18"/>
              </w:rPr>
            </w:pPr>
            <w:r>
              <w:rPr>
                <w:rFonts w:hint="eastAsia" w:ascii="宋体" w:hAnsi="宋体" w:cs="宋体"/>
                <w:kern w:val="0"/>
                <w:sz w:val="18"/>
                <w:szCs w:val="18"/>
              </w:rPr>
              <w:t>2039年</w:t>
            </w:r>
          </w:p>
        </w:tc>
        <w:tc>
          <w:tcPr>
            <w:tcW w:w="1392" w:type="dxa"/>
            <w:shd w:val="clear" w:color="auto" w:fill="auto"/>
            <w:vAlign w:val="center"/>
          </w:tcPr>
          <w:p w14:paraId="09E3B5B8">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10803FEA">
            <w:pPr>
              <w:jc w:val="center"/>
              <w:rPr>
                <w:rFonts w:ascii="宋体" w:hAnsi="宋体" w:cs="宋体"/>
                <w:kern w:val="0"/>
                <w:sz w:val="18"/>
                <w:szCs w:val="18"/>
              </w:rPr>
            </w:pPr>
          </w:p>
        </w:tc>
        <w:tc>
          <w:tcPr>
            <w:tcW w:w="1005" w:type="dxa"/>
            <w:shd w:val="clear" w:color="auto" w:fill="auto"/>
            <w:vAlign w:val="center"/>
          </w:tcPr>
          <w:p w14:paraId="2B6AF16D">
            <w:pPr>
              <w:jc w:val="center"/>
              <w:rPr>
                <w:rFonts w:ascii="宋体" w:hAnsi="宋体" w:cs="宋体"/>
                <w:kern w:val="0"/>
                <w:sz w:val="18"/>
                <w:szCs w:val="18"/>
              </w:rPr>
            </w:pPr>
          </w:p>
        </w:tc>
        <w:tc>
          <w:tcPr>
            <w:tcW w:w="1097" w:type="dxa"/>
            <w:shd w:val="clear" w:color="auto" w:fill="auto"/>
            <w:vAlign w:val="center"/>
          </w:tcPr>
          <w:p w14:paraId="00B1F52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5694D306">
            <w:pPr>
              <w:jc w:val="center"/>
              <w:rPr>
                <w:rFonts w:ascii="宋体" w:hAnsi="宋体" w:cs="宋体"/>
                <w:kern w:val="0"/>
                <w:sz w:val="18"/>
                <w:szCs w:val="18"/>
              </w:rPr>
            </w:pPr>
          </w:p>
        </w:tc>
        <w:tc>
          <w:tcPr>
            <w:tcW w:w="1392" w:type="dxa"/>
            <w:shd w:val="clear" w:color="auto" w:fill="auto"/>
            <w:vAlign w:val="center"/>
          </w:tcPr>
          <w:p w14:paraId="12C7154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67CA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EB2470B">
            <w:pPr>
              <w:widowControl/>
              <w:jc w:val="center"/>
              <w:rPr>
                <w:rFonts w:ascii="宋体" w:hAnsi="宋体" w:cs="宋体"/>
                <w:kern w:val="0"/>
                <w:sz w:val="18"/>
                <w:szCs w:val="18"/>
              </w:rPr>
            </w:pPr>
            <w:r>
              <w:rPr>
                <w:rFonts w:hint="eastAsia" w:ascii="宋体" w:hAnsi="宋体" w:cs="宋体"/>
                <w:kern w:val="0"/>
                <w:sz w:val="18"/>
                <w:szCs w:val="18"/>
              </w:rPr>
              <w:t>2040年</w:t>
            </w:r>
          </w:p>
        </w:tc>
        <w:tc>
          <w:tcPr>
            <w:tcW w:w="1392" w:type="dxa"/>
            <w:shd w:val="clear" w:color="auto" w:fill="auto"/>
            <w:vAlign w:val="center"/>
          </w:tcPr>
          <w:p w14:paraId="107DEAC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5064F629">
            <w:pPr>
              <w:jc w:val="center"/>
              <w:rPr>
                <w:rFonts w:ascii="宋体" w:hAnsi="宋体" w:cs="宋体"/>
                <w:kern w:val="0"/>
                <w:sz w:val="18"/>
                <w:szCs w:val="18"/>
              </w:rPr>
            </w:pPr>
          </w:p>
        </w:tc>
        <w:tc>
          <w:tcPr>
            <w:tcW w:w="1005" w:type="dxa"/>
            <w:shd w:val="clear" w:color="auto" w:fill="auto"/>
            <w:vAlign w:val="center"/>
          </w:tcPr>
          <w:p w14:paraId="3728F4B5">
            <w:pPr>
              <w:jc w:val="center"/>
              <w:rPr>
                <w:rFonts w:ascii="宋体" w:hAnsi="宋体" w:cs="宋体"/>
                <w:kern w:val="0"/>
                <w:sz w:val="18"/>
                <w:szCs w:val="18"/>
              </w:rPr>
            </w:pPr>
          </w:p>
        </w:tc>
        <w:tc>
          <w:tcPr>
            <w:tcW w:w="1097" w:type="dxa"/>
            <w:shd w:val="clear" w:color="auto" w:fill="auto"/>
            <w:vAlign w:val="center"/>
          </w:tcPr>
          <w:p w14:paraId="11842F4B">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75D99CE0">
            <w:pPr>
              <w:jc w:val="center"/>
              <w:rPr>
                <w:rFonts w:ascii="宋体" w:hAnsi="宋体" w:cs="宋体"/>
                <w:kern w:val="0"/>
                <w:sz w:val="18"/>
                <w:szCs w:val="18"/>
              </w:rPr>
            </w:pPr>
          </w:p>
        </w:tc>
        <w:tc>
          <w:tcPr>
            <w:tcW w:w="1392" w:type="dxa"/>
            <w:shd w:val="clear" w:color="auto" w:fill="auto"/>
            <w:vAlign w:val="center"/>
          </w:tcPr>
          <w:p w14:paraId="0D1663A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722A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6EEF803">
            <w:pPr>
              <w:widowControl/>
              <w:jc w:val="center"/>
              <w:rPr>
                <w:rFonts w:ascii="宋体" w:hAnsi="宋体" w:cs="宋体"/>
                <w:kern w:val="0"/>
                <w:sz w:val="18"/>
                <w:szCs w:val="18"/>
              </w:rPr>
            </w:pPr>
            <w:r>
              <w:rPr>
                <w:rFonts w:hint="eastAsia" w:ascii="宋体" w:hAnsi="宋体" w:cs="宋体"/>
                <w:kern w:val="0"/>
                <w:sz w:val="18"/>
                <w:szCs w:val="18"/>
              </w:rPr>
              <w:t>2041年</w:t>
            </w:r>
          </w:p>
        </w:tc>
        <w:tc>
          <w:tcPr>
            <w:tcW w:w="1392" w:type="dxa"/>
            <w:shd w:val="clear" w:color="auto" w:fill="auto"/>
            <w:vAlign w:val="center"/>
          </w:tcPr>
          <w:p w14:paraId="2DE6FD9C">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6E59D726">
            <w:pPr>
              <w:jc w:val="center"/>
              <w:rPr>
                <w:rFonts w:ascii="宋体" w:hAnsi="宋体" w:cs="宋体"/>
                <w:kern w:val="0"/>
                <w:sz w:val="18"/>
                <w:szCs w:val="18"/>
              </w:rPr>
            </w:pPr>
          </w:p>
        </w:tc>
        <w:tc>
          <w:tcPr>
            <w:tcW w:w="1005" w:type="dxa"/>
            <w:shd w:val="clear" w:color="auto" w:fill="auto"/>
            <w:vAlign w:val="center"/>
          </w:tcPr>
          <w:p w14:paraId="156E93AC">
            <w:pPr>
              <w:jc w:val="center"/>
              <w:rPr>
                <w:rFonts w:ascii="宋体" w:hAnsi="宋体" w:cs="宋体"/>
                <w:kern w:val="0"/>
                <w:sz w:val="18"/>
                <w:szCs w:val="18"/>
              </w:rPr>
            </w:pPr>
          </w:p>
        </w:tc>
        <w:tc>
          <w:tcPr>
            <w:tcW w:w="1097" w:type="dxa"/>
            <w:shd w:val="clear" w:color="auto" w:fill="auto"/>
            <w:vAlign w:val="center"/>
          </w:tcPr>
          <w:p w14:paraId="22331A4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7DA86668">
            <w:pPr>
              <w:jc w:val="center"/>
              <w:rPr>
                <w:rFonts w:ascii="宋体" w:hAnsi="宋体" w:cs="宋体"/>
                <w:kern w:val="0"/>
                <w:sz w:val="18"/>
                <w:szCs w:val="18"/>
              </w:rPr>
            </w:pPr>
          </w:p>
        </w:tc>
        <w:tc>
          <w:tcPr>
            <w:tcW w:w="1392" w:type="dxa"/>
            <w:shd w:val="clear" w:color="auto" w:fill="auto"/>
            <w:vAlign w:val="center"/>
          </w:tcPr>
          <w:p w14:paraId="15C48BD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1494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65EDA77C">
            <w:pPr>
              <w:widowControl/>
              <w:jc w:val="center"/>
              <w:rPr>
                <w:rFonts w:ascii="宋体" w:hAnsi="宋体" w:cs="宋体"/>
                <w:kern w:val="0"/>
                <w:sz w:val="18"/>
                <w:szCs w:val="18"/>
              </w:rPr>
            </w:pPr>
            <w:r>
              <w:rPr>
                <w:rFonts w:hint="eastAsia" w:ascii="宋体" w:hAnsi="宋体" w:cs="宋体"/>
                <w:kern w:val="0"/>
                <w:sz w:val="18"/>
                <w:szCs w:val="18"/>
              </w:rPr>
              <w:t>2042年</w:t>
            </w:r>
          </w:p>
        </w:tc>
        <w:tc>
          <w:tcPr>
            <w:tcW w:w="1392" w:type="dxa"/>
            <w:shd w:val="clear" w:color="auto" w:fill="auto"/>
            <w:vAlign w:val="center"/>
          </w:tcPr>
          <w:p w14:paraId="50D798A4">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21F10899">
            <w:pPr>
              <w:jc w:val="center"/>
              <w:rPr>
                <w:rFonts w:ascii="宋体" w:hAnsi="宋体" w:cs="宋体"/>
                <w:kern w:val="0"/>
                <w:sz w:val="18"/>
                <w:szCs w:val="18"/>
              </w:rPr>
            </w:pPr>
          </w:p>
        </w:tc>
        <w:tc>
          <w:tcPr>
            <w:tcW w:w="1005" w:type="dxa"/>
            <w:shd w:val="clear" w:color="auto" w:fill="auto"/>
            <w:vAlign w:val="center"/>
          </w:tcPr>
          <w:p w14:paraId="5974CBC1">
            <w:pPr>
              <w:jc w:val="center"/>
              <w:rPr>
                <w:rFonts w:ascii="宋体" w:hAnsi="宋体" w:cs="宋体"/>
                <w:kern w:val="0"/>
                <w:sz w:val="18"/>
                <w:szCs w:val="18"/>
              </w:rPr>
            </w:pPr>
          </w:p>
        </w:tc>
        <w:tc>
          <w:tcPr>
            <w:tcW w:w="1097" w:type="dxa"/>
            <w:shd w:val="clear" w:color="auto" w:fill="auto"/>
            <w:vAlign w:val="center"/>
          </w:tcPr>
          <w:p w14:paraId="27EF87C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4181E930">
            <w:pPr>
              <w:jc w:val="center"/>
              <w:rPr>
                <w:rFonts w:ascii="宋体" w:hAnsi="宋体" w:cs="宋体"/>
                <w:kern w:val="0"/>
                <w:sz w:val="18"/>
                <w:szCs w:val="18"/>
              </w:rPr>
            </w:pPr>
          </w:p>
        </w:tc>
        <w:tc>
          <w:tcPr>
            <w:tcW w:w="1392" w:type="dxa"/>
            <w:shd w:val="clear" w:color="auto" w:fill="auto"/>
            <w:vAlign w:val="center"/>
          </w:tcPr>
          <w:p w14:paraId="742E644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7B96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724DB66F">
            <w:pPr>
              <w:widowControl/>
              <w:jc w:val="center"/>
              <w:rPr>
                <w:rFonts w:ascii="宋体" w:hAnsi="宋体" w:cs="宋体"/>
                <w:kern w:val="0"/>
                <w:sz w:val="18"/>
                <w:szCs w:val="18"/>
              </w:rPr>
            </w:pPr>
            <w:r>
              <w:rPr>
                <w:rFonts w:hint="eastAsia" w:ascii="宋体" w:hAnsi="宋体" w:cs="宋体"/>
                <w:kern w:val="0"/>
                <w:sz w:val="18"/>
                <w:szCs w:val="18"/>
              </w:rPr>
              <w:t>2043年</w:t>
            </w:r>
          </w:p>
        </w:tc>
        <w:tc>
          <w:tcPr>
            <w:tcW w:w="1392" w:type="dxa"/>
            <w:shd w:val="clear" w:color="auto" w:fill="auto"/>
            <w:vAlign w:val="center"/>
          </w:tcPr>
          <w:p w14:paraId="0F651D23">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3C99997D">
            <w:pPr>
              <w:jc w:val="center"/>
              <w:rPr>
                <w:rFonts w:ascii="宋体" w:hAnsi="宋体" w:cs="宋体"/>
                <w:kern w:val="0"/>
                <w:sz w:val="18"/>
                <w:szCs w:val="18"/>
              </w:rPr>
            </w:pPr>
          </w:p>
        </w:tc>
        <w:tc>
          <w:tcPr>
            <w:tcW w:w="1005" w:type="dxa"/>
            <w:shd w:val="clear" w:color="auto" w:fill="auto"/>
            <w:vAlign w:val="center"/>
          </w:tcPr>
          <w:p w14:paraId="22A30A74">
            <w:pPr>
              <w:jc w:val="center"/>
              <w:rPr>
                <w:rFonts w:ascii="宋体" w:hAnsi="宋体" w:cs="宋体"/>
                <w:kern w:val="0"/>
                <w:sz w:val="18"/>
                <w:szCs w:val="18"/>
              </w:rPr>
            </w:pPr>
          </w:p>
        </w:tc>
        <w:tc>
          <w:tcPr>
            <w:tcW w:w="1097" w:type="dxa"/>
            <w:shd w:val="clear" w:color="auto" w:fill="auto"/>
            <w:vAlign w:val="center"/>
          </w:tcPr>
          <w:p w14:paraId="232C714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0B8B0ACC">
            <w:pPr>
              <w:jc w:val="center"/>
              <w:rPr>
                <w:rFonts w:ascii="宋体" w:hAnsi="宋体" w:cs="宋体"/>
                <w:kern w:val="0"/>
                <w:sz w:val="18"/>
                <w:szCs w:val="18"/>
              </w:rPr>
            </w:pPr>
          </w:p>
        </w:tc>
        <w:tc>
          <w:tcPr>
            <w:tcW w:w="1392" w:type="dxa"/>
            <w:shd w:val="clear" w:color="auto" w:fill="auto"/>
            <w:vAlign w:val="center"/>
          </w:tcPr>
          <w:p w14:paraId="1C02FF7C">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2997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7182EE0A">
            <w:pPr>
              <w:widowControl/>
              <w:jc w:val="center"/>
              <w:rPr>
                <w:rFonts w:ascii="宋体" w:hAnsi="宋体" w:cs="宋体"/>
                <w:kern w:val="0"/>
                <w:sz w:val="18"/>
                <w:szCs w:val="18"/>
              </w:rPr>
            </w:pPr>
            <w:r>
              <w:rPr>
                <w:rFonts w:hint="eastAsia" w:ascii="宋体" w:hAnsi="宋体" w:cs="宋体"/>
                <w:kern w:val="0"/>
                <w:sz w:val="18"/>
                <w:szCs w:val="18"/>
              </w:rPr>
              <w:t>2044年</w:t>
            </w:r>
          </w:p>
        </w:tc>
        <w:tc>
          <w:tcPr>
            <w:tcW w:w="1392" w:type="dxa"/>
            <w:shd w:val="clear" w:color="auto" w:fill="auto"/>
            <w:vAlign w:val="center"/>
          </w:tcPr>
          <w:p w14:paraId="7DD6C84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6289D87B">
            <w:pPr>
              <w:jc w:val="center"/>
              <w:rPr>
                <w:rFonts w:ascii="宋体" w:hAnsi="宋体" w:cs="宋体"/>
                <w:kern w:val="0"/>
                <w:sz w:val="18"/>
                <w:szCs w:val="18"/>
              </w:rPr>
            </w:pPr>
          </w:p>
        </w:tc>
        <w:tc>
          <w:tcPr>
            <w:tcW w:w="1005" w:type="dxa"/>
            <w:shd w:val="clear" w:color="auto" w:fill="auto"/>
            <w:vAlign w:val="center"/>
          </w:tcPr>
          <w:p w14:paraId="18154839">
            <w:pPr>
              <w:jc w:val="center"/>
              <w:rPr>
                <w:rFonts w:ascii="宋体" w:hAnsi="宋体" w:cs="宋体"/>
                <w:kern w:val="0"/>
                <w:sz w:val="18"/>
                <w:szCs w:val="18"/>
              </w:rPr>
            </w:pPr>
          </w:p>
        </w:tc>
        <w:tc>
          <w:tcPr>
            <w:tcW w:w="1097" w:type="dxa"/>
            <w:shd w:val="clear" w:color="auto" w:fill="auto"/>
            <w:vAlign w:val="center"/>
          </w:tcPr>
          <w:p w14:paraId="22749557">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3424DC22">
            <w:pPr>
              <w:jc w:val="center"/>
              <w:rPr>
                <w:rFonts w:ascii="宋体" w:hAnsi="宋体" w:cs="宋体"/>
                <w:kern w:val="0"/>
                <w:sz w:val="18"/>
                <w:szCs w:val="18"/>
              </w:rPr>
            </w:pPr>
          </w:p>
        </w:tc>
        <w:tc>
          <w:tcPr>
            <w:tcW w:w="1392" w:type="dxa"/>
            <w:shd w:val="clear" w:color="auto" w:fill="auto"/>
            <w:vAlign w:val="center"/>
          </w:tcPr>
          <w:p w14:paraId="7ED746E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5E99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2166FDD7">
            <w:pPr>
              <w:widowControl/>
              <w:jc w:val="center"/>
              <w:rPr>
                <w:rFonts w:ascii="宋体" w:hAnsi="宋体" w:cs="宋体"/>
                <w:kern w:val="0"/>
                <w:sz w:val="18"/>
                <w:szCs w:val="18"/>
              </w:rPr>
            </w:pPr>
            <w:r>
              <w:rPr>
                <w:rFonts w:hint="eastAsia" w:ascii="宋体" w:hAnsi="宋体" w:cs="宋体"/>
                <w:kern w:val="0"/>
                <w:sz w:val="18"/>
                <w:szCs w:val="18"/>
              </w:rPr>
              <w:t>2045年</w:t>
            </w:r>
          </w:p>
        </w:tc>
        <w:tc>
          <w:tcPr>
            <w:tcW w:w="1392" w:type="dxa"/>
            <w:shd w:val="clear" w:color="auto" w:fill="auto"/>
            <w:vAlign w:val="center"/>
          </w:tcPr>
          <w:p w14:paraId="20B04E85">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4C3CF3D9">
            <w:pPr>
              <w:jc w:val="center"/>
              <w:rPr>
                <w:rFonts w:ascii="宋体" w:hAnsi="宋体" w:cs="宋体"/>
                <w:kern w:val="0"/>
                <w:sz w:val="18"/>
                <w:szCs w:val="18"/>
              </w:rPr>
            </w:pPr>
          </w:p>
        </w:tc>
        <w:tc>
          <w:tcPr>
            <w:tcW w:w="1005" w:type="dxa"/>
            <w:shd w:val="clear" w:color="auto" w:fill="auto"/>
            <w:vAlign w:val="center"/>
          </w:tcPr>
          <w:p w14:paraId="6C1C36BB">
            <w:pPr>
              <w:jc w:val="center"/>
              <w:rPr>
                <w:rFonts w:ascii="宋体" w:hAnsi="宋体" w:cs="宋体"/>
                <w:kern w:val="0"/>
                <w:sz w:val="18"/>
                <w:szCs w:val="18"/>
              </w:rPr>
            </w:pPr>
          </w:p>
        </w:tc>
        <w:tc>
          <w:tcPr>
            <w:tcW w:w="1097" w:type="dxa"/>
            <w:shd w:val="clear" w:color="auto" w:fill="auto"/>
            <w:vAlign w:val="center"/>
          </w:tcPr>
          <w:p w14:paraId="0D5666B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61D418D7">
            <w:pPr>
              <w:jc w:val="center"/>
              <w:rPr>
                <w:rFonts w:ascii="宋体" w:hAnsi="宋体" w:cs="宋体"/>
                <w:kern w:val="0"/>
                <w:sz w:val="18"/>
                <w:szCs w:val="18"/>
              </w:rPr>
            </w:pPr>
          </w:p>
        </w:tc>
        <w:tc>
          <w:tcPr>
            <w:tcW w:w="1392" w:type="dxa"/>
            <w:shd w:val="clear" w:color="auto" w:fill="auto"/>
            <w:vAlign w:val="center"/>
          </w:tcPr>
          <w:p w14:paraId="58C537B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6C55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35E3CCD2">
            <w:pPr>
              <w:widowControl/>
              <w:jc w:val="center"/>
              <w:rPr>
                <w:rFonts w:ascii="宋体" w:hAnsi="宋体" w:cs="宋体"/>
                <w:kern w:val="0"/>
                <w:sz w:val="18"/>
                <w:szCs w:val="18"/>
              </w:rPr>
            </w:pPr>
            <w:r>
              <w:rPr>
                <w:rFonts w:hint="eastAsia" w:ascii="宋体" w:hAnsi="宋体" w:cs="宋体"/>
                <w:kern w:val="0"/>
                <w:sz w:val="18"/>
                <w:szCs w:val="18"/>
              </w:rPr>
              <w:t>2046年</w:t>
            </w:r>
          </w:p>
        </w:tc>
        <w:tc>
          <w:tcPr>
            <w:tcW w:w="1392" w:type="dxa"/>
            <w:shd w:val="clear" w:color="auto" w:fill="auto"/>
            <w:vAlign w:val="center"/>
          </w:tcPr>
          <w:p w14:paraId="3BE2FAE0">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4C28E990">
            <w:pPr>
              <w:jc w:val="center"/>
              <w:rPr>
                <w:rFonts w:ascii="宋体" w:hAnsi="宋体" w:cs="宋体"/>
                <w:kern w:val="0"/>
                <w:sz w:val="18"/>
                <w:szCs w:val="18"/>
              </w:rPr>
            </w:pPr>
          </w:p>
        </w:tc>
        <w:tc>
          <w:tcPr>
            <w:tcW w:w="1005" w:type="dxa"/>
            <w:shd w:val="clear" w:color="auto" w:fill="auto"/>
            <w:vAlign w:val="center"/>
          </w:tcPr>
          <w:p w14:paraId="7209F099">
            <w:pPr>
              <w:jc w:val="center"/>
              <w:rPr>
                <w:rFonts w:ascii="宋体" w:hAnsi="宋体" w:cs="宋体"/>
                <w:kern w:val="0"/>
                <w:sz w:val="18"/>
                <w:szCs w:val="18"/>
              </w:rPr>
            </w:pPr>
          </w:p>
        </w:tc>
        <w:tc>
          <w:tcPr>
            <w:tcW w:w="1097" w:type="dxa"/>
            <w:shd w:val="clear" w:color="auto" w:fill="auto"/>
            <w:vAlign w:val="center"/>
          </w:tcPr>
          <w:p w14:paraId="6C288A00">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7060C929">
            <w:pPr>
              <w:jc w:val="center"/>
              <w:rPr>
                <w:rFonts w:ascii="宋体" w:hAnsi="宋体" w:cs="宋体"/>
                <w:kern w:val="0"/>
                <w:sz w:val="18"/>
                <w:szCs w:val="18"/>
              </w:rPr>
            </w:pPr>
          </w:p>
        </w:tc>
        <w:tc>
          <w:tcPr>
            <w:tcW w:w="1392" w:type="dxa"/>
            <w:shd w:val="clear" w:color="auto" w:fill="auto"/>
            <w:vAlign w:val="center"/>
          </w:tcPr>
          <w:p w14:paraId="2827ECD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72E2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48AF7F64">
            <w:pPr>
              <w:widowControl/>
              <w:jc w:val="center"/>
              <w:rPr>
                <w:rFonts w:ascii="宋体" w:hAnsi="宋体" w:cs="宋体"/>
                <w:kern w:val="0"/>
                <w:sz w:val="18"/>
                <w:szCs w:val="18"/>
              </w:rPr>
            </w:pPr>
            <w:r>
              <w:rPr>
                <w:rFonts w:hint="eastAsia" w:ascii="宋体" w:hAnsi="宋体" w:cs="宋体"/>
                <w:kern w:val="0"/>
                <w:sz w:val="18"/>
                <w:szCs w:val="18"/>
              </w:rPr>
              <w:t>2047年</w:t>
            </w:r>
          </w:p>
        </w:tc>
        <w:tc>
          <w:tcPr>
            <w:tcW w:w="1392" w:type="dxa"/>
            <w:shd w:val="clear" w:color="auto" w:fill="auto"/>
            <w:vAlign w:val="center"/>
          </w:tcPr>
          <w:p w14:paraId="797C0C6D">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6A413B69">
            <w:pPr>
              <w:jc w:val="center"/>
              <w:rPr>
                <w:rFonts w:ascii="宋体" w:hAnsi="宋体" w:cs="宋体"/>
                <w:kern w:val="0"/>
                <w:sz w:val="18"/>
                <w:szCs w:val="18"/>
              </w:rPr>
            </w:pPr>
          </w:p>
        </w:tc>
        <w:tc>
          <w:tcPr>
            <w:tcW w:w="1005" w:type="dxa"/>
            <w:shd w:val="clear" w:color="auto" w:fill="auto"/>
            <w:vAlign w:val="center"/>
          </w:tcPr>
          <w:p w14:paraId="7DE446E0">
            <w:pPr>
              <w:jc w:val="center"/>
              <w:rPr>
                <w:rFonts w:ascii="宋体" w:hAnsi="宋体" w:cs="宋体"/>
                <w:kern w:val="0"/>
                <w:sz w:val="18"/>
                <w:szCs w:val="18"/>
              </w:rPr>
            </w:pPr>
          </w:p>
        </w:tc>
        <w:tc>
          <w:tcPr>
            <w:tcW w:w="1097" w:type="dxa"/>
            <w:shd w:val="clear" w:color="auto" w:fill="auto"/>
            <w:vAlign w:val="center"/>
          </w:tcPr>
          <w:p w14:paraId="6AD847C1">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1B47904E">
            <w:pPr>
              <w:jc w:val="center"/>
              <w:rPr>
                <w:rFonts w:ascii="宋体" w:hAnsi="宋体" w:cs="宋体"/>
                <w:kern w:val="0"/>
                <w:sz w:val="18"/>
                <w:szCs w:val="18"/>
              </w:rPr>
            </w:pPr>
          </w:p>
        </w:tc>
        <w:tc>
          <w:tcPr>
            <w:tcW w:w="1392" w:type="dxa"/>
            <w:shd w:val="clear" w:color="auto" w:fill="auto"/>
            <w:vAlign w:val="center"/>
          </w:tcPr>
          <w:p w14:paraId="7373CF74">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6B33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383C16B5">
            <w:pPr>
              <w:widowControl/>
              <w:jc w:val="center"/>
              <w:rPr>
                <w:rFonts w:ascii="宋体" w:hAnsi="宋体" w:cs="宋体"/>
                <w:kern w:val="0"/>
                <w:sz w:val="18"/>
                <w:szCs w:val="18"/>
              </w:rPr>
            </w:pPr>
            <w:r>
              <w:rPr>
                <w:rFonts w:hint="eastAsia" w:ascii="宋体" w:hAnsi="宋体" w:cs="宋体"/>
                <w:kern w:val="0"/>
                <w:sz w:val="18"/>
                <w:szCs w:val="18"/>
              </w:rPr>
              <w:t>2048年</w:t>
            </w:r>
          </w:p>
        </w:tc>
        <w:tc>
          <w:tcPr>
            <w:tcW w:w="1392" w:type="dxa"/>
            <w:shd w:val="clear" w:color="auto" w:fill="auto"/>
            <w:vAlign w:val="center"/>
          </w:tcPr>
          <w:p w14:paraId="1B4A126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1B801BCD">
            <w:pPr>
              <w:jc w:val="center"/>
              <w:rPr>
                <w:rFonts w:ascii="宋体" w:hAnsi="宋体" w:cs="宋体"/>
                <w:kern w:val="0"/>
                <w:sz w:val="18"/>
                <w:szCs w:val="18"/>
              </w:rPr>
            </w:pPr>
          </w:p>
        </w:tc>
        <w:tc>
          <w:tcPr>
            <w:tcW w:w="1005" w:type="dxa"/>
            <w:shd w:val="clear" w:color="auto" w:fill="auto"/>
            <w:vAlign w:val="center"/>
          </w:tcPr>
          <w:p w14:paraId="7796EFA0">
            <w:pPr>
              <w:jc w:val="center"/>
              <w:rPr>
                <w:rFonts w:ascii="宋体" w:hAnsi="宋体" w:cs="宋体"/>
                <w:kern w:val="0"/>
                <w:sz w:val="18"/>
                <w:szCs w:val="18"/>
              </w:rPr>
            </w:pPr>
          </w:p>
        </w:tc>
        <w:tc>
          <w:tcPr>
            <w:tcW w:w="1097" w:type="dxa"/>
            <w:shd w:val="clear" w:color="auto" w:fill="auto"/>
            <w:vAlign w:val="center"/>
          </w:tcPr>
          <w:p w14:paraId="4FD804B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60FE68A3">
            <w:pPr>
              <w:jc w:val="center"/>
              <w:rPr>
                <w:rFonts w:ascii="宋体" w:hAnsi="宋体" w:cs="宋体"/>
                <w:kern w:val="0"/>
                <w:sz w:val="18"/>
                <w:szCs w:val="18"/>
              </w:rPr>
            </w:pPr>
          </w:p>
        </w:tc>
        <w:tc>
          <w:tcPr>
            <w:tcW w:w="1392" w:type="dxa"/>
            <w:shd w:val="clear" w:color="auto" w:fill="auto"/>
            <w:vAlign w:val="center"/>
          </w:tcPr>
          <w:p w14:paraId="6C2DFE26">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6F1E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07A7C0D1">
            <w:pPr>
              <w:widowControl/>
              <w:jc w:val="center"/>
              <w:rPr>
                <w:rFonts w:ascii="宋体" w:hAnsi="宋体" w:cs="宋体"/>
                <w:kern w:val="0"/>
                <w:sz w:val="18"/>
                <w:szCs w:val="18"/>
              </w:rPr>
            </w:pPr>
            <w:r>
              <w:rPr>
                <w:rFonts w:hint="eastAsia" w:ascii="宋体" w:hAnsi="宋体" w:cs="宋体"/>
                <w:kern w:val="0"/>
                <w:sz w:val="18"/>
                <w:szCs w:val="18"/>
              </w:rPr>
              <w:t>2049年</w:t>
            </w:r>
          </w:p>
        </w:tc>
        <w:tc>
          <w:tcPr>
            <w:tcW w:w="1392" w:type="dxa"/>
            <w:shd w:val="clear" w:color="auto" w:fill="auto"/>
            <w:vAlign w:val="center"/>
          </w:tcPr>
          <w:p w14:paraId="292EF81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0ECAD1B9">
            <w:pPr>
              <w:jc w:val="center"/>
              <w:rPr>
                <w:rFonts w:ascii="宋体" w:hAnsi="宋体" w:cs="宋体"/>
                <w:kern w:val="0"/>
                <w:sz w:val="18"/>
                <w:szCs w:val="18"/>
              </w:rPr>
            </w:pPr>
          </w:p>
        </w:tc>
        <w:tc>
          <w:tcPr>
            <w:tcW w:w="1005" w:type="dxa"/>
            <w:shd w:val="clear" w:color="auto" w:fill="auto"/>
            <w:vAlign w:val="center"/>
          </w:tcPr>
          <w:p w14:paraId="2D3A988A">
            <w:pPr>
              <w:jc w:val="center"/>
              <w:rPr>
                <w:rFonts w:ascii="宋体" w:hAnsi="宋体" w:cs="宋体"/>
                <w:kern w:val="0"/>
                <w:sz w:val="18"/>
                <w:szCs w:val="18"/>
              </w:rPr>
            </w:pPr>
          </w:p>
        </w:tc>
        <w:tc>
          <w:tcPr>
            <w:tcW w:w="1097" w:type="dxa"/>
            <w:shd w:val="clear" w:color="auto" w:fill="auto"/>
            <w:vAlign w:val="center"/>
          </w:tcPr>
          <w:p w14:paraId="1558D878">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4E73CA81">
            <w:pPr>
              <w:jc w:val="center"/>
              <w:rPr>
                <w:rFonts w:ascii="宋体" w:hAnsi="宋体" w:cs="宋体"/>
                <w:kern w:val="0"/>
                <w:sz w:val="18"/>
                <w:szCs w:val="18"/>
              </w:rPr>
            </w:pPr>
          </w:p>
        </w:tc>
        <w:tc>
          <w:tcPr>
            <w:tcW w:w="1392" w:type="dxa"/>
            <w:shd w:val="clear" w:color="auto" w:fill="auto"/>
            <w:vAlign w:val="center"/>
          </w:tcPr>
          <w:p w14:paraId="56201A5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533B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42363D4D">
            <w:pPr>
              <w:widowControl/>
              <w:jc w:val="center"/>
              <w:rPr>
                <w:rFonts w:ascii="宋体" w:hAnsi="宋体" w:cs="宋体"/>
                <w:kern w:val="0"/>
                <w:sz w:val="18"/>
                <w:szCs w:val="18"/>
              </w:rPr>
            </w:pPr>
            <w:r>
              <w:rPr>
                <w:rFonts w:hint="eastAsia" w:ascii="宋体" w:hAnsi="宋体" w:cs="宋体"/>
                <w:kern w:val="0"/>
                <w:sz w:val="18"/>
                <w:szCs w:val="18"/>
              </w:rPr>
              <w:t>2050年</w:t>
            </w:r>
          </w:p>
        </w:tc>
        <w:tc>
          <w:tcPr>
            <w:tcW w:w="1392" w:type="dxa"/>
            <w:shd w:val="clear" w:color="auto" w:fill="auto"/>
            <w:vAlign w:val="center"/>
          </w:tcPr>
          <w:p w14:paraId="337A2929">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089708C8">
            <w:pPr>
              <w:jc w:val="center"/>
              <w:rPr>
                <w:rFonts w:ascii="宋体" w:hAnsi="宋体" w:cs="宋体"/>
                <w:kern w:val="0"/>
                <w:sz w:val="18"/>
                <w:szCs w:val="18"/>
              </w:rPr>
            </w:pPr>
          </w:p>
        </w:tc>
        <w:tc>
          <w:tcPr>
            <w:tcW w:w="1005" w:type="dxa"/>
            <w:shd w:val="clear" w:color="auto" w:fill="auto"/>
            <w:vAlign w:val="center"/>
          </w:tcPr>
          <w:p w14:paraId="7B5E1DBB">
            <w:pPr>
              <w:jc w:val="center"/>
              <w:rPr>
                <w:rFonts w:ascii="宋体" w:hAnsi="宋体" w:cs="宋体"/>
                <w:kern w:val="0"/>
                <w:sz w:val="18"/>
                <w:szCs w:val="18"/>
              </w:rPr>
            </w:pPr>
          </w:p>
        </w:tc>
        <w:tc>
          <w:tcPr>
            <w:tcW w:w="1097" w:type="dxa"/>
            <w:shd w:val="clear" w:color="auto" w:fill="auto"/>
            <w:vAlign w:val="center"/>
          </w:tcPr>
          <w:p w14:paraId="1C61C05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50054E46">
            <w:pPr>
              <w:jc w:val="center"/>
              <w:rPr>
                <w:rFonts w:ascii="宋体" w:hAnsi="宋体" w:cs="宋体"/>
                <w:kern w:val="0"/>
                <w:sz w:val="18"/>
                <w:szCs w:val="18"/>
              </w:rPr>
            </w:pPr>
          </w:p>
        </w:tc>
        <w:tc>
          <w:tcPr>
            <w:tcW w:w="1392" w:type="dxa"/>
            <w:shd w:val="clear" w:color="auto" w:fill="auto"/>
            <w:vAlign w:val="center"/>
          </w:tcPr>
          <w:p w14:paraId="4D5C635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4973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2F8903AE">
            <w:pPr>
              <w:widowControl/>
              <w:jc w:val="center"/>
              <w:rPr>
                <w:rFonts w:ascii="宋体" w:hAnsi="宋体" w:cs="宋体"/>
                <w:kern w:val="0"/>
                <w:sz w:val="18"/>
                <w:szCs w:val="18"/>
              </w:rPr>
            </w:pPr>
            <w:r>
              <w:rPr>
                <w:rFonts w:hint="eastAsia" w:ascii="宋体" w:hAnsi="宋体" w:cs="宋体"/>
                <w:kern w:val="0"/>
                <w:sz w:val="18"/>
                <w:szCs w:val="18"/>
              </w:rPr>
              <w:t>2051年</w:t>
            </w:r>
          </w:p>
        </w:tc>
        <w:tc>
          <w:tcPr>
            <w:tcW w:w="1392" w:type="dxa"/>
            <w:shd w:val="clear" w:color="auto" w:fill="auto"/>
            <w:vAlign w:val="center"/>
          </w:tcPr>
          <w:p w14:paraId="3A129044">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13E2FBA5">
            <w:pPr>
              <w:jc w:val="center"/>
              <w:rPr>
                <w:rFonts w:ascii="宋体" w:hAnsi="宋体" w:cs="宋体"/>
                <w:kern w:val="0"/>
                <w:sz w:val="18"/>
                <w:szCs w:val="18"/>
              </w:rPr>
            </w:pPr>
          </w:p>
        </w:tc>
        <w:tc>
          <w:tcPr>
            <w:tcW w:w="1005" w:type="dxa"/>
            <w:shd w:val="clear" w:color="auto" w:fill="auto"/>
            <w:vAlign w:val="center"/>
          </w:tcPr>
          <w:p w14:paraId="6B217D06">
            <w:pPr>
              <w:jc w:val="center"/>
              <w:rPr>
                <w:rFonts w:ascii="宋体" w:hAnsi="宋体" w:cs="宋体"/>
                <w:kern w:val="0"/>
                <w:sz w:val="18"/>
                <w:szCs w:val="18"/>
              </w:rPr>
            </w:pPr>
          </w:p>
        </w:tc>
        <w:tc>
          <w:tcPr>
            <w:tcW w:w="1097" w:type="dxa"/>
            <w:shd w:val="clear" w:color="auto" w:fill="auto"/>
            <w:vAlign w:val="center"/>
          </w:tcPr>
          <w:p w14:paraId="68FD579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442.50</w:t>
            </w:r>
          </w:p>
        </w:tc>
        <w:tc>
          <w:tcPr>
            <w:tcW w:w="1097" w:type="dxa"/>
            <w:shd w:val="clear" w:color="auto" w:fill="auto"/>
            <w:vAlign w:val="center"/>
          </w:tcPr>
          <w:p w14:paraId="2A46061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w:t>
            </w:r>
          </w:p>
        </w:tc>
        <w:tc>
          <w:tcPr>
            <w:tcW w:w="1392" w:type="dxa"/>
            <w:shd w:val="clear" w:color="auto" w:fill="auto"/>
            <w:vAlign w:val="center"/>
          </w:tcPr>
          <w:p w14:paraId="6D9A0F9E">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r>
      <w:tr w14:paraId="4A07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4835BE51">
            <w:pPr>
              <w:widowControl/>
              <w:jc w:val="center"/>
              <w:rPr>
                <w:rFonts w:ascii="宋体" w:hAnsi="宋体" w:cs="宋体"/>
                <w:kern w:val="0"/>
                <w:sz w:val="18"/>
                <w:szCs w:val="18"/>
              </w:rPr>
            </w:pPr>
            <w:r>
              <w:rPr>
                <w:rFonts w:hint="eastAsia" w:ascii="宋体" w:hAnsi="宋体" w:cs="宋体"/>
                <w:kern w:val="0"/>
                <w:sz w:val="18"/>
                <w:szCs w:val="18"/>
              </w:rPr>
              <w:t>2052年</w:t>
            </w:r>
          </w:p>
        </w:tc>
        <w:tc>
          <w:tcPr>
            <w:tcW w:w="1392" w:type="dxa"/>
            <w:shd w:val="clear" w:color="auto" w:fill="auto"/>
            <w:vAlign w:val="center"/>
          </w:tcPr>
          <w:p w14:paraId="00780E4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097" w:type="dxa"/>
            <w:shd w:val="clear" w:color="auto" w:fill="auto"/>
            <w:vAlign w:val="center"/>
          </w:tcPr>
          <w:p w14:paraId="43D5C06C">
            <w:pPr>
              <w:jc w:val="center"/>
              <w:rPr>
                <w:rFonts w:ascii="宋体" w:hAnsi="宋体" w:cs="宋体"/>
                <w:kern w:val="0"/>
                <w:sz w:val="18"/>
                <w:szCs w:val="18"/>
              </w:rPr>
            </w:pPr>
          </w:p>
        </w:tc>
        <w:tc>
          <w:tcPr>
            <w:tcW w:w="1005" w:type="dxa"/>
            <w:shd w:val="clear" w:color="auto" w:fill="auto"/>
            <w:vAlign w:val="center"/>
          </w:tcPr>
          <w:p w14:paraId="6A2C77FE">
            <w:pPr>
              <w:jc w:val="center"/>
              <w:rPr>
                <w:rFonts w:ascii="宋体" w:hAnsi="宋体" w:cs="宋体"/>
                <w:kern w:val="0"/>
                <w:sz w:val="18"/>
                <w:szCs w:val="18"/>
              </w:rPr>
            </w:pPr>
          </w:p>
        </w:tc>
        <w:tc>
          <w:tcPr>
            <w:tcW w:w="1097" w:type="dxa"/>
            <w:shd w:val="clear" w:color="auto" w:fill="auto"/>
            <w:vAlign w:val="center"/>
          </w:tcPr>
          <w:p w14:paraId="781CEA1F">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221.25</w:t>
            </w:r>
          </w:p>
        </w:tc>
        <w:tc>
          <w:tcPr>
            <w:tcW w:w="1097" w:type="dxa"/>
            <w:shd w:val="clear" w:color="auto" w:fill="auto"/>
            <w:vAlign w:val="center"/>
          </w:tcPr>
          <w:p w14:paraId="22AFADD4">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12,500.00</w:t>
            </w:r>
          </w:p>
        </w:tc>
        <w:tc>
          <w:tcPr>
            <w:tcW w:w="1392" w:type="dxa"/>
            <w:shd w:val="clear" w:color="auto" w:fill="auto"/>
            <w:vAlign w:val="center"/>
          </w:tcPr>
          <w:p w14:paraId="487FD15A">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w:t>
            </w:r>
          </w:p>
        </w:tc>
      </w:tr>
      <w:tr w14:paraId="0E78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940" w:type="pct"/>
            <w:shd w:val="clear" w:color="auto" w:fill="auto"/>
            <w:vAlign w:val="center"/>
          </w:tcPr>
          <w:p w14:paraId="52846205">
            <w:pPr>
              <w:widowControl/>
              <w:jc w:val="center"/>
              <w:rPr>
                <w:rFonts w:ascii="宋体" w:hAnsi="宋体" w:cs="宋体"/>
                <w:b/>
                <w:kern w:val="0"/>
                <w:sz w:val="18"/>
                <w:szCs w:val="18"/>
              </w:rPr>
            </w:pPr>
            <w:r>
              <w:rPr>
                <w:rFonts w:hint="eastAsia" w:ascii="宋体" w:hAnsi="宋体" w:cs="宋体"/>
                <w:b/>
                <w:kern w:val="0"/>
                <w:sz w:val="18"/>
                <w:szCs w:val="18"/>
              </w:rPr>
              <w:t>合计</w:t>
            </w:r>
          </w:p>
        </w:tc>
        <w:tc>
          <w:tcPr>
            <w:tcW w:w="1392" w:type="dxa"/>
            <w:shd w:val="clear" w:color="auto" w:fill="auto"/>
            <w:vAlign w:val="center"/>
          </w:tcPr>
          <w:p w14:paraId="06A9B423">
            <w:pPr>
              <w:jc w:val="center"/>
              <w:rPr>
                <w:rFonts w:ascii="宋体" w:hAnsi="宋体" w:cs="宋体"/>
                <w:kern w:val="0"/>
                <w:sz w:val="18"/>
                <w:szCs w:val="18"/>
              </w:rPr>
            </w:pPr>
          </w:p>
        </w:tc>
        <w:tc>
          <w:tcPr>
            <w:tcW w:w="1097" w:type="dxa"/>
            <w:shd w:val="clear" w:color="auto" w:fill="auto"/>
            <w:vAlign w:val="center"/>
          </w:tcPr>
          <w:p w14:paraId="40B2D09D">
            <w:pPr>
              <w:widowControl/>
              <w:jc w:val="center"/>
              <w:rPr>
                <w:rFonts w:hint="eastAsia" w:ascii="宋体" w:hAnsi="宋体" w:cs="宋体"/>
                <w:b/>
                <w:kern w:val="0"/>
                <w:sz w:val="18"/>
                <w:szCs w:val="18"/>
              </w:rPr>
            </w:pPr>
            <w:r>
              <w:rPr>
                <w:rFonts w:hint="eastAsia" w:ascii="宋体" w:hAnsi="宋体" w:cs="宋体"/>
                <w:b/>
                <w:kern w:val="0"/>
                <w:sz w:val="18"/>
                <w:szCs w:val="18"/>
                <w:lang w:val="en-US" w:eastAsia="zh-CN"/>
              </w:rPr>
              <w:t>67,370.00</w:t>
            </w:r>
          </w:p>
        </w:tc>
        <w:tc>
          <w:tcPr>
            <w:tcW w:w="1005" w:type="dxa"/>
            <w:shd w:val="clear" w:color="auto" w:fill="auto"/>
            <w:vAlign w:val="center"/>
          </w:tcPr>
          <w:p w14:paraId="7CDFF1B5">
            <w:pPr>
              <w:widowControl/>
              <w:jc w:val="center"/>
              <w:rPr>
                <w:rFonts w:hint="eastAsia" w:ascii="宋体" w:hAnsi="宋体" w:cs="宋体"/>
                <w:b/>
                <w:kern w:val="0"/>
                <w:sz w:val="18"/>
                <w:szCs w:val="18"/>
              </w:rPr>
            </w:pPr>
            <w:r>
              <w:rPr>
                <w:rFonts w:hint="eastAsia" w:ascii="宋体" w:hAnsi="宋体" w:cs="宋体"/>
                <w:b/>
                <w:kern w:val="0"/>
                <w:sz w:val="18"/>
                <w:szCs w:val="18"/>
                <w:lang w:val="en-US" w:eastAsia="zh-CN"/>
              </w:rPr>
              <w:t>67.37</w:t>
            </w:r>
          </w:p>
        </w:tc>
        <w:tc>
          <w:tcPr>
            <w:tcW w:w="1097" w:type="dxa"/>
            <w:shd w:val="clear" w:color="auto" w:fill="auto"/>
            <w:vAlign w:val="center"/>
          </w:tcPr>
          <w:p w14:paraId="74969E24">
            <w:pPr>
              <w:widowControl/>
              <w:jc w:val="center"/>
              <w:rPr>
                <w:rFonts w:hint="eastAsia" w:ascii="宋体" w:hAnsi="宋体" w:cs="宋体"/>
                <w:b/>
                <w:kern w:val="0"/>
                <w:sz w:val="18"/>
                <w:szCs w:val="18"/>
              </w:rPr>
            </w:pPr>
            <w:r>
              <w:rPr>
                <w:rFonts w:hint="eastAsia" w:ascii="宋体" w:hAnsi="宋体" w:cs="宋体"/>
                <w:b/>
                <w:kern w:val="0"/>
                <w:sz w:val="18"/>
                <w:szCs w:val="18"/>
                <w:lang w:val="en-US" w:eastAsia="zh-CN"/>
              </w:rPr>
              <w:t>27,812.02</w:t>
            </w:r>
          </w:p>
        </w:tc>
        <w:tc>
          <w:tcPr>
            <w:tcW w:w="1097" w:type="dxa"/>
            <w:shd w:val="clear" w:color="auto" w:fill="auto"/>
            <w:vAlign w:val="center"/>
          </w:tcPr>
          <w:p w14:paraId="682D9116">
            <w:pPr>
              <w:widowControl/>
              <w:jc w:val="center"/>
              <w:rPr>
                <w:rFonts w:hint="eastAsia" w:ascii="宋体" w:hAnsi="宋体" w:cs="宋体"/>
                <w:b/>
                <w:kern w:val="0"/>
                <w:sz w:val="18"/>
                <w:szCs w:val="18"/>
              </w:rPr>
            </w:pPr>
            <w:r>
              <w:rPr>
                <w:rFonts w:hint="eastAsia" w:ascii="宋体" w:hAnsi="宋体" w:cs="宋体"/>
                <w:b/>
                <w:kern w:val="0"/>
                <w:sz w:val="18"/>
                <w:szCs w:val="18"/>
                <w:lang w:val="en-US" w:eastAsia="zh-CN"/>
              </w:rPr>
              <w:t>67,370.00</w:t>
            </w:r>
          </w:p>
        </w:tc>
        <w:tc>
          <w:tcPr>
            <w:tcW w:w="1392" w:type="dxa"/>
            <w:shd w:val="clear" w:color="auto" w:fill="auto"/>
            <w:vAlign w:val="center"/>
          </w:tcPr>
          <w:p w14:paraId="54141DD5">
            <w:pPr>
              <w:widowControl/>
              <w:jc w:val="center"/>
              <w:rPr>
                <w:rFonts w:hint="eastAsia" w:ascii="宋体" w:hAnsi="宋体" w:cs="宋体"/>
                <w:b/>
                <w:kern w:val="0"/>
                <w:sz w:val="18"/>
                <w:szCs w:val="18"/>
              </w:rPr>
            </w:pPr>
          </w:p>
        </w:tc>
      </w:tr>
    </w:tbl>
    <w:p w14:paraId="42D17268">
      <w:pPr>
        <w:pStyle w:val="20"/>
        <w:spacing w:before="0" w:beforeAutospacing="0" w:after="156" w:afterLines="50" w:afterAutospacing="0" w:line="360" w:lineRule="exact"/>
        <w:ind w:firstLine="364" w:firstLineChars="200"/>
        <w:jc w:val="both"/>
        <w:rPr>
          <w:rFonts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w:t>
      </w:r>
      <w:r>
        <w:rPr>
          <w:rFonts w:cs="Times New Roman"/>
          <w:color w:val="000000" w:themeColor="text1"/>
          <w:sz w:val="18"/>
          <w:szCs w:val="18"/>
          <w14:textFill>
            <w14:solidFill>
              <w14:schemeClr w14:val="tx1"/>
            </w14:solidFill>
          </w14:textFill>
        </w:rPr>
        <w:t>7</w:t>
      </w:r>
      <w:r>
        <w:rPr>
          <w:rFonts w:hint="eastAsia" w:cs="Times New Roman"/>
          <w:color w:val="000000" w:themeColor="text1"/>
          <w:sz w:val="18"/>
          <w:szCs w:val="18"/>
          <w14:textFill>
            <w14:solidFill>
              <w14:schemeClr w14:val="tx1"/>
            </w14:solidFill>
          </w14:textFill>
        </w:rPr>
        <w:t>、3</w:t>
      </w:r>
      <w:r>
        <w:rPr>
          <w:rFonts w:cs="Times New Roman"/>
          <w:color w:val="000000" w:themeColor="text1"/>
          <w:sz w:val="18"/>
          <w:szCs w:val="18"/>
          <w14:textFill>
            <w14:solidFill>
              <w14:schemeClr w14:val="tx1"/>
            </w14:solidFill>
          </w14:textFill>
        </w:rPr>
        <w:t>0</w:t>
      </w:r>
      <w:r>
        <w:rPr>
          <w:rFonts w:hint="eastAsia" w:cs="Times New Roman"/>
          <w:color w:val="000000" w:themeColor="text1"/>
          <w:sz w:val="18"/>
          <w:szCs w:val="18"/>
          <w14:textFill>
            <w14:solidFill>
              <w14:schemeClr w14:val="tx1"/>
            </w14:solidFill>
          </w14:textFill>
        </w:rPr>
        <w:t>年期</w:t>
      </w:r>
      <w:r>
        <w:rPr>
          <w:rFonts w:hint="eastAsia"/>
          <w:color w:val="000000" w:themeColor="text1"/>
          <w:sz w:val="18"/>
          <w:szCs w:val="18"/>
          <w14:textFill>
            <w14:solidFill>
              <w14:schemeClr w14:val="tx1"/>
            </w14:solidFill>
          </w14:textFill>
        </w:rPr>
        <w:t>债券从债券发行年份的当年起按照每半年支付一次债券利息。</w:t>
      </w:r>
    </w:p>
    <w:p w14:paraId="11ABCEB7">
      <w:pPr>
        <w:rPr>
          <w:rFonts w:hint="eastAsia"/>
          <w:color w:val="000000" w:themeColor="text1"/>
          <w:sz w:val="18"/>
          <w:szCs w:val="18"/>
          <w14:textFill>
            <w14:solidFill>
              <w14:schemeClr w14:val="tx1"/>
            </w14:solidFill>
          </w14:textFill>
        </w:rPr>
      </w:pPr>
    </w:p>
    <w:p w14:paraId="38640D71">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sectPr>
          <w:pgSz w:w="11906" w:h="16838"/>
          <w:pgMar w:top="1531" w:right="1701" w:bottom="1417" w:left="1701" w:header="851" w:footer="992" w:gutter="0"/>
          <w:cols w:space="0" w:num="1"/>
          <w:rtlGutter w:val="0"/>
          <w:docGrid w:type="linesAndChars" w:linePitch="312" w:charSpace="532"/>
        </w:sectPr>
      </w:pPr>
      <w:r>
        <w:rPr>
          <w:rFonts w:hint="eastAsia" w:ascii="宋体" w:hAnsi="宋体" w:eastAsia="宋体" w:cs="宋体"/>
          <w:color w:val="000000" w:themeColor="text1"/>
          <w:kern w:val="0"/>
          <w:sz w:val="24"/>
          <w:szCs w:val="24"/>
          <w:lang w:val="en-US" w:eastAsia="zh-CN"/>
          <w14:textFill>
            <w14:solidFill>
              <w14:schemeClr w14:val="tx1"/>
            </w14:solidFill>
          </w14:textFill>
        </w:rPr>
        <w:t>2024年江西省南昌县张坊三期（棚户区改造）安置房建设工程专项债券项目实施方案资金充足性分析情况具体如下表3-5及图3-1所示：</w:t>
      </w:r>
    </w:p>
    <w:p w14:paraId="3A441B5D">
      <w:pPr>
        <w:widowControl/>
        <w:spacing w:line="360" w:lineRule="auto"/>
        <w:ind w:firstLine="484"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p>
    <w:p w14:paraId="3A510311">
      <w:pPr>
        <w:pStyle w:val="20"/>
        <w:spacing w:after="156" w:afterLines="50" w:afterAutospacing="0" w:line="360" w:lineRule="exact"/>
        <w:ind w:firstLine="444" w:firstLineChars="20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表3-</w:t>
      </w:r>
      <w:r>
        <w:rPr>
          <w:b/>
          <w:color w:val="000000" w:themeColor="text1"/>
          <w14:textFill>
            <w14:solidFill>
              <w14:schemeClr w14:val="tx1"/>
            </w14:solidFill>
          </w14:textFill>
        </w:rPr>
        <w:t xml:space="preserve">5 </w:t>
      </w:r>
      <w:r>
        <w:rPr>
          <w:rFonts w:hint="eastAsia"/>
          <w:b/>
          <w:color w:val="000000" w:themeColor="text1"/>
          <w14:textFill>
            <w14:solidFill>
              <w14:schemeClr w14:val="tx1"/>
            </w14:solidFill>
          </w14:textFill>
        </w:rPr>
        <w:t>202</w:t>
      </w:r>
      <w:r>
        <w:rPr>
          <w:rFonts w:hint="eastAsia"/>
          <w:b/>
          <w:color w:val="000000" w:themeColor="text1"/>
          <w:lang w:val="en-US" w:eastAsia="zh-CN"/>
          <w14:textFill>
            <w14:solidFill>
              <w14:schemeClr w14:val="tx1"/>
            </w14:solidFill>
          </w14:textFill>
        </w:rPr>
        <w:t>4</w:t>
      </w:r>
      <w:r>
        <w:rPr>
          <w:rFonts w:hint="eastAsia"/>
          <w:b/>
          <w:color w:val="000000" w:themeColor="text1"/>
          <w14:textFill>
            <w14:solidFill>
              <w14:schemeClr w14:val="tx1"/>
            </w14:solidFill>
          </w14:textFill>
        </w:rPr>
        <w:t>年江西省南昌县张坊三期（棚户区改造）安置房建设工程专项债券项目实施方案资金充足性分析情况表</w:t>
      </w:r>
    </w:p>
    <w:p w14:paraId="4C6E66ED">
      <w:pPr>
        <w:pStyle w:val="20"/>
        <w:spacing w:before="0" w:beforeAutospacing="0" w:after="0" w:afterAutospacing="0" w:line="360" w:lineRule="exact"/>
        <w:ind w:right="-515" w:rightChars="-243" w:firstLine="364"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447"/>
        <w:gridCol w:w="1116"/>
        <w:gridCol w:w="935"/>
        <w:gridCol w:w="1116"/>
        <w:gridCol w:w="1116"/>
        <w:gridCol w:w="1116"/>
        <w:gridCol w:w="1116"/>
        <w:gridCol w:w="1116"/>
        <w:gridCol w:w="1116"/>
        <w:gridCol w:w="1116"/>
        <w:gridCol w:w="1117"/>
        <w:gridCol w:w="1117"/>
      </w:tblGrid>
      <w:tr w14:paraId="3BD6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trPr>
        <w:tc>
          <w:tcPr>
            <w:tcW w:w="199" w:type="pct"/>
            <w:shd w:val="clear" w:color="auto" w:fill="auto"/>
            <w:vAlign w:val="center"/>
          </w:tcPr>
          <w:p w14:paraId="68C7F0C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512" w:type="pct"/>
            <w:shd w:val="clear" w:color="auto" w:fill="auto"/>
            <w:vAlign w:val="center"/>
          </w:tcPr>
          <w:p w14:paraId="1859E72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395" w:type="pct"/>
            <w:shd w:val="clear" w:color="auto" w:fill="auto"/>
            <w:vAlign w:val="center"/>
          </w:tcPr>
          <w:p w14:paraId="5AEB80F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31" w:type="pct"/>
            <w:shd w:val="clear" w:color="auto" w:fill="auto"/>
            <w:vAlign w:val="center"/>
          </w:tcPr>
          <w:p w14:paraId="4C2338D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395" w:type="pct"/>
            <w:shd w:val="clear" w:color="auto" w:fill="auto"/>
            <w:vAlign w:val="center"/>
          </w:tcPr>
          <w:p w14:paraId="6095404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395" w:type="pct"/>
            <w:shd w:val="clear" w:color="auto" w:fill="auto"/>
            <w:vAlign w:val="center"/>
          </w:tcPr>
          <w:p w14:paraId="0255CB0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395" w:type="pct"/>
            <w:shd w:val="clear" w:color="auto" w:fill="auto"/>
            <w:vAlign w:val="center"/>
          </w:tcPr>
          <w:p w14:paraId="045EAB6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395" w:type="pct"/>
            <w:shd w:val="clear" w:color="auto" w:fill="auto"/>
            <w:vAlign w:val="center"/>
          </w:tcPr>
          <w:p w14:paraId="63F60F0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395" w:type="pct"/>
            <w:shd w:val="clear" w:color="auto" w:fill="auto"/>
            <w:vAlign w:val="center"/>
          </w:tcPr>
          <w:p w14:paraId="4A6E7BA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395" w:type="pct"/>
            <w:shd w:val="clear" w:color="auto" w:fill="auto"/>
            <w:vAlign w:val="center"/>
          </w:tcPr>
          <w:p w14:paraId="2BB3C8A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395" w:type="pct"/>
            <w:shd w:val="clear" w:color="auto" w:fill="auto"/>
            <w:vAlign w:val="center"/>
          </w:tcPr>
          <w:p w14:paraId="4CF94C9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395" w:type="pct"/>
            <w:vAlign w:val="center"/>
          </w:tcPr>
          <w:p w14:paraId="3E79D8E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395" w:type="pct"/>
            <w:vAlign w:val="center"/>
          </w:tcPr>
          <w:p w14:paraId="2438B1A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2031年</w:t>
            </w:r>
          </w:p>
        </w:tc>
      </w:tr>
      <w:tr w14:paraId="35ED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1257F63B">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一</w:t>
            </w:r>
          </w:p>
        </w:tc>
        <w:tc>
          <w:tcPr>
            <w:tcW w:w="512" w:type="pct"/>
            <w:shd w:val="clear" w:color="auto" w:fill="auto"/>
            <w:vAlign w:val="center"/>
          </w:tcPr>
          <w:p w14:paraId="7243F2C2">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现金流入</w:t>
            </w:r>
          </w:p>
        </w:tc>
        <w:tc>
          <w:tcPr>
            <w:tcW w:w="395" w:type="pct"/>
            <w:shd w:val="clear" w:color="auto" w:fill="auto"/>
            <w:vAlign w:val="center"/>
          </w:tcPr>
          <w:p w14:paraId="0E5D9C7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244,752.89</w:t>
            </w:r>
          </w:p>
        </w:tc>
        <w:tc>
          <w:tcPr>
            <w:tcW w:w="331" w:type="pct"/>
            <w:shd w:val="clear" w:color="auto" w:fill="auto"/>
            <w:vAlign w:val="center"/>
          </w:tcPr>
          <w:p w14:paraId="450DC0E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4,252.55</w:t>
            </w:r>
          </w:p>
        </w:tc>
        <w:tc>
          <w:tcPr>
            <w:tcW w:w="395" w:type="pct"/>
            <w:shd w:val="clear" w:color="auto" w:fill="auto"/>
            <w:vAlign w:val="center"/>
          </w:tcPr>
          <w:p w14:paraId="71BCB5B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171,794.25</w:t>
            </w:r>
          </w:p>
        </w:tc>
        <w:tc>
          <w:tcPr>
            <w:tcW w:w="395" w:type="pct"/>
            <w:shd w:val="clear" w:color="auto" w:fill="auto"/>
            <w:vAlign w:val="center"/>
          </w:tcPr>
          <w:p w14:paraId="688F5A7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56,193.59</w:t>
            </w:r>
          </w:p>
        </w:tc>
        <w:tc>
          <w:tcPr>
            <w:tcW w:w="395" w:type="pct"/>
            <w:shd w:val="clear" w:color="auto" w:fill="auto"/>
            <w:vAlign w:val="center"/>
          </w:tcPr>
          <w:p w14:paraId="21988E8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12,512.50</w:t>
            </w:r>
          </w:p>
        </w:tc>
        <w:tc>
          <w:tcPr>
            <w:tcW w:w="395" w:type="pct"/>
            <w:shd w:val="clear" w:color="auto" w:fill="auto"/>
            <w:vAlign w:val="center"/>
          </w:tcPr>
          <w:p w14:paraId="20312C2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67E36B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612140C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3E6CA7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0987A40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100EF49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3027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09B6D658">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12" w:type="pct"/>
            <w:shd w:val="clear" w:color="auto" w:fill="auto"/>
            <w:vAlign w:val="center"/>
          </w:tcPr>
          <w:p w14:paraId="1346DC76">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395" w:type="pct"/>
            <w:shd w:val="clear" w:color="auto" w:fill="auto"/>
            <w:vAlign w:val="center"/>
          </w:tcPr>
          <w:p w14:paraId="651D8A0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31" w:type="pct"/>
            <w:shd w:val="clear" w:color="auto" w:fill="auto"/>
            <w:vAlign w:val="center"/>
          </w:tcPr>
          <w:p w14:paraId="5E84FBF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C4FB04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95" w:type="pct"/>
            <w:shd w:val="clear" w:color="auto" w:fill="auto"/>
            <w:vAlign w:val="center"/>
          </w:tcPr>
          <w:p w14:paraId="272D786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2CB07FF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3A4C02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EA0E9D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258C06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A2C39F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073E6BA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42B9103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1149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6EF3E99B">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512" w:type="pct"/>
            <w:shd w:val="clear" w:color="auto" w:fill="auto"/>
            <w:vAlign w:val="center"/>
          </w:tcPr>
          <w:p w14:paraId="295BD923">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395" w:type="pct"/>
            <w:shd w:val="clear" w:color="auto" w:fill="auto"/>
            <w:vAlign w:val="center"/>
          </w:tcPr>
          <w:p w14:paraId="0232E42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5B0DC51C">
            <w:pPr>
              <w:widowControl/>
              <w:jc w:val="center"/>
              <w:rPr>
                <w:rFonts w:ascii="宋体" w:hAnsi="宋体" w:cs="宋体"/>
                <w:color w:val="000000"/>
                <w:kern w:val="0"/>
                <w:sz w:val="18"/>
                <w:szCs w:val="18"/>
              </w:rPr>
            </w:pPr>
          </w:p>
        </w:tc>
        <w:tc>
          <w:tcPr>
            <w:tcW w:w="395" w:type="pct"/>
            <w:shd w:val="clear" w:color="auto" w:fill="auto"/>
            <w:vAlign w:val="center"/>
          </w:tcPr>
          <w:p w14:paraId="6F258605">
            <w:pPr>
              <w:widowControl/>
              <w:jc w:val="center"/>
              <w:rPr>
                <w:rFonts w:ascii="宋体" w:hAnsi="宋体" w:cs="宋体"/>
                <w:color w:val="000000"/>
                <w:kern w:val="0"/>
                <w:sz w:val="18"/>
                <w:szCs w:val="18"/>
              </w:rPr>
            </w:pPr>
          </w:p>
        </w:tc>
        <w:tc>
          <w:tcPr>
            <w:tcW w:w="395" w:type="pct"/>
            <w:shd w:val="clear" w:color="auto" w:fill="auto"/>
            <w:vAlign w:val="center"/>
          </w:tcPr>
          <w:p w14:paraId="03ACC4C2">
            <w:pPr>
              <w:widowControl/>
              <w:jc w:val="center"/>
              <w:rPr>
                <w:rFonts w:ascii="宋体" w:hAnsi="宋体" w:cs="宋体"/>
                <w:color w:val="000000"/>
                <w:kern w:val="0"/>
                <w:sz w:val="18"/>
                <w:szCs w:val="18"/>
              </w:rPr>
            </w:pPr>
          </w:p>
        </w:tc>
        <w:tc>
          <w:tcPr>
            <w:tcW w:w="395" w:type="pct"/>
            <w:shd w:val="clear" w:color="auto" w:fill="auto"/>
            <w:vAlign w:val="center"/>
          </w:tcPr>
          <w:p w14:paraId="293E789D">
            <w:pPr>
              <w:widowControl/>
              <w:jc w:val="center"/>
              <w:rPr>
                <w:rFonts w:ascii="宋体" w:hAnsi="宋体" w:cs="宋体"/>
                <w:color w:val="000000"/>
                <w:kern w:val="0"/>
                <w:sz w:val="18"/>
                <w:szCs w:val="18"/>
              </w:rPr>
            </w:pPr>
          </w:p>
        </w:tc>
        <w:tc>
          <w:tcPr>
            <w:tcW w:w="395" w:type="pct"/>
            <w:shd w:val="clear" w:color="auto" w:fill="auto"/>
            <w:vAlign w:val="center"/>
          </w:tcPr>
          <w:p w14:paraId="18CCC836">
            <w:pPr>
              <w:widowControl/>
              <w:jc w:val="center"/>
              <w:rPr>
                <w:rFonts w:ascii="宋体" w:hAnsi="宋体" w:cs="宋体"/>
                <w:color w:val="000000"/>
                <w:kern w:val="0"/>
                <w:sz w:val="18"/>
                <w:szCs w:val="18"/>
              </w:rPr>
            </w:pPr>
          </w:p>
        </w:tc>
        <w:tc>
          <w:tcPr>
            <w:tcW w:w="395" w:type="pct"/>
            <w:shd w:val="clear" w:color="auto" w:fill="auto"/>
            <w:vAlign w:val="center"/>
          </w:tcPr>
          <w:p w14:paraId="647952E8">
            <w:pPr>
              <w:widowControl/>
              <w:jc w:val="center"/>
              <w:rPr>
                <w:rFonts w:ascii="宋体" w:hAnsi="宋体" w:cs="宋体"/>
                <w:color w:val="000000"/>
                <w:kern w:val="0"/>
                <w:sz w:val="18"/>
                <w:szCs w:val="18"/>
              </w:rPr>
            </w:pPr>
          </w:p>
        </w:tc>
        <w:tc>
          <w:tcPr>
            <w:tcW w:w="395" w:type="pct"/>
            <w:shd w:val="clear" w:color="auto" w:fill="auto"/>
            <w:vAlign w:val="center"/>
          </w:tcPr>
          <w:p w14:paraId="2112AE76">
            <w:pPr>
              <w:widowControl/>
              <w:jc w:val="center"/>
              <w:rPr>
                <w:rFonts w:ascii="宋体" w:hAnsi="宋体" w:cs="宋体"/>
                <w:color w:val="000000"/>
                <w:kern w:val="0"/>
                <w:sz w:val="18"/>
                <w:szCs w:val="18"/>
              </w:rPr>
            </w:pPr>
          </w:p>
        </w:tc>
        <w:tc>
          <w:tcPr>
            <w:tcW w:w="395" w:type="pct"/>
            <w:shd w:val="clear" w:color="auto" w:fill="auto"/>
            <w:vAlign w:val="center"/>
          </w:tcPr>
          <w:p w14:paraId="2143F389">
            <w:pPr>
              <w:widowControl/>
              <w:jc w:val="center"/>
              <w:rPr>
                <w:rFonts w:ascii="宋体" w:hAnsi="宋体" w:cs="宋体"/>
                <w:color w:val="000000"/>
                <w:kern w:val="0"/>
                <w:sz w:val="18"/>
                <w:szCs w:val="18"/>
              </w:rPr>
            </w:pPr>
          </w:p>
        </w:tc>
        <w:tc>
          <w:tcPr>
            <w:tcW w:w="395" w:type="pct"/>
            <w:vAlign w:val="center"/>
          </w:tcPr>
          <w:p w14:paraId="653495D1">
            <w:pPr>
              <w:widowControl/>
              <w:jc w:val="center"/>
              <w:rPr>
                <w:rFonts w:ascii="宋体" w:hAnsi="宋体" w:cs="宋体"/>
                <w:color w:val="000000"/>
                <w:kern w:val="0"/>
                <w:sz w:val="18"/>
                <w:szCs w:val="18"/>
              </w:rPr>
            </w:pPr>
          </w:p>
        </w:tc>
        <w:tc>
          <w:tcPr>
            <w:tcW w:w="395" w:type="pct"/>
            <w:vAlign w:val="center"/>
          </w:tcPr>
          <w:p w14:paraId="70B817FF">
            <w:pPr>
              <w:widowControl/>
              <w:jc w:val="center"/>
              <w:rPr>
                <w:rFonts w:ascii="宋体" w:hAnsi="宋体" w:cs="宋体"/>
                <w:color w:val="000000"/>
                <w:kern w:val="0"/>
                <w:sz w:val="18"/>
                <w:szCs w:val="18"/>
              </w:rPr>
            </w:pPr>
          </w:p>
        </w:tc>
      </w:tr>
      <w:tr w14:paraId="22D3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6B608B78">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12" w:type="pct"/>
            <w:shd w:val="clear" w:color="auto" w:fill="auto"/>
            <w:vAlign w:val="center"/>
          </w:tcPr>
          <w:p w14:paraId="140D3E92">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395" w:type="pct"/>
            <w:shd w:val="clear" w:color="auto" w:fill="auto"/>
            <w:vAlign w:val="center"/>
          </w:tcPr>
          <w:p w14:paraId="4383A50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31" w:type="pct"/>
            <w:shd w:val="clear" w:color="auto" w:fill="auto"/>
            <w:vAlign w:val="center"/>
          </w:tcPr>
          <w:p w14:paraId="79B4050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6CB0D68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95" w:type="pct"/>
            <w:shd w:val="clear" w:color="auto" w:fill="auto"/>
            <w:vAlign w:val="center"/>
          </w:tcPr>
          <w:p w14:paraId="78BFFFDC">
            <w:pPr>
              <w:widowControl/>
              <w:jc w:val="center"/>
              <w:rPr>
                <w:rFonts w:ascii="宋体" w:hAnsi="宋体" w:cs="宋体"/>
                <w:color w:val="000000"/>
                <w:kern w:val="0"/>
                <w:sz w:val="18"/>
                <w:szCs w:val="18"/>
              </w:rPr>
            </w:pPr>
          </w:p>
        </w:tc>
        <w:tc>
          <w:tcPr>
            <w:tcW w:w="395" w:type="pct"/>
            <w:shd w:val="clear" w:color="auto" w:fill="auto"/>
            <w:vAlign w:val="center"/>
          </w:tcPr>
          <w:p w14:paraId="4AA4E60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vAlign w:val="center"/>
          </w:tcPr>
          <w:p w14:paraId="4595D22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noWrap/>
            <w:vAlign w:val="center"/>
          </w:tcPr>
          <w:p w14:paraId="1CC8B27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noWrap/>
            <w:vAlign w:val="center"/>
          </w:tcPr>
          <w:p w14:paraId="38E761F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noWrap/>
            <w:vAlign w:val="center"/>
          </w:tcPr>
          <w:p w14:paraId="71D9806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vAlign w:val="center"/>
          </w:tcPr>
          <w:p w14:paraId="2A3E75D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vAlign w:val="center"/>
          </w:tcPr>
          <w:p w14:paraId="6D547DB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r>
      <w:tr w14:paraId="5A58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3923DC6E">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12" w:type="pct"/>
            <w:shd w:val="clear" w:color="auto" w:fill="auto"/>
            <w:vAlign w:val="center"/>
          </w:tcPr>
          <w:p w14:paraId="10C77046">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395" w:type="pct"/>
            <w:shd w:val="clear" w:color="auto" w:fill="auto"/>
            <w:vAlign w:val="center"/>
          </w:tcPr>
          <w:p w14:paraId="3BD058A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67,370.00</w:t>
            </w:r>
          </w:p>
        </w:tc>
        <w:tc>
          <w:tcPr>
            <w:tcW w:w="331" w:type="pct"/>
            <w:shd w:val="clear" w:color="auto" w:fill="auto"/>
            <w:vAlign w:val="center"/>
          </w:tcPr>
          <w:p w14:paraId="7A8B208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67DE6C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DCCEA2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54,870.00</w:t>
            </w:r>
          </w:p>
        </w:tc>
        <w:tc>
          <w:tcPr>
            <w:tcW w:w="395" w:type="pct"/>
            <w:shd w:val="clear" w:color="auto" w:fill="auto"/>
            <w:vAlign w:val="center"/>
          </w:tcPr>
          <w:p w14:paraId="41FF2AC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12,500.00</w:t>
            </w:r>
          </w:p>
        </w:tc>
        <w:tc>
          <w:tcPr>
            <w:tcW w:w="395" w:type="pct"/>
            <w:shd w:val="clear" w:color="auto" w:fill="auto"/>
            <w:vAlign w:val="center"/>
          </w:tcPr>
          <w:p w14:paraId="6216AE1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298467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9645D1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92B150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649E135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5108643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185F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7BCD4533">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512" w:type="pct"/>
            <w:shd w:val="clear" w:color="auto" w:fill="auto"/>
            <w:vAlign w:val="center"/>
          </w:tcPr>
          <w:p w14:paraId="7B1B2631">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395" w:type="pct"/>
            <w:shd w:val="clear" w:color="auto" w:fill="auto"/>
            <w:vAlign w:val="center"/>
          </w:tcPr>
          <w:p w14:paraId="22F3A91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67,370.00</w:t>
            </w:r>
          </w:p>
        </w:tc>
        <w:tc>
          <w:tcPr>
            <w:tcW w:w="331" w:type="pct"/>
            <w:shd w:val="clear" w:color="auto" w:fill="auto"/>
            <w:vAlign w:val="center"/>
          </w:tcPr>
          <w:p w14:paraId="53CE7F1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A5CB95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643107F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54,870.00</w:t>
            </w:r>
          </w:p>
        </w:tc>
        <w:tc>
          <w:tcPr>
            <w:tcW w:w="395" w:type="pct"/>
            <w:shd w:val="clear" w:color="auto" w:fill="auto"/>
            <w:vAlign w:val="center"/>
          </w:tcPr>
          <w:p w14:paraId="0B3EBE9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12,500.00</w:t>
            </w:r>
          </w:p>
        </w:tc>
        <w:tc>
          <w:tcPr>
            <w:tcW w:w="395" w:type="pct"/>
            <w:shd w:val="clear" w:color="auto" w:fill="auto"/>
            <w:vAlign w:val="center"/>
          </w:tcPr>
          <w:p w14:paraId="100276E5">
            <w:pPr>
              <w:widowControl/>
              <w:jc w:val="center"/>
              <w:rPr>
                <w:rFonts w:ascii="宋体" w:hAnsi="宋体" w:cs="宋体"/>
                <w:color w:val="000000"/>
                <w:kern w:val="0"/>
                <w:sz w:val="18"/>
                <w:szCs w:val="18"/>
              </w:rPr>
            </w:pPr>
          </w:p>
        </w:tc>
        <w:tc>
          <w:tcPr>
            <w:tcW w:w="395" w:type="pct"/>
            <w:shd w:val="clear" w:color="auto" w:fill="auto"/>
            <w:vAlign w:val="center"/>
          </w:tcPr>
          <w:p w14:paraId="4F539B65">
            <w:pPr>
              <w:widowControl/>
              <w:jc w:val="center"/>
              <w:rPr>
                <w:rFonts w:ascii="宋体" w:hAnsi="宋体" w:cs="宋体"/>
                <w:color w:val="000000"/>
                <w:kern w:val="0"/>
                <w:sz w:val="18"/>
                <w:szCs w:val="18"/>
              </w:rPr>
            </w:pPr>
          </w:p>
        </w:tc>
        <w:tc>
          <w:tcPr>
            <w:tcW w:w="395" w:type="pct"/>
            <w:shd w:val="clear" w:color="auto" w:fill="auto"/>
            <w:vAlign w:val="center"/>
          </w:tcPr>
          <w:p w14:paraId="7FEE5702">
            <w:pPr>
              <w:widowControl/>
              <w:jc w:val="center"/>
              <w:rPr>
                <w:rFonts w:ascii="宋体" w:hAnsi="宋体" w:cs="宋体"/>
                <w:color w:val="000000"/>
                <w:kern w:val="0"/>
                <w:sz w:val="18"/>
                <w:szCs w:val="18"/>
              </w:rPr>
            </w:pPr>
          </w:p>
        </w:tc>
        <w:tc>
          <w:tcPr>
            <w:tcW w:w="395" w:type="pct"/>
            <w:shd w:val="clear" w:color="auto" w:fill="auto"/>
            <w:vAlign w:val="center"/>
          </w:tcPr>
          <w:p w14:paraId="1C55BD3C">
            <w:pPr>
              <w:widowControl/>
              <w:jc w:val="center"/>
              <w:rPr>
                <w:rFonts w:ascii="宋体" w:hAnsi="宋体" w:cs="宋体"/>
                <w:color w:val="000000"/>
                <w:kern w:val="0"/>
                <w:sz w:val="18"/>
                <w:szCs w:val="18"/>
              </w:rPr>
            </w:pPr>
          </w:p>
        </w:tc>
        <w:tc>
          <w:tcPr>
            <w:tcW w:w="395" w:type="pct"/>
            <w:vAlign w:val="center"/>
          </w:tcPr>
          <w:p w14:paraId="060DF812">
            <w:pPr>
              <w:widowControl/>
              <w:jc w:val="center"/>
              <w:rPr>
                <w:rFonts w:ascii="宋体" w:hAnsi="宋体" w:cs="宋体"/>
                <w:color w:val="000000"/>
                <w:kern w:val="0"/>
                <w:sz w:val="18"/>
                <w:szCs w:val="18"/>
              </w:rPr>
            </w:pPr>
          </w:p>
        </w:tc>
        <w:tc>
          <w:tcPr>
            <w:tcW w:w="395" w:type="pct"/>
            <w:vAlign w:val="center"/>
          </w:tcPr>
          <w:p w14:paraId="0FD5147C">
            <w:pPr>
              <w:widowControl/>
              <w:jc w:val="center"/>
              <w:rPr>
                <w:rFonts w:ascii="宋体" w:hAnsi="宋体" w:cs="宋体"/>
                <w:color w:val="000000"/>
                <w:kern w:val="0"/>
                <w:sz w:val="18"/>
                <w:szCs w:val="18"/>
              </w:rPr>
            </w:pPr>
          </w:p>
        </w:tc>
      </w:tr>
      <w:tr w14:paraId="05C3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4182A6F1">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512" w:type="pct"/>
            <w:shd w:val="clear" w:color="auto" w:fill="auto"/>
            <w:vAlign w:val="center"/>
          </w:tcPr>
          <w:p w14:paraId="7DD45009">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395" w:type="pct"/>
            <w:shd w:val="clear" w:color="auto" w:fill="auto"/>
            <w:vAlign w:val="center"/>
          </w:tcPr>
          <w:p w14:paraId="7CED103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77B66DD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65EA7F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3558EAE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30912C2">
            <w:pPr>
              <w:widowControl/>
              <w:jc w:val="center"/>
              <w:rPr>
                <w:rFonts w:ascii="宋体" w:hAnsi="宋体" w:cs="宋体"/>
                <w:color w:val="000000"/>
                <w:kern w:val="0"/>
                <w:sz w:val="18"/>
                <w:szCs w:val="18"/>
              </w:rPr>
            </w:pPr>
          </w:p>
        </w:tc>
        <w:tc>
          <w:tcPr>
            <w:tcW w:w="395" w:type="pct"/>
            <w:shd w:val="clear" w:color="auto" w:fill="auto"/>
            <w:vAlign w:val="center"/>
          </w:tcPr>
          <w:p w14:paraId="669660F2">
            <w:pPr>
              <w:widowControl/>
              <w:jc w:val="center"/>
              <w:rPr>
                <w:rFonts w:ascii="宋体" w:hAnsi="宋体" w:cs="宋体"/>
                <w:color w:val="000000"/>
                <w:kern w:val="0"/>
                <w:sz w:val="18"/>
                <w:szCs w:val="18"/>
              </w:rPr>
            </w:pPr>
          </w:p>
        </w:tc>
        <w:tc>
          <w:tcPr>
            <w:tcW w:w="395" w:type="pct"/>
            <w:shd w:val="clear" w:color="auto" w:fill="auto"/>
            <w:vAlign w:val="center"/>
          </w:tcPr>
          <w:p w14:paraId="67CDC5C3">
            <w:pPr>
              <w:widowControl/>
              <w:jc w:val="center"/>
              <w:rPr>
                <w:rFonts w:ascii="宋体" w:hAnsi="宋体" w:cs="宋体"/>
                <w:color w:val="000000"/>
                <w:kern w:val="0"/>
                <w:sz w:val="18"/>
                <w:szCs w:val="18"/>
              </w:rPr>
            </w:pPr>
          </w:p>
        </w:tc>
        <w:tc>
          <w:tcPr>
            <w:tcW w:w="395" w:type="pct"/>
            <w:shd w:val="clear" w:color="auto" w:fill="auto"/>
            <w:vAlign w:val="center"/>
          </w:tcPr>
          <w:p w14:paraId="7BDBF1F0">
            <w:pPr>
              <w:widowControl/>
              <w:jc w:val="center"/>
              <w:rPr>
                <w:rFonts w:ascii="宋体" w:hAnsi="宋体" w:cs="宋体"/>
                <w:color w:val="000000"/>
                <w:kern w:val="0"/>
                <w:sz w:val="18"/>
                <w:szCs w:val="18"/>
              </w:rPr>
            </w:pPr>
          </w:p>
        </w:tc>
        <w:tc>
          <w:tcPr>
            <w:tcW w:w="395" w:type="pct"/>
            <w:shd w:val="clear" w:color="auto" w:fill="auto"/>
            <w:vAlign w:val="center"/>
          </w:tcPr>
          <w:p w14:paraId="6562CF7F">
            <w:pPr>
              <w:widowControl/>
              <w:jc w:val="center"/>
              <w:rPr>
                <w:rFonts w:ascii="宋体" w:hAnsi="宋体" w:cs="宋体"/>
                <w:color w:val="000000"/>
                <w:kern w:val="0"/>
                <w:sz w:val="18"/>
                <w:szCs w:val="18"/>
              </w:rPr>
            </w:pPr>
          </w:p>
        </w:tc>
        <w:tc>
          <w:tcPr>
            <w:tcW w:w="395" w:type="pct"/>
            <w:vAlign w:val="center"/>
          </w:tcPr>
          <w:p w14:paraId="5641997E">
            <w:pPr>
              <w:widowControl/>
              <w:jc w:val="center"/>
              <w:rPr>
                <w:rFonts w:ascii="宋体" w:hAnsi="宋体" w:cs="宋体"/>
                <w:color w:val="000000"/>
                <w:kern w:val="0"/>
                <w:sz w:val="18"/>
                <w:szCs w:val="18"/>
              </w:rPr>
            </w:pPr>
          </w:p>
        </w:tc>
        <w:tc>
          <w:tcPr>
            <w:tcW w:w="395" w:type="pct"/>
            <w:vAlign w:val="center"/>
          </w:tcPr>
          <w:p w14:paraId="10F92156">
            <w:pPr>
              <w:widowControl/>
              <w:jc w:val="center"/>
              <w:rPr>
                <w:rFonts w:ascii="宋体" w:hAnsi="宋体" w:cs="宋体"/>
                <w:color w:val="000000"/>
                <w:kern w:val="0"/>
                <w:sz w:val="18"/>
                <w:szCs w:val="18"/>
              </w:rPr>
            </w:pPr>
          </w:p>
        </w:tc>
      </w:tr>
      <w:tr w14:paraId="4D26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1A95DF32">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12" w:type="pct"/>
            <w:shd w:val="clear" w:color="auto" w:fill="auto"/>
            <w:vAlign w:val="center"/>
          </w:tcPr>
          <w:p w14:paraId="6C0043AC">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395" w:type="pct"/>
            <w:shd w:val="clear" w:color="auto" w:fill="auto"/>
            <w:vAlign w:val="center"/>
          </w:tcPr>
          <w:p w14:paraId="78F9F50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16,559.01</w:t>
            </w:r>
          </w:p>
        </w:tc>
        <w:tc>
          <w:tcPr>
            <w:tcW w:w="331" w:type="pct"/>
            <w:shd w:val="clear" w:color="auto" w:fill="auto"/>
            <w:vAlign w:val="center"/>
          </w:tcPr>
          <w:p w14:paraId="3089169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4,252.55</w:t>
            </w:r>
          </w:p>
        </w:tc>
        <w:tc>
          <w:tcPr>
            <w:tcW w:w="395" w:type="pct"/>
            <w:shd w:val="clear" w:color="auto" w:fill="auto"/>
            <w:vAlign w:val="center"/>
          </w:tcPr>
          <w:p w14:paraId="174ED86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10,970.37</w:t>
            </w:r>
          </w:p>
        </w:tc>
        <w:tc>
          <w:tcPr>
            <w:tcW w:w="395" w:type="pct"/>
            <w:shd w:val="clear" w:color="auto" w:fill="auto"/>
            <w:vAlign w:val="center"/>
          </w:tcPr>
          <w:p w14:paraId="3532821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1,323.59</w:t>
            </w:r>
          </w:p>
        </w:tc>
        <w:tc>
          <w:tcPr>
            <w:tcW w:w="395" w:type="pct"/>
            <w:shd w:val="clear" w:color="auto" w:fill="auto"/>
            <w:vAlign w:val="center"/>
          </w:tcPr>
          <w:p w14:paraId="3A400AD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12.50</w:t>
            </w:r>
          </w:p>
        </w:tc>
        <w:tc>
          <w:tcPr>
            <w:tcW w:w="395" w:type="pct"/>
            <w:shd w:val="clear" w:color="auto" w:fill="auto"/>
            <w:vAlign w:val="center"/>
          </w:tcPr>
          <w:p w14:paraId="3C727F4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415C177">
            <w:pPr>
              <w:widowControl/>
              <w:jc w:val="center"/>
              <w:rPr>
                <w:rFonts w:ascii="宋体" w:hAnsi="宋体" w:cs="宋体"/>
                <w:color w:val="000000"/>
                <w:kern w:val="0"/>
                <w:sz w:val="18"/>
                <w:szCs w:val="18"/>
              </w:rPr>
            </w:pPr>
          </w:p>
        </w:tc>
        <w:tc>
          <w:tcPr>
            <w:tcW w:w="395" w:type="pct"/>
            <w:shd w:val="clear" w:color="auto" w:fill="auto"/>
            <w:vAlign w:val="center"/>
          </w:tcPr>
          <w:p w14:paraId="31970A93">
            <w:pPr>
              <w:widowControl/>
              <w:jc w:val="center"/>
              <w:rPr>
                <w:rFonts w:ascii="宋体" w:hAnsi="宋体" w:cs="宋体"/>
                <w:color w:val="000000"/>
                <w:kern w:val="0"/>
                <w:sz w:val="18"/>
                <w:szCs w:val="18"/>
              </w:rPr>
            </w:pPr>
          </w:p>
        </w:tc>
        <w:tc>
          <w:tcPr>
            <w:tcW w:w="395" w:type="pct"/>
            <w:shd w:val="clear" w:color="auto" w:fill="auto"/>
            <w:vAlign w:val="center"/>
          </w:tcPr>
          <w:p w14:paraId="558C38BD">
            <w:pPr>
              <w:widowControl/>
              <w:jc w:val="center"/>
              <w:rPr>
                <w:rFonts w:ascii="宋体" w:hAnsi="宋体" w:cs="宋体"/>
                <w:color w:val="000000"/>
                <w:kern w:val="0"/>
                <w:sz w:val="18"/>
                <w:szCs w:val="18"/>
              </w:rPr>
            </w:pPr>
          </w:p>
        </w:tc>
        <w:tc>
          <w:tcPr>
            <w:tcW w:w="395" w:type="pct"/>
            <w:vAlign w:val="center"/>
          </w:tcPr>
          <w:p w14:paraId="5C7F79FE">
            <w:pPr>
              <w:widowControl/>
              <w:jc w:val="center"/>
              <w:rPr>
                <w:rFonts w:ascii="宋体" w:hAnsi="宋体" w:cs="宋体"/>
                <w:color w:val="000000"/>
                <w:kern w:val="0"/>
                <w:sz w:val="18"/>
                <w:szCs w:val="18"/>
              </w:rPr>
            </w:pPr>
          </w:p>
        </w:tc>
        <w:tc>
          <w:tcPr>
            <w:tcW w:w="395" w:type="pct"/>
            <w:vAlign w:val="center"/>
          </w:tcPr>
          <w:p w14:paraId="17FB9AD6">
            <w:pPr>
              <w:widowControl/>
              <w:jc w:val="center"/>
              <w:rPr>
                <w:rFonts w:ascii="宋体" w:hAnsi="宋体" w:cs="宋体"/>
                <w:color w:val="000000"/>
                <w:kern w:val="0"/>
                <w:sz w:val="18"/>
                <w:szCs w:val="18"/>
              </w:rPr>
            </w:pPr>
          </w:p>
        </w:tc>
      </w:tr>
      <w:tr w14:paraId="7177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384542FD">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二</w:t>
            </w:r>
          </w:p>
        </w:tc>
        <w:tc>
          <w:tcPr>
            <w:tcW w:w="512" w:type="pct"/>
            <w:shd w:val="clear" w:color="auto" w:fill="auto"/>
            <w:vAlign w:val="center"/>
          </w:tcPr>
          <w:p w14:paraId="5BA9A15F">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现金流出</w:t>
            </w:r>
          </w:p>
        </w:tc>
        <w:tc>
          <w:tcPr>
            <w:tcW w:w="395" w:type="pct"/>
            <w:shd w:val="clear" w:color="auto" w:fill="auto"/>
            <w:vAlign w:val="center"/>
          </w:tcPr>
          <w:p w14:paraId="68B3B66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177,842.31</w:t>
            </w:r>
          </w:p>
        </w:tc>
        <w:tc>
          <w:tcPr>
            <w:tcW w:w="331" w:type="pct"/>
            <w:shd w:val="clear" w:color="auto" w:fill="auto"/>
            <w:vAlign w:val="center"/>
          </w:tcPr>
          <w:p w14:paraId="38C0FEA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4,252.55</w:t>
            </w:r>
          </w:p>
        </w:tc>
        <w:tc>
          <w:tcPr>
            <w:tcW w:w="395" w:type="pct"/>
            <w:shd w:val="clear" w:color="auto" w:fill="auto"/>
            <w:vAlign w:val="center"/>
          </w:tcPr>
          <w:p w14:paraId="4113A3E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10,970.37</w:t>
            </w:r>
          </w:p>
        </w:tc>
        <w:tc>
          <w:tcPr>
            <w:tcW w:w="395" w:type="pct"/>
            <w:shd w:val="clear" w:color="auto" w:fill="auto"/>
            <w:vAlign w:val="center"/>
          </w:tcPr>
          <w:p w14:paraId="5A45210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56,414.84</w:t>
            </w:r>
          </w:p>
        </w:tc>
        <w:tc>
          <w:tcPr>
            <w:tcW w:w="395" w:type="pct"/>
            <w:shd w:val="clear" w:color="auto" w:fill="auto"/>
            <w:vAlign w:val="center"/>
          </w:tcPr>
          <w:p w14:paraId="638E3C4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14,851.18</w:t>
            </w:r>
          </w:p>
        </w:tc>
        <w:tc>
          <w:tcPr>
            <w:tcW w:w="395" w:type="pct"/>
            <w:shd w:val="clear" w:color="auto" w:fill="auto"/>
            <w:vAlign w:val="center"/>
          </w:tcPr>
          <w:p w14:paraId="5949F5F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289165C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5EFF12A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4654D84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620E5A0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0D4DAC2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44,126.22</w:t>
            </w:r>
          </w:p>
        </w:tc>
      </w:tr>
      <w:tr w14:paraId="603A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45094BDC">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12" w:type="pct"/>
            <w:shd w:val="clear" w:color="auto" w:fill="auto"/>
            <w:vAlign w:val="center"/>
          </w:tcPr>
          <w:p w14:paraId="6F283696">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395" w:type="pct"/>
            <w:shd w:val="clear" w:color="auto" w:fill="auto"/>
            <w:vAlign w:val="center"/>
          </w:tcPr>
          <w:p w14:paraId="64C3603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6520434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3D9AF8B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6B8DDC0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FD36DB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38D12E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A659F9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E03296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6D66F7B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47DF5F9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44696B6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470F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2B019909">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512" w:type="pct"/>
            <w:shd w:val="clear" w:color="auto" w:fill="auto"/>
            <w:vAlign w:val="center"/>
          </w:tcPr>
          <w:p w14:paraId="250C3796">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395" w:type="pct"/>
            <w:shd w:val="clear" w:color="auto" w:fill="auto"/>
            <w:vAlign w:val="center"/>
          </w:tcPr>
          <w:p w14:paraId="0450BF6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1001E85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A25BC6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D4856F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EC12AD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vAlign w:val="center"/>
          </w:tcPr>
          <w:p w14:paraId="293C592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vAlign w:val="center"/>
          </w:tcPr>
          <w:p w14:paraId="6C2BE73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vAlign w:val="center"/>
          </w:tcPr>
          <w:p w14:paraId="13B1846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shd w:val="clear" w:color="auto" w:fill="auto"/>
            <w:vAlign w:val="center"/>
          </w:tcPr>
          <w:p w14:paraId="19C2380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vAlign w:val="center"/>
          </w:tcPr>
          <w:p w14:paraId="09BDCF9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c>
          <w:tcPr>
            <w:tcW w:w="395" w:type="pct"/>
            <w:vAlign w:val="center"/>
          </w:tcPr>
          <w:p w14:paraId="7AB4FA5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0.00</w:t>
            </w:r>
          </w:p>
        </w:tc>
      </w:tr>
      <w:tr w14:paraId="0537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7D5BEA98">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512" w:type="pct"/>
            <w:shd w:val="clear" w:color="auto" w:fill="auto"/>
            <w:vAlign w:val="center"/>
          </w:tcPr>
          <w:p w14:paraId="128A7DE9">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395" w:type="pct"/>
            <w:shd w:val="clear" w:color="auto" w:fill="auto"/>
            <w:vAlign w:val="center"/>
          </w:tcPr>
          <w:p w14:paraId="60B77B1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7367086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2623C9E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F5ED32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3B1418C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2F341B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AA2013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7DFDB3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390486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311D1C5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5D239E5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4AE4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76D89EE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12" w:type="pct"/>
            <w:shd w:val="clear" w:color="auto" w:fill="auto"/>
            <w:vAlign w:val="center"/>
          </w:tcPr>
          <w:p w14:paraId="4CF584C7">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395" w:type="pct"/>
            <w:shd w:val="clear" w:color="auto" w:fill="auto"/>
            <w:vAlign w:val="center"/>
          </w:tcPr>
          <w:p w14:paraId="62CAADC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82,592.92</w:t>
            </w:r>
          </w:p>
        </w:tc>
        <w:tc>
          <w:tcPr>
            <w:tcW w:w="331" w:type="pct"/>
            <w:shd w:val="clear" w:color="auto" w:fill="auto"/>
            <w:vAlign w:val="center"/>
          </w:tcPr>
          <w:p w14:paraId="1022AAB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4,252.55</w:t>
            </w:r>
          </w:p>
        </w:tc>
        <w:tc>
          <w:tcPr>
            <w:tcW w:w="395" w:type="pct"/>
            <w:shd w:val="clear" w:color="auto" w:fill="auto"/>
            <w:vAlign w:val="center"/>
          </w:tcPr>
          <w:p w14:paraId="7C60DE2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10,970.37</w:t>
            </w:r>
          </w:p>
        </w:tc>
        <w:tc>
          <w:tcPr>
            <w:tcW w:w="395" w:type="pct"/>
            <w:shd w:val="clear" w:color="auto" w:fill="auto"/>
            <w:vAlign w:val="center"/>
          </w:tcPr>
          <w:p w14:paraId="66B0C21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54,870.00</w:t>
            </w:r>
          </w:p>
        </w:tc>
        <w:tc>
          <w:tcPr>
            <w:tcW w:w="395" w:type="pct"/>
            <w:shd w:val="clear" w:color="auto" w:fill="auto"/>
            <w:vAlign w:val="center"/>
          </w:tcPr>
          <w:p w14:paraId="26459DE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12,500.00</w:t>
            </w:r>
          </w:p>
        </w:tc>
        <w:tc>
          <w:tcPr>
            <w:tcW w:w="395" w:type="pct"/>
            <w:shd w:val="clear" w:color="auto" w:fill="auto"/>
            <w:vAlign w:val="center"/>
          </w:tcPr>
          <w:p w14:paraId="5602476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46D9FAAC">
            <w:pPr>
              <w:widowControl/>
              <w:jc w:val="center"/>
              <w:rPr>
                <w:rFonts w:ascii="宋体" w:hAnsi="宋体" w:cs="宋体"/>
                <w:color w:val="000000"/>
                <w:kern w:val="0"/>
                <w:sz w:val="18"/>
                <w:szCs w:val="18"/>
              </w:rPr>
            </w:pPr>
          </w:p>
        </w:tc>
        <w:tc>
          <w:tcPr>
            <w:tcW w:w="395" w:type="pct"/>
            <w:shd w:val="clear" w:color="auto" w:fill="auto"/>
            <w:vAlign w:val="center"/>
          </w:tcPr>
          <w:p w14:paraId="1BEAAE4E">
            <w:pPr>
              <w:widowControl/>
              <w:jc w:val="center"/>
              <w:rPr>
                <w:rFonts w:ascii="宋体" w:hAnsi="宋体" w:cs="宋体"/>
                <w:color w:val="000000"/>
                <w:kern w:val="0"/>
                <w:sz w:val="18"/>
                <w:szCs w:val="18"/>
              </w:rPr>
            </w:pPr>
          </w:p>
        </w:tc>
        <w:tc>
          <w:tcPr>
            <w:tcW w:w="395" w:type="pct"/>
            <w:shd w:val="clear" w:color="auto" w:fill="auto"/>
            <w:vAlign w:val="center"/>
          </w:tcPr>
          <w:p w14:paraId="5080F5AD">
            <w:pPr>
              <w:widowControl/>
              <w:jc w:val="center"/>
              <w:rPr>
                <w:rFonts w:ascii="宋体" w:hAnsi="宋体" w:cs="宋体"/>
                <w:color w:val="000000"/>
                <w:kern w:val="0"/>
                <w:sz w:val="18"/>
                <w:szCs w:val="18"/>
              </w:rPr>
            </w:pPr>
          </w:p>
        </w:tc>
        <w:tc>
          <w:tcPr>
            <w:tcW w:w="395" w:type="pct"/>
            <w:vAlign w:val="center"/>
          </w:tcPr>
          <w:p w14:paraId="5064AF60">
            <w:pPr>
              <w:widowControl/>
              <w:jc w:val="center"/>
              <w:rPr>
                <w:rFonts w:ascii="宋体" w:hAnsi="宋体" w:cs="宋体"/>
                <w:color w:val="000000"/>
                <w:kern w:val="0"/>
                <w:sz w:val="18"/>
                <w:szCs w:val="18"/>
              </w:rPr>
            </w:pPr>
          </w:p>
        </w:tc>
        <w:tc>
          <w:tcPr>
            <w:tcW w:w="395" w:type="pct"/>
            <w:vAlign w:val="center"/>
          </w:tcPr>
          <w:p w14:paraId="0D8654F9">
            <w:pPr>
              <w:widowControl/>
              <w:jc w:val="center"/>
              <w:rPr>
                <w:rFonts w:ascii="宋体" w:hAnsi="宋体" w:cs="宋体"/>
                <w:color w:val="000000"/>
                <w:kern w:val="0"/>
                <w:sz w:val="18"/>
                <w:szCs w:val="18"/>
              </w:rPr>
            </w:pPr>
          </w:p>
        </w:tc>
      </w:tr>
      <w:tr w14:paraId="4ED5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14724132">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512" w:type="pct"/>
            <w:shd w:val="clear" w:color="auto" w:fill="auto"/>
            <w:vAlign w:val="center"/>
          </w:tcPr>
          <w:p w14:paraId="0446C796">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395" w:type="pct"/>
            <w:shd w:val="clear" w:color="auto" w:fill="auto"/>
            <w:vAlign w:val="center"/>
          </w:tcPr>
          <w:p w14:paraId="692DCA4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95,249.39</w:t>
            </w:r>
          </w:p>
        </w:tc>
        <w:tc>
          <w:tcPr>
            <w:tcW w:w="331" w:type="pct"/>
            <w:shd w:val="clear" w:color="auto" w:fill="auto"/>
            <w:vAlign w:val="center"/>
          </w:tcPr>
          <w:p w14:paraId="488A9B4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0E49D08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2A46B2D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1,544.84</w:t>
            </w:r>
          </w:p>
        </w:tc>
        <w:tc>
          <w:tcPr>
            <w:tcW w:w="395" w:type="pct"/>
            <w:shd w:val="clear" w:color="auto" w:fill="auto"/>
            <w:vAlign w:val="center"/>
          </w:tcPr>
          <w:p w14:paraId="0208C2B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2,351.18</w:t>
            </w:r>
          </w:p>
        </w:tc>
        <w:tc>
          <w:tcPr>
            <w:tcW w:w="395" w:type="pct"/>
            <w:shd w:val="clear" w:color="auto" w:fill="auto"/>
            <w:vAlign w:val="center"/>
          </w:tcPr>
          <w:p w14:paraId="7525809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67A356F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4383550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3BAA7F0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19BCD51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4965C6B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44,126.22</w:t>
            </w:r>
          </w:p>
        </w:tc>
      </w:tr>
      <w:tr w14:paraId="0206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4C804834">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512" w:type="pct"/>
            <w:shd w:val="clear" w:color="auto" w:fill="auto"/>
            <w:vAlign w:val="center"/>
          </w:tcPr>
          <w:p w14:paraId="122D3271">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395" w:type="pct"/>
            <w:shd w:val="clear" w:color="auto" w:fill="auto"/>
            <w:vAlign w:val="center"/>
          </w:tcPr>
          <w:p w14:paraId="659A444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67.37</w:t>
            </w:r>
          </w:p>
        </w:tc>
        <w:tc>
          <w:tcPr>
            <w:tcW w:w="331" w:type="pct"/>
            <w:shd w:val="clear" w:color="auto" w:fill="auto"/>
            <w:vAlign w:val="center"/>
          </w:tcPr>
          <w:p w14:paraId="7995F0B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42EDE7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0D3110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54.87</w:t>
            </w:r>
          </w:p>
        </w:tc>
        <w:tc>
          <w:tcPr>
            <w:tcW w:w="395" w:type="pct"/>
            <w:shd w:val="clear" w:color="auto" w:fill="auto"/>
            <w:vAlign w:val="center"/>
          </w:tcPr>
          <w:p w14:paraId="119FAAF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12.50</w:t>
            </w:r>
          </w:p>
        </w:tc>
        <w:tc>
          <w:tcPr>
            <w:tcW w:w="395" w:type="pct"/>
            <w:shd w:val="clear" w:color="auto" w:fill="auto"/>
            <w:vAlign w:val="center"/>
          </w:tcPr>
          <w:p w14:paraId="099AFCA0">
            <w:pPr>
              <w:widowControl/>
              <w:jc w:val="center"/>
              <w:rPr>
                <w:rFonts w:ascii="宋体" w:hAnsi="宋体" w:cs="宋体"/>
                <w:color w:val="000000"/>
                <w:kern w:val="0"/>
                <w:sz w:val="18"/>
                <w:szCs w:val="18"/>
              </w:rPr>
            </w:pPr>
          </w:p>
        </w:tc>
        <w:tc>
          <w:tcPr>
            <w:tcW w:w="395" w:type="pct"/>
            <w:shd w:val="clear" w:color="auto" w:fill="auto"/>
            <w:vAlign w:val="center"/>
          </w:tcPr>
          <w:p w14:paraId="140F0359">
            <w:pPr>
              <w:widowControl/>
              <w:jc w:val="center"/>
              <w:rPr>
                <w:rFonts w:ascii="宋体" w:hAnsi="宋体" w:cs="宋体"/>
                <w:color w:val="000000"/>
                <w:kern w:val="0"/>
                <w:sz w:val="18"/>
                <w:szCs w:val="18"/>
              </w:rPr>
            </w:pPr>
          </w:p>
        </w:tc>
        <w:tc>
          <w:tcPr>
            <w:tcW w:w="395" w:type="pct"/>
            <w:shd w:val="clear" w:color="auto" w:fill="auto"/>
            <w:vAlign w:val="center"/>
          </w:tcPr>
          <w:p w14:paraId="3845E979">
            <w:pPr>
              <w:widowControl/>
              <w:jc w:val="center"/>
              <w:rPr>
                <w:rFonts w:ascii="宋体" w:hAnsi="宋体" w:cs="宋体"/>
                <w:color w:val="000000"/>
                <w:kern w:val="0"/>
                <w:sz w:val="18"/>
                <w:szCs w:val="18"/>
              </w:rPr>
            </w:pPr>
          </w:p>
        </w:tc>
        <w:tc>
          <w:tcPr>
            <w:tcW w:w="395" w:type="pct"/>
            <w:shd w:val="clear" w:color="auto" w:fill="auto"/>
            <w:vAlign w:val="center"/>
          </w:tcPr>
          <w:p w14:paraId="432207D6">
            <w:pPr>
              <w:widowControl/>
              <w:jc w:val="center"/>
              <w:rPr>
                <w:rFonts w:ascii="宋体" w:hAnsi="宋体" w:cs="宋体"/>
                <w:color w:val="000000"/>
                <w:kern w:val="0"/>
                <w:sz w:val="18"/>
                <w:szCs w:val="18"/>
              </w:rPr>
            </w:pPr>
          </w:p>
        </w:tc>
        <w:tc>
          <w:tcPr>
            <w:tcW w:w="395" w:type="pct"/>
            <w:vAlign w:val="center"/>
          </w:tcPr>
          <w:p w14:paraId="3A39CA32">
            <w:pPr>
              <w:widowControl/>
              <w:jc w:val="center"/>
              <w:rPr>
                <w:rFonts w:ascii="宋体" w:hAnsi="宋体" w:cs="宋体"/>
                <w:color w:val="000000"/>
                <w:kern w:val="0"/>
                <w:sz w:val="18"/>
                <w:szCs w:val="18"/>
              </w:rPr>
            </w:pPr>
          </w:p>
        </w:tc>
        <w:tc>
          <w:tcPr>
            <w:tcW w:w="395" w:type="pct"/>
            <w:vAlign w:val="center"/>
          </w:tcPr>
          <w:p w14:paraId="20E93C3C">
            <w:pPr>
              <w:widowControl/>
              <w:jc w:val="center"/>
              <w:rPr>
                <w:rFonts w:ascii="宋体" w:hAnsi="宋体" w:cs="宋体"/>
                <w:color w:val="000000"/>
                <w:kern w:val="0"/>
                <w:sz w:val="18"/>
                <w:szCs w:val="18"/>
              </w:rPr>
            </w:pPr>
          </w:p>
        </w:tc>
      </w:tr>
      <w:tr w14:paraId="0622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7654CA50">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512" w:type="pct"/>
            <w:shd w:val="clear" w:color="auto" w:fill="auto"/>
            <w:vAlign w:val="center"/>
          </w:tcPr>
          <w:p w14:paraId="64ECD424">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395" w:type="pct"/>
            <w:shd w:val="clear" w:color="auto" w:fill="auto"/>
            <w:vAlign w:val="center"/>
          </w:tcPr>
          <w:p w14:paraId="20164FB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67,370.00</w:t>
            </w:r>
          </w:p>
        </w:tc>
        <w:tc>
          <w:tcPr>
            <w:tcW w:w="331" w:type="pct"/>
            <w:shd w:val="clear" w:color="auto" w:fill="auto"/>
            <w:vAlign w:val="center"/>
          </w:tcPr>
          <w:p w14:paraId="1C944DFC">
            <w:pPr>
              <w:widowControl/>
              <w:jc w:val="center"/>
              <w:rPr>
                <w:rFonts w:ascii="宋体" w:hAnsi="宋体" w:cs="宋体"/>
                <w:color w:val="000000"/>
                <w:kern w:val="0"/>
                <w:sz w:val="18"/>
                <w:szCs w:val="18"/>
              </w:rPr>
            </w:pPr>
          </w:p>
        </w:tc>
        <w:tc>
          <w:tcPr>
            <w:tcW w:w="395" w:type="pct"/>
            <w:shd w:val="clear" w:color="auto" w:fill="auto"/>
            <w:noWrap/>
            <w:vAlign w:val="center"/>
          </w:tcPr>
          <w:p w14:paraId="18658496">
            <w:pPr>
              <w:widowControl/>
              <w:jc w:val="center"/>
              <w:rPr>
                <w:rFonts w:ascii="宋体" w:hAnsi="宋体" w:cs="宋体"/>
                <w:color w:val="000000"/>
                <w:kern w:val="0"/>
                <w:sz w:val="18"/>
                <w:szCs w:val="18"/>
              </w:rPr>
            </w:pPr>
          </w:p>
        </w:tc>
        <w:tc>
          <w:tcPr>
            <w:tcW w:w="395" w:type="pct"/>
            <w:shd w:val="clear" w:color="auto" w:fill="auto"/>
            <w:noWrap/>
            <w:vAlign w:val="center"/>
          </w:tcPr>
          <w:p w14:paraId="7910EC7E">
            <w:pPr>
              <w:widowControl/>
              <w:jc w:val="center"/>
              <w:rPr>
                <w:rFonts w:ascii="宋体" w:hAnsi="宋体" w:cs="宋体"/>
                <w:color w:val="000000"/>
                <w:kern w:val="0"/>
                <w:sz w:val="18"/>
                <w:szCs w:val="18"/>
              </w:rPr>
            </w:pPr>
          </w:p>
        </w:tc>
        <w:tc>
          <w:tcPr>
            <w:tcW w:w="395" w:type="pct"/>
            <w:shd w:val="clear" w:color="auto" w:fill="auto"/>
            <w:noWrap/>
            <w:vAlign w:val="center"/>
          </w:tcPr>
          <w:p w14:paraId="5B18EF8E">
            <w:pPr>
              <w:widowControl/>
              <w:jc w:val="center"/>
              <w:rPr>
                <w:rFonts w:ascii="宋体" w:hAnsi="宋体" w:cs="宋体"/>
                <w:color w:val="000000"/>
                <w:kern w:val="0"/>
                <w:sz w:val="18"/>
                <w:szCs w:val="18"/>
              </w:rPr>
            </w:pPr>
          </w:p>
        </w:tc>
        <w:tc>
          <w:tcPr>
            <w:tcW w:w="395" w:type="pct"/>
            <w:shd w:val="clear" w:color="auto" w:fill="auto"/>
            <w:noWrap/>
            <w:vAlign w:val="center"/>
          </w:tcPr>
          <w:p w14:paraId="6A8DE3D8">
            <w:pPr>
              <w:widowControl/>
              <w:jc w:val="center"/>
              <w:rPr>
                <w:rFonts w:ascii="宋体" w:hAnsi="宋体" w:cs="宋体"/>
                <w:color w:val="000000"/>
                <w:kern w:val="0"/>
                <w:sz w:val="18"/>
                <w:szCs w:val="18"/>
              </w:rPr>
            </w:pPr>
          </w:p>
        </w:tc>
        <w:tc>
          <w:tcPr>
            <w:tcW w:w="395" w:type="pct"/>
            <w:shd w:val="clear" w:color="auto" w:fill="auto"/>
            <w:noWrap/>
            <w:vAlign w:val="center"/>
          </w:tcPr>
          <w:p w14:paraId="21D05FAC">
            <w:pPr>
              <w:widowControl/>
              <w:jc w:val="center"/>
              <w:rPr>
                <w:rFonts w:ascii="宋体" w:hAnsi="宋体" w:cs="宋体"/>
                <w:color w:val="000000"/>
                <w:kern w:val="0"/>
                <w:sz w:val="18"/>
                <w:szCs w:val="18"/>
              </w:rPr>
            </w:pPr>
          </w:p>
        </w:tc>
        <w:tc>
          <w:tcPr>
            <w:tcW w:w="395" w:type="pct"/>
            <w:shd w:val="clear" w:color="auto" w:fill="auto"/>
            <w:noWrap/>
            <w:vAlign w:val="center"/>
          </w:tcPr>
          <w:p w14:paraId="1E91E1A5">
            <w:pPr>
              <w:widowControl/>
              <w:jc w:val="center"/>
              <w:rPr>
                <w:rFonts w:ascii="宋体" w:hAnsi="宋体" w:cs="宋体"/>
                <w:color w:val="000000"/>
                <w:kern w:val="0"/>
                <w:sz w:val="18"/>
                <w:szCs w:val="18"/>
              </w:rPr>
            </w:pPr>
          </w:p>
        </w:tc>
        <w:tc>
          <w:tcPr>
            <w:tcW w:w="395" w:type="pct"/>
            <w:shd w:val="clear" w:color="auto" w:fill="auto"/>
            <w:noWrap/>
            <w:vAlign w:val="center"/>
          </w:tcPr>
          <w:p w14:paraId="5DBFB0A9">
            <w:pPr>
              <w:widowControl/>
              <w:jc w:val="center"/>
              <w:rPr>
                <w:rFonts w:ascii="宋体" w:hAnsi="宋体" w:cs="宋体"/>
                <w:color w:val="000000"/>
                <w:kern w:val="0"/>
                <w:sz w:val="18"/>
                <w:szCs w:val="18"/>
              </w:rPr>
            </w:pPr>
          </w:p>
        </w:tc>
        <w:tc>
          <w:tcPr>
            <w:tcW w:w="395" w:type="pct"/>
            <w:vAlign w:val="center"/>
          </w:tcPr>
          <w:p w14:paraId="3F84EEF9">
            <w:pPr>
              <w:widowControl/>
              <w:jc w:val="center"/>
              <w:rPr>
                <w:rFonts w:ascii="宋体" w:hAnsi="宋体" w:cs="宋体"/>
                <w:color w:val="000000"/>
                <w:kern w:val="0"/>
                <w:sz w:val="18"/>
                <w:szCs w:val="18"/>
              </w:rPr>
            </w:pPr>
          </w:p>
        </w:tc>
        <w:tc>
          <w:tcPr>
            <w:tcW w:w="395" w:type="pct"/>
            <w:vAlign w:val="center"/>
          </w:tcPr>
          <w:p w14:paraId="3CF9147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42,370.00</w:t>
            </w:r>
          </w:p>
        </w:tc>
      </w:tr>
      <w:tr w14:paraId="091E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4B02DFEA">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512" w:type="pct"/>
            <w:shd w:val="clear" w:color="auto" w:fill="auto"/>
            <w:vAlign w:val="center"/>
          </w:tcPr>
          <w:p w14:paraId="3830BD2F">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395" w:type="pct"/>
            <w:shd w:val="clear" w:color="auto" w:fill="auto"/>
            <w:vAlign w:val="center"/>
          </w:tcPr>
          <w:p w14:paraId="63966B8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27,812.02</w:t>
            </w:r>
          </w:p>
        </w:tc>
        <w:tc>
          <w:tcPr>
            <w:tcW w:w="331" w:type="pct"/>
            <w:shd w:val="clear" w:color="auto" w:fill="auto"/>
            <w:vAlign w:val="center"/>
          </w:tcPr>
          <w:p w14:paraId="6B9C4C7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4DD02C5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1B13EB4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1,489.97</w:t>
            </w:r>
          </w:p>
        </w:tc>
        <w:tc>
          <w:tcPr>
            <w:tcW w:w="395" w:type="pct"/>
            <w:shd w:val="clear" w:color="auto" w:fill="auto"/>
            <w:noWrap/>
            <w:vAlign w:val="center"/>
          </w:tcPr>
          <w:p w14:paraId="2700C21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2,338.68</w:t>
            </w:r>
          </w:p>
        </w:tc>
        <w:tc>
          <w:tcPr>
            <w:tcW w:w="395" w:type="pct"/>
            <w:shd w:val="clear" w:color="auto" w:fill="auto"/>
            <w:noWrap/>
            <w:vAlign w:val="center"/>
          </w:tcPr>
          <w:p w14:paraId="196131A8">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noWrap/>
            <w:vAlign w:val="center"/>
          </w:tcPr>
          <w:p w14:paraId="29FE513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noWrap/>
            <w:vAlign w:val="center"/>
          </w:tcPr>
          <w:p w14:paraId="10EA39F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noWrap/>
            <w:vAlign w:val="center"/>
          </w:tcPr>
          <w:p w14:paraId="08B0828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4D20F88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58FEFEF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1,756.22</w:t>
            </w:r>
          </w:p>
        </w:tc>
      </w:tr>
      <w:tr w14:paraId="4621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99" w:type="pct"/>
            <w:shd w:val="clear" w:color="auto" w:fill="auto"/>
            <w:vAlign w:val="center"/>
          </w:tcPr>
          <w:p w14:paraId="372F63CC">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512" w:type="pct"/>
            <w:shd w:val="clear" w:color="auto" w:fill="auto"/>
            <w:vAlign w:val="center"/>
          </w:tcPr>
          <w:p w14:paraId="45640F31">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395" w:type="pct"/>
            <w:shd w:val="clear" w:color="auto" w:fill="auto"/>
            <w:vAlign w:val="center"/>
          </w:tcPr>
          <w:p w14:paraId="2D10A24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2D3DC129">
            <w:pPr>
              <w:widowControl/>
              <w:jc w:val="center"/>
              <w:rPr>
                <w:rFonts w:ascii="宋体" w:hAnsi="宋体" w:cs="宋体"/>
                <w:color w:val="000000"/>
                <w:kern w:val="0"/>
                <w:sz w:val="18"/>
                <w:szCs w:val="18"/>
              </w:rPr>
            </w:pPr>
          </w:p>
        </w:tc>
        <w:tc>
          <w:tcPr>
            <w:tcW w:w="395" w:type="pct"/>
            <w:shd w:val="clear" w:color="auto" w:fill="auto"/>
            <w:vAlign w:val="center"/>
          </w:tcPr>
          <w:p w14:paraId="70BBB64B">
            <w:pPr>
              <w:widowControl/>
              <w:jc w:val="center"/>
              <w:rPr>
                <w:rFonts w:ascii="宋体" w:hAnsi="宋体" w:cs="宋体"/>
                <w:color w:val="000000"/>
                <w:kern w:val="0"/>
                <w:sz w:val="18"/>
                <w:szCs w:val="18"/>
              </w:rPr>
            </w:pPr>
          </w:p>
        </w:tc>
        <w:tc>
          <w:tcPr>
            <w:tcW w:w="395" w:type="pct"/>
            <w:shd w:val="clear" w:color="auto" w:fill="auto"/>
            <w:vAlign w:val="center"/>
          </w:tcPr>
          <w:p w14:paraId="0B2939EF">
            <w:pPr>
              <w:widowControl/>
              <w:jc w:val="center"/>
              <w:rPr>
                <w:rFonts w:ascii="宋体" w:hAnsi="宋体" w:cs="宋体"/>
                <w:color w:val="000000"/>
                <w:kern w:val="0"/>
                <w:sz w:val="18"/>
                <w:szCs w:val="18"/>
              </w:rPr>
            </w:pPr>
          </w:p>
        </w:tc>
        <w:tc>
          <w:tcPr>
            <w:tcW w:w="395" w:type="pct"/>
            <w:shd w:val="clear" w:color="auto" w:fill="auto"/>
            <w:vAlign w:val="center"/>
          </w:tcPr>
          <w:p w14:paraId="112376F4">
            <w:pPr>
              <w:widowControl/>
              <w:jc w:val="center"/>
              <w:rPr>
                <w:rFonts w:ascii="宋体" w:hAnsi="宋体" w:cs="宋体"/>
                <w:color w:val="000000"/>
                <w:kern w:val="0"/>
                <w:sz w:val="18"/>
                <w:szCs w:val="18"/>
              </w:rPr>
            </w:pPr>
          </w:p>
        </w:tc>
        <w:tc>
          <w:tcPr>
            <w:tcW w:w="395" w:type="pct"/>
            <w:shd w:val="clear" w:color="auto" w:fill="auto"/>
            <w:vAlign w:val="center"/>
          </w:tcPr>
          <w:p w14:paraId="769441D8">
            <w:pPr>
              <w:widowControl/>
              <w:jc w:val="center"/>
              <w:rPr>
                <w:rFonts w:ascii="宋体" w:hAnsi="宋体" w:cs="宋体"/>
                <w:color w:val="000000"/>
                <w:kern w:val="0"/>
                <w:sz w:val="18"/>
                <w:szCs w:val="18"/>
              </w:rPr>
            </w:pPr>
          </w:p>
        </w:tc>
        <w:tc>
          <w:tcPr>
            <w:tcW w:w="395" w:type="pct"/>
            <w:shd w:val="clear" w:color="auto" w:fill="auto"/>
            <w:noWrap/>
            <w:vAlign w:val="center"/>
          </w:tcPr>
          <w:p w14:paraId="604B2543">
            <w:pPr>
              <w:widowControl/>
              <w:jc w:val="center"/>
              <w:rPr>
                <w:rFonts w:ascii="宋体" w:hAnsi="宋体" w:cs="宋体"/>
                <w:color w:val="000000"/>
                <w:kern w:val="0"/>
                <w:sz w:val="18"/>
                <w:szCs w:val="18"/>
              </w:rPr>
            </w:pPr>
          </w:p>
        </w:tc>
        <w:tc>
          <w:tcPr>
            <w:tcW w:w="395" w:type="pct"/>
            <w:shd w:val="clear" w:color="auto" w:fill="auto"/>
            <w:noWrap/>
            <w:vAlign w:val="center"/>
          </w:tcPr>
          <w:p w14:paraId="1CCB0B6B">
            <w:pPr>
              <w:widowControl/>
              <w:jc w:val="center"/>
              <w:rPr>
                <w:rFonts w:ascii="宋体" w:hAnsi="宋体" w:cs="宋体"/>
                <w:color w:val="000000"/>
                <w:kern w:val="0"/>
                <w:sz w:val="18"/>
                <w:szCs w:val="18"/>
              </w:rPr>
            </w:pPr>
          </w:p>
        </w:tc>
        <w:tc>
          <w:tcPr>
            <w:tcW w:w="395" w:type="pct"/>
            <w:shd w:val="clear" w:color="auto" w:fill="auto"/>
            <w:noWrap/>
            <w:vAlign w:val="center"/>
          </w:tcPr>
          <w:p w14:paraId="7B8170D7">
            <w:pPr>
              <w:widowControl/>
              <w:jc w:val="center"/>
              <w:rPr>
                <w:rFonts w:ascii="宋体" w:hAnsi="宋体" w:cs="宋体"/>
                <w:color w:val="000000"/>
                <w:kern w:val="0"/>
                <w:sz w:val="18"/>
                <w:szCs w:val="18"/>
              </w:rPr>
            </w:pPr>
          </w:p>
        </w:tc>
        <w:tc>
          <w:tcPr>
            <w:tcW w:w="395" w:type="pct"/>
            <w:vAlign w:val="center"/>
          </w:tcPr>
          <w:p w14:paraId="37AF2523">
            <w:pPr>
              <w:widowControl/>
              <w:jc w:val="center"/>
              <w:rPr>
                <w:rFonts w:ascii="宋体" w:hAnsi="宋体" w:cs="宋体"/>
                <w:color w:val="000000"/>
                <w:kern w:val="0"/>
                <w:sz w:val="18"/>
                <w:szCs w:val="18"/>
              </w:rPr>
            </w:pPr>
          </w:p>
        </w:tc>
        <w:tc>
          <w:tcPr>
            <w:tcW w:w="395" w:type="pct"/>
            <w:vAlign w:val="center"/>
          </w:tcPr>
          <w:p w14:paraId="088BCB19">
            <w:pPr>
              <w:widowControl/>
              <w:jc w:val="center"/>
              <w:rPr>
                <w:rFonts w:ascii="宋体" w:hAnsi="宋体" w:cs="宋体"/>
                <w:color w:val="000000"/>
                <w:kern w:val="0"/>
                <w:sz w:val="18"/>
                <w:szCs w:val="18"/>
              </w:rPr>
            </w:pPr>
          </w:p>
        </w:tc>
      </w:tr>
      <w:tr w14:paraId="6609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199" w:type="pct"/>
            <w:shd w:val="clear" w:color="auto" w:fill="auto"/>
            <w:vAlign w:val="center"/>
          </w:tcPr>
          <w:p w14:paraId="656F04C3">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512" w:type="pct"/>
            <w:shd w:val="clear" w:color="auto" w:fill="auto"/>
            <w:vAlign w:val="center"/>
          </w:tcPr>
          <w:p w14:paraId="4596A69F">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395" w:type="pct"/>
            <w:shd w:val="clear" w:color="auto" w:fill="auto"/>
            <w:vAlign w:val="center"/>
          </w:tcPr>
          <w:p w14:paraId="597D668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110911E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3B45FB6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4790F4ED">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343152D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09F25D32">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06DEB39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2544F26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noWrap/>
            <w:vAlign w:val="center"/>
          </w:tcPr>
          <w:p w14:paraId="7AC741E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7122A73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vAlign w:val="center"/>
          </w:tcPr>
          <w:p w14:paraId="3F6A164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r>
      <w:tr w14:paraId="76CD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2562665A">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三</w:t>
            </w:r>
          </w:p>
        </w:tc>
        <w:tc>
          <w:tcPr>
            <w:tcW w:w="512" w:type="pct"/>
            <w:shd w:val="clear" w:color="auto" w:fill="auto"/>
            <w:vAlign w:val="center"/>
          </w:tcPr>
          <w:p w14:paraId="0C199270">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当期现金结余</w:t>
            </w:r>
          </w:p>
        </w:tc>
        <w:tc>
          <w:tcPr>
            <w:tcW w:w="395" w:type="pct"/>
            <w:shd w:val="clear" w:color="auto" w:fill="auto"/>
            <w:vAlign w:val="center"/>
          </w:tcPr>
          <w:p w14:paraId="789BC53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66,910.58</w:t>
            </w:r>
          </w:p>
        </w:tc>
        <w:tc>
          <w:tcPr>
            <w:tcW w:w="331" w:type="pct"/>
            <w:shd w:val="clear" w:color="auto" w:fill="auto"/>
            <w:vAlign w:val="center"/>
          </w:tcPr>
          <w:p w14:paraId="294016C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20BF085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95" w:type="pct"/>
            <w:shd w:val="clear" w:color="auto" w:fill="auto"/>
            <w:vAlign w:val="center"/>
          </w:tcPr>
          <w:p w14:paraId="3A15D63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-221.25</w:t>
            </w:r>
          </w:p>
        </w:tc>
        <w:tc>
          <w:tcPr>
            <w:tcW w:w="395" w:type="pct"/>
            <w:shd w:val="clear" w:color="auto" w:fill="auto"/>
            <w:vAlign w:val="center"/>
          </w:tcPr>
          <w:p w14:paraId="6C9E1EF1">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-2,338.68</w:t>
            </w:r>
          </w:p>
        </w:tc>
        <w:tc>
          <w:tcPr>
            <w:tcW w:w="395" w:type="pct"/>
            <w:shd w:val="clear" w:color="auto" w:fill="auto"/>
            <w:vAlign w:val="center"/>
          </w:tcPr>
          <w:p w14:paraId="48B0F69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27CD3A6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6C0D801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shd w:val="clear" w:color="auto" w:fill="auto"/>
            <w:vAlign w:val="center"/>
          </w:tcPr>
          <w:p w14:paraId="65C5CAB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50BB079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-2,582.43</w:t>
            </w:r>
          </w:p>
        </w:tc>
        <w:tc>
          <w:tcPr>
            <w:tcW w:w="395" w:type="pct"/>
            <w:vAlign w:val="center"/>
          </w:tcPr>
          <w:p w14:paraId="05FFAE2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-44,126.22</w:t>
            </w:r>
          </w:p>
        </w:tc>
      </w:tr>
      <w:tr w14:paraId="1B9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7F6575C7">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四</w:t>
            </w:r>
          </w:p>
        </w:tc>
        <w:tc>
          <w:tcPr>
            <w:tcW w:w="512" w:type="pct"/>
            <w:shd w:val="clear" w:color="auto" w:fill="auto"/>
            <w:vAlign w:val="center"/>
          </w:tcPr>
          <w:p w14:paraId="06E1B13A">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期初现金</w:t>
            </w:r>
          </w:p>
        </w:tc>
        <w:tc>
          <w:tcPr>
            <w:tcW w:w="395" w:type="pct"/>
            <w:shd w:val="clear" w:color="auto" w:fill="auto"/>
            <w:vAlign w:val="center"/>
          </w:tcPr>
          <w:p w14:paraId="2FDC21B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42836E5E">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188F12C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5D7348EB">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95" w:type="pct"/>
            <w:shd w:val="clear" w:color="auto" w:fill="auto"/>
            <w:vAlign w:val="center"/>
          </w:tcPr>
          <w:p w14:paraId="67E3FED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160,602.63</w:t>
            </w:r>
          </w:p>
        </w:tc>
        <w:tc>
          <w:tcPr>
            <w:tcW w:w="395" w:type="pct"/>
            <w:shd w:val="clear" w:color="auto" w:fill="auto"/>
            <w:vAlign w:val="center"/>
          </w:tcPr>
          <w:p w14:paraId="5D90076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158,263.95</w:t>
            </w:r>
          </w:p>
        </w:tc>
        <w:tc>
          <w:tcPr>
            <w:tcW w:w="395" w:type="pct"/>
            <w:shd w:val="clear" w:color="auto" w:fill="auto"/>
            <w:vAlign w:val="center"/>
          </w:tcPr>
          <w:p w14:paraId="360AB14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155,681.52</w:t>
            </w:r>
          </w:p>
        </w:tc>
        <w:tc>
          <w:tcPr>
            <w:tcW w:w="395" w:type="pct"/>
            <w:shd w:val="clear" w:color="auto" w:fill="auto"/>
            <w:vAlign w:val="center"/>
          </w:tcPr>
          <w:p w14:paraId="124C198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153,099.09</w:t>
            </w:r>
          </w:p>
        </w:tc>
        <w:tc>
          <w:tcPr>
            <w:tcW w:w="395" w:type="pct"/>
            <w:shd w:val="clear" w:color="auto" w:fill="auto"/>
            <w:vAlign w:val="center"/>
          </w:tcPr>
          <w:p w14:paraId="3F0BDE77">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150,516.66</w:t>
            </w:r>
          </w:p>
        </w:tc>
        <w:tc>
          <w:tcPr>
            <w:tcW w:w="395" w:type="pct"/>
            <w:vAlign w:val="center"/>
          </w:tcPr>
          <w:p w14:paraId="40B6C3C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147,934.23</w:t>
            </w:r>
          </w:p>
        </w:tc>
        <w:tc>
          <w:tcPr>
            <w:tcW w:w="395" w:type="pct"/>
            <w:vAlign w:val="center"/>
          </w:tcPr>
          <w:p w14:paraId="3D6BEC39">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145,351.80</w:t>
            </w:r>
          </w:p>
        </w:tc>
      </w:tr>
      <w:tr w14:paraId="7BD3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9" w:type="pct"/>
            <w:shd w:val="clear" w:color="auto" w:fill="auto"/>
            <w:vAlign w:val="center"/>
          </w:tcPr>
          <w:p w14:paraId="5BA1C9FE">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五</w:t>
            </w:r>
          </w:p>
        </w:tc>
        <w:tc>
          <w:tcPr>
            <w:tcW w:w="512" w:type="pct"/>
            <w:shd w:val="clear" w:color="auto" w:fill="auto"/>
            <w:vAlign w:val="center"/>
          </w:tcPr>
          <w:p w14:paraId="634C10F6">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期末现金</w:t>
            </w:r>
          </w:p>
        </w:tc>
        <w:tc>
          <w:tcPr>
            <w:tcW w:w="395" w:type="pct"/>
            <w:shd w:val="clear" w:color="auto" w:fill="auto"/>
            <w:vAlign w:val="center"/>
          </w:tcPr>
          <w:p w14:paraId="66FAF3A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31" w:type="pct"/>
            <w:shd w:val="clear" w:color="auto" w:fill="auto"/>
            <w:vAlign w:val="center"/>
          </w:tcPr>
          <w:p w14:paraId="4101851F">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w:t>
            </w:r>
          </w:p>
        </w:tc>
        <w:tc>
          <w:tcPr>
            <w:tcW w:w="395" w:type="pct"/>
            <w:shd w:val="clear" w:color="auto" w:fill="auto"/>
            <w:vAlign w:val="center"/>
          </w:tcPr>
          <w:p w14:paraId="78238856">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160,823.88</w:t>
            </w:r>
          </w:p>
        </w:tc>
        <w:tc>
          <w:tcPr>
            <w:tcW w:w="395" w:type="pct"/>
            <w:shd w:val="clear" w:color="auto" w:fill="auto"/>
            <w:vAlign w:val="center"/>
          </w:tcPr>
          <w:p w14:paraId="2AC06D3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160,602.63</w:t>
            </w:r>
          </w:p>
        </w:tc>
        <w:tc>
          <w:tcPr>
            <w:tcW w:w="395" w:type="pct"/>
            <w:shd w:val="clear" w:color="auto" w:fill="auto"/>
            <w:vAlign w:val="center"/>
          </w:tcPr>
          <w:p w14:paraId="7B5C1683">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158,263.95</w:t>
            </w:r>
          </w:p>
        </w:tc>
        <w:tc>
          <w:tcPr>
            <w:tcW w:w="395" w:type="pct"/>
            <w:shd w:val="clear" w:color="auto" w:fill="auto"/>
            <w:vAlign w:val="center"/>
          </w:tcPr>
          <w:p w14:paraId="43DFA0A4">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155,681.52</w:t>
            </w:r>
          </w:p>
        </w:tc>
        <w:tc>
          <w:tcPr>
            <w:tcW w:w="395" w:type="pct"/>
            <w:shd w:val="clear" w:color="auto" w:fill="auto"/>
            <w:vAlign w:val="center"/>
          </w:tcPr>
          <w:p w14:paraId="705FA5E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153,099.09</w:t>
            </w:r>
          </w:p>
        </w:tc>
        <w:tc>
          <w:tcPr>
            <w:tcW w:w="395" w:type="pct"/>
            <w:shd w:val="clear" w:color="auto" w:fill="auto"/>
            <w:vAlign w:val="center"/>
          </w:tcPr>
          <w:p w14:paraId="451898DA">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150,516.66</w:t>
            </w:r>
          </w:p>
        </w:tc>
        <w:tc>
          <w:tcPr>
            <w:tcW w:w="395" w:type="pct"/>
            <w:shd w:val="clear" w:color="auto" w:fill="auto"/>
            <w:vAlign w:val="center"/>
          </w:tcPr>
          <w:p w14:paraId="3CEEACDC">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147,934.23</w:t>
            </w:r>
          </w:p>
        </w:tc>
        <w:tc>
          <w:tcPr>
            <w:tcW w:w="395" w:type="pct"/>
            <w:vAlign w:val="center"/>
          </w:tcPr>
          <w:p w14:paraId="4972CF75">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145,351.80</w:t>
            </w:r>
          </w:p>
        </w:tc>
        <w:tc>
          <w:tcPr>
            <w:tcW w:w="395" w:type="pct"/>
            <w:vAlign w:val="center"/>
          </w:tcPr>
          <w:p w14:paraId="0F9FA320">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101,225.58</w:t>
            </w:r>
          </w:p>
        </w:tc>
      </w:tr>
    </w:tbl>
    <w:p w14:paraId="383B477E">
      <w:pPr>
        <w:pStyle w:val="20"/>
        <w:spacing w:before="156" w:beforeLines="50" w:beforeAutospacing="0" w:after="156" w:afterLines="50" w:afterAutospacing="0" w:line="360" w:lineRule="exact"/>
        <w:ind w:firstLine="364"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717"/>
        <w:gridCol w:w="1155"/>
        <w:gridCol w:w="1063"/>
        <w:gridCol w:w="1063"/>
        <w:gridCol w:w="1063"/>
        <w:gridCol w:w="1063"/>
        <w:gridCol w:w="1063"/>
        <w:gridCol w:w="1063"/>
        <w:gridCol w:w="1063"/>
        <w:gridCol w:w="1063"/>
        <w:gridCol w:w="1063"/>
        <w:gridCol w:w="1063"/>
      </w:tblGrid>
      <w:tr w14:paraId="0BB5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trPr>
        <w:tc>
          <w:tcPr>
            <w:tcW w:w="212" w:type="pct"/>
            <w:shd w:val="clear" w:color="auto" w:fill="auto"/>
            <w:vAlign w:val="center"/>
          </w:tcPr>
          <w:p w14:paraId="14C757C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08" w:type="pct"/>
            <w:shd w:val="clear" w:color="auto" w:fill="auto"/>
            <w:vAlign w:val="center"/>
          </w:tcPr>
          <w:p w14:paraId="52E4B18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09" w:type="pct"/>
            <w:shd w:val="clear" w:color="auto" w:fill="auto"/>
            <w:vAlign w:val="center"/>
          </w:tcPr>
          <w:p w14:paraId="1A86AAB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2032年</w:t>
            </w:r>
          </w:p>
        </w:tc>
        <w:tc>
          <w:tcPr>
            <w:tcW w:w="376" w:type="pct"/>
            <w:shd w:val="clear" w:color="auto" w:fill="auto"/>
            <w:vAlign w:val="center"/>
          </w:tcPr>
          <w:p w14:paraId="3D3E2ED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2033年</w:t>
            </w:r>
          </w:p>
        </w:tc>
        <w:tc>
          <w:tcPr>
            <w:tcW w:w="376" w:type="pct"/>
            <w:shd w:val="clear" w:color="auto" w:fill="auto"/>
            <w:vAlign w:val="center"/>
          </w:tcPr>
          <w:p w14:paraId="18AD9807">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2034年</w:t>
            </w:r>
          </w:p>
        </w:tc>
        <w:tc>
          <w:tcPr>
            <w:tcW w:w="376" w:type="pct"/>
            <w:shd w:val="clear" w:color="auto" w:fill="auto"/>
            <w:vAlign w:val="center"/>
          </w:tcPr>
          <w:p w14:paraId="2579D67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2035年</w:t>
            </w:r>
          </w:p>
        </w:tc>
        <w:tc>
          <w:tcPr>
            <w:tcW w:w="376" w:type="pct"/>
            <w:shd w:val="clear" w:color="auto" w:fill="auto"/>
            <w:vAlign w:val="center"/>
          </w:tcPr>
          <w:p w14:paraId="19FFCF6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2036年</w:t>
            </w:r>
          </w:p>
        </w:tc>
        <w:tc>
          <w:tcPr>
            <w:tcW w:w="376" w:type="pct"/>
            <w:shd w:val="clear" w:color="auto" w:fill="auto"/>
            <w:vAlign w:val="center"/>
          </w:tcPr>
          <w:p w14:paraId="6A8C40D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2037年</w:t>
            </w:r>
          </w:p>
        </w:tc>
        <w:tc>
          <w:tcPr>
            <w:tcW w:w="376" w:type="pct"/>
            <w:shd w:val="clear" w:color="auto" w:fill="auto"/>
            <w:vAlign w:val="center"/>
          </w:tcPr>
          <w:p w14:paraId="442BC2D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2038年</w:t>
            </w:r>
          </w:p>
        </w:tc>
        <w:tc>
          <w:tcPr>
            <w:tcW w:w="376" w:type="pct"/>
            <w:shd w:val="clear" w:color="auto" w:fill="auto"/>
            <w:vAlign w:val="center"/>
          </w:tcPr>
          <w:p w14:paraId="3D286E87">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2039年</w:t>
            </w:r>
          </w:p>
        </w:tc>
        <w:tc>
          <w:tcPr>
            <w:tcW w:w="376" w:type="pct"/>
            <w:vAlign w:val="center"/>
          </w:tcPr>
          <w:p w14:paraId="5A9DFFC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2040年</w:t>
            </w:r>
          </w:p>
        </w:tc>
        <w:tc>
          <w:tcPr>
            <w:tcW w:w="376" w:type="pct"/>
            <w:vAlign w:val="center"/>
          </w:tcPr>
          <w:p w14:paraId="74B64301">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2041年</w:t>
            </w:r>
          </w:p>
        </w:tc>
        <w:tc>
          <w:tcPr>
            <w:tcW w:w="376" w:type="pct"/>
            <w:vAlign w:val="center"/>
          </w:tcPr>
          <w:p w14:paraId="4D1A0FA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2042年</w:t>
            </w:r>
          </w:p>
        </w:tc>
      </w:tr>
      <w:tr w14:paraId="30678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43CC762D">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p>
        </w:tc>
        <w:tc>
          <w:tcPr>
            <w:tcW w:w="608" w:type="pct"/>
            <w:shd w:val="clear" w:color="auto" w:fill="auto"/>
            <w:vAlign w:val="center"/>
          </w:tcPr>
          <w:p w14:paraId="20D7D63F">
            <w:pPr>
              <w:widowControl/>
              <w:jc w:val="center"/>
              <w:rPr>
                <w:rFonts w:ascii="宋体" w:hAnsi="宋体" w:cs="宋体"/>
                <w:color w:val="000000"/>
                <w:kern w:val="0"/>
                <w:sz w:val="18"/>
                <w:szCs w:val="18"/>
              </w:rPr>
            </w:pPr>
            <w:r>
              <w:rPr>
                <w:rFonts w:hint="eastAsia" w:ascii="宋体" w:hAnsi="宋体" w:cs="宋体"/>
                <w:color w:val="000000"/>
                <w:kern w:val="0"/>
                <w:sz w:val="18"/>
                <w:szCs w:val="18"/>
              </w:rPr>
              <w:t>现金流入</w:t>
            </w:r>
          </w:p>
        </w:tc>
        <w:tc>
          <w:tcPr>
            <w:tcW w:w="409" w:type="pct"/>
            <w:shd w:val="clear" w:color="auto" w:fill="auto"/>
            <w:vAlign w:val="center"/>
          </w:tcPr>
          <w:p w14:paraId="330DC2D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0F7CB34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4B6C4AD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1B48E8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0E12A5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4D65DE4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418F0B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C386A4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5F09713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0FAA184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04AC2F9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5215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526DFF86">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08" w:type="pct"/>
            <w:shd w:val="clear" w:color="auto" w:fill="auto"/>
            <w:vAlign w:val="center"/>
          </w:tcPr>
          <w:p w14:paraId="264FB9CA">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09" w:type="pct"/>
            <w:shd w:val="clear" w:color="auto" w:fill="auto"/>
            <w:vAlign w:val="center"/>
          </w:tcPr>
          <w:p w14:paraId="4C526B2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5536E4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396D0E7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0BF94EA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3576A1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27081CC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6CF35C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2A44B4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3F400B6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67F6044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1ED782F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100C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5AAE8B5E">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08" w:type="pct"/>
            <w:shd w:val="clear" w:color="auto" w:fill="auto"/>
            <w:vAlign w:val="center"/>
          </w:tcPr>
          <w:p w14:paraId="243DED94">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09" w:type="pct"/>
            <w:shd w:val="clear" w:color="auto" w:fill="auto"/>
            <w:vAlign w:val="center"/>
          </w:tcPr>
          <w:p w14:paraId="0539236B">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EB1072B">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3A74D8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3300317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ABA72FA">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32A7A5A4">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02DA122">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79D4A10">
            <w:pPr>
              <w:widowControl/>
              <w:jc w:val="center"/>
              <w:rPr>
                <w:rFonts w:hint="eastAsia" w:ascii="宋体" w:hAnsi="宋体" w:cs="宋体"/>
                <w:color w:val="000000"/>
                <w:kern w:val="0"/>
                <w:sz w:val="18"/>
                <w:szCs w:val="18"/>
                <w:lang w:val="en-US" w:eastAsia="zh-CN"/>
              </w:rPr>
            </w:pPr>
          </w:p>
        </w:tc>
        <w:tc>
          <w:tcPr>
            <w:tcW w:w="376" w:type="pct"/>
            <w:vAlign w:val="center"/>
          </w:tcPr>
          <w:p w14:paraId="0D93D2FC">
            <w:pPr>
              <w:widowControl/>
              <w:jc w:val="center"/>
              <w:rPr>
                <w:rFonts w:hint="eastAsia" w:ascii="宋体" w:hAnsi="宋体" w:cs="宋体"/>
                <w:color w:val="000000"/>
                <w:kern w:val="0"/>
                <w:sz w:val="18"/>
                <w:szCs w:val="18"/>
                <w:lang w:val="en-US" w:eastAsia="zh-CN"/>
              </w:rPr>
            </w:pPr>
          </w:p>
        </w:tc>
        <w:tc>
          <w:tcPr>
            <w:tcW w:w="376" w:type="pct"/>
            <w:vAlign w:val="center"/>
          </w:tcPr>
          <w:p w14:paraId="4085280A">
            <w:pPr>
              <w:widowControl/>
              <w:jc w:val="center"/>
              <w:rPr>
                <w:rFonts w:hint="eastAsia" w:ascii="宋体" w:hAnsi="宋体" w:cs="宋体"/>
                <w:color w:val="000000"/>
                <w:kern w:val="0"/>
                <w:sz w:val="18"/>
                <w:szCs w:val="18"/>
                <w:lang w:val="en-US" w:eastAsia="zh-CN"/>
              </w:rPr>
            </w:pPr>
          </w:p>
        </w:tc>
        <w:tc>
          <w:tcPr>
            <w:tcW w:w="376" w:type="pct"/>
            <w:vAlign w:val="center"/>
          </w:tcPr>
          <w:p w14:paraId="38D0AD7F">
            <w:pPr>
              <w:widowControl/>
              <w:jc w:val="center"/>
              <w:rPr>
                <w:rFonts w:hint="eastAsia" w:ascii="宋体" w:hAnsi="宋体" w:cs="宋体"/>
                <w:color w:val="000000"/>
                <w:kern w:val="0"/>
                <w:sz w:val="18"/>
                <w:szCs w:val="18"/>
                <w:lang w:val="en-US" w:eastAsia="zh-CN"/>
              </w:rPr>
            </w:pPr>
          </w:p>
        </w:tc>
      </w:tr>
      <w:tr w14:paraId="3E51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2080CFBA">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08" w:type="pct"/>
            <w:shd w:val="clear" w:color="auto" w:fill="auto"/>
            <w:vAlign w:val="center"/>
          </w:tcPr>
          <w:p w14:paraId="20F7FFDF">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09" w:type="pct"/>
            <w:shd w:val="clear" w:color="auto" w:fill="auto"/>
            <w:noWrap/>
            <w:vAlign w:val="center"/>
          </w:tcPr>
          <w:p w14:paraId="0F0EEC6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224D8E2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3DCAD69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4A8788B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7359F8B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16F21D1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163F1E8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noWrap/>
            <w:vAlign w:val="center"/>
          </w:tcPr>
          <w:p w14:paraId="1977404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1C54393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689ADC1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0157D12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r>
      <w:tr w14:paraId="1E91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247B6497">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08" w:type="pct"/>
            <w:shd w:val="clear" w:color="auto" w:fill="auto"/>
            <w:vAlign w:val="center"/>
          </w:tcPr>
          <w:p w14:paraId="0DF0198B">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09" w:type="pct"/>
            <w:shd w:val="clear" w:color="auto" w:fill="auto"/>
            <w:vAlign w:val="center"/>
          </w:tcPr>
          <w:p w14:paraId="267F834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08204A2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CFE9F9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2AF06EF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ADC108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BB79EA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29F9EBC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052F75C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267EA77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42DEB83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64666ED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5521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17623A16">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08" w:type="pct"/>
            <w:shd w:val="clear" w:color="auto" w:fill="auto"/>
            <w:vAlign w:val="center"/>
          </w:tcPr>
          <w:p w14:paraId="70D0646D">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09" w:type="pct"/>
            <w:shd w:val="clear" w:color="auto" w:fill="auto"/>
            <w:vAlign w:val="center"/>
          </w:tcPr>
          <w:p w14:paraId="3EA3C52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A8598D8">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236D899E">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E1086DC">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97583E3">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F09B05E">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A30A60E">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4CC92F6">
            <w:pPr>
              <w:widowControl/>
              <w:jc w:val="center"/>
              <w:rPr>
                <w:rFonts w:hint="eastAsia" w:ascii="宋体" w:hAnsi="宋体" w:cs="宋体"/>
                <w:color w:val="000000"/>
                <w:kern w:val="0"/>
                <w:sz w:val="18"/>
                <w:szCs w:val="18"/>
                <w:lang w:val="en-US" w:eastAsia="zh-CN"/>
              </w:rPr>
            </w:pPr>
          </w:p>
        </w:tc>
        <w:tc>
          <w:tcPr>
            <w:tcW w:w="376" w:type="pct"/>
            <w:vAlign w:val="center"/>
          </w:tcPr>
          <w:p w14:paraId="3E1E1B7E">
            <w:pPr>
              <w:widowControl/>
              <w:jc w:val="center"/>
              <w:rPr>
                <w:rFonts w:hint="eastAsia" w:ascii="宋体" w:hAnsi="宋体" w:cs="宋体"/>
                <w:color w:val="000000"/>
                <w:kern w:val="0"/>
                <w:sz w:val="18"/>
                <w:szCs w:val="18"/>
                <w:lang w:val="en-US" w:eastAsia="zh-CN"/>
              </w:rPr>
            </w:pPr>
          </w:p>
        </w:tc>
        <w:tc>
          <w:tcPr>
            <w:tcW w:w="376" w:type="pct"/>
            <w:vAlign w:val="center"/>
          </w:tcPr>
          <w:p w14:paraId="06EA81C5">
            <w:pPr>
              <w:widowControl/>
              <w:jc w:val="center"/>
              <w:rPr>
                <w:rFonts w:hint="eastAsia" w:ascii="宋体" w:hAnsi="宋体" w:cs="宋体"/>
                <w:color w:val="000000"/>
                <w:kern w:val="0"/>
                <w:sz w:val="18"/>
                <w:szCs w:val="18"/>
                <w:lang w:val="en-US" w:eastAsia="zh-CN"/>
              </w:rPr>
            </w:pPr>
          </w:p>
        </w:tc>
        <w:tc>
          <w:tcPr>
            <w:tcW w:w="376" w:type="pct"/>
            <w:vAlign w:val="center"/>
          </w:tcPr>
          <w:p w14:paraId="1A3AFB4E">
            <w:pPr>
              <w:widowControl/>
              <w:jc w:val="center"/>
              <w:rPr>
                <w:rFonts w:hint="eastAsia" w:ascii="宋体" w:hAnsi="宋体" w:cs="宋体"/>
                <w:color w:val="000000"/>
                <w:kern w:val="0"/>
                <w:sz w:val="18"/>
                <w:szCs w:val="18"/>
                <w:lang w:val="en-US" w:eastAsia="zh-CN"/>
              </w:rPr>
            </w:pPr>
          </w:p>
        </w:tc>
      </w:tr>
      <w:tr w14:paraId="6725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1BEDB2E4">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08" w:type="pct"/>
            <w:shd w:val="clear" w:color="auto" w:fill="auto"/>
            <w:vAlign w:val="center"/>
          </w:tcPr>
          <w:p w14:paraId="47E592B4">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09" w:type="pct"/>
            <w:shd w:val="clear" w:color="auto" w:fill="auto"/>
            <w:vAlign w:val="center"/>
          </w:tcPr>
          <w:p w14:paraId="440E0AF9">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EF15AF4">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B2DA200">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6D1E17D">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427CF09A">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B601016">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436A74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2556A6C3">
            <w:pPr>
              <w:widowControl/>
              <w:jc w:val="center"/>
              <w:rPr>
                <w:rFonts w:hint="eastAsia" w:ascii="宋体" w:hAnsi="宋体" w:cs="宋体"/>
                <w:color w:val="000000"/>
                <w:kern w:val="0"/>
                <w:sz w:val="18"/>
                <w:szCs w:val="18"/>
                <w:lang w:val="en-US" w:eastAsia="zh-CN"/>
              </w:rPr>
            </w:pPr>
          </w:p>
        </w:tc>
        <w:tc>
          <w:tcPr>
            <w:tcW w:w="376" w:type="pct"/>
            <w:vAlign w:val="center"/>
          </w:tcPr>
          <w:p w14:paraId="5DCD4685">
            <w:pPr>
              <w:widowControl/>
              <w:jc w:val="center"/>
              <w:rPr>
                <w:rFonts w:hint="eastAsia" w:ascii="宋体" w:hAnsi="宋体" w:cs="宋体"/>
                <w:color w:val="000000"/>
                <w:kern w:val="0"/>
                <w:sz w:val="18"/>
                <w:szCs w:val="18"/>
                <w:lang w:val="en-US" w:eastAsia="zh-CN"/>
              </w:rPr>
            </w:pPr>
          </w:p>
        </w:tc>
        <w:tc>
          <w:tcPr>
            <w:tcW w:w="376" w:type="pct"/>
            <w:vAlign w:val="center"/>
          </w:tcPr>
          <w:p w14:paraId="4362082F">
            <w:pPr>
              <w:widowControl/>
              <w:jc w:val="center"/>
              <w:rPr>
                <w:rFonts w:hint="eastAsia" w:ascii="宋体" w:hAnsi="宋体" w:cs="宋体"/>
                <w:color w:val="000000"/>
                <w:kern w:val="0"/>
                <w:sz w:val="18"/>
                <w:szCs w:val="18"/>
                <w:lang w:val="en-US" w:eastAsia="zh-CN"/>
              </w:rPr>
            </w:pPr>
          </w:p>
        </w:tc>
        <w:tc>
          <w:tcPr>
            <w:tcW w:w="376" w:type="pct"/>
            <w:vAlign w:val="center"/>
          </w:tcPr>
          <w:p w14:paraId="0C3FD472">
            <w:pPr>
              <w:widowControl/>
              <w:jc w:val="center"/>
              <w:rPr>
                <w:rFonts w:hint="eastAsia" w:ascii="宋体" w:hAnsi="宋体" w:cs="宋体"/>
                <w:color w:val="000000"/>
                <w:kern w:val="0"/>
                <w:sz w:val="18"/>
                <w:szCs w:val="18"/>
                <w:lang w:val="en-US" w:eastAsia="zh-CN"/>
              </w:rPr>
            </w:pPr>
          </w:p>
        </w:tc>
      </w:tr>
      <w:tr w14:paraId="757D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27CED6EE">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08" w:type="pct"/>
            <w:shd w:val="clear" w:color="auto" w:fill="auto"/>
            <w:vAlign w:val="center"/>
          </w:tcPr>
          <w:p w14:paraId="224DE2E4">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09" w:type="pct"/>
            <w:shd w:val="clear" w:color="auto" w:fill="auto"/>
            <w:vAlign w:val="center"/>
          </w:tcPr>
          <w:p w14:paraId="3737FDB7">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CCD469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13AD80A">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2AE83E9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3AC24417">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9773E58">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9CA13DC">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45A91FE5">
            <w:pPr>
              <w:widowControl/>
              <w:jc w:val="center"/>
              <w:rPr>
                <w:rFonts w:hint="eastAsia" w:ascii="宋体" w:hAnsi="宋体" w:cs="宋体"/>
                <w:color w:val="000000"/>
                <w:kern w:val="0"/>
                <w:sz w:val="18"/>
                <w:szCs w:val="18"/>
                <w:lang w:val="en-US" w:eastAsia="zh-CN"/>
              </w:rPr>
            </w:pPr>
          </w:p>
        </w:tc>
        <w:tc>
          <w:tcPr>
            <w:tcW w:w="376" w:type="pct"/>
            <w:vAlign w:val="center"/>
          </w:tcPr>
          <w:p w14:paraId="390102C1">
            <w:pPr>
              <w:widowControl/>
              <w:jc w:val="center"/>
              <w:rPr>
                <w:rFonts w:hint="eastAsia" w:ascii="宋体" w:hAnsi="宋体" w:cs="宋体"/>
                <w:color w:val="000000"/>
                <w:kern w:val="0"/>
                <w:sz w:val="18"/>
                <w:szCs w:val="18"/>
                <w:lang w:val="en-US" w:eastAsia="zh-CN"/>
              </w:rPr>
            </w:pPr>
          </w:p>
        </w:tc>
        <w:tc>
          <w:tcPr>
            <w:tcW w:w="376" w:type="pct"/>
            <w:vAlign w:val="center"/>
          </w:tcPr>
          <w:p w14:paraId="4D70F304">
            <w:pPr>
              <w:widowControl/>
              <w:jc w:val="center"/>
              <w:rPr>
                <w:rFonts w:hint="eastAsia" w:ascii="宋体" w:hAnsi="宋体" w:cs="宋体"/>
                <w:color w:val="000000"/>
                <w:kern w:val="0"/>
                <w:sz w:val="18"/>
                <w:szCs w:val="18"/>
                <w:lang w:val="en-US" w:eastAsia="zh-CN"/>
              </w:rPr>
            </w:pPr>
          </w:p>
        </w:tc>
        <w:tc>
          <w:tcPr>
            <w:tcW w:w="376" w:type="pct"/>
            <w:vAlign w:val="center"/>
          </w:tcPr>
          <w:p w14:paraId="7BF71368">
            <w:pPr>
              <w:widowControl/>
              <w:jc w:val="center"/>
              <w:rPr>
                <w:rFonts w:hint="eastAsia" w:ascii="宋体" w:hAnsi="宋体" w:cs="宋体"/>
                <w:color w:val="000000"/>
                <w:kern w:val="0"/>
                <w:sz w:val="18"/>
                <w:szCs w:val="18"/>
                <w:lang w:val="en-US" w:eastAsia="zh-CN"/>
              </w:rPr>
            </w:pPr>
          </w:p>
        </w:tc>
      </w:tr>
      <w:tr w14:paraId="6F29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2D82DF2A">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p>
        </w:tc>
        <w:tc>
          <w:tcPr>
            <w:tcW w:w="608" w:type="pct"/>
            <w:shd w:val="clear" w:color="auto" w:fill="auto"/>
            <w:vAlign w:val="center"/>
          </w:tcPr>
          <w:p w14:paraId="54ACB932">
            <w:pPr>
              <w:widowControl/>
              <w:jc w:val="center"/>
              <w:rPr>
                <w:rFonts w:ascii="宋体" w:hAnsi="宋体" w:cs="宋体"/>
                <w:color w:val="000000"/>
                <w:kern w:val="0"/>
                <w:sz w:val="18"/>
                <w:szCs w:val="18"/>
              </w:rPr>
            </w:pPr>
            <w:r>
              <w:rPr>
                <w:rFonts w:hint="eastAsia" w:ascii="宋体" w:hAnsi="宋体" w:cs="宋体"/>
                <w:color w:val="000000"/>
                <w:kern w:val="0"/>
                <w:sz w:val="18"/>
                <w:szCs w:val="18"/>
              </w:rPr>
              <w:t>现金流出</w:t>
            </w:r>
          </w:p>
        </w:tc>
        <w:tc>
          <w:tcPr>
            <w:tcW w:w="409" w:type="pct"/>
            <w:shd w:val="clear" w:color="auto" w:fill="auto"/>
            <w:vAlign w:val="center"/>
          </w:tcPr>
          <w:p w14:paraId="339AF5A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13,186.25</w:t>
            </w:r>
          </w:p>
        </w:tc>
        <w:tc>
          <w:tcPr>
            <w:tcW w:w="376" w:type="pct"/>
            <w:shd w:val="clear" w:color="auto" w:fill="auto"/>
            <w:vAlign w:val="center"/>
          </w:tcPr>
          <w:p w14:paraId="790EBB4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704467F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D7ECD1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249D3F1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D4C56C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37CD55C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1CA05F5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318A957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1A26123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2B1D087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r>
      <w:tr w14:paraId="3A1D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488ABECA">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08" w:type="pct"/>
            <w:shd w:val="clear" w:color="auto" w:fill="auto"/>
            <w:vAlign w:val="center"/>
          </w:tcPr>
          <w:p w14:paraId="50412065">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09" w:type="pct"/>
            <w:shd w:val="clear" w:color="auto" w:fill="auto"/>
            <w:vAlign w:val="center"/>
          </w:tcPr>
          <w:p w14:paraId="56A86D6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5DC5D94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4F91638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06ED4AA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B40DEF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72316DB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3839E3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DF10BC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1E04185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706A09D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4FF5133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2AA5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0FF74B77">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08" w:type="pct"/>
            <w:shd w:val="clear" w:color="auto" w:fill="auto"/>
            <w:vAlign w:val="center"/>
          </w:tcPr>
          <w:p w14:paraId="322777FC">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09" w:type="pct"/>
            <w:shd w:val="clear" w:color="auto" w:fill="auto"/>
            <w:vAlign w:val="center"/>
          </w:tcPr>
          <w:p w14:paraId="2DBD6F8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1B29AC7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2949727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1885F5D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36A2962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71280DF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1B5E444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shd w:val="clear" w:color="auto" w:fill="auto"/>
            <w:vAlign w:val="center"/>
          </w:tcPr>
          <w:p w14:paraId="1A3EFE9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413026D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66F6214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6" w:type="pct"/>
            <w:vAlign w:val="center"/>
          </w:tcPr>
          <w:p w14:paraId="2E048D0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r>
      <w:tr w14:paraId="3F9C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6238B234">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08" w:type="pct"/>
            <w:shd w:val="clear" w:color="auto" w:fill="auto"/>
            <w:vAlign w:val="center"/>
          </w:tcPr>
          <w:p w14:paraId="52EC342E">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09" w:type="pct"/>
            <w:shd w:val="clear" w:color="auto" w:fill="auto"/>
            <w:vAlign w:val="center"/>
          </w:tcPr>
          <w:p w14:paraId="205C187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5A6FCA8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F2B30C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6F33857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37C7D1A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46B8A82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28412A4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vAlign w:val="center"/>
          </w:tcPr>
          <w:p w14:paraId="1045052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4632139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78449BC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6343887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0A25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76B882A8">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08" w:type="pct"/>
            <w:shd w:val="clear" w:color="auto" w:fill="auto"/>
            <w:vAlign w:val="center"/>
          </w:tcPr>
          <w:p w14:paraId="446C093E">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09" w:type="pct"/>
            <w:shd w:val="clear" w:color="auto" w:fill="auto"/>
            <w:vAlign w:val="center"/>
          </w:tcPr>
          <w:p w14:paraId="57D8F141">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DD0474E">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F72648E">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3E16AD49">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77E3023">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3ABD9A8">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527EA2C">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47AE1D4E">
            <w:pPr>
              <w:widowControl/>
              <w:jc w:val="center"/>
              <w:rPr>
                <w:rFonts w:hint="eastAsia" w:ascii="宋体" w:hAnsi="宋体" w:cs="宋体"/>
                <w:color w:val="000000"/>
                <w:kern w:val="0"/>
                <w:sz w:val="18"/>
                <w:szCs w:val="18"/>
                <w:lang w:val="en-US" w:eastAsia="zh-CN"/>
              </w:rPr>
            </w:pPr>
          </w:p>
        </w:tc>
        <w:tc>
          <w:tcPr>
            <w:tcW w:w="376" w:type="pct"/>
            <w:vAlign w:val="center"/>
          </w:tcPr>
          <w:p w14:paraId="3C7DD7D0">
            <w:pPr>
              <w:widowControl/>
              <w:jc w:val="center"/>
              <w:rPr>
                <w:rFonts w:hint="eastAsia" w:ascii="宋体" w:hAnsi="宋体" w:cs="宋体"/>
                <w:color w:val="000000"/>
                <w:kern w:val="0"/>
                <w:sz w:val="18"/>
                <w:szCs w:val="18"/>
                <w:lang w:val="en-US" w:eastAsia="zh-CN"/>
              </w:rPr>
            </w:pPr>
          </w:p>
        </w:tc>
        <w:tc>
          <w:tcPr>
            <w:tcW w:w="376" w:type="pct"/>
            <w:vAlign w:val="center"/>
          </w:tcPr>
          <w:p w14:paraId="43FA8432">
            <w:pPr>
              <w:widowControl/>
              <w:jc w:val="center"/>
              <w:rPr>
                <w:rFonts w:hint="eastAsia" w:ascii="宋体" w:hAnsi="宋体" w:cs="宋体"/>
                <w:color w:val="000000"/>
                <w:kern w:val="0"/>
                <w:sz w:val="18"/>
                <w:szCs w:val="18"/>
                <w:lang w:val="en-US" w:eastAsia="zh-CN"/>
              </w:rPr>
            </w:pPr>
          </w:p>
        </w:tc>
        <w:tc>
          <w:tcPr>
            <w:tcW w:w="376" w:type="pct"/>
            <w:vAlign w:val="center"/>
          </w:tcPr>
          <w:p w14:paraId="3B17C84B">
            <w:pPr>
              <w:widowControl/>
              <w:jc w:val="center"/>
              <w:rPr>
                <w:rFonts w:hint="eastAsia" w:ascii="宋体" w:hAnsi="宋体" w:cs="宋体"/>
                <w:color w:val="000000"/>
                <w:kern w:val="0"/>
                <w:sz w:val="18"/>
                <w:szCs w:val="18"/>
                <w:lang w:val="en-US" w:eastAsia="zh-CN"/>
              </w:rPr>
            </w:pPr>
          </w:p>
        </w:tc>
      </w:tr>
      <w:tr w14:paraId="445E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62D3569D">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08" w:type="pct"/>
            <w:shd w:val="clear" w:color="auto" w:fill="auto"/>
            <w:vAlign w:val="center"/>
          </w:tcPr>
          <w:p w14:paraId="141D4FEA">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09" w:type="pct"/>
            <w:shd w:val="clear" w:color="auto" w:fill="auto"/>
            <w:vAlign w:val="center"/>
          </w:tcPr>
          <w:p w14:paraId="31675F7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13,186.25</w:t>
            </w:r>
          </w:p>
        </w:tc>
        <w:tc>
          <w:tcPr>
            <w:tcW w:w="376" w:type="pct"/>
            <w:shd w:val="clear" w:color="auto" w:fill="auto"/>
            <w:vAlign w:val="center"/>
          </w:tcPr>
          <w:p w14:paraId="66881CB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1F68DB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20DD9B8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4B304C1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3D40C0E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0E172A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1E9C42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612DF04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3D3EEE2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42B6DD3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r>
      <w:tr w14:paraId="68B6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1AE31957">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08" w:type="pct"/>
            <w:shd w:val="clear" w:color="auto" w:fill="auto"/>
            <w:vAlign w:val="center"/>
          </w:tcPr>
          <w:p w14:paraId="0EB82162">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09" w:type="pct"/>
            <w:shd w:val="clear" w:color="auto" w:fill="auto"/>
            <w:vAlign w:val="center"/>
          </w:tcPr>
          <w:p w14:paraId="617B4A15">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0E1D8AC">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75DA59C0">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BC65906">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2E2B34F">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15231FCD">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01BDE5B1">
            <w:pPr>
              <w:widowControl/>
              <w:jc w:val="center"/>
              <w:rPr>
                <w:rFonts w:hint="eastAsia" w:ascii="宋体" w:hAnsi="宋体" w:cs="宋体"/>
                <w:color w:val="000000"/>
                <w:kern w:val="0"/>
                <w:sz w:val="18"/>
                <w:szCs w:val="18"/>
                <w:lang w:val="en-US" w:eastAsia="zh-CN"/>
              </w:rPr>
            </w:pPr>
          </w:p>
        </w:tc>
        <w:tc>
          <w:tcPr>
            <w:tcW w:w="376" w:type="pct"/>
            <w:shd w:val="clear" w:color="auto" w:fill="auto"/>
            <w:vAlign w:val="center"/>
          </w:tcPr>
          <w:p w14:paraId="62675687">
            <w:pPr>
              <w:widowControl/>
              <w:jc w:val="center"/>
              <w:rPr>
                <w:rFonts w:hint="eastAsia" w:ascii="宋体" w:hAnsi="宋体" w:cs="宋体"/>
                <w:color w:val="000000"/>
                <w:kern w:val="0"/>
                <w:sz w:val="18"/>
                <w:szCs w:val="18"/>
                <w:lang w:val="en-US" w:eastAsia="zh-CN"/>
              </w:rPr>
            </w:pPr>
          </w:p>
        </w:tc>
        <w:tc>
          <w:tcPr>
            <w:tcW w:w="376" w:type="pct"/>
            <w:vAlign w:val="center"/>
          </w:tcPr>
          <w:p w14:paraId="4C62AFB9">
            <w:pPr>
              <w:widowControl/>
              <w:jc w:val="center"/>
              <w:rPr>
                <w:rFonts w:hint="eastAsia" w:ascii="宋体" w:hAnsi="宋体" w:cs="宋体"/>
                <w:color w:val="000000"/>
                <w:kern w:val="0"/>
                <w:sz w:val="18"/>
                <w:szCs w:val="18"/>
                <w:lang w:val="en-US" w:eastAsia="zh-CN"/>
              </w:rPr>
            </w:pPr>
          </w:p>
        </w:tc>
        <w:tc>
          <w:tcPr>
            <w:tcW w:w="376" w:type="pct"/>
            <w:vAlign w:val="center"/>
          </w:tcPr>
          <w:p w14:paraId="4AFC30F8">
            <w:pPr>
              <w:widowControl/>
              <w:jc w:val="center"/>
              <w:rPr>
                <w:rFonts w:hint="eastAsia" w:ascii="宋体" w:hAnsi="宋体" w:cs="宋体"/>
                <w:color w:val="000000"/>
                <w:kern w:val="0"/>
                <w:sz w:val="18"/>
                <w:szCs w:val="18"/>
                <w:lang w:val="en-US" w:eastAsia="zh-CN"/>
              </w:rPr>
            </w:pPr>
          </w:p>
        </w:tc>
        <w:tc>
          <w:tcPr>
            <w:tcW w:w="376" w:type="pct"/>
            <w:vAlign w:val="center"/>
          </w:tcPr>
          <w:p w14:paraId="1A7ADC75">
            <w:pPr>
              <w:widowControl/>
              <w:jc w:val="center"/>
              <w:rPr>
                <w:rFonts w:hint="eastAsia" w:ascii="宋体" w:hAnsi="宋体" w:cs="宋体"/>
                <w:color w:val="000000"/>
                <w:kern w:val="0"/>
                <w:sz w:val="18"/>
                <w:szCs w:val="18"/>
                <w:lang w:val="en-US" w:eastAsia="zh-CN"/>
              </w:rPr>
            </w:pPr>
          </w:p>
        </w:tc>
      </w:tr>
      <w:tr w14:paraId="5E13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5A6E1C2C">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08" w:type="pct"/>
            <w:shd w:val="clear" w:color="auto" w:fill="auto"/>
            <w:vAlign w:val="center"/>
          </w:tcPr>
          <w:p w14:paraId="12A2033F">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09" w:type="pct"/>
            <w:shd w:val="clear" w:color="auto" w:fill="auto"/>
            <w:noWrap/>
            <w:vAlign w:val="center"/>
          </w:tcPr>
          <w:p w14:paraId="5BCD3DE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12,500.00</w:t>
            </w:r>
          </w:p>
        </w:tc>
        <w:tc>
          <w:tcPr>
            <w:tcW w:w="376" w:type="pct"/>
            <w:shd w:val="clear" w:color="auto" w:fill="auto"/>
            <w:noWrap/>
            <w:vAlign w:val="center"/>
          </w:tcPr>
          <w:p w14:paraId="73FF20A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7389B3C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6C925A2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58402B8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656927E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3AD640B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3AA201B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04DFA25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75E6F73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298B705F">
            <w:pPr>
              <w:widowControl/>
              <w:jc w:val="center"/>
              <w:rPr>
                <w:rFonts w:hint="eastAsia" w:ascii="宋体" w:hAnsi="宋体" w:cs="宋体"/>
                <w:color w:val="000000"/>
                <w:kern w:val="0"/>
                <w:sz w:val="18"/>
                <w:szCs w:val="18"/>
                <w:lang w:val="en-US" w:eastAsia="zh-CN"/>
              </w:rPr>
            </w:pPr>
          </w:p>
        </w:tc>
      </w:tr>
      <w:tr w14:paraId="0D82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4DB7537D">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08" w:type="pct"/>
            <w:shd w:val="clear" w:color="auto" w:fill="auto"/>
            <w:vAlign w:val="center"/>
          </w:tcPr>
          <w:p w14:paraId="69B5E3F9">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09" w:type="pct"/>
            <w:shd w:val="clear" w:color="auto" w:fill="auto"/>
            <w:noWrap/>
            <w:vAlign w:val="center"/>
          </w:tcPr>
          <w:p w14:paraId="0A44E6C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686.25</w:t>
            </w:r>
          </w:p>
        </w:tc>
        <w:tc>
          <w:tcPr>
            <w:tcW w:w="376" w:type="pct"/>
            <w:shd w:val="clear" w:color="auto" w:fill="auto"/>
            <w:noWrap/>
            <w:vAlign w:val="center"/>
          </w:tcPr>
          <w:p w14:paraId="339FFF0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12AF1E4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7D48BAD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1B764FC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5593D93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0C37CAE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noWrap/>
            <w:vAlign w:val="center"/>
          </w:tcPr>
          <w:p w14:paraId="18BA4E1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047FAD0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24AC700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2CA6BAD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r>
      <w:tr w14:paraId="3DBD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7A85BF34">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08" w:type="pct"/>
            <w:shd w:val="clear" w:color="auto" w:fill="auto"/>
            <w:vAlign w:val="center"/>
          </w:tcPr>
          <w:p w14:paraId="5F9915D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09" w:type="pct"/>
            <w:shd w:val="clear" w:color="auto" w:fill="auto"/>
            <w:noWrap/>
            <w:vAlign w:val="center"/>
          </w:tcPr>
          <w:p w14:paraId="2F2D3AAC">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017B8C1D">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0EA0E25F">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596941D7">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54D55D8F">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3A0253D3">
            <w:pPr>
              <w:widowControl/>
              <w:jc w:val="center"/>
              <w:rPr>
                <w:rFonts w:hint="eastAsia" w:ascii="宋体" w:hAnsi="宋体" w:cs="宋体"/>
                <w:color w:val="000000"/>
                <w:kern w:val="0"/>
                <w:sz w:val="18"/>
                <w:szCs w:val="18"/>
                <w:lang w:val="en-US" w:eastAsia="zh-CN"/>
              </w:rPr>
            </w:pPr>
          </w:p>
        </w:tc>
        <w:tc>
          <w:tcPr>
            <w:tcW w:w="376" w:type="pct"/>
            <w:shd w:val="clear" w:color="auto" w:fill="auto"/>
            <w:noWrap/>
            <w:vAlign w:val="center"/>
          </w:tcPr>
          <w:p w14:paraId="69C1BC4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5BFFE1B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7BA80B96">
            <w:pPr>
              <w:widowControl/>
              <w:jc w:val="center"/>
              <w:rPr>
                <w:rFonts w:hint="eastAsia" w:ascii="宋体" w:hAnsi="宋体" w:cs="宋体"/>
                <w:color w:val="000000"/>
                <w:kern w:val="0"/>
                <w:sz w:val="18"/>
                <w:szCs w:val="18"/>
                <w:lang w:val="en-US" w:eastAsia="zh-CN"/>
              </w:rPr>
            </w:pPr>
          </w:p>
        </w:tc>
        <w:tc>
          <w:tcPr>
            <w:tcW w:w="376" w:type="pct"/>
            <w:vAlign w:val="center"/>
          </w:tcPr>
          <w:p w14:paraId="0280A812">
            <w:pPr>
              <w:widowControl/>
              <w:jc w:val="center"/>
              <w:rPr>
                <w:rFonts w:hint="eastAsia" w:ascii="宋体" w:hAnsi="宋体" w:cs="宋体"/>
                <w:color w:val="000000"/>
                <w:kern w:val="0"/>
                <w:sz w:val="18"/>
                <w:szCs w:val="18"/>
                <w:lang w:val="en-US" w:eastAsia="zh-CN"/>
              </w:rPr>
            </w:pPr>
          </w:p>
        </w:tc>
        <w:tc>
          <w:tcPr>
            <w:tcW w:w="376" w:type="pct"/>
            <w:vAlign w:val="center"/>
          </w:tcPr>
          <w:p w14:paraId="3A3C4AD8">
            <w:pPr>
              <w:widowControl/>
              <w:jc w:val="center"/>
              <w:rPr>
                <w:rFonts w:hint="eastAsia" w:ascii="宋体" w:hAnsi="宋体" w:cs="宋体"/>
                <w:color w:val="000000"/>
                <w:kern w:val="0"/>
                <w:sz w:val="18"/>
                <w:szCs w:val="18"/>
                <w:lang w:val="en-US" w:eastAsia="zh-CN"/>
              </w:rPr>
            </w:pPr>
          </w:p>
        </w:tc>
      </w:tr>
      <w:tr w14:paraId="1413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2" w:type="pct"/>
            <w:shd w:val="clear" w:color="auto" w:fill="auto"/>
            <w:vAlign w:val="center"/>
          </w:tcPr>
          <w:p w14:paraId="498F3A55">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08" w:type="pct"/>
            <w:shd w:val="clear" w:color="auto" w:fill="auto"/>
            <w:vAlign w:val="center"/>
          </w:tcPr>
          <w:p w14:paraId="3DF0F228">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09" w:type="pct"/>
            <w:shd w:val="clear" w:color="auto" w:fill="auto"/>
            <w:noWrap/>
            <w:vAlign w:val="center"/>
          </w:tcPr>
          <w:p w14:paraId="268EAF4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1B248E1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015F8B4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78B29A2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44A6491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357349C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390D642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shd w:val="clear" w:color="auto" w:fill="auto"/>
            <w:noWrap/>
            <w:vAlign w:val="center"/>
          </w:tcPr>
          <w:p w14:paraId="295553A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1FF5F59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7000347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6" w:type="pct"/>
            <w:vAlign w:val="center"/>
          </w:tcPr>
          <w:p w14:paraId="551D4E2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404B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3D34D11D">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p>
        </w:tc>
        <w:tc>
          <w:tcPr>
            <w:tcW w:w="608" w:type="pct"/>
            <w:shd w:val="clear" w:color="auto" w:fill="auto"/>
            <w:vAlign w:val="center"/>
          </w:tcPr>
          <w:p w14:paraId="7BAA7CE8">
            <w:pPr>
              <w:widowControl/>
              <w:jc w:val="center"/>
              <w:rPr>
                <w:rFonts w:ascii="宋体" w:hAnsi="宋体" w:cs="宋体"/>
                <w:color w:val="000000"/>
                <w:kern w:val="0"/>
                <w:sz w:val="18"/>
                <w:szCs w:val="18"/>
              </w:rPr>
            </w:pPr>
            <w:r>
              <w:rPr>
                <w:rFonts w:hint="eastAsia" w:ascii="宋体" w:hAnsi="宋体" w:cs="宋体"/>
                <w:color w:val="000000"/>
                <w:kern w:val="0"/>
                <w:sz w:val="18"/>
                <w:szCs w:val="18"/>
              </w:rPr>
              <w:t>当期现金结余</w:t>
            </w:r>
          </w:p>
        </w:tc>
        <w:tc>
          <w:tcPr>
            <w:tcW w:w="409" w:type="pct"/>
            <w:shd w:val="clear" w:color="auto" w:fill="auto"/>
            <w:vAlign w:val="center"/>
          </w:tcPr>
          <w:p w14:paraId="51864C7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-13,186.25</w:t>
            </w:r>
          </w:p>
        </w:tc>
        <w:tc>
          <w:tcPr>
            <w:tcW w:w="376" w:type="pct"/>
            <w:shd w:val="clear" w:color="auto" w:fill="auto"/>
            <w:vAlign w:val="center"/>
          </w:tcPr>
          <w:p w14:paraId="05F9337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68CFA8C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1FFD340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217F43F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3E6C340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52D3161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shd w:val="clear" w:color="auto" w:fill="auto"/>
            <w:vAlign w:val="center"/>
          </w:tcPr>
          <w:p w14:paraId="2E240D6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3E8DA18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526922F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6" w:type="pct"/>
            <w:vAlign w:val="center"/>
          </w:tcPr>
          <w:p w14:paraId="3E02C88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r>
      <w:tr w14:paraId="4E7E7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12A32F9E">
            <w:pPr>
              <w:widowControl/>
              <w:jc w:val="center"/>
              <w:rPr>
                <w:rFonts w:ascii="宋体" w:hAnsi="宋体" w:cs="宋体"/>
                <w:color w:val="000000"/>
                <w:kern w:val="0"/>
                <w:sz w:val="18"/>
                <w:szCs w:val="18"/>
              </w:rPr>
            </w:pPr>
            <w:r>
              <w:rPr>
                <w:rFonts w:hint="eastAsia" w:ascii="宋体" w:hAnsi="宋体" w:cs="宋体"/>
                <w:color w:val="000000"/>
                <w:kern w:val="0"/>
                <w:sz w:val="18"/>
                <w:szCs w:val="18"/>
              </w:rPr>
              <w:t>四</w:t>
            </w:r>
          </w:p>
        </w:tc>
        <w:tc>
          <w:tcPr>
            <w:tcW w:w="608" w:type="pct"/>
            <w:shd w:val="clear" w:color="auto" w:fill="auto"/>
            <w:vAlign w:val="center"/>
          </w:tcPr>
          <w:p w14:paraId="76212FB3">
            <w:pPr>
              <w:widowControl/>
              <w:jc w:val="center"/>
              <w:rPr>
                <w:rFonts w:ascii="宋体" w:hAnsi="宋体" w:cs="宋体"/>
                <w:color w:val="000000"/>
                <w:kern w:val="0"/>
                <w:sz w:val="18"/>
                <w:szCs w:val="18"/>
              </w:rPr>
            </w:pPr>
            <w:r>
              <w:rPr>
                <w:rFonts w:hint="eastAsia" w:ascii="宋体" w:hAnsi="宋体" w:cs="宋体"/>
                <w:color w:val="000000"/>
                <w:kern w:val="0"/>
                <w:sz w:val="18"/>
                <w:szCs w:val="18"/>
              </w:rPr>
              <w:t>期初现金</w:t>
            </w:r>
          </w:p>
        </w:tc>
        <w:tc>
          <w:tcPr>
            <w:tcW w:w="409" w:type="pct"/>
            <w:shd w:val="clear" w:color="auto" w:fill="auto"/>
            <w:vAlign w:val="center"/>
          </w:tcPr>
          <w:p w14:paraId="40117B0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101,225.58</w:t>
            </w:r>
          </w:p>
        </w:tc>
        <w:tc>
          <w:tcPr>
            <w:tcW w:w="376" w:type="pct"/>
            <w:shd w:val="clear" w:color="auto" w:fill="auto"/>
            <w:vAlign w:val="center"/>
          </w:tcPr>
          <w:p w14:paraId="48C6F0A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88,039.33</w:t>
            </w:r>
          </w:p>
        </w:tc>
        <w:tc>
          <w:tcPr>
            <w:tcW w:w="376" w:type="pct"/>
            <w:shd w:val="clear" w:color="auto" w:fill="auto"/>
            <w:vAlign w:val="center"/>
          </w:tcPr>
          <w:p w14:paraId="63BD932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87,596.83</w:t>
            </w:r>
          </w:p>
        </w:tc>
        <w:tc>
          <w:tcPr>
            <w:tcW w:w="376" w:type="pct"/>
            <w:shd w:val="clear" w:color="auto" w:fill="auto"/>
            <w:vAlign w:val="center"/>
          </w:tcPr>
          <w:p w14:paraId="637DD20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87,154.33</w:t>
            </w:r>
          </w:p>
        </w:tc>
        <w:tc>
          <w:tcPr>
            <w:tcW w:w="376" w:type="pct"/>
            <w:shd w:val="clear" w:color="auto" w:fill="auto"/>
            <w:vAlign w:val="center"/>
          </w:tcPr>
          <w:p w14:paraId="45567F3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86,711.83</w:t>
            </w:r>
          </w:p>
        </w:tc>
        <w:tc>
          <w:tcPr>
            <w:tcW w:w="376" w:type="pct"/>
            <w:shd w:val="clear" w:color="auto" w:fill="auto"/>
            <w:vAlign w:val="center"/>
          </w:tcPr>
          <w:p w14:paraId="6BA02D2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86,269.33</w:t>
            </w:r>
          </w:p>
        </w:tc>
        <w:tc>
          <w:tcPr>
            <w:tcW w:w="376" w:type="pct"/>
            <w:shd w:val="clear" w:color="auto" w:fill="auto"/>
            <w:vAlign w:val="center"/>
          </w:tcPr>
          <w:p w14:paraId="0E7062E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85,826.83</w:t>
            </w:r>
          </w:p>
        </w:tc>
        <w:tc>
          <w:tcPr>
            <w:tcW w:w="376" w:type="pct"/>
            <w:shd w:val="clear" w:color="auto" w:fill="auto"/>
            <w:vAlign w:val="center"/>
          </w:tcPr>
          <w:p w14:paraId="0787E8D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85,384.33</w:t>
            </w:r>
          </w:p>
        </w:tc>
        <w:tc>
          <w:tcPr>
            <w:tcW w:w="376" w:type="pct"/>
            <w:vAlign w:val="center"/>
          </w:tcPr>
          <w:p w14:paraId="697F19F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84,941.83</w:t>
            </w:r>
          </w:p>
        </w:tc>
        <w:tc>
          <w:tcPr>
            <w:tcW w:w="376" w:type="pct"/>
            <w:vAlign w:val="center"/>
          </w:tcPr>
          <w:p w14:paraId="749E556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84,499.33</w:t>
            </w:r>
          </w:p>
        </w:tc>
        <w:tc>
          <w:tcPr>
            <w:tcW w:w="376" w:type="pct"/>
            <w:vAlign w:val="center"/>
          </w:tcPr>
          <w:p w14:paraId="79E86FC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84,056.83</w:t>
            </w:r>
          </w:p>
        </w:tc>
      </w:tr>
      <w:tr w14:paraId="56D3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2" w:type="pct"/>
            <w:shd w:val="clear" w:color="auto" w:fill="auto"/>
            <w:vAlign w:val="center"/>
          </w:tcPr>
          <w:p w14:paraId="0DD7E6C3">
            <w:pPr>
              <w:widowControl/>
              <w:jc w:val="center"/>
              <w:rPr>
                <w:rFonts w:ascii="宋体" w:hAnsi="宋体" w:cs="宋体"/>
                <w:color w:val="000000"/>
                <w:kern w:val="0"/>
                <w:sz w:val="18"/>
                <w:szCs w:val="18"/>
              </w:rPr>
            </w:pPr>
            <w:r>
              <w:rPr>
                <w:rFonts w:hint="eastAsia" w:ascii="宋体" w:hAnsi="宋体" w:cs="宋体"/>
                <w:color w:val="000000"/>
                <w:kern w:val="0"/>
                <w:sz w:val="18"/>
                <w:szCs w:val="18"/>
              </w:rPr>
              <w:t>五</w:t>
            </w:r>
          </w:p>
        </w:tc>
        <w:tc>
          <w:tcPr>
            <w:tcW w:w="608" w:type="pct"/>
            <w:shd w:val="clear" w:color="auto" w:fill="auto"/>
            <w:vAlign w:val="center"/>
          </w:tcPr>
          <w:p w14:paraId="31BAFB95">
            <w:pPr>
              <w:widowControl/>
              <w:jc w:val="center"/>
              <w:rPr>
                <w:rFonts w:ascii="宋体" w:hAnsi="宋体" w:cs="宋体"/>
                <w:color w:val="000000"/>
                <w:kern w:val="0"/>
                <w:sz w:val="18"/>
                <w:szCs w:val="18"/>
              </w:rPr>
            </w:pPr>
            <w:r>
              <w:rPr>
                <w:rFonts w:hint="eastAsia" w:ascii="宋体" w:hAnsi="宋体" w:cs="宋体"/>
                <w:color w:val="000000"/>
                <w:kern w:val="0"/>
                <w:sz w:val="18"/>
                <w:szCs w:val="18"/>
              </w:rPr>
              <w:t>期末现金</w:t>
            </w:r>
          </w:p>
        </w:tc>
        <w:tc>
          <w:tcPr>
            <w:tcW w:w="409" w:type="pct"/>
            <w:shd w:val="clear" w:color="auto" w:fill="auto"/>
            <w:vAlign w:val="center"/>
          </w:tcPr>
          <w:p w14:paraId="11897D4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88,039.33</w:t>
            </w:r>
          </w:p>
        </w:tc>
        <w:tc>
          <w:tcPr>
            <w:tcW w:w="376" w:type="pct"/>
            <w:shd w:val="clear" w:color="auto" w:fill="auto"/>
            <w:vAlign w:val="center"/>
          </w:tcPr>
          <w:p w14:paraId="3B422CD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87,596.83</w:t>
            </w:r>
          </w:p>
        </w:tc>
        <w:tc>
          <w:tcPr>
            <w:tcW w:w="376" w:type="pct"/>
            <w:shd w:val="clear" w:color="auto" w:fill="auto"/>
            <w:vAlign w:val="center"/>
          </w:tcPr>
          <w:p w14:paraId="2421BE8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87,154.33</w:t>
            </w:r>
          </w:p>
        </w:tc>
        <w:tc>
          <w:tcPr>
            <w:tcW w:w="376" w:type="pct"/>
            <w:shd w:val="clear" w:color="auto" w:fill="auto"/>
            <w:vAlign w:val="center"/>
          </w:tcPr>
          <w:p w14:paraId="6F6191F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86,711.83</w:t>
            </w:r>
          </w:p>
        </w:tc>
        <w:tc>
          <w:tcPr>
            <w:tcW w:w="376" w:type="pct"/>
            <w:shd w:val="clear" w:color="auto" w:fill="auto"/>
            <w:vAlign w:val="center"/>
          </w:tcPr>
          <w:p w14:paraId="16FF0B4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86,269.33</w:t>
            </w:r>
          </w:p>
        </w:tc>
        <w:tc>
          <w:tcPr>
            <w:tcW w:w="376" w:type="pct"/>
            <w:shd w:val="clear" w:color="auto" w:fill="auto"/>
            <w:vAlign w:val="center"/>
          </w:tcPr>
          <w:p w14:paraId="422234D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85,826.83</w:t>
            </w:r>
          </w:p>
        </w:tc>
        <w:tc>
          <w:tcPr>
            <w:tcW w:w="376" w:type="pct"/>
            <w:shd w:val="clear" w:color="auto" w:fill="auto"/>
            <w:vAlign w:val="center"/>
          </w:tcPr>
          <w:p w14:paraId="35F5F75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85,384.33</w:t>
            </w:r>
          </w:p>
        </w:tc>
        <w:tc>
          <w:tcPr>
            <w:tcW w:w="376" w:type="pct"/>
            <w:shd w:val="clear" w:color="auto" w:fill="auto"/>
            <w:vAlign w:val="center"/>
          </w:tcPr>
          <w:p w14:paraId="4C6BBC4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84,941.83</w:t>
            </w:r>
          </w:p>
        </w:tc>
        <w:tc>
          <w:tcPr>
            <w:tcW w:w="376" w:type="pct"/>
            <w:vAlign w:val="center"/>
          </w:tcPr>
          <w:p w14:paraId="5D185F6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84,499.33</w:t>
            </w:r>
          </w:p>
        </w:tc>
        <w:tc>
          <w:tcPr>
            <w:tcW w:w="376" w:type="pct"/>
            <w:vAlign w:val="center"/>
          </w:tcPr>
          <w:p w14:paraId="2220E0B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84,056.83</w:t>
            </w:r>
          </w:p>
        </w:tc>
        <w:tc>
          <w:tcPr>
            <w:tcW w:w="376" w:type="pct"/>
            <w:vAlign w:val="center"/>
          </w:tcPr>
          <w:p w14:paraId="24FCE7B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83,614.33</w:t>
            </w:r>
          </w:p>
        </w:tc>
      </w:tr>
    </w:tbl>
    <w:p w14:paraId="2D445F29">
      <w:pPr>
        <w:widowControl/>
        <w:jc w:val="left"/>
        <w:rPr>
          <w:rFonts w:ascii="宋体" w:hAnsi="宋体" w:cs="宋体"/>
          <w:color w:val="000000"/>
          <w:kern w:val="0"/>
          <w:sz w:val="18"/>
          <w:szCs w:val="18"/>
        </w:rPr>
      </w:pPr>
    </w:p>
    <w:p w14:paraId="3A355784">
      <w:pPr>
        <w:widowControl/>
        <w:jc w:val="left"/>
        <w:rPr>
          <w:rFonts w:ascii="宋体" w:hAnsi="宋体" w:cs="宋体"/>
          <w:color w:val="000000"/>
          <w:kern w:val="0"/>
          <w:sz w:val="18"/>
          <w:szCs w:val="18"/>
        </w:rPr>
      </w:pPr>
      <w:r>
        <w:rPr>
          <w:rFonts w:hint="eastAsia" w:ascii="宋体" w:hAnsi="宋体" w:cs="宋体"/>
          <w:color w:val="000000"/>
          <w:kern w:val="0"/>
          <w:sz w:val="18"/>
          <w:szCs w:val="18"/>
        </w:rPr>
        <w:t>续上表：</w:t>
      </w:r>
    </w:p>
    <w:tbl>
      <w:tblPr>
        <w:tblStyle w:val="2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702"/>
        <w:gridCol w:w="1148"/>
        <w:gridCol w:w="1055"/>
        <w:gridCol w:w="1058"/>
        <w:gridCol w:w="1055"/>
        <w:gridCol w:w="1055"/>
        <w:gridCol w:w="1055"/>
        <w:gridCol w:w="1055"/>
        <w:gridCol w:w="1055"/>
        <w:gridCol w:w="1055"/>
        <w:gridCol w:w="1055"/>
        <w:gridCol w:w="1156"/>
      </w:tblGrid>
      <w:tr w14:paraId="5784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blHeader/>
        </w:trPr>
        <w:tc>
          <w:tcPr>
            <w:tcW w:w="211" w:type="pct"/>
            <w:shd w:val="clear" w:color="auto" w:fill="auto"/>
            <w:vAlign w:val="center"/>
          </w:tcPr>
          <w:p w14:paraId="00D6F124">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序号</w:t>
            </w:r>
          </w:p>
        </w:tc>
        <w:tc>
          <w:tcPr>
            <w:tcW w:w="604" w:type="pct"/>
            <w:shd w:val="clear" w:color="auto" w:fill="auto"/>
            <w:vAlign w:val="center"/>
          </w:tcPr>
          <w:p w14:paraId="0A11F7D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年份</w:t>
            </w:r>
          </w:p>
        </w:tc>
        <w:tc>
          <w:tcPr>
            <w:tcW w:w="407" w:type="pct"/>
            <w:shd w:val="clear" w:color="auto" w:fill="auto"/>
            <w:vAlign w:val="center"/>
          </w:tcPr>
          <w:p w14:paraId="05014D0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合计</w:t>
            </w:r>
          </w:p>
        </w:tc>
        <w:tc>
          <w:tcPr>
            <w:tcW w:w="374" w:type="pct"/>
            <w:shd w:val="clear" w:color="auto" w:fill="auto"/>
            <w:vAlign w:val="center"/>
          </w:tcPr>
          <w:p w14:paraId="250710C4">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2043年</w:t>
            </w:r>
          </w:p>
        </w:tc>
        <w:tc>
          <w:tcPr>
            <w:tcW w:w="374" w:type="pct"/>
            <w:shd w:val="clear" w:color="auto" w:fill="auto"/>
            <w:vAlign w:val="center"/>
          </w:tcPr>
          <w:p w14:paraId="43A4335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2044年</w:t>
            </w:r>
          </w:p>
        </w:tc>
        <w:tc>
          <w:tcPr>
            <w:tcW w:w="374" w:type="pct"/>
            <w:shd w:val="clear" w:color="auto" w:fill="auto"/>
            <w:vAlign w:val="center"/>
          </w:tcPr>
          <w:p w14:paraId="3B835FA5">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2045年</w:t>
            </w:r>
          </w:p>
        </w:tc>
        <w:tc>
          <w:tcPr>
            <w:tcW w:w="374" w:type="pct"/>
            <w:shd w:val="clear" w:color="auto" w:fill="auto"/>
            <w:vAlign w:val="center"/>
          </w:tcPr>
          <w:p w14:paraId="3886FE92">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2046年</w:t>
            </w:r>
          </w:p>
        </w:tc>
        <w:tc>
          <w:tcPr>
            <w:tcW w:w="374" w:type="pct"/>
            <w:shd w:val="clear" w:color="auto" w:fill="auto"/>
            <w:vAlign w:val="center"/>
          </w:tcPr>
          <w:p w14:paraId="4AEE1BC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2047年</w:t>
            </w:r>
          </w:p>
        </w:tc>
        <w:tc>
          <w:tcPr>
            <w:tcW w:w="374" w:type="pct"/>
            <w:shd w:val="clear" w:color="auto" w:fill="auto"/>
            <w:vAlign w:val="center"/>
          </w:tcPr>
          <w:p w14:paraId="75CC5105">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2048年</w:t>
            </w:r>
          </w:p>
        </w:tc>
        <w:tc>
          <w:tcPr>
            <w:tcW w:w="374" w:type="pct"/>
            <w:shd w:val="clear" w:color="auto" w:fill="auto"/>
            <w:vAlign w:val="center"/>
          </w:tcPr>
          <w:p w14:paraId="551B5A1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2049年</w:t>
            </w:r>
          </w:p>
        </w:tc>
        <w:tc>
          <w:tcPr>
            <w:tcW w:w="374" w:type="pct"/>
            <w:vAlign w:val="center"/>
          </w:tcPr>
          <w:p w14:paraId="2DCA64F6">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2050年</w:t>
            </w:r>
          </w:p>
        </w:tc>
        <w:tc>
          <w:tcPr>
            <w:tcW w:w="374" w:type="pct"/>
            <w:vAlign w:val="center"/>
          </w:tcPr>
          <w:p w14:paraId="20E165AA">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2051年</w:t>
            </w:r>
          </w:p>
        </w:tc>
        <w:tc>
          <w:tcPr>
            <w:tcW w:w="407" w:type="pct"/>
            <w:vAlign w:val="center"/>
          </w:tcPr>
          <w:p w14:paraId="54D8C1F1">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2052年</w:t>
            </w:r>
          </w:p>
        </w:tc>
      </w:tr>
      <w:tr w14:paraId="520B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080B43FA">
            <w:pPr>
              <w:widowControl/>
              <w:jc w:val="center"/>
              <w:rPr>
                <w:rFonts w:ascii="宋体" w:hAnsi="宋体" w:cs="宋体"/>
                <w:color w:val="000000"/>
                <w:kern w:val="0"/>
                <w:sz w:val="18"/>
                <w:szCs w:val="18"/>
              </w:rPr>
            </w:pPr>
            <w:r>
              <w:rPr>
                <w:rFonts w:hint="eastAsia" w:ascii="宋体" w:hAnsi="宋体" w:cs="宋体"/>
                <w:color w:val="000000"/>
                <w:kern w:val="0"/>
                <w:sz w:val="18"/>
                <w:szCs w:val="18"/>
              </w:rPr>
              <w:t>一</w:t>
            </w:r>
          </w:p>
        </w:tc>
        <w:tc>
          <w:tcPr>
            <w:tcW w:w="604" w:type="pct"/>
            <w:shd w:val="clear" w:color="auto" w:fill="auto"/>
            <w:vAlign w:val="center"/>
          </w:tcPr>
          <w:p w14:paraId="10F0E441">
            <w:pPr>
              <w:widowControl/>
              <w:jc w:val="center"/>
              <w:rPr>
                <w:rFonts w:ascii="宋体" w:hAnsi="宋体" w:cs="宋体"/>
                <w:color w:val="000000"/>
                <w:kern w:val="0"/>
                <w:sz w:val="18"/>
                <w:szCs w:val="18"/>
              </w:rPr>
            </w:pPr>
            <w:r>
              <w:rPr>
                <w:rFonts w:hint="eastAsia" w:ascii="宋体" w:hAnsi="宋体" w:cs="宋体"/>
                <w:color w:val="000000"/>
                <w:kern w:val="0"/>
                <w:sz w:val="18"/>
                <w:szCs w:val="18"/>
              </w:rPr>
              <w:t>现金流入</w:t>
            </w:r>
          </w:p>
        </w:tc>
        <w:tc>
          <w:tcPr>
            <w:tcW w:w="407" w:type="pct"/>
            <w:shd w:val="clear" w:color="auto" w:fill="auto"/>
            <w:vAlign w:val="center"/>
          </w:tcPr>
          <w:p w14:paraId="5DF2F79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244,752.89</w:t>
            </w:r>
          </w:p>
        </w:tc>
        <w:tc>
          <w:tcPr>
            <w:tcW w:w="374" w:type="pct"/>
            <w:shd w:val="clear" w:color="auto" w:fill="auto"/>
            <w:vAlign w:val="center"/>
          </w:tcPr>
          <w:p w14:paraId="12A9524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6E60B3F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C1C554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08DE59E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94AFC2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962B60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36936F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1013008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76BD4A6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34B426B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3E49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49865AC6">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04" w:type="pct"/>
            <w:shd w:val="clear" w:color="auto" w:fill="auto"/>
            <w:vAlign w:val="center"/>
          </w:tcPr>
          <w:p w14:paraId="45E15643">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07" w:type="pct"/>
            <w:shd w:val="clear" w:color="auto" w:fill="auto"/>
            <w:vAlign w:val="center"/>
          </w:tcPr>
          <w:p w14:paraId="6328477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160,823.88</w:t>
            </w:r>
          </w:p>
        </w:tc>
        <w:tc>
          <w:tcPr>
            <w:tcW w:w="374" w:type="pct"/>
            <w:shd w:val="clear" w:color="auto" w:fill="auto"/>
            <w:vAlign w:val="center"/>
          </w:tcPr>
          <w:p w14:paraId="3220E78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3EA773F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D2B41B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07A0515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6C89C70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3F95839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13AEFE0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65A24EC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62A78BD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55711C7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5DCE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398F6FE9">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04" w:type="pct"/>
            <w:shd w:val="clear" w:color="auto" w:fill="auto"/>
            <w:vAlign w:val="center"/>
          </w:tcPr>
          <w:p w14:paraId="0087A6F1">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07" w:type="pct"/>
            <w:shd w:val="clear" w:color="auto" w:fill="auto"/>
            <w:vAlign w:val="center"/>
          </w:tcPr>
          <w:p w14:paraId="466152B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6203F7F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F14F03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0E1B5E17">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543E878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1024728">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5080FBF">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434516AF">
            <w:pPr>
              <w:widowControl/>
              <w:jc w:val="center"/>
              <w:rPr>
                <w:rFonts w:hint="eastAsia" w:ascii="宋体" w:hAnsi="宋体" w:cs="宋体"/>
                <w:color w:val="000000"/>
                <w:kern w:val="0"/>
                <w:sz w:val="18"/>
                <w:szCs w:val="18"/>
                <w:lang w:val="en-US" w:eastAsia="zh-CN"/>
              </w:rPr>
            </w:pPr>
          </w:p>
        </w:tc>
        <w:tc>
          <w:tcPr>
            <w:tcW w:w="374" w:type="pct"/>
            <w:vAlign w:val="center"/>
          </w:tcPr>
          <w:p w14:paraId="6611ADA3">
            <w:pPr>
              <w:widowControl/>
              <w:jc w:val="center"/>
              <w:rPr>
                <w:rFonts w:hint="eastAsia" w:ascii="宋体" w:hAnsi="宋体" w:cs="宋体"/>
                <w:color w:val="000000"/>
                <w:kern w:val="0"/>
                <w:sz w:val="18"/>
                <w:szCs w:val="18"/>
                <w:lang w:val="en-US" w:eastAsia="zh-CN"/>
              </w:rPr>
            </w:pPr>
          </w:p>
        </w:tc>
        <w:tc>
          <w:tcPr>
            <w:tcW w:w="374" w:type="pct"/>
            <w:vAlign w:val="center"/>
          </w:tcPr>
          <w:p w14:paraId="28C36566">
            <w:pPr>
              <w:widowControl/>
              <w:jc w:val="center"/>
              <w:rPr>
                <w:rFonts w:hint="eastAsia" w:ascii="宋体" w:hAnsi="宋体" w:cs="宋体"/>
                <w:color w:val="000000"/>
                <w:kern w:val="0"/>
                <w:sz w:val="18"/>
                <w:szCs w:val="18"/>
                <w:lang w:val="en-US" w:eastAsia="zh-CN"/>
              </w:rPr>
            </w:pPr>
          </w:p>
        </w:tc>
        <w:tc>
          <w:tcPr>
            <w:tcW w:w="407" w:type="pct"/>
            <w:vAlign w:val="center"/>
          </w:tcPr>
          <w:p w14:paraId="1196345F">
            <w:pPr>
              <w:widowControl/>
              <w:jc w:val="center"/>
              <w:rPr>
                <w:rFonts w:hint="eastAsia" w:ascii="宋体" w:hAnsi="宋体" w:cs="宋体"/>
                <w:color w:val="000000"/>
                <w:kern w:val="0"/>
                <w:sz w:val="18"/>
                <w:szCs w:val="18"/>
                <w:lang w:val="en-US" w:eastAsia="zh-CN"/>
              </w:rPr>
            </w:pPr>
          </w:p>
        </w:tc>
      </w:tr>
      <w:tr w14:paraId="260A0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1C20C68F">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04" w:type="pct"/>
            <w:shd w:val="clear" w:color="auto" w:fill="auto"/>
            <w:vAlign w:val="center"/>
          </w:tcPr>
          <w:p w14:paraId="76610F03">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07" w:type="pct"/>
            <w:shd w:val="clear" w:color="auto" w:fill="auto"/>
            <w:noWrap/>
            <w:vAlign w:val="center"/>
          </w:tcPr>
          <w:p w14:paraId="4056CA6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160,823.88</w:t>
            </w:r>
          </w:p>
        </w:tc>
        <w:tc>
          <w:tcPr>
            <w:tcW w:w="374" w:type="pct"/>
            <w:shd w:val="clear" w:color="auto" w:fill="auto"/>
            <w:noWrap/>
            <w:vAlign w:val="center"/>
          </w:tcPr>
          <w:p w14:paraId="4AEA599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7D9374A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6B30F27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13F2F3D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4653BC0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2443985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noWrap/>
            <w:vAlign w:val="center"/>
          </w:tcPr>
          <w:p w14:paraId="4589DED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vAlign w:val="center"/>
          </w:tcPr>
          <w:p w14:paraId="7B3609D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vAlign w:val="center"/>
          </w:tcPr>
          <w:p w14:paraId="6F6DE45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407" w:type="pct"/>
            <w:vAlign w:val="center"/>
          </w:tcPr>
          <w:p w14:paraId="3FC7E3D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r>
      <w:tr w14:paraId="43EF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1E8A83DA">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04" w:type="pct"/>
            <w:shd w:val="clear" w:color="auto" w:fill="auto"/>
            <w:vAlign w:val="center"/>
          </w:tcPr>
          <w:p w14:paraId="2BA1454B">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07" w:type="pct"/>
            <w:shd w:val="clear" w:color="auto" w:fill="auto"/>
            <w:vAlign w:val="center"/>
          </w:tcPr>
          <w:p w14:paraId="307A97E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67,370.00</w:t>
            </w:r>
          </w:p>
        </w:tc>
        <w:tc>
          <w:tcPr>
            <w:tcW w:w="374" w:type="pct"/>
            <w:shd w:val="clear" w:color="auto" w:fill="auto"/>
            <w:vAlign w:val="center"/>
          </w:tcPr>
          <w:p w14:paraId="09815D2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686217D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0101DC5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5D95D5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0C8785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1B6F843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016B8C9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017ED21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34274C4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1F6294D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6215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0F99D147">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04" w:type="pct"/>
            <w:shd w:val="clear" w:color="auto" w:fill="auto"/>
            <w:vAlign w:val="center"/>
          </w:tcPr>
          <w:p w14:paraId="1741A988">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07" w:type="pct"/>
            <w:shd w:val="clear" w:color="auto" w:fill="auto"/>
            <w:vAlign w:val="center"/>
          </w:tcPr>
          <w:p w14:paraId="241B1B7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67,370.00</w:t>
            </w:r>
          </w:p>
        </w:tc>
        <w:tc>
          <w:tcPr>
            <w:tcW w:w="374" w:type="pct"/>
            <w:shd w:val="clear" w:color="auto" w:fill="auto"/>
            <w:vAlign w:val="center"/>
          </w:tcPr>
          <w:p w14:paraId="05BC20E3">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058F1F3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7D44415A">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10AED45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388054FD">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78AD546">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E3B5AD0">
            <w:pPr>
              <w:widowControl/>
              <w:jc w:val="center"/>
              <w:rPr>
                <w:rFonts w:hint="eastAsia" w:ascii="宋体" w:hAnsi="宋体" w:cs="宋体"/>
                <w:color w:val="000000"/>
                <w:kern w:val="0"/>
                <w:sz w:val="18"/>
                <w:szCs w:val="18"/>
                <w:lang w:val="en-US" w:eastAsia="zh-CN"/>
              </w:rPr>
            </w:pPr>
          </w:p>
        </w:tc>
        <w:tc>
          <w:tcPr>
            <w:tcW w:w="374" w:type="pct"/>
            <w:vAlign w:val="center"/>
          </w:tcPr>
          <w:p w14:paraId="5774BA11">
            <w:pPr>
              <w:widowControl/>
              <w:jc w:val="center"/>
              <w:rPr>
                <w:rFonts w:hint="eastAsia" w:ascii="宋体" w:hAnsi="宋体" w:cs="宋体"/>
                <w:color w:val="000000"/>
                <w:kern w:val="0"/>
                <w:sz w:val="18"/>
                <w:szCs w:val="18"/>
                <w:lang w:val="en-US" w:eastAsia="zh-CN"/>
              </w:rPr>
            </w:pPr>
          </w:p>
        </w:tc>
        <w:tc>
          <w:tcPr>
            <w:tcW w:w="374" w:type="pct"/>
            <w:vAlign w:val="center"/>
          </w:tcPr>
          <w:p w14:paraId="04B9D0F4">
            <w:pPr>
              <w:widowControl/>
              <w:jc w:val="center"/>
              <w:rPr>
                <w:rFonts w:hint="eastAsia" w:ascii="宋体" w:hAnsi="宋体" w:cs="宋体"/>
                <w:color w:val="000000"/>
                <w:kern w:val="0"/>
                <w:sz w:val="18"/>
                <w:szCs w:val="18"/>
                <w:lang w:val="en-US" w:eastAsia="zh-CN"/>
              </w:rPr>
            </w:pPr>
          </w:p>
        </w:tc>
        <w:tc>
          <w:tcPr>
            <w:tcW w:w="407" w:type="pct"/>
            <w:vAlign w:val="center"/>
          </w:tcPr>
          <w:p w14:paraId="3813E92E">
            <w:pPr>
              <w:widowControl/>
              <w:jc w:val="center"/>
              <w:rPr>
                <w:rFonts w:hint="eastAsia" w:ascii="宋体" w:hAnsi="宋体" w:cs="宋体"/>
                <w:color w:val="000000"/>
                <w:kern w:val="0"/>
                <w:sz w:val="18"/>
                <w:szCs w:val="18"/>
                <w:lang w:val="en-US" w:eastAsia="zh-CN"/>
              </w:rPr>
            </w:pPr>
          </w:p>
        </w:tc>
      </w:tr>
      <w:tr w14:paraId="06EA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42A3D6DC">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04" w:type="pct"/>
            <w:shd w:val="clear" w:color="auto" w:fill="auto"/>
            <w:vAlign w:val="center"/>
          </w:tcPr>
          <w:p w14:paraId="6CDDB841">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07" w:type="pct"/>
            <w:shd w:val="clear" w:color="auto" w:fill="auto"/>
            <w:vAlign w:val="center"/>
          </w:tcPr>
          <w:p w14:paraId="443FF60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3435A1DD">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7DEB92CE">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4D4C69F1">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C1F8D50">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72960BAA">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6C57EDA">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7F2BB480">
            <w:pPr>
              <w:widowControl/>
              <w:jc w:val="center"/>
              <w:rPr>
                <w:rFonts w:hint="eastAsia" w:ascii="宋体" w:hAnsi="宋体" w:cs="宋体"/>
                <w:color w:val="000000"/>
                <w:kern w:val="0"/>
                <w:sz w:val="18"/>
                <w:szCs w:val="18"/>
                <w:lang w:val="en-US" w:eastAsia="zh-CN"/>
              </w:rPr>
            </w:pPr>
          </w:p>
        </w:tc>
        <w:tc>
          <w:tcPr>
            <w:tcW w:w="374" w:type="pct"/>
            <w:vAlign w:val="center"/>
          </w:tcPr>
          <w:p w14:paraId="0FC3396E">
            <w:pPr>
              <w:widowControl/>
              <w:jc w:val="center"/>
              <w:rPr>
                <w:rFonts w:hint="eastAsia" w:ascii="宋体" w:hAnsi="宋体" w:cs="宋体"/>
                <w:color w:val="000000"/>
                <w:kern w:val="0"/>
                <w:sz w:val="18"/>
                <w:szCs w:val="18"/>
                <w:lang w:val="en-US" w:eastAsia="zh-CN"/>
              </w:rPr>
            </w:pPr>
          </w:p>
        </w:tc>
        <w:tc>
          <w:tcPr>
            <w:tcW w:w="374" w:type="pct"/>
            <w:vAlign w:val="center"/>
          </w:tcPr>
          <w:p w14:paraId="7D2C6135">
            <w:pPr>
              <w:widowControl/>
              <w:jc w:val="center"/>
              <w:rPr>
                <w:rFonts w:hint="eastAsia" w:ascii="宋体" w:hAnsi="宋体" w:cs="宋体"/>
                <w:color w:val="000000"/>
                <w:kern w:val="0"/>
                <w:sz w:val="18"/>
                <w:szCs w:val="18"/>
                <w:lang w:val="en-US" w:eastAsia="zh-CN"/>
              </w:rPr>
            </w:pPr>
          </w:p>
        </w:tc>
        <w:tc>
          <w:tcPr>
            <w:tcW w:w="407" w:type="pct"/>
            <w:vAlign w:val="center"/>
          </w:tcPr>
          <w:p w14:paraId="3E59493B">
            <w:pPr>
              <w:widowControl/>
              <w:jc w:val="center"/>
              <w:rPr>
                <w:rFonts w:hint="eastAsia" w:ascii="宋体" w:hAnsi="宋体" w:cs="宋体"/>
                <w:color w:val="000000"/>
                <w:kern w:val="0"/>
                <w:sz w:val="18"/>
                <w:szCs w:val="18"/>
                <w:lang w:val="en-US" w:eastAsia="zh-CN"/>
              </w:rPr>
            </w:pPr>
          </w:p>
        </w:tc>
      </w:tr>
      <w:tr w14:paraId="6737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56DB0D95">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04" w:type="pct"/>
            <w:shd w:val="clear" w:color="auto" w:fill="auto"/>
            <w:vAlign w:val="center"/>
          </w:tcPr>
          <w:p w14:paraId="484F3D1C">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07" w:type="pct"/>
            <w:shd w:val="clear" w:color="auto" w:fill="auto"/>
            <w:vAlign w:val="center"/>
          </w:tcPr>
          <w:p w14:paraId="6F81276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16,559.01</w:t>
            </w:r>
          </w:p>
        </w:tc>
        <w:tc>
          <w:tcPr>
            <w:tcW w:w="374" w:type="pct"/>
            <w:shd w:val="clear" w:color="auto" w:fill="auto"/>
            <w:vAlign w:val="center"/>
          </w:tcPr>
          <w:p w14:paraId="26D6BFC1">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03D1C210">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18799E3E">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877BD6D">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18ACCFB">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456CBE1">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11DE25F8">
            <w:pPr>
              <w:widowControl/>
              <w:jc w:val="center"/>
              <w:rPr>
                <w:rFonts w:hint="eastAsia" w:ascii="宋体" w:hAnsi="宋体" w:cs="宋体"/>
                <w:color w:val="000000"/>
                <w:kern w:val="0"/>
                <w:sz w:val="18"/>
                <w:szCs w:val="18"/>
                <w:lang w:val="en-US" w:eastAsia="zh-CN"/>
              </w:rPr>
            </w:pPr>
          </w:p>
        </w:tc>
        <w:tc>
          <w:tcPr>
            <w:tcW w:w="374" w:type="pct"/>
            <w:vAlign w:val="center"/>
          </w:tcPr>
          <w:p w14:paraId="5EE31312">
            <w:pPr>
              <w:widowControl/>
              <w:jc w:val="center"/>
              <w:rPr>
                <w:rFonts w:hint="eastAsia" w:ascii="宋体" w:hAnsi="宋体" w:cs="宋体"/>
                <w:color w:val="000000"/>
                <w:kern w:val="0"/>
                <w:sz w:val="18"/>
                <w:szCs w:val="18"/>
                <w:lang w:val="en-US" w:eastAsia="zh-CN"/>
              </w:rPr>
            </w:pPr>
          </w:p>
        </w:tc>
        <w:tc>
          <w:tcPr>
            <w:tcW w:w="374" w:type="pct"/>
            <w:vAlign w:val="center"/>
          </w:tcPr>
          <w:p w14:paraId="58D8150D">
            <w:pPr>
              <w:widowControl/>
              <w:jc w:val="center"/>
              <w:rPr>
                <w:rFonts w:hint="eastAsia" w:ascii="宋体" w:hAnsi="宋体" w:cs="宋体"/>
                <w:color w:val="000000"/>
                <w:kern w:val="0"/>
                <w:sz w:val="18"/>
                <w:szCs w:val="18"/>
                <w:lang w:val="en-US" w:eastAsia="zh-CN"/>
              </w:rPr>
            </w:pPr>
          </w:p>
        </w:tc>
        <w:tc>
          <w:tcPr>
            <w:tcW w:w="407" w:type="pct"/>
            <w:vAlign w:val="center"/>
          </w:tcPr>
          <w:p w14:paraId="316CAAAC">
            <w:pPr>
              <w:widowControl/>
              <w:jc w:val="center"/>
              <w:rPr>
                <w:rFonts w:hint="eastAsia" w:ascii="宋体" w:hAnsi="宋体" w:cs="宋体"/>
                <w:color w:val="000000"/>
                <w:kern w:val="0"/>
                <w:sz w:val="18"/>
                <w:szCs w:val="18"/>
                <w:lang w:val="en-US" w:eastAsia="zh-CN"/>
              </w:rPr>
            </w:pPr>
          </w:p>
        </w:tc>
      </w:tr>
      <w:tr w14:paraId="1EF7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3C87AF0D">
            <w:pPr>
              <w:widowControl/>
              <w:jc w:val="center"/>
              <w:rPr>
                <w:rFonts w:ascii="宋体" w:hAnsi="宋体" w:cs="宋体"/>
                <w:color w:val="000000"/>
                <w:kern w:val="0"/>
                <w:sz w:val="18"/>
                <w:szCs w:val="18"/>
              </w:rPr>
            </w:pPr>
            <w:r>
              <w:rPr>
                <w:rFonts w:hint="eastAsia" w:ascii="宋体" w:hAnsi="宋体" w:cs="宋体"/>
                <w:color w:val="000000"/>
                <w:kern w:val="0"/>
                <w:sz w:val="18"/>
                <w:szCs w:val="18"/>
              </w:rPr>
              <w:t>二</w:t>
            </w:r>
          </w:p>
        </w:tc>
        <w:tc>
          <w:tcPr>
            <w:tcW w:w="604" w:type="pct"/>
            <w:shd w:val="clear" w:color="auto" w:fill="auto"/>
            <w:vAlign w:val="center"/>
          </w:tcPr>
          <w:p w14:paraId="2C9C7506">
            <w:pPr>
              <w:widowControl/>
              <w:jc w:val="center"/>
              <w:rPr>
                <w:rFonts w:ascii="宋体" w:hAnsi="宋体" w:cs="宋体"/>
                <w:color w:val="000000"/>
                <w:kern w:val="0"/>
                <w:sz w:val="18"/>
                <w:szCs w:val="18"/>
              </w:rPr>
            </w:pPr>
            <w:r>
              <w:rPr>
                <w:rFonts w:hint="eastAsia" w:ascii="宋体" w:hAnsi="宋体" w:cs="宋体"/>
                <w:color w:val="000000"/>
                <w:kern w:val="0"/>
                <w:sz w:val="18"/>
                <w:szCs w:val="18"/>
              </w:rPr>
              <w:t>现金流出</w:t>
            </w:r>
          </w:p>
        </w:tc>
        <w:tc>
          <w:tcPr>
            <w:tcW w:w="407" w:type="pct"/>
            <w:shd w:val="clear" w:color="auto" w:fill="auto"/>
            <w:vAlign w:val="center"/>
          </w:tcPr>
          <w:p w14:paraId="5881BF2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177,842.31</w:t>
            </w:r>
          </w:p>
        </w:tc>
        <w:tc>
          <w:tcPr>
            <w:tcW w:w="374" w:type="pct"/>
            <w:shd w:val="clear" w:color="auto" w:fill="auto"/>
            <w:vAlign w:val="center"/>
          </w:tcPr>
          <w:p w14:paraId="147B0FD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4C04A3C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27CC9E2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1F22F89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1DFD0A5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398E489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70D9B24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5B237D7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150DAD1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407" w:type="pct"/>
            <w:vAlign w:val="center"/>
          </w:tcPr>
          <w:p w14:paraId="0BF42FF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12,721.25</w:t>
            </w:r>
          </w:p>
        </w:tc>
      </w:tr>
      <w:tr w14:paraId="15D8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660B45AF">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04" w:type="pct"/>
            <w:shd w:val="clear" w:color="auto" w:fill="auto"/>
            <w:vAlign w:val="center"/>
          </w:tcPr>
          <w:p w14:paraId="7E924B3C">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07" w:type="pct"/>
            <w:shd w:val="clear" w:color="auto" w:fill="auto"/>
            <w:vAlign w:val="center"/>
          </w:tcPr>
          <w:p w14:paraId="41F1FA4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3132BB6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AF1FD5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5BA4CAB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7F923A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3A667CA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4CD303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7A68282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48F7AC0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191EEA5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0DDA9F0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5124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2DF36897">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04" w:type="pct"/>
            <w:shd w:val="clear" w:color="auto" w:fill="auto"/>
            <w:vAlign w:val="center"/>
          </w:tcPr>
          <w:p w14:paraId="35741AB7">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07" w:type="pct"/>
            <w:shd w:val="clear" w:color="auto" w:fill="auto"/>
            <w:vAlign w:val="center"/>
          </w:tcPr>
          <w:p w14:paraId="035611D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7C51CCE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43D9D83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5A470F0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4DD57AE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13C03A2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37D9C02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shd w:val="clear" w:color="auto" w:fill="auto"/>
            <w:vAlign w:val="center"/>
          </w:tcPr>
          <w:p w14:paraId="546B7F3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vAlign w:val="center"/>
          </w:tcPr>
          <w:p w14:paraId="5DC29F2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374" w:type="pct"/>
            <w:vAlign w:val="center"/>
          </w:tcPr>
          <w:p w14:paraId="034C0F1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c>
          <w:tcPr>
            <w:tcW w:w="407" w:type="pct"/>
            <w:vAlign w:val="center"/>
          </w:tcPr>
          <w:p w14:paraId="4B5BCF3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0.00</w:t>
            </w:r>
          </w:p>
        </w:tc>
      </w:tr>
      <w:tr w14:paraId="451BA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242E83D3">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04" w:type="pct"/>
            <w:shd w:val="clear" w:color="auto" w:fill="auto"/>
            <w:vAlign w:val="center"/>
          </w:tcPr>
          <w:p w14:paraId="6631B903">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07" w:type="pct"/>
            <w:shd w:val="clear" w:color="auto" w:fill="auto"/>
            <w:vAlign w:val="center"/>
          </w:tcPr>
          <w:p w14:paraId="39CB81E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7AF443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4DA50C8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6099983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DB4B72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7C83FBF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24D398F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56C6EB7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0BAACFB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5C839B9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31667AA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3B36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0987A7CB">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04" w:type="pct"/>
            <w:shd w:val="clear" w:color="auto" w:fill="auto"/>
            <w:vAlign w:val="center"/>
          </w:tcPr>
          <w:p w14:paraId="2627C2D8">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07" w:type="pct"/>
            <w:shd w:val="clear" w:color="auto" w:fill="auto"/>
            <w:vAlign w:val="center"/>
          </w:tcPr>
          <w:p w14:paraId="2C7076F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82,592.92</w:t>
            </w:r>
          </w:p>
        </w:tc>
        <w:tc>
          <w:tcPr>
            <w:tcW w:w="374" w:type="pct"/>
            <w:shd w:val="clear" w:color="auto" w:fill="auto"/>
            <w:vAlign w:val="center"/>
          </w:tcPr>
          <w:p w14:paraId="03E22260">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0EBAA95">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005FA6F9">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347546AA">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ADAA06D">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3E135CA9">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3DDD121">
            <w:pPr>
              <w:widowControl/>
              <w:jc w:val="center"/>
              <w:rPr>
                <w:rFonts w:hint="eastAsia" w:ascii="宋体" w:hAnsi="宋体" w:cs="宋体"/>
                <w:color w:val="000000"/>
                <w:kern w:val="0"/>
                <w:sz w:val="18"/>
                <w:szCs w:val="18"/>
                <w:lang w:val="en-US" w:eastAsia="zh-CN"/>
              </w:rPr>
            </w:pPr>
          </w:p>
        </w:tc>
        <w:tc>
          <w:tcPr>
            <w:tcW w:w="374" w:type="pct"/>
            <w:vAlign w:val="center"/>
          </w:tcPr>
          <w:p w14:paraId="68AA69BE">
            <w:pPr>
              <w:widowControl/>
              <w:jc w:val="center"/>
              <w:rPr>
                <w:rFonts w:hint="eastAsia" w:ascii="宋体" w:hAnsi="宋体" w:cs="宋体"/>
                <w:color w:val="000000"/>
                <w:kern w:val="0"/>
                <w:sz w:val="18"/>
                <w:szCs w:val="18"/>
                <w:lang w:val="en-US" w:eastAsia="zh-CN"/>
              </w:rPr>
            </w:pPr>
          </w:p>
        </w:tc>
        <w:tc>
          <w:tcPr>
            <w:tcW w:w="374" w:type="pct"/>
            <w:vAlign w:val="center"/>
          </w:tcPr>
          <w:p w14:paraId="346D72B0">
            <w:pPr>
              <w:widowControl/>
              <w:jc w:val="center"/>
              <w:rPr>
                <w:rFonts w:hint="eastAsia" w:ascii="宋体" w:hAnsi="宋体" w:cs="宋体"/>
                <w:color w:val="000000"/>
                <w:kern w:val="0"/>
                <w:sz w:val="18"/>
                <w:szCs w:val="18"/>
                <w:lang w:val="en-US" w:eastAsia="zh-CN"/>
              </w:rPr>
            </w:pPr>
          </w:p>
        </w:tc>
        <w:tc>
          <w:tcPr>
            <w:tcW w:w="407" w:type="pct"/>
            <w:vAlign w:val="center"/>
          </w:tcPr>
          <w:p w14:paraId="1F7966D2">
            <w:pPr>
              <w:widowControl/>
              <w:jc w:val="center"/>
              <w:rPr>
                <w:rFonts w:hint="eastAsia" w:ascii="宋体" w:hAnsi="宋体" w:cs="宋体"/>
                <w:color w:val="000000"/>
                <w:kern w:val="0"/>
                <w:sz w:val="18"/>
                <w:szCs w:val="18"/>
                <w:lang w:val="en-US" w:eastAsia="zh-CN"/>
              </w:rPr>
            </w:pPr>
          </w:p>
        </w:tc>
      </w:tr>
      <w:tr w14:paraId="298B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2C79BD76">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04" w:type="pct"/>
            <w:shd w:val="clear" w:color="auto" w:fill="auto"/>
            <w:vAlign w:val="center"/>
          </w:tcPr>
          <w:p w14:paraId="25C09073">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07" w:type="pct"/>
            <w:shd w:val="clear" w:color="auto" w:fill="auto"/>
            <w:vAlign w:val="center"/>
          </w:tcPr>
          <w:p w14:paraId="5D00F67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95,249.39</w:t>
            </w:r>
          </w:p>
        </w:tc>
        <w:tc>
          <w:tcPr>
            <w:tcW w:w="374" w:type="pct"/>
            <w:shd w:val="clear" w:color="auto" w:fill="auto"/>
            <w:vAlign w:val="center"/>
          </w:tcPr>
          <w:p w14:paraId="25807B3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2907E59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2FBCFE5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7860480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38DC96C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2E0637A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01AFE91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7B126E0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6904A9A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407" w:type="pct"/>
            <w:vAlign w:val="center"/>
          </w:tcPr>
          <w:p w14:paraId="618AED9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12,721.25</w:t>
            </w:r>
          </w:p>
        </w:tc>
      </w:tr>
      <w:tr w14:paraId="0FE2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56EAA663">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04" w:type="pct"/>
            <w:shd w:val="clear" w:color="auto" w:fill="auto"/>
            <w:vAlign w:val="center"/>
          </w:tcPr>
          <w:p w14:paraId="2ACFDEF6">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07" w:type="pct"/>
            <w:shd w:val="clear" w:color="auto" w:fill="auto"/>
            <w:vAlign w:val="center"/>
          </w:tcPr>
          <w:p w14:paraId="7BB4E83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67.37</w:t>
            </w:r>
          </w:p>
        </w:tc>
        <w:tc>
          <w:tcPr>
            <w:tcW w:w="374" w:type="pct"/>
            <w:shd w:val="clear" w:color="auto" w:fill="auto"/>
            <w:vAlign w:val="center"/>
          </w:tcPr>
          <w:p w14:paraId="30D03F97">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2984817">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5DD46331">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37BD8870">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6A87F37B">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2F5FA14A">
            <w:pPr>
              <w:widowControl/>
              <w:jc w:val="center"/>
              <w:rPr>
                <w:rFonts w:hint="eastAsia" w:ascii="宋体" w:hAnsi="宋体" w:cs="宋体"/>
                <w:color w:val="000000"/>
                <w:kern w:val="0"/>
                <w:sz w:val="18"/>
                <w:szCs w:val="18"/>
                <w:lang w:val="en-US" w:eastAsia="zh-CN"/>
              </w:rPr>
            </w:pPr>
          </w:p>
        </w:tc>
        <w:tc>
          <w:tcPr>
            <w:tcW w:w="374" w:type="pct"/>
            <w:shd w:val="clear" w:color="auto" w:fill="auto"/>
            <w:vAlign w:val="center"/>
          </w:tcPr>
          <w:p w14:paraId="7916FB5C">
            <w:pPr>
              <w:widowControl/>
              <w:jc w:val="center"/>
              <w:rPr>
                <w:rFonts w:hint="eastAsia" w:ascii="宋体" w:hAnsi="宋体" w:cs="宋体"/>
                <w:color w:val="000000"/>
                <w:kern w:val="0"/>
                <w:sz w:val="18"/>
                <w:szCs w:val="18"/>
                <w:lang w:val="en-US" w:eastAsia="zh-CN"/>
              </w:rPr>
            </w:pPr>
          </w:p>
        </w:tc>
        <w:tc>
          <w:tcPr>
            <w:tcW w:w="374" w:type="pct"/>
            <w:vAlign w:val="center"/>
          </w:tcPr>
          <w:p w14:paraId="57504CBE">
            <w:pPr>
              <w:widowControl/>
              <w:jc w:val="center"/>
              <w:rPr>
                <w:rFonts w:hint="eastAsia" w:ascii="宋体" w:hAnsi="宋体" w:cs="宋体"/>
                <w:color w:val="000000"/>
                <w:kern w:val="0"/>
                <w:sz w:val="18"/>
                <w:szCs w:val="18"/>
                <w:lang w:val="en-US" w:eastAsia="zh-CN"/>
              </w:rPr>
            </w:pPr>
          </w:p>
        </w:tc>
        <w:tc>
          <w:tcPr>
            <w:tcW w:w="374" w:type="pct"/>
            <w:vAlign w:val="center"/>
          </w:tcPr>
          <w:p w14:paraId="54104CA6">
            <w:pPr>
              <w:widowControl/>
              <w:jc w:val="center"/>
              <w:rPr>
                <w:rFonts w:hint="eastAsia" w:ascii="宋体" w:hAnsi="宋体" w:cs="宋体"/>
                <w:color w:val="000000"/>
                <w:kern w:val="0"/>
                <w:sz w:val="18"/>
                <w:szCs w:val="18"/>
                <w:lang w:val="en-US" w:eastAsia="zh-CN"/>
              </w:rPr>
            </w:pPr>
          </w:p>
        </w:tc>
        <w:tc>
          <w:tcPr>
            <w:tcW w:w="407" w:type="pct"/>
            <w:vAlign w:val="center"/>
          </w:tcPr>
          <w:p w14:paraId="6CCB2FD5">
            <w:pPr>
              <w:widowControl/>
              <w:jc w:val="center"/>
              <w:rPr>
                <w:rFonts w:hint="eastAsia" w:ascii="宋体" w:hAnsi="宋体" w:cs="宋体"/>
                <w:color w:val="000000"/>
                <w:kern w:val="0"/>
                <w:sz w:val="18"/>
                <w:szCs w:val="18"/>
                <w:lang w:val="en-US" w:eastAsia="zh-CN"/>
              </w:rPr>
            </w:pPr>
          </w:p>
        </w:tc>
      </w:tr>
      <w:tr w14:paraId="30E2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559666C4">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04" w:type="pct"/>
            <w:shd w:val="clear" w:color="auto" w:fill="auto"/>
            <w:vAlign w:val="center"/>
          </w:tcPr>
          <w:p w14:paraId="7B7E1E11">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07" w:type="pct"/>
            <w:shd w:val="clear" w:color="auto" w:fill="auto"/>
            <w:noWrap/>
            <w:vAlign w:val="center"/>
          </w:tcPr>
          <w:p w14:paraId="58A12B8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67,370.00</w:t>
            </w:r>
          </w:p>
        </w:tc>
        <w:tc>
          <w:tcPr>
            <w:tcW w:w="374" w:type="pct"/>
            <w:shd w:val="clear" w:color="auto" w:fill="auto"/>
            <w:noWrap/>
            <w:vAlign w:val="center"/>
          </w:tcPr>
          <w:p w14:paraId="185D86DF">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43A499B6">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35146889">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50F8510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2CF72C6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1D1AF32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7D63D29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519D99C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7B92FC51">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281F97E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12,500.00</w:t>
            </w:r>
          </w:p>
        </w:tc>
      </w:tr>
      <w:tr w14:paraId="1CAFE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77BF6F22">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04" w:type="pct"/>
            <w:shd w:val="clear" w:color="auto" w:fill="auto"/>
            <w:vAlign w:val="center"/>
          </w:tcPr>
          <w:p w14:paraId="049797EE">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07" w:type="pct"/>
            <w:shd w:val="clear" w:color="auto" w:fill="auto"/>
            <w:noWrap/>
            <w:vAlign w:val="center"/>
          </w:tcPr>
          <w:p w14:paraId="54B17C6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27,812.02</w:t>
            </w:r>
          </w:p>
        </w:tc>
        <w:tc>
          <w:tcPr>
            <w:tcW w:w="374" w:type="pct"/>
            <w:shd w:val="clear" w:color="auto" w:fill="auto"/>
            <w:noWrap/>
            <w:vAlign w:val="center"/>
          </w:tcPr>
          <w:p w14:paraId="0C7A31C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4A11FF1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04CA012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172C66C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20639AB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62C12D7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noWrap/>
            <w:vAlign w:val="center"/>
          </w:tcPr>
          <w:p w14:paraId="55B294C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1786170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3600B10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407" w:type="pct"/>
            <w:vAlign w:val="center"/>
          </w:tcPr>
          <w:p w14:paraId="79571C5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221.25</w:t>
            </w:r>
          </w:p>
        </w:tc>
      </w:tr>
      <w:tr w14:paraId="340B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1" w:type="pct"/>
            <w:shd w:val="clear" w:color="auto" w:fill="auto"/>
            <w:vAlign w:val="center"/>
          </w:tcPr>
          <w:p w14:paraId="159BC132">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04" w:type="pct"/>
            <w:shd w:val="clear" w:color="auto" w:fill="auto"/>
            <w:vAlign w:val="center"/>
          </w:tcPr>
          <w:p w14:paraId="01FEC95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07" w:type="pct"/>
            <w:shd w:val="clear" w:color="auto" w:fill="auto"/>
            <w:noWrap/>
            <w:vAlign w:val="center"/>
          </w:tcPr>
          <w:p w14:paraId="6A927FB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459C7837">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4FF14F58">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1C497FDF">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27A5F3B8">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1A3C0EBB">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2D3A684F">
            <w:pPr>
              <w:widowControl/>
              <w:jc w:val="center"/>
              <w:rPr>
                <w:rFonts w:hint="eastAsia" w:ascii="宋体" w:hAnsi="宋体" w:cs="宋体"/>
                <w:color w:val="000000"/>
                <w:kern w:val="0"/>
                <w:sz w:val="18"/>
                <w:szCs w:val="18"/>
                <w:lang w:val="en-US" w:eastAsia="zh-CN"/>
              </w:rPr>
            </w:pPr>
          </w:p>
        </w:tc>
        <w:tc>
          <w:tcPr>
            <w:tcW w:w="374" w:type="pct"/>
            <w:shd w:val="clear" w:color="auto" w:fill="auto"/>
            <w:noWrap/>
            <w:vAlign w:val="center"/>
          </w:tcPr>
          <w:p w14:paraId="7DC50094">
            <w:pPr>
              <w:widowControl/>
              <w:jc w:val="center"/>
              <w:rPr>
                <w:rFonts w:hint="eastAsia" w:ascii="宋体" w:hAnsi="宋体" w:cs="宋体"/>
                <w:color w:val="000000"/>
                <w:kern w:val="0"/>
                <w:sz w:val="18"/>
                <w:szCs w:val="18"/>
                <w:lang w:val="en-US" w:eastAsia="zh-CN"/>
              </w:rPr>
            </w:pPr>
          </w:p>
        </w:tc>
        <w:tc>
          <w:tcPr>
            <w:tcW w:w="374" w:type="pct"/>
            <w:vAlign w:val="center"/>
          </w:tcPr>
          <w:p w14:paraId="26ED4CDC">
            <w:pPr>
              <w:widowControl/>
              <w:jc w:val="center"/>
              <w:rPr>
                <w:rFonts w:hint="eastAsia" w:ascii="宋体" w:hAnsi="宋体" w:cs="宋体"/>
                <w:color w:val="000000"/>
                <w:kern w:val="0"/>
                <w:sz w:val="18"/>
                <w:szCs w:val="18"/>
                <w:lang w:val="en-US" w:eastAsia="zh-CN"/>
              </w:rPr>
            </w:pPr>
          </w:p>
        </w:tc>
        <w:tc>
          <w:tcPr>
            <w:tcW w:w="374" w:type="pct"/>
            <w:vAlign w:val="center"/>
          </w:tcPr>
          <w:p w14:paraId="71C9AEDB">
            <w:pPr>
              <w:widowControl/>
              <w:jc w:val="center"/>
              <w:rPr>
                <w:rFonts w:hint="eastAsia" w:ascii="宋体" w:hAnsi="宋体" w:cs="宋体"/>
                <w:color w:val="000000"/>
                <w:kern w:val="0"/>
                <w:sz w:val="18"/>
                <w:szCs w:val="18"/>
                <w:lang w:val="en-US" w:eastAsia="zh-CN"/>
              </w:rPr>
            </w:pPr>
          </w:p>
        </w:tc>
        <w:tc>
          <w:tcPr>
            <w:tcW w:w="407" w:type="pct"/>
            <w:vAlign w:val="center"/>
          </w:tcPr>
          <w:p w14:paraId="26150D4F">
            <w:pPr>
              <w:widowControl/>
              <w:jc w:val="center"/>
              <w:rPr>
                <w:rFonts w:hint="eastAsia" w:ascii="宋体" w:hAnsi="宋体" w:cs="宋体"/>
                <w:color w:val="000000"/>
                <w:kern w:val="0"/>
                <w:sz w:val="18"/>
                <w:szCs w:val="18"/>
                <w:lang w:val="en-US" w:eastAsia="zh-CN"/>
              </w:rPr>
            </w:pPr>
          </w:p>
        </w:tc>
      </w:tr>
      <w:tr w14:paraId="5837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211" w:type="pct"/>
            <w:shd w:val="clear" w:color="auto" w:fill="auto"/>
            <w:vAlign w:val="center"/>
          </w:tcPr>
          <w:p w14:paraId="20ECF1A8">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04" w:type="pct"/>
            <w:shd w:val="clear" w:color="auto" w:fill="auto"/>
            <w:vAlign w:val="center"/>
          </w:tcPr>
          <w:p w14:paraId="516D6FAB">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07" w:type="pct"/>
            <w:shd w:val="clear" w:color="auto" w:fill="auto"/>
            <w:noWrap/>
            <w:vAlign w:val="center"/>
          </w:tcPr>
          <w:p w14:paraId="74A6D2D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4C524AF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13B3A19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4151936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666A502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2FC4450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109F846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noWrap/>
            <w:vAlign w:val="center"/>
          </w:tcPr>
          <w:p w14:paraId="0B39F6E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2C1F5B7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vAlign w:val="center"/>
          </w:tcPr>
          <w:p w14:paraId="5B5EDEB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407" w:type="pct"/>
            <w:vAlign w:val="center"/>
          </w:tcPr>
          <w:p w14:paraId="5388BFE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r>
      <w:tr w14:paraId="2A70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241CA616">
            <w:pPr>
              <w:widowControl/>
              <w:jc w:val="center"/>
              <w:rPr>
                <w:rFonts w:ascii="宋体" w:hAnsi="宋体" w:cs="宋体"/>
                <w:color w:val="000000"/>
                <w:kern w:val="0"/>
                <w:sz w:val="18"/>
                <w:szCs w:val="18"/>
              </w:rPr>
            </w:pPr>
            <w:r>
              <w:rPr>
                <w:rFonts w:hint="eastAsia" w:ascii="宋体" w:hAnsi="宋体" w:cs="宋体"/>
                <w:color w:val="000000"/>
                <w:kern w:val="0"/>
                <w:sz w:val="18"/>
                <w:szCs w:val="18"/>
              </w:rPr>
              <w:t>三</w:t>
            </w:r>
          </w:p>
        </w:tc>
        <w:tc>
          <w:tcPr>
            <w:tcW w:w="604" w:type="pct"/>
            <w:shd w:val="clear" w:color="auto" w:fill="auto"/>
            <w:vAlign w:val="center"/>
          </w:tcPr>
          <w:p w14:paraId="4A9A1ADB">
            <w:pPr>
              <w:widowControl/>
              <w:jc w:val="center"/>
              <w:rPr>
                <w:rFonts w:ascii="宋体" w:hAnsi="宋体" w:cs="宋体"/>
                <w:color w:val="000000"/>
                <w:kern w:val="0"/>
                <w:sz w:val="18"/>
                <w:szCs w:val="18"/>
              </w:rPr>
            </w:pPr>
            <w:r>
              <w:rPr>
                <w:rFonts w:hint="eastAsia" w:ascii="宋体" w:hAnsi="宋体" w:cs="宋体"/>
                <w:color w:val="000000"/>
                <w:kern w:val="0"/>
                <w:sz w:val="18"/>
                <w:szCs w:val="18"/>
              </w:rPr>
              <w:t>当期现金结余</w:t>
            </w:r>
          </w:p>
        </w:tc>
        <w:tc>
          <w:tcPr>
            <w:tcW w:w="407" w:type="pct"/>
            <w:shd w:val="clear" w:color="auto" w:fill="auto"/>
            <w:vAlign w:val="center"/>
          </w:tcPr>
          <w:p w14:paraId="3CFE95C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66,910.58</w:t>
            </w:r>
          </w:p>
        </w:tc>
        <w:tc>
          <w:tcPr>
            <w:tcW w:w="374" w:type="pct"/>
            <w:shd w:val="clear" w:color="auto" w:fill="auto"/>
            <w:vAlign w:val="center"/>
          </w:tcPr>
          <w:p w14:paraId="3AA52B20">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3D9517A9">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410FE75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0EBC358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5A2EA22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45FB364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shd w:val="clear" w:color="auto" w:fill="auto"/>
            <w:vAlign w:val="center"/>
          </w:tcPr>
          <w:p w14:paraId="603C1E8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3970969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374" w:type="pct"/>
            <w:vAlign w:val="center"/>
          </w:tcPr>
          <w:p w14:paraId="504AC00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-442.50</w:t>
            </w:r>
          </w:p>
        </w:tc>
        <w:tc>
          <w:tcPr>
            <w:tcW w:w="407" w:type="pct"/>
            <w:vAlign w:val="center"/>
          </w:tcPr>
          <w:p w14:paraId="3051781A">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-12,721.25</w:t>
            </w:r>
          </w:p>
        </w:tc>
      </w:tr>
      <w:tr w14:paraId="7954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0F87BF24">
            <w:pPr>
              <w:widowControl/>
              <w:jc w:val="center"/>
              <w:rPr>
                <w:rFonts w:ascii="宋体" w:hAnsi="宋体" w:cs="宋体"/>
                <w:color w:val="000000"/>
                <w:kern w:val="0"/>
                <w:sz w:val="18"/>
                <w:szCs w:val="18"/>
              </w:rPr>
            </w:pPr>
            <w:r>
              <w:rPr>
                <w:rFonts w:hint="eastAsia" w:ascii="宋体" w:hAnsi="宋体" w:cs="宋体"/>
                <w:color w:val="000000"/>
                <w:kern w:val="0"/>
                <w:sz w:val="18"/>
                <w:szCs w:val="18"/>
              </w:rPr>
              <w:t>四</w:t>
            </w:r>
          </w:p>
        </w:tc>
        <w:tc>
          <w:tcPr>
            <w:tcW w:w="604" w:type="pct"/>
            <w:shd w:val="clear" w:color="auto" w:fill="auto"/>
            <w:vAlign w:val="center"/>
          </w:tcPr>
          <w:p w14:paraId="3D217945">
            <w:pPr>
              <w:widowControl/>
              <w:jc w:val="center"/>
              <w:rPr>
                <w:rFonts w:ascii="宋体" w:hAnsi="宋体" w:cs="宋体"/>
                <w:color w:val="000000"/>
                <w:kern w:val="0"/>
                <w:sz w:val="18"/>
                <w:szCs w:val="18"/>
              </w:rPr>
            </w:pPr>
            <w:r>
              <w:rPr>
                <w:rFonts w:hint="eastAsia" w:ascii="宋体" w:hAnsi="宋体" w:cs="宋体"/>
                <w:color w:val="000000"/>
                <w:kern w:val="0"/>
                <w:sz w:val="18"/>
                <w:szCs w:val="18"/>
              </w:rPr>
              <w:t>期初现金</w:t>
            </w:r>
          </w:p>
        </w:tc>
        <w:tc>
          <w:tcPr>
            <w:tcW w:w="407" w:type="pct"/>
            <w:shd w:val="clear" w:color="auto" w:fill="auto"/>
            <w:vAlign w:val="center"/>
          </w:tcPr>
          <w:p w14:paraId="7DBC24F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14FF6985">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83,614.33</w:t>
            </w:r>
          </w:p>
        </w:tc>
        <w:tc>
          <w:tcPr>
            <w:tcW w:w="374" w:type="pct"/>
            <w:shd w:val="clear" w:color="auto" w:fill="auto"/>
            <w:vAlign w:val="center"/>
          </w:tcPr>
          <w:p w14:paraId="6D575B5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83,171.83</w:t>
            </w:r>
          </w:p>
        </w:tc>
        <w:tc>
          <w:tcPr>
            <w:tcW w:w="374" w:type="pct"/>
            <w:shd w:val="clear" w:color="auto" w:fill="auto"/>
            <w:vAlign w:val="center"/>
          </w:tcPr>
          <w:p w14:paraId="3369DB5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82,729.33</w:t>
            </w:r>
          </w:p>
        </w:tc>
        <w:tc>
          <w:tcPr>
            <w:tcW w:w="374" w:type="pct"/>
            <w:shd w:val="clear" w:color="auto" w:fill="auto"/>
            <w:vAlign w:val="center"/>
          </w:tcPr>
          <w:p w14:paraId="5757409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82,286.83</w:t>
            </w:r>
          </w:p>
        </w:tc>
        <w:tc>
          <w:tcPr>
            <w:tcW w:w="374" w:type="pct"/>
            <w:shd w:val="clear" w:color="auto" w:fill="auto"/>
            <w:vAlign w:val="center"/>
          </w:tcPr>
          <w:p w14:paraId="47EAA81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81,844.33</w:t>
            </w:r>
          </w:p>
        </w:tc>
        <w:tc>
          <w:tcPr>
            <w:tcW w:w="374" w:type="pct"/>
            <w:shd w:val="clear" w:color="auto" w:fill="auto"/>
            <w:vAlign w:val="center"/>
          </w:tcPr>
          <w:p w14:paraId="79B9642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81,401.83</w:t>
            </w:r>
          </w:p>
        </w:tc>
        <w:tc>
          <w:tcPr>
            <w:tcW w:w="374" w:type="pct"/>
            <w:shd w:val="clear" w:color="auto" w:fill="auto"/>
            <w:vAlign w:val="center"/>
          </w:tcPr>
          <w:p w14:paraId="5EBCB9A6">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80,959.33</w:t>
            </w:r>
          </w:p>
        </w:tc>
        <w:tc>
          <w:tcPr>
            <w:tcW w:w="374" w:type="pct"/>
            <w:vAlign w:val="center"/>
          </w:tcPr>
          <w:p w14:paraId="0EA2259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80,516.83</w:t>
            </w:r>
          </w:p>
        </w:tc>
        <w:tc>
          <w:tcPr>
            <w:tcW w:w="374" w:type="pct"/>
            <w:vAlign w:val="center"/>
          </w:tcPr>
          <w:p w14:paraId="0F3AFB7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80,074.33</w:t>
            </w:r>
          </w:p>
        </w:tc>
        <w:tc>
          <w:tcPr>
            <w:tcW w:w="407" w:type="pct"/>
            <w:vAlign w:val="center"/>
          </w:tcPr>
          <w:p w14:paraId="44112E07">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79,631.83</w:t>
            </w:r>
          </w:p>
        </w:tc>
      </w:tr>
      <w:tr w14:paraId="5BFC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11" w:type="pct"/>
            <w:shd w:val="clear" w:color="auto" w:fill="auto"/>
            <w:vAlign w:val="center"/>
          </w:tcPr>
          <w:p w14:paraId="67C38F38">
            <w:pPr>
              <w:widowControl/>
              <w:jc w:val="center"/>
              <w:rPr>
                <w:rFonts w:ascii="宋体" w:hAnsi="宋体" w:cs="宋体"/>
                <w:color w:val="000000"/>
                <w:kern w:val="0"/>
                <w:sz w:val="18"/>
                <w:szCs w:val="18"/>
              </w:rPr>
            </w:pPr>
            <w:r>
              <w:rPr>
                <w:rFonts w:hint="eastAsia" w:ascii="宋体" w:hAnsi="宋体" w:cs="宋体"/>
                <w:color w:val="000000"/>
                <w:kern w:val="0"/>
                <w:sz w:val="18"/>
                <w:szCs w:val="18"/>
              </w:rPr>
              <w:t>五</w:t>
            </w:r>
          </w:p>
        </w:tc>
        <w:tc>
          <w:tcPr>
            <w:tcW w:w="604" w:type="pct"/>
            <w:shd w:val="clear" w:color="auto" w:fill="auto"/>
            <w:vAlign w:val="center"/>
          </w:tcPr>
          <w:p w14:paraId="64851C82">
            <w:pPr>
              <w:widowControl/>
              <w:jc w:val="center"/>
              <w:rPr>
                <w:rFonts w:ascii="宋体" w:hAnsi="宋体" w:cs="宋体"/>
                <w:color w:val="000000"/>
                <w:kern w:val="0"/>
                <w:sz w:val="18"/>
                <w:szCs w:val="18"/>
              </w:rPr>
            </w:pPr>
            <w:r>
              <w:rPr>
                <w:rFonts w:hint="eastAsia" w:ascii="宋体" w:hAnsi="宋体" w:cs="宋体"/>
                <w:color w:val="000000"/>
                <w:kern w:val="0"/>
                <w:sz w:val="18"/>
                <w:szCs w:val="18"/>
              </w:rPr>
              <w:t>期末现金</w:t>
            </w:r>
          </w:p>
        </w:tc>
        <w:tc>
          <w:tcPr>
            <w:tcW w:w="407" w:type="pct"/>
            <w:shd w:val="clear" w:color="auto" w:fill="auto"/>
            <w:vAlign w:val="center"/>
          </w:tcPr>
          <w:p w14:paraId="55B381E8">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w:t>
            </w:r>
          </w:p>
        </w:tc>
        <w:tc>
          <w:tcPr>
            <w:tcW w:w="374" w:type="pct"/>
            <w:shd w:val="clear" w:color="auto" w:fill="auto"/>
            <w:vAlign w:val="center"/>
          </w:tcPr>
          <w:p w14:paraId="7980E3CE">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83,171.83</w:t>
            </w:r>
          </w:p>
        </w:tc>
        <w:tc>
          <w:tcPr>
            <w:tcW w:w="374" w:type="pct"/>
            <w:shd w:val="clear" w:color="auto" w:fill="auto"/>
            <w:vAlign w:val="center"/>
          </w:tcPr>
          <w:p w14:paraId="1B315C4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82,729.33</w:t>
            </w:r>
          </w:p>
        </w:tc>
        <w:tc>
          <w:tcPr>
            <w:tcW w:w="374" w:type="pct"/>
            <w:shd w:val="clear" w:color="auto" w:fill="auto"/>
            <w:vAlign w:val="center"/>
          </w:tcPr>
          <w:p w14:paraId="5FD289EC">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82,286.83</w:t>
            </w:r>
          </w:p>
        </w:tc>
        <w:tc>
          <w:tcPr>
            <w:tcW w:w="374" w:type="pct"/>
            <w:shd w:val="clear" w:color="auto" w:fill="auto"/>
            <w:vAlign w:val="center"/>
          </w:tcPr>
          <w:p w14:paraId="6393EE54">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81,844.33</w:t>
            </w:r>
          </w:p>
        </w:tc>
        <w:tc>
          <w:tcPr>
            <w:tcW w:w="374" w:type="pct"/>
            <w:shd w:val="clear" w:color="auto" w:fill="auto"/>
            <w:vAlign w:val="center"/>
          </w:tcPr>
          <w:p w14:paraId="00D2D702">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81,401.83</w:t>
            </w:r>
          </w:p>
        </w:tc>
        <w:tc>
          <w:tcPr>
            <w:tcW w:w="374" w:type="pct"/>
            <w:shd w:val="clear" w:color="auto" w:fill="auto"/>
            <w:vAlign w:val="center"/>
          </w:tcPr>
          <w:p w14:paraId="0D2299D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80,959.33</w:t>
            </w:r>
          </w:p>
        </w:tc>
        <w:tc>
          <w:tcPr>
            <w:tcW w:w="374" w:type="pct"/>
            <w:shd w:val="clear" w:color="auto" w:fill="auto"/>
            <w:vAlign w:val="center"/>
          </w:tcPr>
          <w:p w14:paraId="77893B7B">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80,516.83</w:t>
            </w:r>
          </w:p>
        </w:tc>
        <w:tc>
          <w:tcPr>
            <w:tcW w:w="374" w:type="pct"/>
            <w:vAlign w:val="center"/>
          </w:tcPr>
          <w:p w14:paraId="26CB92FD">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80,074.33</w:t>
            </w:r>
          </w:p>
        </w:tc>
        <w:tc>
          <w:tcPr>
            <w:tcW w:w="374" w:type="pct"/>
            <w:vAlign w:val="center"/>
          </w:tcPr>
          <w:p w14:paraId="70312383">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79,631.83</w:t>
            </w:r>
          </w:p>
        </w:tc>
        <w:tc>
          <w:tcPr>
            <w:tcW w:w="407" w:type="pct"/>
            <w:vAlign w:val="center"/>
          </w:tcPr>
          <w:p w14:paraId="0592B88F">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66,910.58</w:t>
            </w:r>
          </w:p>
        </w:tc>
      </w:tr>
      <w:tr w14:paraId="6AA5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971" w:type="pct"/>
            <w:gridSpan w:val="5"/>
            <w:shd w:val="clear" w:color="auto" w:fill="auto"/>
            <w:vAlign w:val="center"/>
          </w:tcPr>
          <w:p w14:paraId="794AB32A">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3028" w:type="pct"/>
            <w:gridSpan w:val="8"/>
            <w:shd w:val="clear" w:color="auto" w:fill="auto"/>
            <w:vAlign w:val="center"/>
          </w:tcPr>
          <w:p w14:paraId="3147AF5C">
            <w:pPr>
              <w:widowControl/>
              <w:jc w:val="center"/>
              <w:rPr>
                <w:rFonts w:ascii="宋体" w:hAnsi="宋体" w:cs="宋体"/>
                <w:color w:val="000000"/>
                <w:kern w:val="0"/>
                <w:sz w:val="18"/>
                <w:szCs w:val="18"/>
              </w:rPr>
            </w:pPr>
            <w:r>
              <w:rPr>
                <w:rFonts w:hint="eastAsia" w:ascii="宋体" w:hAnsi="宋体" w:cs="宋体"/>
                <w:color w:val="000000"/>
                <w:kern w:val="0"/>
                <w:sz w:val="18"/>
                <w:szCs w:val="18"/>
              </w:rPr>
              <w:t>1.69</w:t>
            </w:r>
          </w:p>
        </w:tc>
      </w:tr>
    </w:tbl>
    <w:p w14:paraId="2C9FFCF0">
      <w:pPr>
        <w:pStyle w:val="20"/>
        <w:spacing w:after="156" w:afterLines="50" w:afterAutospacing="0" w:line="360" w:lineRule="exact"/>
        <w:ind w:firstLine="364" w:firstLineChars="200"/>
        <w:jc w:val="both"/>
        <w:rPr>
          <w:color w:val="000000" w:themeColor="text1"/>
          <w:sz w:val="18"/>
          <w:szCs w:val="18"/>
          <w14:textFill>
            <w14:solidFill>
              <w14:schemeClr w14:val="tx1"/>
            </w14:solidFill>
          </w14:textFill>
        </w:rPr>
        <w:sectPr>
          <w:pgSz w:w="16838" w:h="11906" w:orient="landscape"/>
          <w:pgMar w:top="1701" w:right="1531" w:bottom="1701" w:left="1417" w:header="851" w:footer="992" w:gutter="0"/>
          <w:cols w:space="0" w:num="1"/>
          <w:rtlGutter w:val="0"/>
          <w:docGrid w:type="linesAndChars" w:linePitch="314" w:charSpace="614"/>
        </w:sectPr>
      </w:pPr>
      <w:r>
        <w:rPr>
          <w:rFonts w:hint="eastAsia"/>
          <w:color w:val="000000" w:themeColor="text1"/>
          <w:sz w:val="18"/>
          <w:szCs w:val="18"/>
          <w14:textFill>
            <w14:solidFill>
              <w14:schemeClr w14:val="tx1"/>
            </w14:solidFill>
          </w14:textFill>
        </w:rPr>
        <w:t>注：按照南昌县城市建设投资发展有限公司在存续期内预期收入和预期支出测算，该项目在存续期间能够产生持续稳定的净现金流。按照预计条件的资金测算平衡结果，项目存续期内可达到的债券资金覆盖率为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14:textFill>
            <w14:solidFill>
              <w14:schemeClr w14:val="tx1"/>
            </w14:solidFill>
          </w14:textFill>
        </w:rPr>
        <w:t>1.69</w:t>
      </w:r>
      <w:r>
        <w:rPr>
          <w:rFonts w:hint="eastAsia"/>
          <w:color w:val="000000" w:themeColor="text1"/>
          <w:sz w:val="18"/>
          <w:szCs w:val="18"/>
          <w14:textFill>
            <w14:solidFill>
              <w14:schemeClr w14:val="tx1"/>
            </w14:solidFill>
          </w14:textFill>
        </w:rPr>
        <w:t>倍，还本付息资金有充分保障。</w:t>
      </w:r>
      <w:r>
        <w:rPr>
          <w:rFonts w:hint="eastAsia"/>
          <w:color w:val="000000" w:themeColor="text1"/>
          <w:sz w:val="21"/>
          <w:szCs w:val="21"/>
          <w14:textFill>
            <w14:solidFill>
              <w14:schemeClr w14:val="tx1"/>
            </w14:solidFill>
          </w14:textFill>
        </w:rPr>
        <w:t xml:space="preserve"> </w:t>
      </w:r>
    </w:p>
    <w:p w14:paraId="4E13DBF5">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themeColor="text1"/>
          <w:sz w:val="24"/>
          <w:szCs w:val="24"/>
          <w14:textFill>
            <w14:solidFill>
              <w14:schemeClr w14:val="tx1"/>
            </w14:solidFill>
          </w14:textFill>
        </w:rPr>
        <w:t>本次发行专项债券各项目预期业务活动现金流入合计160,823.88万元，业务活动现金流出合计</w:t>
      </w:r>
      <w:r>
        <w:rPr>
          <w:rFonts w:hint="eastAsia" w:ascii="宋体" w:hAnsi="宋体" w:eastAsia="宋体" w:cs="宋体"/>
          <w:color w:val="000000"/>
          <w:kern w:val="0"/>
          <w:sz w:val="24"/>
          <w:szCs w:val="24"/>
        </w:rPr>
        <w:t>0.00</w:t>
      </w:r>
      <w:r>
        <w:rPr>
          <w:rFonts w:hint="eastAsia" w:ascii="宋体" w:hAnsi="宋体" w:eastAsia="宋体" w:cs="宋体"/>
          <w:color w:val="000000" w:themeColor="text1"/>
          <w:sz w:val="24"/>
          <w:szCs w:val="24"/>
          <w14:textFill>
            <w14:solidFill>
              <w14:schemeClr w14:val="tx1"/>
            </w14:solidFill>
          </w14:textFill>
        </w:rPr>
        <w:t>万元，债券存续期内债券本金与利息合计</w:t>
      </w:r>
      <w:r>
        <w:rPr>
          <w:rFonts w:hint="eastAsia" w:ascii="宋体" w:hAnsi="宋体" w:eastAsia="宋体" w:cs="宋体"/>
          <w:color w:val="000000"/>
          <w:kern w:val="0"/>
          <w:sz w:val="24"/>
          <w:szCs w:val="24"/>
        </w:rPr>
        <w:t xml:space="preserve"> 95,182.02 万</w:t>
      </w:r>
      <w:r>
        <w:rPr>
          <w:rFonts w:hint="eastAsia" w:ascii="宋体" w:hAnsi="宋体" w:eastAsia="宋体" w:cs="宋体"/>
          <w:color w:val="000000" w:themeColor="text1"/>
          <w:sz w:val="24"/>
          <w:szCs w:val="24"/>
          <w14:textFill>
            <w14:solidFill>
              <w14:schemeClr w14:val="tx1"/>
            </w14:solidFill>
          </w14:textFill>
        </w:rPr>
        <w:t xml:space="preserve">元。项目存续期内偿债资金覆盖倍数为1.69倍，还本付息资金有充分保障，项目实施方案资金计划能够满足发行专项债券资金充足性要求。债券存续期间整体资金流入、流出情况及期末现金如下图所示： </w:t>
      </w:r>
    </w:p>
    <w:p w14:paraId="1AF1ABCB">
      <w:pPr>
        <w:pStyle w:val="20"/>
        <w:spacing w:before="0" w:beforeAutospacing="0" w:after="0" w:afterAutospacing="0" w:line="360" w:lineRule="exact"/>
        <w:ind w:firstLine="440" w:firstLineChars="200"/>
        <w:jc w:val="right"/>
        <w:rPr>
          <w:color w:val="000000" w:themeColor="text1"/>
          <w:sz w:val="18"/>
          <w:szCs w:val="18"/>
          <w14:textFill>
            <w14:solidFill>
              <w14:schemeClr w14:val="tx1"/>
            </w14:solidFill>
          </w14:textFill>
        </w:rPr>
      </w:pPr>
      <w:r>
        <w:rPr>
          <w:color w:val="000000" w:themeColor="text1"/>
          <w14:textFill>
            <w14:solidFill>
              <w14:schemeClr w14:val="tx1"/>
            </w14:solidFill>
          </w14:textFill>
        </w:rPr>
        <w:t xml:space="preserve"> </w:t>
      </w:r>
      <w:r>
        <w:rPr>
          <w:rFonts w:hint="eastAsia"/>
          <w:color w:val="000000" w:themeColor="text1"/>
          <w:sz w:val="18"/>
          <w:szCs w:val="18"/>
          <w14:textFill>
            <w14:solidFill>
              <w14:schemeClr w14:val="tx1"/>
            </w14:solidFill>
          </w14:textFill>
        </w:rPr>
        <w:t>单位：万元</w:t>
      </w:r>
    </w:p>
    <w:p w14:paraId="56C227B3">
      <w:pPr>
        <w:pStyle w:val="20"/>
        <w:spacing w:before="0" w:beforeAutospacing="0" w:after="156" w:afterLines="50" w:afterAutospacing="0" w:line="360" w:lineRule="exact"/>
        <w:ind w:firstLine="440" w:firstLineChars="200"/>
        <w:jc w:val="center"/>
        <w:rPr>
          <w:color w:val="000000" w:themeColor="text1"/>
          <w:sz w:val="21"/>
          <w:szCs w:val="21"/>
          <w14:textFill>
            <w14:solidFill>
              <w14:schemeClr w14:val="tx1"/>
            </w14:solidFill>
          </w14:textFill>
        </w:rPr>
      </w:pPr>
      <w:r>
        <w:drawing>
          <wp:anchor distT="0" distB="0" distL="114300" distR="114300" simplePos="0" relativeHeight="251663360" behindDoc="0" locked="0" layoutInCell="1" allowOverlap="1">
            <wp:simplePos x="0" y="0"/>
            <wp:positionH relativeFrom="margin">
              <wp:align>center</wp:align>
            </wp:positionH>
            <wp:positionV relativeFrom="paragraph">
              <wp:posOffset>363855</wp:posOffset>
            </wp:positionV>
            <wp:extent cx="4524375" cy="3030220"/>
            <wp:effectExtent l="4445" t="4445" r="5080" b="1333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Pr>
          <w:rFonts w:hint="eastAsia"/>
          <w:color w:val="000000" w:themeColor="text1"/>
          <w:sz w:val="21"/>
          <w:szCs w:val="21"/>
          <w14:textFill>
            <w14:solidFill>
              <w14:schemeClr w14:val="tx1"/>
            </w14:solidFill>
          </w14:textFill>
        </w:rPr>
        <w:t>图3-</w:t>
      </w:r>
      <w:r>
        <w:rPr>
          <w:color w:val="000000" w:themeColor="text1"/>
          <w:sz w:val="21"/>
          <w:szCs w:val="21"/>
          <w14:textFill>
            <w14:solidFill>
              <w14:schemeClr w14:val="tx1"/>
            </w14:solidFill>
          </w14:textFill>
        </w:rPr>
        <w:t xml:space="preserve">1  </w:t>
      </w:r>
      <w:r>
        <w:rPr>
          <w:rFonts w:hint="eastAsia"/>
          <w:color w:val="000000" w:themeColor="text1"/>
          <w:sz w:val="21"/>
          <w:szCs w:val="21"/>
          <w14:textFill>
            <w14:solidFill>
              <w14:schemeClr w14:val="tx1"/>
            </w14:solidFill>
          </w14:textFill>
        </w:rPr>
        <w:t>债券存续期间现金流情况图</w:t>
      </w:r>
    </w:p>
    <w:p w14:paraId="3327C8D0">
      <w:pPr>
        <w:pStyle w:val="20"/>
        <w:spacing w:before="0" w:beforeAutospacing="0" w:after="156" w:afterLines="50" w:afterAutospacing="0" w:line="360" w:lineRule="exact"/>
        <w:rPr>
          <w:color w:val="000000" w:themeColor="text1"/>
          <w:sz w:val="21"/>
          <w:szCs w:val="21"/>
          <w14:textFill>
            <w14:solidFill>
              <w14:schemeClr w14:val="tx1"/>
            </w14:solidFill>
          </w14:textFill>
        </w:rPr>
      </w:pPr>
    </w:p>
    <w:p w14:paraId="199D6CD5">
      <w:pPr>
        <w:ind w:firstLine="482"/>
        <w:rPr>
          <w:rFonts w:ascii="黑体" w:hAnsi="黑体" w:eastAsia="黑体" w:cs="黑体"/>
          <w:sz w:val="28"/>
          <w:szCs w:val="28"/>
        </w:rPr>
      </w:pPr>
      <w:r>
        <w:rPr>
          <w:rFonts w:hint="eastAsia" w:ascii="黑体" w:hAnsi="黑体" w:eastAsia="黑体" w:cs="黑体"/>
          <w:sz w:val="28"/>
          <w:szCs w:val="28"/>
        </w:rPr>
        <w:t>四、事前绩效评价</w:t>
      </w:r>
    </w:p>
    <w:p w14:paraId="20739F14">
      <w:pPr>
        <w:spacing w:line="560" w:lineRule="atLeast"/>
        <w:ind w:firstLine="480"/>
        <w:rPr>
          <w:rFonts w:cs="仿宋" w:asciiTheme="minorEastAsia" w:hAnsiTheme="minorEastAsia"/>
          <w:sz w:val="24"/>
          <w:szCs w:val="24"/>
        </w:rPr>
      </w:pPr>
      <w:r>
        <w:rPr>
          <w:rFonts w:hint="eastAsia" w:cs="仿宋" w:asciiTheme="minorEastAsia" w:hAnsiTheme="minorEastAsia"/>
          <w:sz w:val="24"/>
          <w:szCs w:val="24"/>
        </w:rPr>
        <w:t>1、项目实施的必要性、公益性、收益性</w:t>
      </w:r>
    </w:p>
    <w:p w14:paraId="17418AA9">
      <w:pPr>
        <w:spacing w:line="560" w:lineRule="atLeast"/>
        <w:ind w:firstLine="148" w:firstLineChars="62"/>
        <w:rPr>
          <w:rFonts w:cs="仿宋" w:asciiTheme="minorEastAsia" w:hAnsiTheme="minorEastAsia"/>
          <w:sz w:val="24"/>
          <w:szCs w:val="24"/>
        </w:rPr>
      </w:pPr>
      <w:r>
        <w:rPr>
          <w:rFonts w:hint="eastAsia" w:cs="仿宋" w:asciiTheme="minorEastAsia" w:hAnsiTheme="minorEastAsia"/>
          <w:sz w:val="24"/>
          <w:szCs w:val="24"/>
        </w:rPr>
        <w:t>（1）必要性</w:t>
      </w:r>
    </w:p>
    <w:p w14:paraId="5C2233FD">
      <w:pPr>
        <w:spacing w:line="560" w:lineRule="atLeast"/>
        <w:ind w:firstLine="480"/>
        <w:rPr>
          <w:rFonts w:cs="仿宋" w:asciiTheme="minorEastAsia" w:hAnsiTheme="minorEastAsia"/>
          <w:sz w:val="24"/>
          <w:szCs w:val="24"/>
        </w:rPr>
      </w:pPr>
      <w:r>
        <w:rPr>
          <w:rFonts w:hint="eastAsia" w:cs="仿宋" w:asciiTheme="minorEastAsia" w:hAnsiTheme="minorEastAsia"/>
          <w:sz w:val="24"/>
          <w:szCs w:val="24"/>
        </w:rPr>
        <w:t>1）项目建设是</w:t>
      </w:r>
      <w:r>
        <w:rPr>
          <w:rFonts w:asciiTheme="minorEastAsia" w:hAnsiTheme="minorEastAsia"/>
          <w:sz w:val="24"/>
          <w:szCs w:val="24"/>
        </w:rPr>
        <w:t>大力提高人民群众的居住水平，是全面建设小康社会和实现现代化的重要方面与重要内容之一</w:t>
      </w:r>
      <w:r>
        <w:rPr>
          <w:rFonts w:hint="eastAsia" w:cs="仿宋" w:asciiTheme="minorEastAsia" w:hAnsiTheme="minorEastAsia"/>
          <w:sz w:val="24"/>
          <w:szCs w:val="24"/>
        </w:rPr>
        <w:t>。</w:t>
      </w:r>
    </w:p>
    <w:p w14:paraId="7F00CC7D">
      <w:pPr>
        <w:spacing w:line="560" w:lineRule="exact"/>
        <w:ind w:firstLine="561"/>
        <w:rPr>
          <w:rFonts w:asciiTheme="minorEastAsia" w:hAnsiTheme="minorEastAsia"/>
          <w:sz w:val="24"/>
          <w:szCs w:val="24"/>
        </w:rPr>
      </w:pPr>
      <w:r>
        <w:rPr>
          <w:rFonts w:hint="eastAsia" w:cs="仿宋" w:asciiTheme="minorEastAsia" w:hAnsiTheme="minorEastAsia"/>
          <w:sz w:val="24"/>
          <w:szCs w:val="24"/>
        </w:rPr>
        <w:t>2）</w:t>
      </w:r>
      <w:r>
        <w:rPr>
          <w:rFonts w:asciiTheme="minorEastAsia" w:hAnsiTheme="minorEastAsia"/>
          <w:sz w:val="24"/>
          <w:szCs w:val="24"/>
        </w:rPr>
        <w:t>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40DFDA5F">
      <w:pPr>
        <w:spacing w:line="560" w:lineRule="exact"/>
        <w:ind w:firstLine="561"/>
        <w:rPr>
          <w:rFonts w:asciiTheme="minorEastAsia" w:hAnsiTheme="minorEastAsia"/>
          <w:sz w:val="24"/>
          <w:szCs w:val="24"/>
        </w:rPr>
      </w:pPr>
      <w:r>
        <w:rPr>
          <w:rFonts w:hint="eastAsia" w:cs="仿宋" w:asciiTheme="minorEastAsia" w:hAnsiTheme="minorEastAsia"/>
          <w:sz w:val="24"/>
          <w:szCs w:val="24"/>
        </w:rPr>
        <w:t>3）</w:t>
      </w:r>
      <w:r>
        <w:rPr>
          <w:rFonts w:asciiTheme="minorEastAsia" w:hAnsiTheme="minorEastAsia"/>
          <w:sz w:val="24"/>
          <w:szCs w:val="24"/>
        </w:rPr>
        <w:t>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7F975FCD">
      <w:pPr>
        <w:spacing w:line="560" w:lineRule="atLeast"/>
        <w:ind w:firstLine="148" w:firstLineChars="62"/>
        <w:rPr>
          <w:rFonts w:cs="仿宋" w:asciiTheme="minorEastAsia" w:hAnsiTheme="minorEastAsia"/>
          <w:sz w:val="24"/>
          <w:szCs w:val="24"/>
        </w:rPr>
      </w:pPr>
      <w:r>
        <w:rPr>
          <w:rFonts w:hint="eastAsia" w:cs="仿宋" w:asciiTheme="minorEastAsia" w:hAnsiTheme="minorEastAsia"/>
          <w:sz w:val="24"/>
          <w:szCs w:val="24"/>
        </w:rPr>
        <w:t>（2）公益性</w:t>
      </w:r>
    </w:p>
    <w:p w14:paraId="0E8EECC6">
      <w:pPr>
        <w:spacing w:line="560" w:lineRule="exact"/>
        <w:ind w:firstLine="561"/>
        <w:rPr>
          <w:rFonts w:asciiTheme="minorEastAsia" w:hAnsiTheme="minorEastAsia"/>
          <w:sz w:val="24"/>
          <w:szCs w:val="24"/>
        </w:rPr>
      </w:pPr>
      <w:r>
        <w:rPr>
          <w:rFonts w:asciiTheme="minorEastAsia" w:hAnsiTheme="minorEastAsia"/>
          <w:sz w:val="24"/>
          <w:szCs w:val="24"/>
        </w:rPr>
        <w:t>目前南昌县经济发展不断加快，城市化进程不断加速，城市范围在不断扩大，城市新区各项功能不断完善，</w:t>
      </w:r>
      <w:r>
        <w:rPr>
          <w:rFonts w:hint="eastAsia" w:asciiTheme="minorEastAsia" w:hAnsiTheme="minorEastAsia"/>
          <w:sz w:val="24"/>
          <w:szCs w:val="24"/>
        </w:rPr>
        <w:t>街上</w:t>
      </w:r>
      <w:r>
        <w:rPr>
          <w:rFonts w:asciiTheme="minorEastAsia" w:hAnsiTheme="minorEastAsia"/>
          <w:sz w:val="24"/>
          <w:szCs w:val="24"/>
        </w:rPr>
        <w:t>村位于城市发展区域，目前区域人口分散，生活环境较差，为加快城市建设，改善居民生活条件，安置被征地拆迁群众，南昌县人民政府经过深入调查研究后，规划在本项目地块建设安置性用房，</w:t>
      </w:r>
      <w:r>
        <w:rPr>
          <w:rFonts w:hint="eastAsia" w:asciiTheme="minorEastAsia" w:hAnsiTheme="minorEastAsia"/>
          <w:sz w:val="24"/>
          <w:szCs w:val="24"/>
        </w:rPr>
        <w:t>也是</w:t>
      </w:r>
      <w:r>
        <w:rPr>
          <w:rFonts w:asciiTheme="minorEastAsia" w:hAnsiTheme="minorEastAsia"/>
          <w:sz w:val="24"/>
          <w:szCs w:val="24"/>
        </w:rPr>
        <w:t>改善城市环境，改善农村人口居住环境变分散居住为集中居住，满足安置人口安居乐业的需要。</w:t>
      </w:r>
    </w:p>
    <w:p w14:paraId="744EE910">
      <w:pPr>
        <w:spacing w:line="560" w:lineRule="atLeast"/>
        <w:ind w:firstLine="480"/>
        <w:rPr>
          <w:rFonts w:cs="仿宋" w:asciiTheme="minorEastAsia" w:hAnsiTheme="minorEastAsia"/>
          <w:sz w:val="24"/>
          <w:szCs w:val="24"/>
        </w:rPr>
      </w:pPr>
      <w:r>
        <w:rPr>
          <w:rFonts w:hint="eastAsia" w:cs="仿宋" w:asciiTheme="minorEastAsia" w:hAnsiTheme="minorEastAsia"/>
          <w:sz w:val="24"/>
          <w:szCs w:val="24"/>
        </w:rPr>
        <w:t>（3</w:t>
      </w:r>
      <w:r>
        <w:rPr>
          <w:rFonts w:cs="仿宋" w:asciiTheme="minorEastAsia" w:hAnsiTheme="minorEastAsia"/>
          <w:sz w:val="24"/>
          <w:szCs w:val="24"/>
        </w:rPr>
        <w:t>）</w:t>
      </w:r>
      <w:r>
        <w:rPr>
          <w:rFonts w:hint="eastAsia" w:cs="仿宋" w:asciiTheme="minorEastAsia" w:hAnsiTheme="minorEastAsia"/>
          <w:sz w:val="24"/>
          <w:szCs w:val="24"/>
        </w:rPr>
        <w:t>收益性</w:t>
      </w:r>
    </w:p>
    <w:p w14:paraId="597294BC">
      <w:pPr>
        <w:widowControl/>
        <w:spacing w:line="560" w:lineRule="exact"/>
        <w:ind w:firstLine="480" w:firstLineChars="200"/>
        <w:rPr>
          <w:rFonts w:cs="宋体" w:asciiTheme="minorEastAsia" w:hAnsiTheme="minorEastAsia"/>
          <w:kern w:val="0"/>
          <w:sz w:val="24"/>
          <w:szCs w:val="24"/>
        </w:rPr>
      </w:pPr>
      <w:r>
        <w:rPr>
          <w:rFonts w:hint="eastAsia" w:cs="仿宋" w:asciiTheme="minorEastAsia" w:hAnsiTheme="minorEastAsia"/>
          <w:sz w:val="24"/>
          <w:szCs w:val="24"/>
        </w:rPr>
        <w:t>本项目实施后，可产生运营收益，根据测算收入约为</w:t>
      </w:r>
      <w:r>
        <w:rPr>
          <w:rFonts w:hint="eastAsia" w:cs="宋体" w:asciiTheme="minorEastAsia" w:hAnsiTheme="minorEastAsia"/>
          <w:kern w:val="0"/>
          <w:sz w:val="24"/>
          <w:szCs w:val="24"/>
          <w:lang w:eastAsia="zh-CN"/>
        </w:rPr>
        <w:t>160,823.88</w:t>
      </w:r>
      <w:r>
        <w:rPr>
          <w:rFonts w:hint="eastAsia" w:cs="仿宋" w:asciiTheme="minorEastAsia" w:hAnsiTheme="minorEastAsia"/>
          <w:sz w:val="24"/>
          <w:szCs w:val="24"/>
        </w:rPr>
        <w:t>万元，可用于偿债的项目收益为</w:t>
      </w:r>
      <w:r>
        <w:rPr>
          <w:rFonts w:hint="eastAsia" w:cs="宋体" w:asciiTheme="minorEastAsia" w:hAnsiTheme="minorEastAsia"/>
          <w:kern w:val="0"/>
          <w:sz w:val="24"/>
          <w:szCs w:val="24"/>
          <w:lang w:eastAsia="zh-CN"/>
        </w:rPr>
        <w:t>160,823.88</w:t>
      </w:r>
      <w:r>
        <w:rPr>
          <w:rFonts w:hint="eastAsia" w:cs="仿宋" w:asciiTheme="minorEastAsia" w:hAnsiTheme="minorEastAsia"/>
          <w:sz w:val="24"/>
          <w:szCs w:val="24"/>
        </w:rPr>
        <w:t>万元，满足资金平衡需求。</w:t>
      </w:r>
    </w:p>
    <w:p w14:paraId="697C1068">
      <w:pPr>
        <w:spacing w:line="560" w:lineRule="exact"/>
        <w:ind w:firstLine="480"/>
        <w:rPr>
          <w:rFonts w:cs="仿宋" w:asciiTheme="minorEastAsia" w:hAnsiTheme="minorEastAsia"/>
          <w:sz w:val="24"/>
          <w:szCs w:val="24"/>
        </w:rPr>
      </w:pPr>
      <w:r>
        <w:rPr>
          <w:rFonts w:hint="eastAsia" w:cs="仿宋" w:asciiTheme="minorEastAsia" w:hAnsiTheme="minorEastAsia"/>
          <w:sz w:val="24"/>
          <w:szCs w:val="24"/>
        </w:rPr>
        <w:t>2、项目建设投资合规性与项目成熟度</w:t>
      </w:r>
    </w:p>
    <w:p w14:paraId="0DEE140D">
      <w:pPr>
        <w:spacing w:line="560" w:lineRule="exact"/>
        <w:ind w:firstLine="480"/>
        <w:rPr>
          <w:rFonts w:cs="仿宋" w:asciiTheme="minorEastAsia" w:hAnsiTheme="minorEastAsia"/>
          <w:sz w:val="24"/>
          <w:szCs w:val="24"/>
        </w:rPr>
      </w:pPr>
      <w:r>
        <w:rPr>
          <w:rFonts w:hint="eastAsia" w:cs="仿宋" w:asciiTheme="minorEastAsia" w:hAnsiTheme="minorEastAsia"/>
          <w:sz w:val="24"/>
          <w:szCs w:val="24"/>
        </w:rPr>
        <w:t>项目已获得南昌县行政审批局《关于</w:t>
      </w:r>
      <w:r>
        <w:rPr>
          <w:rFonts w:hint="eastAsia" w:cs="仿宋" w:asciiTheme="minorEastAsia" w:hAnsiTheme="minorEastAsia"/>
          <w:sz w:val="24"/>
          <w:szCs w:val="24"/>
          <w:lang w:eastAsia="zh-CN"/>
        </w:rPr>
        <w:t>南昌县张坊三期（棚户区）安置房建设工程</w:t>
      </w:r>
      <w:r>
        <w:rPr>
          <w:rFonts w:hint="eastAsia" w:cs="仿宋" w:asciiTheme="minorEastAsia" w:hAnsiTheme="minorEastAsia"/>
          <w:sz w:val="24"/>
          <w:szCs w:val="24"/>
        </w:rPr>
        <w:t>可行性研究报告的批复》（南行审投资投字【</w:t>
      </w:r>
      <w:r>
        <w:rPr>
          <w:rFonts w:hint="eastAsia" w:cs="仿宋" w:asciiTheme="minorEastAsia" w:hAnsiTheme="minorEastAsia"/>
          <w:sz w:val="24"/>
          <w:szCs w:val="24"/>
          <w:lang w:val="en-US" w:eastAsia="zh-CN"/>
        </w:rPr>
        <w:t>2022</w:t>
      </w:r>
      <w:r>
        <w:rPr>
          <w:rFonts w:cs="仿宋" w:asciiTheme="minorEastAsia" w:hAnsiTheme="minorEastAsia"/>
          <w:sz w:val="24"/>
          <w:szCs w:val="24"/>
        </w:rPr>
        <w:t>】</w:t>
      </w:r>
      <w:r>
        <w:rPr>
          <w:rFonts w:hint="eastAsia" w:cs="仿宋" w:asciiTheme="minorEastAsia" w:hAnsiTheme="minorEastAsia"/>
          <w:sz w:val="24"/>
          <w:szCs w:val="24"/>
          <w:lang w:val="en-US" w:eastAsia="zh-CN"/>
        </w:rPr>
        <w:t>403</w:t>
      </w:r>
      <w:r>
        <w:rPr>
          <w:rFonts w:hint="eastAsia" w:cs="仿宋" w:asciiTheme="minorEastAsia" w:hAnsiTheme="minorEastAsia"/>
          <w:sz w:val="24"/>
          <w:szCs w:val="24"/>
        </w:rPr>
        <w:t>号）。</w:t>
      </w:r>
    </w:p>
    <w:p w14:paraId="0AF43BCF">
      <w:pPr>
        <w:spacing w:line="560" w:lineRule="exact"/>
        <w:ind w:firstLine="480"/>
        <w:rPr>
          <w:rFonts w:cs="仿宋" w:asciiTheme="minorEastAsia" w:hAnsiTheme="minorEastAsia"/>
          <w:sz w:val="24"/>
          <w:szCs w:val="24"/>
        </w:rPr>
      </w:pPr>
      <w:r>
        <w:rPr>
          <w:rFonts w:hint="eastAsia" w:cs="仿宋" w:asciiTheme="minorEastAsia" w:hAnsiTheme="minorEastAsia"/>
          <w:sz w:val="24"/>
          <w:szCs w:val="24"/>
        </w:rPr>
        <w:t>项目建设有期充分的必要性，前期手续完善，项目资金为部分项目单位自筹，部分申请政府专项债券资金。项目成熟度、可靠度较高。</w:t>
      </w:r>
    </w:p>
    <w:p w14:paraId="6A956F4E">
      <w:pPr>
        <w:spacing w:line="560" w:lineRule="exact"/>
        <w:ind w:firstLine="480"/>
        <w:rPr>
          <w:rFonts w:hint="eastAsia" w:cs="仿宋" w:asciiTheme="minorEastAsia" w:hAnsiTheme="minorEastAsia"/>
          <w:sz w:val="24"/>
          <w:szCs w:val="24"/>
        </w:rPr>
      </w:pPr>
      <w:r>
        <w:rPr>
          <w:rFonts w:hint="eastAsia" w:cs="仿宋" w:asciiTheme="minorEastAsia" w:hAnsiTheme="minorEastAsia"/>
          <w:sz w:val="24"/>
          <w:szCs w:val="24"/>
          <w:lang w:val="en-US" w:eastAsia="zh-CN"/>
        </w:rPr>
        <w:t>3、</w:t>
      </w:r>
      <w:r>
        <w:rPr>
          <w:rFonts w:hint="eastAsia" w:cs="仿宋" w:asciiTheme="minorEastAsia" w:hAnsiTheme="minorEastAsia"/>
          <w:sz w:val="24"/>
          <w:szCs w:val="24"/>
        </w:rPr>
        <w:t>项目资金来源和可到位性</w:t>
      </w:r>
    </w:p>
    <w:p w14:paraId="59C6288B">
      <w:pPr>
        <w:spacing w:before="156" w:line="560" w:lineRule="atLeast"/>
        <w:ind w:firstLine="480" w:firstLineChars="200"/>
        <w:outlineLvl w:val="9"/>
        <w:rPr>
          <w:rFonts w:asciiTheme="minorEastAsia" w:hAnsiTheme="minorEastAsia"/>
          <w:sz w:val="24"/>
          <w:szCs w:val="24"/>
        </w:rPr>
      </w:pPr>
      <w:r>
        <w:rPr>
          <w:rFonts w:hint="eastAsia" w:cs="仿宋" w:asciiTheme="minorEastAsia" w:hAnsiTheme="minorEastAsia"/>
          <w:sz w:val="24"/>
          <w:szCs w:val="24"/>
        </w:rPr>
        <w:t>本项目资金筹措方式包括自筹资金及政府债券，自筹资金</w:t>
      </w:r>
      <w:r>
        <w:rPr>
          <w:rFonts w:hint="eastAsia" w:cs="仿宋" w:asciiTheme="minorEastAsia" w:hAnsiTheme="minorEastAsia"/>
          <w:bCs/>
          <w:sz w:val="24"/>
          <w:szCs w:val="24"/>
          <w:lang w:val="en-US" w:eastAsia="zh-CN"/>
        </w:rPr>
        <w:t>16592.92</w:t>
      </w:r>
      <w:r>
        <w:rPr>
          <w:rFonts w:hint="eastAsia" w:cs="仿宋" w:asciiTheme="minorEastAsia" w:hAnsiTheme="minorEastAsia"/>
          <w:sz w:val="24"/>
          <w:szCs w:val="24"/>
        </w:rPr>
        <w:t>万元，占总投资比例</w:t>
      </w:r>
      <w:r>
        <w:rPr>
          <w:rFonts w:hint="eastAsia" w:cs="仿宋" w:asciiTheme="minorEastAsia" w:hAnsiTheme="minorEastAsia"/>
          <w:bCs/>
          <w:sz w:val="24"/>
          <w:szCs w:val="24"/>
          <w:lang w:val="en-US" w:eastAsia="zh-CN"/>
        </w:rPr>
        <w:t>20.09%</w:t>
      </w:r>
      <w:r>
        <w:rPr>
          <w:rFonts w:hint="eastAsia" w:cs="仿宋" w:asciiTheme="minorEastAsia" w:hAnsiTheme="minorEastAsia"/>
          <w:sz w:val="24"/>
          <w:szCs w:val="24"/>
        </w:rPr>
        <w:t>；</w:t>
      </w:r>
      <w:r>
        <w:rPr>
          <w:rFonts w:cs="仿宋" w:asciiTheme="minorEastAsia" w:hAnsiTheme="minorEastAsia"/>
          <w:sz w:val="24"/>
          <w:szCs w:val="24"/>
        </w:rPr>
        <w:t>本期发行专项债券</w:t>
      </w:r>
      <w:r>
        <w:rPr>
          <w:rFonts w:hint="eastAsia" w:cs="仿宋" w:asciiTheme="minorEastAsia" w:hAnsiTheme="minorEastAsia"/>
          <w:sz w:val="24"/>
          <w:szCs w:val="24"/>
          <w:lang w:val="en-US" w:eastAsia="zh-CN"/>
        </w:rPr>
        <w:t>85</w:t>
      </w:r>
      <w:r>
        <w:rPr>
          <w:rFonts w:hint="eastAsia" w:cs="仿宋" w:asciiTheme="minorEastAsia" w:hAnsiTheme="minorEastAsia"/>
          <w:bCs/>
          <w:sz w:val="24"/>
          <w:szCs w:val="24"/>
          <w:lang w:val="en-US" w:eastAsia="zh-CN"/>
        </w:rPr>
        <w:t>00.00</w:t>
      </w:r>
      <w:r>
        <w:rPr>
          <w:rFonts w:cs="仿宋" w:asciiTheme="minorEastAsia" w:hAnsiTheme="minorEastAsia"/>
          <w:sz w:val="24"/>
          <w:szCs w:val="24"/>
        </w:rPr>
        <w:t>万元，</w:t>
      </w:r>
      <w:r>
        <w:rPr>
          <w:rFonts w:hint="eastAsia" w:cs="仿宋" w:asciiTheme="minorEastAsia" w:hAnsiTheme="minorEastAsia"/>
          <w:sz w:val="24"/>
          <w:szCs w:val="24"/>
        </w:rPr>
        <w:t>期限</w:t>
      </w:r>
      <w:r>
        <w:rPr>
          <w:rFonts w:cs="仿宋" w:asciiTheme="minorEastAsia" w:hAnsiTheme="minorEastAsia"/>
          <w:bCs/>
          <w:sz w:val="24"/>
          <w:szCs w:val="24"/>
        </w:rPr>
        <w:t>7</w:t>
      </w:r>
      <w:r>
        <w:rPr>
          <w:rFonts w:hint="eastAsia" w:cs="仿宋" w:asciiTheme="minorEastAsia" w:hAnsiTheme="minorEastAsia"/>
          <w:sz w:val="24"/>
          <w:szCs w:val="24"/>
        </w:rPr>
        <w:t>年，</w:t>
      </w:r>
      <w:r>
        <w:rPr>
          <w:rFonts w:cs="仿宋" w:asciiTheme="minorEastAsia" w:hAnsiTheme="minorEastAsia"/>
          <w:sz w:val="24"/>
          <w:szCs w:val="24"/>
        </w:rPr>
        <w:t>占总投资的</w:t>
      </w:r>
      <w:r>
        <w:rPr>
          <w:rFonts w:hint="eastAsia" w:cs="仿宋" w:asciiTheme="minorEastAsia" w:hAnsiTheme="minorEastAsia"/>
          <w:bCs/>
          <w:sz w:val="24"/>
          <w:szCs w:val="24"/>
          <w:lang w:val="en-US" w:eastAsia="zh-CN"/>
        </w:rPr>
        <w:t>79.91</w:t>
      </w:r>
      <w:r>
        <w:rPr>
          <w:rFonts w:hint="eastAsia" w:cs="仿宋" w:asciiTheme="minorEastAsia" w:hAnsiTheme="minorEastAsia"/>
          <w:bCs/>
          <w:sz w:val="24"/>
          <w:szCs w:val="24"/>
        </w:rPr>
        <w:t>%。</w:t>
      </w:r>
    </w:p>
    <w:p w14:paraId="34B5F0A9">
      <w:pPr>
        <w:spacing w:before="156" w:line="560" w:lineRule="atLeast"/>
        <w:ind w:firstLine="480" w:firstLineChars="200"/>
        <w:outlineLvl w:val="9"/>
        <w:rPr>
          <w:rFonts w:asciiTheme="minorEastAsia" w:hAnsiTheme="minorEastAsia"/>
          <w:b/>
          <w:sz w:val="24"/>
          <w:szCs w:val="24"/>
        </w:rPr>
      </w:pPr>
      <w:r>
        <w:rPr>
          <w:rFonts w:hint="eastAsia" w:asciiTheme="minorEastAsia" w:hAnsiTheme="minorEastAsia"/>
          <w:sz w:val="24"/>
          <w:szCs w:val="24"/>
        </w:rPr>
        <w:t>4、项目收入、成本、收益预测合理性</w:t>
      </w:r>
    </w:p>
    <w:p w14:paraId="0AF2CE4D">
      <w:pPr>
        <w:widowControl/>
        <w:spacing w:line="560" w:lineRule="atLeast"/>
        <w:ind w:firstLine="480" w:firstLineChars="200"/>
        <w:outlineLvl w:val="9"/>
        <w:rPr>
          <w:rFonts w:ascii="宋体" w:hAnsi="宋体" w:cs="宋体"/>
          <w:kern w:val="0"/>
          <w:sz w:val="18"/>
          <w:szCs w:val="18"/>
        </w:rPr>
      </w:pPr>
      <w:r>
        <w:rPr>
          <w:rFonts w:asciiTheme="minorEastAsia" w:hAnsiTheme="minorEastAsia"/>
          <w:sz w:val="24"/>
          <w:szCs w:val="24"/>
        </w:rPr>
        <w:t>根据项目可行性研究报告并结合实际情况进行测算，本项目债券存续期内收入包含</w:t>
      </w:r>
      <w:r>
        <w:rPr>
          <w:rFonts w:hint="eastAsia" w:asciiTheme="minorEastAsia" w:hAnsiTheme="minorEastAsia"/>
          <w:sz w:val="24"/>
          <w:szCs w:val="24"/>
        </w:rPr>
        <w:t>土地出让收入万元。</w:t>
      </w:r>
    </w:p>
    <w:p w14:paraId="317DAD39">
      <w:pPr>
        <w:spacing w:line="560" w:lineRule="atLeast"/>
        <w:ind w:firstLine="480"/>
        <w:outlineLvl w:val="9"/>
        <w:rPr>
          <w:rFonts w:asciiTheme="minorEastAsia" w:hAnsiTheme="minorEastAsia"/>
          <w:sz w:val="24"/>
          <w:szCs w:val="24"/>
        </w:rPr>
      </w:pPr>
      <w:r>
        <w:rPr>
          <w:rFonts w:hint="eastAsia" w:asciiTheme="minorEastAsia" w:hAnsiTheme="minorEastAsia"/>
          <w:sz w:val="24"/>
          <w:szCs w:val="24"/>
        </w:rPr>
        <w:t>债券存续期收益已由业主单位盖章确认，预测合理性较高。</w:t>
      </w:r>
    </w:p>
    <w:p w14:paraId="6835DE8A">
      <w:pPr>
        <w:spacing w:line="560" w:lineRule="atLeast"/>
        <w:ind w:firstLine="480"/>
        <w:rPr>
          <w:rFonts w:asciiTheme="minorEastAsia" w:hAnsiTheme="minorEastAsia"/>
          <w:sz w:val="24"/>
          <w:szCs w:val="24"/>
        </w:rPr>
      </w:pPr>
      <w:r>
        <w:rPr>
          <w:rFonts w:hint="eastAsia" w:asciiTheme="minorEastAsia" w:hAnsiTheme="minorEastAsia"/>
          <w:sz w:val="24"/>
          <w:szCs w:val="24"/>
        </w:rPr>
        <w:t>5、债券资金需求合理性</w:t>
      </w:r>
    </w:p>
    <w:p w14:paraId="24B12328">
      <w:pPr>
        <w:spacing w:line="560" w:lineRule="atLeast"/>
        <w:ind w:firstLine="480"/>
        <w:rPr>
          <w:rFonts w:asciiTheme="minorEastAsia" w:hAnsiTheme="minorEastAsia"/>
          <w:sz w:val="24"/>
          <w:szCs w:val="24"/>
        </w:rPr>
      </w:pPr>
      <w:r>
        <w:rPr>
          <w:rFonts w:hint="eastAsia" w:asciiTheme="minorEastAsia" w:hAnsiTheme="minorEastAsia"/>
          <w:sz w:val="24"/>
          <w:szCs w:val="24"/>
        </w:rPr>
        <w:t>本项目资本金比例</w:t>
      </w:r>
      <w:r>
        <w:rPr>
          <w:rFonts w:hint="eastAsia" w:cs="仿宋" w:asciiTheme="minorEastAsia" w:hAnsiTheme="minorEastAsia"/>
          <w:bCs/>
          <w:sz w:val="24"/>
          <w:szCs w:val="24"/>
          <w:lang w:val="en-US" w:eastAsia="zh-CN"/>
        </w:rPr>
        <w:t>20.09%</w:t>
      </w:r>
      <w:r>
        <w:rPr>
          <w:rFonts w:hint="eastAsia" w:asciiTheme="minorEastAsia" w:hAnsiTheme="minorEastAsia"/>
          <w:sz w:val="24"/>
          <w:szCs w:val="24"/>
        </w:rPr>
        <w:t>，满足国家发改委对固定资产投资项目资本金比例的要求。项目拟申请债券资金本息额共计</w:t>
      </w:r>
      <w:r>
        <w:rPr>
          <w:rFonts w:hint="eastAsia" w:cs="宋体" w:asciiTheme="minorEastAsia" w:hAnsiTheme="minorEastAsia"/>
          <w:kern w:val="0"/>
          <w:sz w:val="24"/>
          <w:szCs w:val="24"/>
          <w:lang w:eastAsia="zh-CN"/>
        </w:rPr>
        <w:t>95,016.27</w:t>
      </w:r>
      <w:r>
        <w:rPr>
          <w:rFonts w:hint="eastAsia" w:asciiTheme="minorEastAsia" w:hAnsiTheme="minorEastAsia"/>
          <w:sz w:val="24"/>
          <w:szCs w:val="24"/>
        </w:rPr>
        <w:t>万元，项目收益预计为</w:t>
      </w:r>
      <w:r>
        <w:rPr>
          <w:rFonts w:hint="eastAsia" w:cs="宋体" w:asciiTheme="minorEastAsia" w:hAnsiTheme="minorEastAsia"/>
          <w:kern w:val="0"/>
          <w:sz w:val="24"/>
          <w:szCs w:val="24"/>
        </w:rPr>
        <w:t xml:space="preserve"> </w:t>
      </w:r>
      <w:r>
        <w:rPr>
          <w:rFonts w:hint="eastAsia" w:cs="宋体" w:asciiTheme="minorEastAsia" w:hAnsiTheme="minorEastAsia"/>
          <w:kern w:val="0"/>
          <w:sz w:val="24"/>
          <w:szCs w:val="24"/>
          <w:lang w:eastAsia="zh-CN"/>
        </w:rPr>
        <w:t>160,823.88</w:t>
      </w:r>
      <w:r>
        <w:rPr>
          <w:rFonts w:hint="eastAsia" w:asciiTheme="minorEastAsia" w:hAnsiTheme="minorEastAsia"/>
          <w:sz w:val="24"/>
          <w:szCs w:val="24"/>
        </w:rPr>
        <w:t>万元，项目收益对债券本息的覆盖倍数计算为</w:t>
      </w:r>
      <w:r>
        <w:rPr>
          <w:rFonts w:hint="eastAsia" w:asciiTheme="minorEastAsia" w:hAnsiTheme="minorEastAsia"/>
          <w:sz w:val="24"/>
          <w:szCs w:val="24"/>
          <w:lang w:val="en-US" w:eastAsia="zh-CN"/>
        </w:rPr>
        <w:t>1.69</w:t>
      </w:r>
      <w:r>
        <w:rPr>
          <w:rFonts w:hint="eastAsia" w:asciiTheme="minorEastAsia" w:hAnsiTheme="minorEastAsia"/>
          <w:sz w:val="24"/>
          <w:szCs w:val="24"/>
        </w:rPr>
        <w:t>，偿债保障性较高，债券需求额度合理。</w:t>
      </w:r>
    </w:p>
    <w:p w14:paraId="16C6BEAE">
      <w:pPr>
        <w:spacing w:line="560" w:lineRule="atLeast"/>
        <w:ind w:firstLine="480"/>
        <w:rPr>
          <w:rFonts w:asciiTheme="minorEastAsia" w:hAnsiTheme="minorEastAsia"/>
          <w:sz w:val="24"/>
          <w:szCs w:val="24"/>
        </w:rPr>
      </w:pPr>
      <w:r>
        <w:rPr>
          <w:rFonts w:hint="eastAsia" w:asciiTheme="minorEastAsia" w:hAnsiTheme="minorEastAsia"/>
          <w:sz w:val="24"/>
          <w:szCs w:val="24"/>
        </w:rPr>
        <w:t>6、项目偿债计划可行性和偿债风险</w:t>
      </w:r>
    </w:p>
    <w:p w14:paraId="6033725E">
      <w:pPr>
        <w:spacing w:line="560" w:lineRule="atLeast"/>
        <w:ind w:firstLine="480"/>
        <w:rPr>
          <w:rFonts w:asciiTheme="minorEastAsia" w:hAnsiTheme="minorEastAsia"/>
          <w:sz w:val="24"/>
          <w:szCs w:val="24"/>
        </w:rPr>
      </w:pPr>
      <w:r>
        <w:rPr>
          <w:rFonts w:hint="eastAsia" w:asciiTheme="minorEastAsia" w:hAnsiTheme="minorEastAsia"/>
          <w:sz w:val="24"/>
          <w:szCs w:val="24"/>
        </w:rPr>
        <w:t>本项目202</w:t>
      </w:r>
      <w:r>
        <w:rPr>
          <w:rFonts w:hint="eastAsia" w:asciiTheme="minorEastAsia" w:hAnsiTheme="minorEastAsia"/>
          <w:sz w:val="24"/>
          <w:szCs w:val="24"/>
          <w:lang w:val="en-US" w:eastAsia="zh-CN"/>
        </w:rPr>
        <w:t>4</w:t>
      </w:r>
      <w:r>
        <w:rPr>
          <w:rFonts w:hint="eastAsia" w:asciiTheme="minorEastAsia" w:hAnsiTheme="minorEastAsia"/>
          <w:sz w:val="24"/>
          <w:szCs w:val="24"/>
        </w:rPr>
        <w:t>年本期拟申请发行</w:t>
      </w:r>
      <w:r>
        <w:rPr>
          <w:rFonts w:asciiTheme="minorEastAsia" w:hAnsiTheme="minorEastAsia"/>
          <w:sz w:val="24"/>
          <w:szCs w:val="24"/>
        </w:rPr>
        <w:t>7</w:t>
      </w:r>
      <w:r>
        <w:rPr>
          <w:rFonts w:hint="eastAsia" w:asciiTheme="minorEastAsia" w:hAnsiTheme="minorEastAsia"/>
          <w:sz w:val="24"/>
          <w:szCs w:val="24"/>
        </w:rPr>
        <w:t>年期专项债券</w:t>
      </w:r>
      <w:r>
        <w:rPr>
          <w:rFonts w:hint="eastAsia" w:asciiTheme="minorEastAsia" w:hAnsiTheme="minorEastAsia"/>
          <w:sz w:val="24"/>
          <w:szCs w:val="24"/>
          <w:lang w:val="en-US" w:eastAsia="zh-CN"/>
        </w:rPr>
        <w:t>8500.00</w:t>
      </w:r>
      <w:r>
        <w:rPr>
          <w:rFonts w:hint="eastAsia" w:asciiTheme="minorEastAsia" w:hAnsiTheme="minorEastAsia"/>
          <w:sz w:val="24"/>
          <w:szCs w:val="24"/>
        </w:rPr>
        <w:t>万元；每半年付息一次，到期一次偿还本金。其均以资本金偿还，可保障建设期利息可靠偿还。</w:t>
      </w:r>
    </w:p>
    <w:p w14:paraId="09E0A8BF">
      <w:pPr>
        <w:spacing w:line="560" w:lineRule="atLeast"/>
        <w:ind w:firstLine="480"/>
        <w:rPr>
          <w:rFonts w:asciiTheme="minorEastAsia" w:hAnsiTheme="minorEastAsia"/>
          <w:sz w:val="24"/>
          <w:szCs w:val="24"/>
        </w:rPr>
      </w:pPr>
      <w:r>
        <w:rPr>
          <w:rFonts w:hint="eastAsia" w:asciiTheme="minorEastAsia" w:hAnsiTheme="minorEastAsia"/>
          <w:sz w:val="24"/>
          <w:szCs w:val="24"/>
        </w:rPr>
        <w:t>项目自2023年起可实现收益，可满足后续债券各年利息偿还，结余资金转账管理，用于到期一次还本，偿债计划可行。</w:t>
      </w:r>
    </w:p>
    <w:p w14:paraId="48193783">
      <w:pPr>
        <w:spacing w:line="560" w:lineRule="atLeast"/>
        <w:ind w:firstLine="480"/>
        <w:rPr>
          <w:rFonts w:asciiTheme="minorEastAsia" w:hAnsiTheme="minorEastAsia"/>
          <w:sz w:val="24"/>
          <w:szCs w:val="24"/>
        </w:rPr>
      </w:pPr>
      <w:r>
        <w:rPr>
          <w:rFonts w:hint="eastAsia" w:asciiTheme="minorEastAsia" w:hAnsiTheme="minorEastAsia"/>
          <w:sz w:val="24"/>
          <w:szCs w:val="24"/>
        </w:rPr>
        <w:t>7、绩效目标合理性</w:t>
      </w:r>
    </w:p>
    <w:p w14:paraId="254EAC36">
      <w:pPr>
        <w:spacing w:line="560" w:lineRule="atLeast"/>
        <w:ind w:firstLine="480"/>
        <w:rPr>
          <w:rFonts w:asciiTheme="minorEastAsia" w:hAnsiTheme="minorEastAsia"/>
          <w:sz w:val="24"/>
          <w:szCs w:val="24"/>
        </w:rPr>
      </w:pPr>
      <w:r>
        <w:rPr>
          <w:rFonts w:hint="eastAsia" w:asciiTheme="minorEastAsia" w:hAnsiTheme="minorEastAsia"/>
          <w:sz w:val="24"/>
          <w:szCs w:val="24"/>
        </w:rPr>
        <w:t>本次事前绩效评估根据财预〔2020〕10号事前绩效评估管理办法相关原则，并结合本项目特点，按照“注重规范</w:t>
      </w:r>
      <w:r>
        <w:rPr>
          <w:rFonts w:asciiTheme="minorEastAsia" w:hAnsiTheme="minorEastAsia"/>
          <w:sz w:val="24"/>
          <w:szCs w:val="24"/>
        </w:rPr>
        <w:t>、突出效果</w:t>
      </w:r>
      <w:r>
        <w:rPr>
          <w:rFonts w:hint="eastAsia" w:asciiTheme="minorEastAsia" w:hAnsiTheme="minorEastAsia"/>
          <w:sz w:val="24"/>
          <w:szCs w:val="24"/>
        </w:rPr>
        <w:t>”的原则设计本项目个性评价指标，确保绩效目标可评、可量、可用于指导项目实施阶段绩效评价。</w:t>
      </w:r>
    </w:p>
    <w:p w14:paraId="17887398">
      <w:pPr>
        <w:pStyle w:val="40"/>
        <w:numPr>
          <w:ilvl w:val="0"/>
          <w:numId w:val="0"/>
        </w:numPr>
        <w:autoSpaceDE/>
        <w:autoSpaceDN/>
        <w:spacing w:after="160" w:line="560" w:lineRule="atLeast"/>
        <w:ind w:left="420" w:leftChars="0"/>
        <w:jc w:val="both"/>
        <w:rPr>
          <w:rFonts w:asciiTheme="minorEastAsia" w:hAnsiTheme="minorEastAsia" w:eastAsiaTheme="minorEastAsia" w:cstheme="minorBidi"/>
          <w:kern w:val="2"/>
          <w:sz w:val="24"/>
          <w:szCs w:val="24"/>
          <w:lang w:val="en-US" w:bidi="ar-SA"/>
        </w:rPr>
      </w:pPr>
      <w:r>
        <w:rPr>
          <w:rFonts w:hint="eastAsia" w:asciiTheme="minorEastAsia" w:hAnsiTheme="minorEastAsia" w:eastAsiaTheme="minorEastAsia" w:cstheme="minorBidi"/>
          <w:kern w:val="2"/>
          <w:sz w:val="24"/>
          <w:szCs w:val="24"/>
          <w:lang w:val="en-US" w:eastAsia="zh-CN" w:bidi="ar-SA"/>
        </w:rPr>
        <w:t>8、</w:t>
      </w:r>
      <w:r>
        <w:rPr>
          <w:rFonts w:hint="eastAsia" w:asciiTheme="minorEastAsia" w:hAnsiTheme="minorEastAsia" w:eastAsiaTheme="minorEastAsia" w:cstheme="minorBidi"/>
          <w:kern w:val="2"/>
          <w:sz w:val="24"/>
          <w:szCs w:val="24"/>
          <w:lang w:val="en-US" w:bidi="ar-SA"/>
        </w:rPr>
        <w:t>其他需要纳入其他绩效评估的事项</w:t>
      </w:r>
    </w:p>
    <w:p w14:paraId="316A1F1F">
      <w:pPr>
        <w:widowControl/>
        <w:spacing w:line="560" w:lineRule="exact"/>
        <w:ind w:firstLine="560" w:firstLineChars="200"/>
        <w:jc w:val="left"/>
        <w:outlineLvl w:val="0"/>
        <w:rPr>
          <w:rFonts w:ascii="黑体" w:hAnsi="黑体" w:eastAsia="黑体" w:cs="黑体"/>
          <w:sz w:val="28"/>
          <w:szCs w:val="28"/>
        </w:rPr>
      </w:pPr>
      <w:bookmarkStart w:id="135" w:name="_Toc26171"/>
      <w:r>
        <w:rPr>
          <w:rFonts w:hint="eastAsia" w:ascii="黑体" w:hAnsi="黑体" w:eastAsia="黑体" w:cs="黑体"/>
          <w:sz w:val="28"/>
          <w:szCs w:val="28"/>
        </w:rPr>
        <w:t>五、项目风险分析</w:t>
      </w:r>
      <w:bookmarkEnd w:id="135"/>
    </w:p>
    <w:p w14:paraId="7DA9785C">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1、投资估算风险</w:t>
      </w:r>
    </w:p>
    <w:p w14:paraId="05082705">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2C22EA98">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2、工程风险</w:t>
      </w:r>
    </w:p>
    <w:p w14:paraId="0F338041">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3CCE1BA7">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4、融资风险</w:t>
      </w:r>
    </w:p>
    <w:p w14:paraId="11E06A17">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396EF17E">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5、财务风险</w:t>
      </w:r>
    </w:p>
    <w:p w14:paraId="0D82B8CB">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7EBF82D4">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7、自然风险</w:t>
      </w:r>
    </w:p>
    <w:p w14:paraId="123C0B4A">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本项目在经营期间遇到人力不可抗拒的自然灾害是完全可能的，为了降低此间风险，要根据项目的特点制定的相应的措施，以便使不可抗拒自然灾害的风险降到最低。</w:t>
      </w:r>
    </w:p>
    <w:p w14:paraId="4D18028C">
      <w:pPr>
        <w:widowControl/>
        <w:spacing w:line="560" w:lineRule="exact"/>
        <w:ind w:firstLine="560" w:firstLineChars="200"/>
        <w:jc w:val="left"/>
        <w:outlineLvl w:val="0"/>
        <w:rPr>
          <w:rFonts w:ascii="黑体" w:hAnsi="黑体" w:eastAsia="黑体" w:cs="黑体"/>
          <w:sz w:val="28"/>
          <w:szCs w:val="28"/>
        </w:rPr>
      </w:pPr>
      <w:bookmarkStart w:id="136" w:name="_Toc32456"/>
      <w:r>
        <w:rPr>
          <w:rFonts w:hint="eastAsia" w:ascii="黑体" w:hAnsi="黑体" w:eastAsia="黑体" w:cs="黑体"/>
          <w:sz w:val="28"/>
          <w:szCs w:val="28"/>
          <w:lang w:val="en-US" w:eastAsia="zh-CN"/>
        </w:rPr>
        <w:t>六</w:t>
      </w:r>
      <w:r>
        <w:rPr>
          <w:rFonts w:hint="eastAsia" w:ascii="黑体" w:hAnsi="黑体" w:eastAsia="黑体" w:cs="黑体"/>
          <w:sz w:val="28"/>
          <w:szCs w:val="28"/>
        </w:rPr>
        <w:t>、专项债发行方案</w:t>
      </w:r>
      <w:bookmarkEnd w:id="136"/>
    </w:p>
    <w:p w14:paraId="1FCC531C">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1、发行主体资格:根据《关于试点发展项目收益与融资自求平衡的地方政府专项债券品种的通知》（财预[2017]89号）之规定，地方政府专项债券需由江西省人民政府作为发行主体。本项目的实施机构为南昌</w:t>
      </w:r>
      <w:r>
        <w:rPr>
          <w:rFonts w:hint="eastAsia" w:asciiTheme="minorEastAsia" w:hAnsiTheme="minorEastAsia"/>
          <w:sz w:val="24"/>
          <w:szCs w:val="24"/>
          <w:lang w:val="en-US" w:eastAsia="zh-CN"/>
        </w:rPr>
        <w:t>住房和城乡建设局</w:t>
      </w:r>
      <w:r>
        <w:rPr>
          <w:rFonts w:hint="eastAsia" w:asciiTheme="minorEastAsia" w:hAnsiTheme="minorEastAsia"/>
          <w:sz w:val="24"/>
          <w:szCs w:val="24"/>
        </w:rPr>
        <w:t>，是依法批准设立的机关单位，具备机关单位法人资格，具有相应的民事权利能力和民事行为能力；项目业主为南昌县城市建设投资发展有限公司,是依法批准设立的企业法人，具备作为项目业主的资格。</w:t>
      </w:r>
    </w:p>
    <w:p w14:paraId="6800B5E1">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2、发行计划: </w:t>
      </w:r>
      <w:r>
        <w:rPr>
          <w:rFonts w:hint="eastAsia" w:asciiTheme="minorEastAsia" w:hAnsiTheme="minorEastAsia"/>
          <w:sz w:val="24"/>
          <w:szCs w:val="24"/>
          <w:lang w:eastAsia="zh-CN"/>
        </w:rPr>
        <w:t>南昌县张坊三期（棚户区）安置房建设工程</w:t>
      </w:r>
      <w:r>
        <w:rPr>
          <w:rFonts w:hint="eastAsia" w:asciiTheme="minorEastAsia" w:hAnsiTheme="minorEastAsia"/>
          <w:sz w:val="24"/>
          <w:szCs w:val="24"/>
        </w:rPr>
        <w:t>本期年申请发行地方政府专项债券</w:t>
      </w:r>
      <w:r>
        <w:rPr>
          <w:rFonts w:hint="eastAsia" w:asciiTheme="minorEastAsia" w:hAnsiTheme="minorEastAsia"/>
          <w:sz w:val="24"/>
          <w:szCs w:val="24"/>
          <w:lang w:val="en-US" w:eastAsia="zh-CN"/>
        </w:rPr>
        <w:t>8500</w:t>
      </w:r>
      <w:r>
        <w:rPr>
          <w:rFonts w:hint="eastAsia" w:asciiTheme="minorEastAsia" w:hAnsiTheme="minorEastAsia"/>
          <w:sz w:val="24"/>
          <w:szCs w:val="24"/>
          <w:lang w:eastAsia="zh-CN"/>
        </w:rPr>
        <w:t>万元</w:t>
      </w:r>
      <w:r>
        <w:rPr>
          <w:rFonts w:hint="eastAsia" w:asciiTheme="minorEastAsia" w:hAnsiTheme="minorEastAsia"/>
          <w:sz w:val="24"/>
          <w:szCs w:val="24"/>
        </w:rPr>
        <w:t>，期限7年，专项债券融资成本按3.9%估算。</w:t>
      </w:r>
    </w:p>
    <w:p w14:paraId="33189327">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3、发行场所:通过全国银行间债券市场、证券交易所债券市场发行。将来条件具备时也可在银行柜台债券市场发行。</w:t>
      </w:r>
    </w:p>
    <w:p w14:paraId="08A7135F">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4、时间安排:计划发行时间为202</w:t>
      </w:r>
      <w:r>
        <w:rPr>
          <w:rFonts w:hint="eastAsia" w:asciiTheme="minorEastAsia" w:hAnsiTheme="minorEastAsia"/>
          <w:sz w:val="24"/>
          <w:szCs w:val="24"/>
          <w:lang w:val="en-US" w:eastAsia="zh-CN"/>
        </w:rPr>
        <w:t>4</w:t>
      </w:r>
      <w:r>
        <w:rPr>
          <w:rFonts w:hint="eastAsia" w:asciiTheme="minorEastAsia" w:hAnsiTheme="minorEastAsia"/>
          <w:sz w:val="24"/>
          <w:szCs w:val="24"/>
        </w:rPr>
        <w:t>年</w:t>
      </w:r>
      <w:r>
        <w:rPr>
          <w:rFonts w:hint="eastAsia" w:asciiTheme="minorEastAsia" w:hAnsiTheme="minorEastAsia"/>
          <w:sz w:val="24"/>
          <w:szCs w:val="24"/>
          <w:lang w:val="en-US" w:eastAsia="zh-CN"/>
        </w:rPr>
        <w:t>9月</w:t>
      </w:r>
      <w:r>
        <w:rPr>
          <w:rFonts w:hint="eastAsia" w:asciiTheme="minorEastAsia" w:hAnsiTheme="minorEastAsia"/>
          <w:sz w:val="24"/>
          <w:szCs w:val="24"/>
        </w:rPr>
        <w:t>，以后年度结合当年发债计划安排。</w:t>
      </w:r>
    </w:p>
    <w:p w14:paraId="3750229C">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5、信息披露：在专项债发行日前5个工作日通过</w:t>
      </w:r>
      <w:r>
        <w:rPr>
          <w:rFonts w:hint="eastAsia" w:asciiTheme="minorEastAsia" w:hAnsiTheme="minorEastAsia"/>
          <w:sz w:val="24"/>
          <w:szCs w:val="24"/>
        </w:rPr>
        <w:fldChar w:fldCharType="begin"/>
      </w:r>
      <w:r>
        <w:rPr>
          <w:rFonts w:hint="eastAsia" w:asciiTheme="minorEastAsia" w:hAnsiTheme="minorEastAsia"/>
          <w:sz w:val="24"/>
          <w:szCs w:val="24"/>
        </w:rPr>
        <w:instrText xml:space="preserve"> HYPERLINK "https://www.sogou.com/link?url=DSOYnZeCC_pzE53eXNhcqFoov_MuMQYQreaVHN88tHY." \t "https://www.sogou.com/_blank" </w:instrText>
      </w:r>
      <w:r>
        <w:rPr>
          <w:rFonts w:hint="eastAsia" w:asciiTheme="minorEastAsia" w:hAnsiTheme="minorEastAsia"/>
          <w:sz w:val="24"/>
          <w:szCs w:val="24"/>
        </w:rPr>
        <w:fldChar w:fldCharType="separate"/>
      </w:r>
      <w:r>
        <w:rPr>
          <w:rFonts w:hint="eastAsia" w:asciiTheme="minorEastAsia" w:hAnsiTheme="minorEastAsia"/>
          <w:sz w:val="24"/>
          <w:szCs w:val="24"/>
        </w:rPr>
        <w:t>中国地方政府债券信息公开平台</w:t>
      </w:r>
      <w:r>
        <w:rPr>
          <w:rFonts w:hint="eastAsia" w:asciiTheme="minorEastAsia" w:hAnsiTheme="minorEastAsia"/>
          <w:sz w:val="24"/>
          <w:szCs w:val="24"/>
        </w:rPr>
        <w:fldChar w:fldCharType="end"/>
      </w:r>
      <w:r>
        <w:rPr>
          <w:rFonts w:hint="eastAsia" w:asciiTheme="minorEastAsia" w:hAnsiTheme="minorEastAsia"/>
          <w:sz w:val="24"/>
          <w:szCs w:val="24"/>
        </w:rPr>
        <w:t>、江西省财政厅官方网站和中国债券信息网-中央结算公司官方网站披露（http：//www.chinabond.com.cn/）详细披露债券发行全套信息披露文件。</w:t>
      </w:r>
    </w:p>
    <w:p w14:paraId="6BE18A79">
      <w:pPr>
        <w:tabs>
          <w:tab w:val="left" w:pos="-284"/>
        </w:tabs>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总体而言，</w:t>
      </w:r>
      <w:r>
        <w:rPr>
          <w:rFonts w:hint="eastAsia" w:asciiTheme="minorEastAsia" w:hAnsiTheme="minorEastAsia"/>
          <w:sz w:val="24"/>
          <w:szCs w:val="24"/>
          <w:lang w:eastAsia="zh-CN"/>
        </w:rPr>
        <w:t>南昌县张坊三期（棚户区）安置房建设工程</w:t>
      </w:r>
      <w:r>
        <w:rPr>
          <w:rFonts w:hint="eastAsia" w:asciiTheme="minorEastAsia" w:hAnsiTheme="minorEastAsia"/>
          <w:sz w:val="24"/>
          <w:szCs w:val="24"/>
        </w:rPr>
        <w:t>通过发行专项债可以降低项目融资成本，是现阶段解决建设资金问题的推荐方案。且基于财政部对地方政府发行项目收益与融资自求平衡专项债券的要求，并根据项目重大建设意义，</w:t>
      </w:r>
      <w:r>
        <w:rPr>
          <w:rFonts w:hint="eastAsia" w:asciiTheme="minorEastAsia" w:hAnsiTheme="minorEastAsia"/>
          <w:sz w:val="24"/>
          <w:szCs w:val="24"/>
          <w:lang w:eastAsia="zh-CN"/>
        </w:rPr>
        <w:t>南昌县张坊三期（棚户区）安置房建设工程</w:t>
      </w:r>
      <w:r>
        <w:rPr>
          <w:rFonts w:hint="eastAsia" w:asciiTheme="minorEastAsia" w:hAnsiTheme="minorEastAsia"/>
          <w:sz w:val="24"/>
          <w:szCs w:val="24"/>
        </w:rPr>
        <w:t>可以通过申请专项债券的方式进行融资以完成资金筹措。</w:t>
      </w:r>
    </w:p>
    <w:p w14:paraId="25869E97">
      <w:pPr>
        <w:rPr>
          <w:rFonts w:hint="eastAsia" w:asciiTheme="minorEastAsia" w:hAnsiTheme="minorEastAsia"/>
          <w:sz w:val="24"/>
          <w:szCs w:val="24"/>
        </w:rPr>
      </w:pPr>
      <w:r>
        <w:rPr>
          <w:rFonts w:hint="eastAsia" w:asciiTheme="minorEastAsia" w:hAnsiTheme="minorEastAsia"/>
          <w:sz w:val="24"/>
          <w:szCs w:val="24"/>
        </w:rPr>
        <w:br w:type="page"/>
      </w:r>
    </w:p>
    <w:p w14:paraId="693D9B8E">
      <w:pPr>
        <w:spacing w:line="360" w:lineRule="auto"/>
        <w:jc w:val="center"/>
        <w:outlineLvl w:val="0"/>
        <w:rPr>
          <w:rFonts w:ascii="仿宋" w:hAnsi="仿宋" w:eastAsia="楷体"/>
          <w:b/>
          <w:sz w:val="44"/>
          <w:szCs w:val="44"/>
        </w:rPr>
      </w:pPr>
    </w:p>
    <w:p w14:paraId="62664838">
      <w:pPr>
        <w:spacing w:line="360" w:lineRule="auto"/>
        <w:jc w:val="center"/>
        <w:outlineLvl w:val="0"/>
        <w:rPr>
          <w:rFonts w:ascii="仿宋" w:hAnsi="仿宋" w:eastAsia="楷体"/>
          <w:b/>
          <w:sz w:val="44"/>
          <w:szCs w:val="44"/>
        </w:rPr>
      </w:pPr>
    </w:p>
    <w:p w14:paraId="365D5082">
      <w:pPr>
        <w:widowControl/>
        <w:spacing w:line="480" w:lineRule="auto"/>
        <w:jc w:val="center"/>
        <w:rPr>
          <w:rFonts w:ascii="仿宋" w:hAnsi="仿宋" w:eastAsia="楷体"/>
          <w:b/>
          <w:spacing w:val="-20"/>
          <w:sz w:val="44"/>
          <w:szCs w:val="44"/>
        </w:rPr>
      </w:pPr>
      <w:r>
        <w:rPr>
          <w:rFonts w:hint="eastAsia" w:ascii="仿宋" w:hAnsi="仿宋" w:eastAsia="楷体"/>
          <w:b/>
          <w:spacing w:val="-20"/>
          <w:sz w:val="44"/>
          <w:szCs w:val="44"/>
        </w:rPr>
        <w:t>南昌县霞山村安置房住宅小区一期工程（棚户区改造）项目专项债券实施方案</w:t>
      </w:r>
    </w:p>
    <w:p w14:paraId="05C2590D">
      <w:pPr>
        <w:ind w:left="-141" w:leftChars="-67" w:right="-99" w:rightChars="-47" w:firstLine="439" w:firstLineChars="157"/>
        <w:rPr>
          <w:rFonts w:ascii="宋体" w:hAnsi="宋体" w:eastAsia="宋体"/>
          <w:sz w:val="28"/>
          <w:szCs w:val="28"/>
        </w:rPr>
      </w:pPr>
    </w:p>
    <w:p w14:paraId="5CF9E3BF">
      <w:pPr>
        <w:ind w:left="-141" w:leftChars="-67" w:right="-99" w:rightChars="-47" w:firstLine="439" w:firstLineChars="157"/>
        <w:rPr>
          <w:rFonts w:ascii="宋体" w:hAnsi="宋体" w:eastAsia="宋体"/>
          <w:sz w:val="28"/>
          <w:szCs w:val="28"/>
        </w:rPr>
      </w:pPr>
    </w:p>
    <w:p w14:paraId="7B8EDF35">
      <w:pPr>
        <w:ind w:left="-141" w:leftChars="-67" w:right="-99" w:rightChars="-47" w:firstLine="439" w:firstLineChars="157"/>
        <w:rPr>
          <w:rFonts w:ascii="宋体" w:hAnsi="宋体" w:eastAsia="宋体"/>
          <w:sz w:val="28"/>
          <w:szCs w:val="28"/>
        </w:rPr>
      </w:pPr>
    </w:p>
    <w:p w14:paraId="097BEA82">
      <w:pPr>
        <w:ind w:left="-141" w:leftChars="-67" w:right="-99" w:rightChars="-47" w:firstLine="439" w:firstLineChars="157"/>
        <w:rPr>
          <w:rFonts w:ascii="宋体" w:hAnsi="宋体" w:eastAsia="宋体"/>
          <w:sz w:val="28"/>
          <w:szCs w:val="28"/>
          <w:u w:val="single"/>
        </w:rPr>
      </w:pPr>
    </w:p>
    <w:p w14:paraId="68633E3E">
      <w:pPr>
        <w:ind w:left="-141" w:leftChars="-67" w:right="-99" w:rightChars="-47" w:firstLine="439" w:firstLineChars="157"/>
        <w:rPr>
          <w:rFonts w:ascii="宋体" w:hAnsi="宋体" w:eastAsia="宋体"/>
          <w:sz w:val="28"/>
          <w:szCs w:val="28"/>
          <w:u w:val="single"/>
        </w:rPr>
      </w:pPr>
    </w:p>
    <w:p w14:paraId="7205B684">
      <w:pPr>
        <w:ind w:left="-141" w:leftChars="-67" w:right="-99" w:rightChars="-47" w:firstLine="502" w:firstLineChars="157"/>
        <w:rPr>
          <w:sz w:val="32"/>
          <w:szCs w:val="32"/>
          <w:u w:val="single"/>
        </w:rPr>
      </w:pPr>
    </w:p>
    <w:p w14:paraId="40B00F2A">
      <w:pPr>
        <w:ind w:left="-141" w:leftChars="-67" w:right="-99" w:rightChars="-47" w:firstLine="502" w:firstLineChars="157"/>
        <w:rPr>
          <w:sz w:val="32"/>
          <w:szCs w:val="32"/>
          <w:u w:val="single"/>
        </w:rPr>
      </w:pPr>
    </w:p>
    <w:p w14:paraId="719CFDB8">
      <w:pPr>
        <w:spacing w:line="360" w:lineRule="auto"/>
        <w:jc w:val="center"/>
        <w:rPr>
          <w:rFonts w:ascii="仿宋" w:hAnsi="仿宋" w:eastAsia="楷体"/>
          <w:b/>
          <w:sz w:val="44"/>
          <w:szCs w:val="44"/>
        </w:rPr>
      </w:pPr>
    </w:p>
    <w:p w14:paraId="1875DE79">
      <w:pPr>
        <w:spacing w:line="360" w:lineRule="auto"/>
        <w:jc w:val="center"/>
        <w:rPr>
          <w:rFonts w:ascii="仿宋" w:hAnsi="仿宋" w:eastAsia="楷体"/>
          <w:b/>
          <w:sz w:val="44"/>
          <w:szCs w:val="44"/>
        </w:rPr>
      </w:pPr>
    </w:p>
    <w:p w14:paraId="5D310ED4">
      <w:pPr>
        <w:spacing w:line="360" w:lineRule="auto"/>
        <w:rPr>
          <w:rFonts w:ascii="仿宋" w:hAnsi="仿宋" w:eastAsia="楷体"/>
          <w:b/>
          <w:sz w:val="44"/>
          <w:szCs w:val="44"/>
        </w:rPr>
      </w:pPr>
    </w:p>
    <w:p w14:paraId="094C3941">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1F1894CC">
      <w:pPr>
        <w:spacing w:line="360" w:lineRule="auto"/>
        <w:jc w:val="center"/>
        <w:rPr>
          <w:rFonts w:ascii="仿宋" w:hAnsi="仿宋" w:eastAsia="楷体"/>
          <w:b/>
          <w:sz w:val="44"/>
          <w:szCs w:val="44"/>
        </w:rPr>
      </w:pPr>
      <w:r>
        <w:rPr>
          <w:rFonts w:hint="eastAsia" w:ascii="仿宋" w:hAnsi="仿宋" w:eastAsia="楷体"/>
          <w:b/>
          <w:sz w:val="44"/>
          <w:szCs w:val="44"/>
        </w:rPr>
        <w:t>二〇二四年九月</w:t>
      </w:r>
    </w:p>
    <w:p w14:paraId="1ABC6D35">
      <w:pPr>
        <w:ind w:right="-99" w:rightChars="-47"/>
        <w:rPr>
          <w:rFonts w:ascii="楷体" w:hAnsi="楷体" w:eastAsia="楷体"/>
          <w:b/>
          <w:sz w:val="44"/>
          <w:szCs w:val="44"/>
        </w:rPr>
      </w:pPr>
    </w:p>
    <w:p w14:paraId="322DC69C">
      <w:pPr>
        <w:ind w:right="-99" w:rightChars="-47"/>
        <w:rPr>
          <w:rFonts w:ascii="楷体" w:hAnsi="楷体" w:eastAsia="楷体"/>
          <w:b/>
          <w:sz w:val="44"/>
          <w:szCs w:val="44"/>
        </w:rPr>
      </w:pPr>
    </w:p>
    <w:p w14:paraId="3E751DEC">
      <w:pPr>
        <w:rPr>
          <w:rFonts w:ascii="楷体" w:hAnsi="楷体" w:eastAsia="楷体"/>
          <w:b/>
          <w:sz w:val="44"/>
          <w:szCs w:val="44"/>
        </w:rPr>
      </w:pPr>
      <w:r>
        <w:rPr>
          <w:rFonts w:ascii="楷体" w:hAnsi="楷体" w:eastAsia="楷体"/>
          <w:b/>
          <w:sz w:val="44"/>
          <w:szCs w:val="44"/>
        </w:rPr>
        <w:br w:type="page"/>
      </w:r>
    </w:p>
    <w:p w14:paraId="788BB680">
      <w:pPr>
        <w:ind w:right="-99" w:rightChars="-47"/>
        <w:jc w:val="center"/>
        <w:rPr>
          <w:rFonts w:ascii="楷体" w:hAnsi="楷体" w:eastAsia="楷体"/>
          <w:b/>
          <w:sz w:val="44"/>
          <w:szCs w:val="44"/>
        </w:rPr>
      </w:pPr>
    </w:p>
    <w:p w14:paraId="25CE8CED">
      <w:pPr>
        <w:ind w:right="-99" w:rightChars="-47"/>
        <w:jc w:val="center"/>
        <w:rPr>
          <w:rFonts w:ascii="楷体" w:hAnsi="楷体" w:eastAsia="楷体"/>
          <w:b/>
          <w:sz w:val="44"/>
          <w:szCs w:val="44"/>
        </w:rPr>
      </w:pPr>
      <w:r>
        <w:rPr>
          <w:rFonts w:hint="eastAsia" w:ascii="楷体" w:hAnsi="楷体" w:eastAsia="楷体"/>
          <w:b/>
          <w:sz w:val="44"/>
          <w:szCs w:val="44"/>
        </w:rPr>
        <w:t>前言</w:t>
      </w:r>
    </w:p>
    <w:p w14:paraId="02BD2B04">
      <w:pPr>
        <w:pStyle w:val="20"/>
        <w:spacing w:before="0" w:beforeAutospacing="0" w:after="300" w:afterAutospacing="0" w:line="240" w:lineRule="auto"/>
        <w:ind w:firstLine="560" w:firstLineChars="200"/>
        <w:rPr>
          <w:rFonts w:ascii="楷体" w:hAnsi="楷体" w:eastAsia="楷体" w:cs="楷体"/>
          <w:bCs/>
          <w:kern w:val="2"/>
          <w:sz w:val="28"/>
          <w:szCs w:val="28"/>
        </w:rPr>
      </w:pPr>
      <w:r>
        <w:rPr>
          <w:rFonts w:hint="eastAsia" w:ascii="楷体" w:hAnsi="楷体" w:eastAsia="楷体" w:cs="楷体"/>
          <w:bCs/>
          <w:kern w:val="2"/>
          <w:sz w:val="28"/>
          <w:szCs w:val="28"/>
        </w:rPr>
        <w:t>2024年是全面贯彻落实党的二十大精神的第二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1A8824BD">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。南昌县霞山村安置房住宅小区一期工程（棚户区改造）项目拟于本期发行地方政府专项债</w:t>
      </w:r>
      <w:r>
        <w:rPr>
          <w:rFonts w:ascii="楷体" w:hAnsi="楷体" w:eastAsia="楷体" w:cs="楷体"/>
          <w:bCs/>
          <w:sz w:val="28"/>
          <w:szCs w:val="28"/>
        </w:rPr>
        <w:t>融资</w:t>
      </w:r>
      <w:r>
        <w:rPr>
          <w:rFonts w:hint="eastAsia" w:ascii="楷体" w:hAnsi="楷体" w:eastAsia="楷体" w:cs="楷体"/>
          <w:bCs/>
          <w:sz w:val="28"/>
          <w:szCs w:val="28"/>
        </w:rPr>
        <w:t>2700万</w:t>
      </w:r>
      <w:r>
        <w:rPr>
          <w:rFonts w:ascii="楷体" w:hAnsi="楷体" w:eastAsia="楷体" w:cs="楷体"/>
          <w:bCs/>
          <w:sz w:val="28"/>
          <w:szCs w:val="28"/>
        </w:rPr>
        <w:t>元</w:t>
      </w:r>
      <w:r>
        <w:rPr>
          <w:rFonts w:hint="eastAsia" w:ascii="楷体" w:hAnsi="楷体" w:eastAsia="楷体" w:cs="楷体"/>
          <w:bCs/>
          <w:sz w:val="28"/>
          <w:szCs w:val="28"/>
        </w:rPr>
        <w:t>。</w:t>
      </w:r>
    </w:p>
    <w:p w14:paraId="71C2E947">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6517C8F3">
      <w:pPr>
        <w:widowControl/>
        <w:spacing w:line="360" w:lineRule="auto"/>
        <w:ind w:left="-141" w:leftChars="-67" w:right="-99" w:rightChars="-47" w:firstLine="439" w:firstLineChars="157"/>
        <w:jc w:val="left"/>
        <w:rPr>
          <w:rFonts w:ascii="宋体" w:hAnsi="宋体" w:eastAsia="宋体"/>
          <w:sz w:val="28"/>
          <w:szCs w:val="28"/>
        </w:rPr>
        <w:sectPr>
          <w:pgSz w:w="11906" w:h="16838"/>
          <w:pgMar w:top="1440" w:right="1133" w:bottom="1440" w:left="1800" w:header="851" w:footer="992" w:gutter="0"/>
          <w:cols w:space="425" w:num="1"/>
          <w:docGrid w:type="lines" w:linePitch="312" w:charSpace="0"/>
        </w:sectPr>
      </w:pPr>
    </w:p>
    <w:p w14:paraId="4E887B14">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一、项目概况</w:t>
      </w:r>
    </w:p>
    <w:p w14:paraId="28AC8089">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（一）项目所在地基本情况</w:t>
      </w:r>
    </w:p>
    <w:p w14:paraId="6FA26300">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1、所在地情况</w:t>
      </w:r>
    </w:p>
    <w:p w14:paraId="64D7237A">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013E83EA">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南昌县面积1810.7平方公里；辖7个乡9个镇、1个国家级开发区和银三角管委会；2017年，户籍总人口1039778人，全县地区生产总值（GDP）782亿，按可比价格计算，比2016年增长9.2%。</w:t>
      </w:r>
    </w:p>
    <w:p w14:paraId="6B2B2E50">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67F2599F">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07A6F237">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2、财政收支情况</w:t>
      </w:r>
    </w:p>
    <w:p w14:paraId="190568BD">
      <w:pPr>
        <w:widowControl/>
        <w:spacing w:before="100" w:beforeAutospacing="1" w:after="100" w:afterAutospacing="1"/>
        <w:ind w:firstLine="480"/>
        <w:jc w:val="center"/>
        <w:rPr>
          <w:rFonts w:ascii="宋体" w:hAnsi="宋体" w:eastAsia="宋体" w:cs="宋体"/>
          <w:kern w:val="0"/>
          <w:sz w:val="24"/>
          <w:szCs w:val="24"/>
        </w:rPr>
      </w:pPr>
      <w:r>
        <w:rPr>
          <w:rFonts w:ascii="宋体" w:hAnsi="宋体" w:eastAsia="宋体" w:cs="宋体"/>
          <w:kern w:val="0"/>
          <w:sz w:val="24"/>
          <w:szCs w:val="24"/>
        </w:rPr>
        <w:t>南昌县财政支出情况</w:t>
      </w:r>
    </w:p>
    <w:p w14:paraId="18442629">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50"/>
        <w:gridCol w:w="1343"/>
        <w:gridCol w:w="1362"/>
        <w:gridCol w:w="1338"/>
      </w:tblGrid>
      <w:tr w14:paraId="05F9C2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ign w:val="center"/>
          </w:tcPr>
          <w:p w14:paraId="640F822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tcPr>
          <w:p w14:paraId="0B3EFE5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tcPr>
          <w:p w14:paraId="5E04E35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tcPr>
          <w:p w14:paraId="16FFDD0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2023年</w:t>
            </w:r>
          </w:p>
        </w:tc>
      </w:tr>
      <w:tr w14:paraId="1B40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19B1042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tcPr>
          <w:p w14:paraId="250961C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tcPr>
          <w:p w14:paraId="38B8784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tcPr>
          <w:p w14:paraId="45982EC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1340</w:t>
            </w:r>
          </w:p>
        </w:tc>
      </w:tr>
      <w:tr w14:paraId="6BBBA1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2ECDAC3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tcPr>
          <w:p w14:paraId="3A4E2DD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tcPr>
          <w:p w14:paraId="4A0E1F5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tcPr>
          <w:p w14:paraId="0D6A79F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84.9</w:t>
            </w:r>
          </w:p>
        </w:tc>
      </w:tr>
      <w:tr w14:paraId="6A580C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6BFEB11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tcPr>
          <w:p w14:paraId="3F47B9F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tcPr>
          <w:p w14:paraId="51EF50D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tcPr>
          <w:p w14:paraId="42E1622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37.1</w:t>
            </w:r>
          </w:p>
        </w:tc>
      </w:tr>
      <w:tr w14:paraId="24397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12B8B71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tcPr>
          <w:p w14:paraId="76AE5E7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tcPr>
          <w:p w14:paraId="25E7B75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tcPr>
          <w:p w14:paraId="18C7DC4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33.8</w:t>
            </w:r>
          </w:p>
        </w:tc>
      </w:tr>
      <w:tr w14:paraId="4ECEBC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ign w:val="center"/>
          </w:tcPr>
          <w:p w14:paraId="54C1B74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tcPr>
          <w:p w14:paraId="6E1FF9E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tcPr>
          <w:p w14:paraId="4F2C8E5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tcPr>
          <w:p w14:paraId="7087EDB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30.3</w:t>
            </w:r>
          </w:p>
        </w:tc>
      </w:tr>
      <w:tr w14:paraId="73DEC6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ign w:val="center"/>
          </w:tcPr>
          <w:p w14:paraId="3F0E2ED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tcPr>
          <w:p w14:paraId="1664609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tcPr>
          <w:p w14:paraId="1A63AA15">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tcPr>
          <w:p w14:paraId="39EBA4D7">
            <w:pPr>
              <w:widowControl/>
              <w:jc w:val="center"/>
              <w:rPr>
                <w:rFonts w:ascii="宋体" w:hAnsi="宋体" w:eastAsia="宋体" w:cs="宋体"/>
                <w:kern w:val="0"/>
                <w:sz w:val="24"/>
                <w:szCs w:val="24"/>
              </w:rPr>
            </w:pPr>
            <w:r>
              <w:rPr>
                <w:rFonts w:hint="eastAsia" w:ascii="宋体" w:hAnsi="宋体" w:eastAsia="宋体" w:cs="宋体"/>
                <w:kern w:val="0"/>
                <w:sz w:val="24"/>
                <w:szCs w:val="24"/>
              </w:rPr>
              <w:t>14.1</w:t>
            </w:r>
          </w:p>
        </w:tc>
      </w:tr>
    </w:tbl>
    <w:p w14:paraId="10B86ACA">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（二）项目实施背景</w:t>
      </w:r>
    </w:p>
    <w:p w14:paraId="770C248F">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2973CF77">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341C07F5">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（三）项目基本情况</w:t>
      </w:r>
    </w:p>
    <w:p w14:paraId="6E839757">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项目名称：南昌县霞山村安置房住宅小区一期工程（棚户区改造）项目</w:t>
      </w:r>
    </w:p>
    <w:p w14:paraId="62C2464F">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建设单位：南昌县城市建设投资发展有限公司</w:t>
      </w:r>
    </w:p>
    <w:p w14:paraId="0BAA0A7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建设内容：本项目为霞山安置房一期建设占地约38亩，总建筑面积约88435.07 m，计容面积约78392.58m’(建设有住宅77354.3m、物业办公986.43m、消防控制室51.85 m等)，不计容面积约 10042.49 m(架空层不计容建筑面积约274.16 m，地下不计容建筑面积约 9763.33 m')，并配套建设道路、场地硬化及给排水、消防、电气、暖通、燃气等工程。总共规划总户数 826 户。项目1#-5#楼为装配式结构，整体装配率不低于40%，单栋建筑装配率不低于30%。</w:t>
      </w:r>
    </w:p>
    <w:p w14:paraId="07D76022">
      <w:pPr>
        <w:spacing w:line="360" w:lineRule="auto"/>
        <w:ind w:left="-140" w:leftChars="-67" w:right="-98" w:rightChars="-47" w:firstLine="439" w:firstLineChars="157"/>
        <w:rPr>
          <w:rFonts w:ascii="楷体" w:hAnsi="楷体" w:eastAsia="楷体" w:cs="楷体"/>
          <w:b/>
          <w:bCs/>
          <w:sz w:val="28"/>
          <w:szCs w:val="28"/>
        </w:rPr>
      </w:pPr>
      <w:r>
        <w:rPr>
          <w:rFonts w:hint="eastAsia" w:ascii="楷体" w:hAnsi="楷体" w:eastAsia="楷体" w:cs="楷体"/>
          <w:b/>
          <w:bCs/>
          <w:sz w:val="28"/>
          <w:szCs w:val="28"/>
        </w:rPr>
        <w:t>（四）项目总投资额</w:t>
      </w:r>
    </w:p>
    <w:p w14:paraId="174AF7A5">
      <w:pPr>
        <w:pStyle w:val="20"/>
        <w:spacing w:before="0" w:beforeAutospacing="0" w:afterLines="50" w:afterAutospacing="0" w:line="360" w:lineRule="auto"/>
        <w:ind w:firstLine="480" w:firstLineChars="200"/>
        <w:jc w:val="both"/>
        <w:rPr>
          <w:sz w:val="24"/>
          <w:szCs w:val="24"/>
        </w:rPr>
      </w:pPr>
      <w:r>
        <w:rPr>
          <w:rFonts w:hint="eastAsia"/>
          <w:color w:val="000000" w:themeColor="text1"/>
          <w:sz w:val="24"/>
          <w:szCs w:val="24"/>
          <w14:textFill>
            <w14:solidFill>
              <w14:schemeClr w14:val="tx1"/>
            </w14:solidFill>
          </w14:textFill>
        </w:rPr>
        <w:t>南昌县霞山村安置房住宅小区一期工程（棚户区改造）项目为基建项目，根据南昌县行政审批局《关于对南昌县霞山村安置房住宅小区一期工程（棚户区改造）可行性研究的批复》（南行审投资投字〔202</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28</w:t>
      </w:r>
      <w:r>
        <w:rPr>
          <w:rFonts w:hint="eastAsia"/>
          <w:color w:val="000000" w:themeColor="text1"/>
          <w:sz w:val="24"/>
          <w:szCs w:val="24"/>
          <w14:textFill>
            <w14:solidFill>
              <w14:schemeClr w14:val="tx1"/>
            </w14:solidFill>
          </w14:textFill>
        </w:rPr>
        <w:t>号）核定总投资为</w:t>
      </w:r>
      <w:r>
        <w:rPr>
          <w:color w:val="000000" w:themeColor="text1"/>
          <w:sz w:val="24"/>
          <w:szCs w:val="24"/>
          <w14:textFill>
            <w14:solidFill>
              <w14:schemeClr w14:val="tx1"/>
            </w14:solidFill>
          </w14:textFill>
        </w:rPr>
        <w:t>32,399.99</w:t>
      </w:r>
      <w:r>
        <w:rPr>
          <w:rFonts w:hint="eastAsia"/>
          <w:color w:val="000000" w:themeColor="text1"/>
          <w:sz w:val="24"/>
          <w:szCs w:val="24"/>
          <w14:textFill>
            <w14:solidFill>
              <w14:schemeClr w14:val="tx1"/>
            </w14:solidFill>
          </w14:textFill>
        </w:rPr>
        <w:t>万元。</w:t>
      </w:r>
      <w:r>
        <w:rPr>
          <w:rFonts w:hint="eastAsia"/>
          <w:sz w:val="24"/>
          <w:szCs w:val="24"/>
        </w:rPr>
        <w:t>根据可研报告，该项目静态总投资</w:t>
      </w:r>
      <w:r>
        <w:rPr>
          <w:color w:val="000000" w:themeColor="text1"/>
          <w:sz w:val="24"/>
          <w:szCs w:val="24"/>
          <w14:textFill>
            <w14:solidFill>
              <w14:schemeClr w14:val="tx1"/>
            </w14:solidFill>
          </w14:textFill>
        </w:rPr>
        <w:t>32,399.99</w:t>
      </w:r>
      <w:r>
        <w:rPr>
          <w:rFonts w:hint="eastAsia"/>
          <w:sz w:val="24"/>
          <w:szCs w:val="24"/>
        </w:rPr>
        <w:t>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693A7535">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4"/>
        <w:tblW w:w="5000" w:type="pct"/>
        <w:tblInd w:w="0" w:type="dxa"/>
        <w:tblLayout w:type="autofit"/>
        <w:tblCellMar>
          <w:top w:w="0" w:type="dxa"/>
          <w:left w:w="108" w:type="dxa"/>
          <w:bottom w:w="0" w:type="dxa"/>
          <w:right w:w="108" w:type="dxa"/>
        </w:tblCellMar>
      </w:tblPr>
      <w:tblGrid>
        <w:gridCol w:w="593"/>
        <w:gridCol w:w="1270"/>
        <w:gridCol w:w="1519"/>
        <w:gridCol w:w="1334"/>
        <w:gridCol w:w="1519"/>
        <w:gridCol w:w="1334"/>
        <w:gridCol w:w="1151"/>
      </w:tblGrid>
      <w:tr w14:paraId="566A5B89">
        <w:trPr>
          <w:trHeight w:val="270" w:hRule="atLeast"/>
        </w:trPr>
        <w:tc>
          <w:tcPr>
            <w:tcW w:w="3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4D3B9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28" w:type="pct"/>
            <w:tcBorders>
              <w:top w:val="single" w:color="auto" w:sz="4" w:space="0"/>
              <w:left w:val="nil"/>
              <w:bottom w:val="single" w:color="auto" w:sz="4" w:space="0"/>
              <w:right w:val="single" w:color="auto" w:sz="4" w:space="0"/>
            </w:tcBorders>
            <w:shd w:val="clear" w:color="auto" w:fill="auto"/>
            <w:noWrap/>
            <w:vAlign w:val="center"/>
          </w:tcPr>
          <w:p w14:paraId="0037717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871" w:type="pct"/>
            <w:tcBorders>
              <w:top w:val="single" w:color="auto" w:sz="4" w:space="0"/>
              <w:left w:val="nil"/>
              <w:bottom w:val="single" w:color="auto" w:sz="4" w:space="0"/>
              <w:right w:val="single" w:color="auto" w:sz="4" w:space="0"/>
            </w:tcBorders>
            <w:shd w:val="clear" w:color="auto" w:fill="auto"/>
            <w:noWrap/>
            <w:vAlign w:val="center"/>
          </w:tcPr>
          <w:p w14:paraId="6B537B3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65" w:type="pct"/>
            <w:tcBorders>
              <w:top w:val="single" w:color="auto" w:sz="4" w:space="0"/>
              <w:left w:val="nil"/>
              <w:bottom w:val="single" w:color="auto" w:sz="4" w:space="0"/>
              <w:right w:val="single" w:color="auto" w:sz="4" w:space="0"/>
            </w:tcBorders>
            <w:shd w:val="clear" w:color="auto" w:fill="auto"/>
            <w:noWrap/>
            <w:vAlign w:val="center"/>
          </w:tcPr>
          <w:p w14:paraId="607F7F2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871" w:type="pct"/>
            <w:tcBorders>
              <w:top w:val="single" w:color="auto" w:sz="4" w:space="0"/>
              <w:left w:val="nil"/>
              <w:bottom w:val="single" w:color="auto" w:sz="4" w:space="0"/>
              <w:right w:val="single" w:color="auto" w:sz="4" w:space="0"/>
            </w:tcBorders>
            <w:shd w:val="clear" w:color="auto" w:fill="auto"/>
            <w:noWrap/>
            <w:vAlign w:val="center"/>
          </w:tcPr>
          <w:p w14:paraId="78F302C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765" w:type="pct"/>
            <w:tcBorders>
              <w:top w:val="single" w:color="auto" w:sz="4" w:space="0"/>
              <w:left w:val="nil"/>
              <w:bottom w:val="single" w:color="auto" w:sz="4" w:space="0"/>
              <w:right w:val="single" w:color="auto" w:sz="4" w:space="0"/>
            </w:tcBorders>
            <w:shd w:val="clear" w:color="auto" w:fill="auto"/>
            <w:noWrap/>
            <w:vAlign w:val="center"/>
          </w:tcPr>
          <w:p w14:paraId="08E27C7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659" w:type="pct"/>
            <w:tcBorders>
              <w:top w:val="single" w:color="auto" w:sz="4" w:space="0"/>
              <w:left w:val="nil"/>
              <w:bottom w:val="single" w:color="auto" w:sz="4" w:space="0"/>
              <w:right w:val="single" w:color="auto" w:sz="4" w:space="0"/>
            </w:tcBorders>
            <w:shd w:val="clear" w:color="auto" w:fill="auto"/>
            <w:noWrap/>
            <w:vAlign w:val="center"/>
          </w:tcPr>
          <w:p w14:paraId="5A6C43A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1D2C6A92">
        <w:trPr>
          <w:trHeight w:val="750" w:hRule="atLeast"/>
        </w:trPr>
        <w:tc>
          <w:tcPr>
            <w:tcW w:w="340" w:type="pct"/>
            <w:tcBorders>
              <w:top w:val="nil"/>
              <w:left w:val="single" w:color="auto" w:sz="4" w:space="0"/>
              <w:bottom w:val="single" w:color="auto" w:sz="4" w:space="0"/>
              <w:right w:val="single" w:color="auto" w:sz="4" w:space="0"/>
            </w:tcBorders>
            <w:shd w:val="clear" w:color="auto" w:fill="auto"/>
            <w:noWrap/>
            <w:vAlign w:val="center"/>
          </w:tcPr>
          <w:p w14:paraId="1C02E393">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28" w:type="pct"/>
            <w:tcBorders>
              <w:top w:val="nil"/>
              <w:left w:val="nil"/>
              <w:bottom w:val="single" w:color="auto" w:sz="4" w:space="0"/>
              <w:right w:val="single" w:color="auto" w:sz="4" w:space="0"/>
            </w:tcBorders>
            <w:shd w:val="clear" w:color="auto" w:fill="auto"/>
            <w:vAlign w:val="center"/>
          </w:tcPr>
          <w:p w14:paraId="4ADCF63D">
            <w:pPr>
              <w:widowControl/>
              <w:jc w:val="center"/>
              <w:rPr>
                <w:rFonts w:ascii="宋体" w:hAnsi="宋体" w:cs="宋体"/>
                <w:color w:val="000000"/>
                <w:kern w:val="0"/>
                <w:sz w:val="18"/>
                <w:szCs w:val="18"/>
              </w:rPr>
            </w:pPr>
            <w:r>
              <w:rPr>
                <w:rFonts w:hint="eastAsia" w:ascii="宋体" w:hAnsi="宋体" w:cs="宋体"/>
                <w:color w:val="000000"/>
                <w:kern w:val="0"/>
                <w:sz w:val="18"/>
                <w:szCs w:val="18"/>
              </w:rPr>
              <w:t>南昌县城市建设投资发展有限公司</w:t>
            </w:r>
          </w:p>
        </w:tc>
        <w:tc>
          <w:tcPr>
            <w:tcW w:w="871" w:type="pct"/>
            <w:tcBorders>
              <w:top w:val="nil"/>
              <w:left w:val="nil"/>
              <w:bottom w:val="single" w:color="auto" w:sz="4" w:space="0"/>
              <w:right w:val="single" w:color="auto" w:sz="4" w:space="0"/>
            </w:tcBorders>
            <w:shd w:val="clear" w:color="auto" w:fill="auto"/>
            <w:vAlign w:val="center"/>
          </w:tcPr>
          <w:p w14:paraId="54F02BCA">
            <w:pPr>
              <w:widowControl/>
              <w:jc w:val="center"/>
              <w:rPr>
                <w:rFonts w:ascii="宋体" w:hAnsi="宋体" w:cs="宋体"/>
                <w:color w:val="000000"/>
                <w:kern w:val="0"/>
                <w:sz w:val="18"/>
                <w:szCs w:val="18"/>
              </w:rPr>
            </w:pPr>
            <w:r>
              <w:rPr>
                <w:rFonts w:hint="eastAsia" w:ascii="宋体" w:hAnsi="宋体" w:cs="宋体"/>
                <w:color w:val="000000"/>
                <w:kern w:val="0"/>
                <w:sz w:val="18"/>
                <w:szCs w:val="18"/>
              </w:rPr>
              <w:t>南昌县霞山村安置房住宅小区一期工程（棚户区改造）</w:t>
            </w:r>
          </w:p>
        </w:tc>
        <w:tc>
          <w:tcPr>
            <w:tcW w:w="765" w:type="pct"/>
            <w:tcBorders>
              <w:top w:val="nil"/>
              <w:left w:val="nil"/>
              <w:bottom w:val="single" w:color="auto" w:sz="4" w:space="0"/>
              <w:right w:val="single" w:color="auto" w:sz="4" w:space="0"/>
            </w:tcBorders>
            <w:shd w:val="clear" w:color="auto" w:fill="auto"/>
            <w:noWrap/>
            <w:vAlign w:val="center"/>
          </w:tcPr>
          <w:p w14:paraId="729558B4">
            <w:pPr>
              <w:widowControl/>
              <w:jc w:val="center"/>
              <w:rPr>
                <w:rFonts w:ascii="宋体" w:hAnsi="宋体" w:cs="宋体"/>
                <w:color w:val="000000"/>
                <w:kern w:val="0"/>
                <w:sz w:val="18"/>
                <w:szCs w:val="18"/>
              </w:rPr>
            </w:pPr>
            <w:r>
              <w:rPr>
                <w:rFonts w:hint="eastAsia" w:ascii="宋体" w:hAnsi="宋体" w:cs="宋体"/>
                <w:color w:val="000000"/>
                <w:kern w:val="0"/>
                <w:sz w:val="18"/>
                <w:szCs w:val="18"/>
              </w:rPr>
              <w:t>32,399.99</w:t>
            </w:r>
          </w:p>
        </w:tc>
        <w:tc>
          <w:tcPr>
            <w:tcW w:w="871" w:type="pct"/>
            <w:tcBorders>
              <w:top w:val="nil"/>
              <w:left w:val="nil"/>
              <w:bottom w:val="single" w:color="auto" w:sz="4" w:space="0"/>
              <w:right w:val="single" w:color="auto" w:sz="4" w:space="0"/>
            </w:tcBorders>
            <w:shd w:val="clear" w:color="auto" w:fill="auto"/>
            <w:vAlign w:val="center"/>
          </w:tcPr>
          <w:p w14:paraId="04833EE2">
            <w:pPr>
              <w:widowControl/>
              <w:jc w:val="center"/>
              <w:rPr>
                <w:rFonts w:ascii="宋体" w:hAnsi="宋体" w:cs="宋体"/>
                <w:color w:val="000000"/>
                <w:kern w:val="0"/>
                <w:sz w:val="18"/>
                <w:szCs w:val="18"/>
              </w:rPr>
            </w:pPr>
            <w:r>
              <w:rPr>
                <w:rFonts w:hint="eastAsia" w:ascii="宋体" w:hAnsi="宋体" w:cs="宋体"/>
                <w:color w:val="000000"/>
                <w:kern w:val="0"/>
                <w:sz w:val="18"/>
                <w:szCs w:val="18"/>
              </w:rPr>
              <w:t>182.40</w:t>
            </w:r>
          </w:p>
        </w:tc>
        <w:tc>
          <w:tcPr>
            <w:tcW w:w="765" w:type="pct"/>
            <w:tcBorders>
              <w:top w:val="nil"/>
              <w:left w:val="nil"/>
              <w:bottom w:val="single" w:color="auto" w:sz="4" w:space="0"/>
              <w:right w:val="single" w:color="auto" w:sz="4" w:space="0"/>
            </w:tcBorders>
            <w:shd w:val="clear" w:color="auto" w:fill="auto"/>
            <w:noWrap/>
            <w:vAlign w:val="center"/>
          </w:tcPr>
          <w:p w14:paraId="681E05F2">
            <w:pPr>
              <w:widowControl/>
              <w:jc w:val="center"/>
              <w:rPr>
                <w:rFonts w:ascii="宋体" w:hAnsi="宋体" w:cs="宋体"/>
                <w:color w:val="000000"/>
                <w:kern w:val="0"/>
                <w:sz w:val="18"/>
                <w:szCs w:val="18"/>
              </w:rPr>
            </w:pPr>
            <w:r>
              <w:rPr>
                <w:rFonts w:hint="eastAsia" w:ascii="宋体" w:hAnsi="宋体" w:cs="宋体"/>
                <w:color w:val="000000"/>
                <w:kern w:val="0"/>
                <w:sz w:val="18"/>
                <w:szCs w:val="18"/>
              </w:rPr>
              <w:t>18.95</w:t>
            </w:r>
          </w:p>
        </w:tc>
        <w:tc>
          <w:tcPr>
            <w:tcW w:w="659" w:type="pct"/>
            <w:tcBorders>
              <w:top w:val="nil"/>
              <w:left w:val="nil"/>
              <w:bottom w:val="single" w:color="auto" w:sz="4" w:space="0"/>
              <w:right w:val="single" w:color="auto" w:sz="4" w:space="0"/>
            </w:tcBorders>
            <w:shd w:val="clear" w:color="auto" w:fill="auto"/>
            <w:noWrap/>
            <w:vAlign w:val="center"/>
          </w:tcPr>
          <w:p w14:paraId="3A12FBFE">
            <w:pPr>
              <w:widowControl/>
              <w:jc w:val="center"/>
              <w:rPr>
                <w:rFonts w:ascii="宋体" w:hAnsi="宋体" w:cs="宋体"/>
                <w:color w:val="000000"/>
                <w:kern w:val="0"/>
                <w:sz w:val="18"/>
                <w:szCs w:val="18"/>
              </w:rPr>
            </w:pPr>
            <w:r>
              <w:rPr>
                <w:rFonts w:hint="eastAsia" w:ascii="宋体" w:hAnsi="宋体" w:cs="宋体"/>
                <w:color w:val="000000"/>
                <w:kern w:val="0"/>
                <w:sz w:val="18"/>
                <w:szCs w:val="18"/>
              </w:rPr>
              <w:t>32,601.34</w:t>
            </w:r>
          </w:p>
        </w:tc>
      </w:tr>
    </w:tbl>
    <w:p w14:paraId="7D715299">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为了保障以上建设项目合理的融资需求，更好地发挥专项债券对南昌县霞山村安置房住宅小区一期工程（棚户区改造）项目支持作用，本次项目计划通过自筹资金及发行项目收益与融资自求平衡专项债券的方式完成项目建设。南昌县城市建设投资发展有限公司申请地方政府专项债券的明细情况见下表：</w:t>
      </w:r>
    </w:p>
    <w:p w14:paraId="61DA54FA">
      <w:pPr>
        <w:pStyle w:val="20"/>
        <w:keepNext/>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595"/>
        <w:gridCol w:w="1149"/>
        <w:gridCol w:w="1406"/>
        <w:gridCol w:w="1053"/>
        <w:gridCol w:w="1076"/>
        <w:gridCol w:w="1233"/>
        <w:gridCol w:w="1104"/>
        <w:gridCol w:w="1104"/>
      </w:tblGrid>
      <w:tr w14:paraId="0F99A7E3">
        <w:trPr>
          <w:trHeight w:val="480" w:hRule="atLeast"/>
        </w:trPr>
        <w:tc>
          <w:tcPr>
            <w:tcW w:w="34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A64412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A25EA2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8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60721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194" w:type="pct"/>
            <w:gridSpan w:val="5"/>
            <w:tcBorders>
              <w:top w:val="single" w:color="auto" w:sz="4" w:space="0"/>
              <w:left w:val="nil"/>
              <w:bottom w:val="single" w:color="auto" w:sz="4" w:space="0"/>
              <w:right w:val="single" w:color="auto" w:sz="4" w:space="0"/>
            </w:tcBorders>
            <w:vAlign w:val="center"/>
          </w:tcPr>
          <w:p w14:paraId="303C4E0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29FBEF25">
        <w:trPr>
          <w:trHeight w:val="270" w:hRule="atLeast"/>
        </w:trPr>
        <w:tc>
          <w:tcPr>
            <w:tcW w:w="341" w:type="pct"/>
            <w:vMerge w:val="continue"/>
            <w:tcBorders>
              <w:top w:val="single" w:color="auto" w:sz="4" w:space="0"/>
              <w:left w:val="single" w:color="auto" w:sz="4" w:space="0"/>
              <w:bottom w:val="single" w:color="auto" w:sz="4" w:space="0"/>
              <w:right w:val="single" w:color="auto" w:sz="4" w:space="0"/>
            </w:tcBorders>
            <w:vAlign w:val="center"/>
          </w:tcPr>
          <w:p w14:paraId="341FAFB0">
            <w:pPr>
              <w:widowControl/>
              <w:jc w:val="center"/>
              <w:rPr>
                <w:rFonts w:ascii="宋体" w:hAnsi="宋体" w:cs="宋体"/>
                <w:b/>
                <w:bCs/>
                <w:color w:val="000000"/>
                <w:kern w:val="0"/>
                <w:sz w:val="18"/>
                <w:szCs w:val="18"/>
              </w:rPr>
            </w:pPr>
          </w:p>
        </w:tc>
        <w:tc>
          <w:tcPr>
            <w:tcW w:w="659" w:type="pct"/>
            <w:vMerge w:val="continue"/>
            <w:tcBorders>
              <w:top w:val="single" w:color="auto" w:sz="4" w:space="0"/>
              <w:left w:val="single" w:color="auto" w:sz="4" w:space="0"/>
              <w:bottom w:val="single" w:color="auto" w:sz="4" w:space="0"/>
              <w:right w:val="single" w:color="auto" w:sz="4" w:space="0"/>
            </w:tcBorders>
            <w:vAlign w:val="center"/>
          </w:tcPr>
          <w:p w14:paraId="77F7DAC9">
            <w:pPr>
              <w:widowControl/>
              <w:jc w:val="center"/>
              <w:rPr>
                <w:rFonts w:ascii="宋体" w:hAnsi="宋体" w:cs="宋体"/>
                <w:b/>
                <w:bCs/>
                <w:color w:val="000000"/>
                <w:kern w:val="0"/>
                <w:sz w:val="18"/>
                <w:szCs w:val="18"/>
              </w:rPr>
            </w:pPr>
          </w:p>
        </w:tc>
        <w:tc>
          <w:tcPr>
            <w:tcW w:w="806" w:type="pct"/>
            <w:vMerge w:val="continue"/>
            <w:tcBorders>
              <w:top w:val="single" w:color="auto" w:sz="4" w:space="0"/>
              <w:left w:val="single" w:color="auto" w:sz="4" w:space="0"/>
              <w:bottom w:val="single" w:color="auto" w:sz="4" w:space="0"/>
              <w:right w:val="single" w:color="auto" w:sz="4" w:space="0"/>
            </w:tcBorders>
            <w:vAlign w:val="center"/>
          </w:tcPr>
          <w:p w14:paraId="05C1496D">
            <w:pPr>
              <w:widowControl/>
              <w:jc w:val="center"/>
              <w:rPr>
                <w:rFonts w:ascii="宋体" w:hAnsi="宋体" w:cs="宋体"/>
                <w:b/>
                <w:bCs/>
                <w:color w:val="000000"/>
                <w:kern w:val="0"/>
                <w:sz w:val="18"/>
                <w:szCs w:val="18"/>
              </w:rPr>
            </w:pPr>
          </w:p>
        </w:tc>
        <w:tc>
          <w:tcPr>
            <w:tcW w:w="604" w:type="pct"/>
            <w:tcBorders>
              <w:top w:val="single" w:color="auto" w:sz="4" w:space="0"/>
              <w:left w:val="nil"/>
              <w:bottom w:val="single" w:color="auto" w:sz="4" w:space="0"/>
              <w:right w:val="single" w:color="auto" w:sz="4" w:space="0"/>
            </w:tcBorders>
            <w:shd w:val="clear" w:color="auto" w:fill="auto"/>
            <w:vAlign w:val="center"/>
          </w:tcPr>
          <w:p w14:paraId="581AAE9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17" w:type="pct"/>
            <w:tcBorders>
              <w:top w:val="single" w:color="auto" w:sz="4" w:space="0"/>
              <w:left w:val="single" w:color="auto" w:sz="4" w:space="0"/>
              <w:bottom w:val="single" w:color="auto" w:sz="4" w:space="0"/>
              <w:right w:val="single" w:color="auto" w:sz="4" w:space="0"/>
            </w:tcBorders>
            <w:shd w:val="clear" w:color="auto" w:fill="auto"/>
            <w:vAlign w:val="center"/>
          </w:tcPr>
          <w:p w14:paraId="2FE0F7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2023年发行</w:t>
            </w:r>
          </w:p>
        </w:tc>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14:paraId="0A0686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年6月调整发行</w:t>
            </w:r>
          </w:p>
        </w:tc>
        <w:tc>
          <w:tcPr>
            <w:tcW w:w="633" w:type="pct"/>
            <w:tcBorders>
              <w:top w:val="single" w:color="auto" w:sz="4" w:space="0"/>
              <w:left w:val="single" w:color="auto" w:sz="4" w:space="0"/>
              <w:bottom w:val="single" w:color="auto" w:sz="4" w:space="0"/>
              <w:right w:val="single" w:color="auto" w:sz="4" w:space="0"/>
            </w:tcBorders>
          </w:tcPr>
          <w:p w14:paraId="32A7D0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年本期发行</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14:paraId="077640F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2024年后续发行</w:t>
            </w:r>
          </w:p>
        </w:tc>
      </w:tr>
      <w:tr w14:paraId="02F8D7D3">
        <w:trPr>
          <w:trHeight w:val="300" w:hRule="atLeast"/>
        </w:trPr>
        <w:tc>
          <w:tcPr>
            <w:tcW w:w="341" w:type="pct"/>
            <w:tcBorders>
              <w:top w:val="nil"/>
              <w:left w:val="single" w:color="auto" w:sz="4" w:space="0"/>
              <w:bottom w:val="single" w:color="auto" w:sz="4" w:space="0"/>
              <w:right w:val="single" w:color="auto" w:sz="4" w:space="0"/>
            </w:tcBorders>
            <w:shd w:val="clear" w:color="auto" w:fill="auto"/>
            <w:noWrap/>
            <w:vAlign w:val="center"/>
          </w:tcPr>
          <w:p w14:paraId="4C017B2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9" w:type="pct"/>
            <w:tcBorders>
              <w:top w:val="nil"/>
              <w:left w:val="nil"/>
              <w:bottom w:val="single" w:color="auto" w:sz="4" w:space="0"/>
              <w:right w:val="single" w:color="auto" w:sz="4" w:space="0"/>
            </w:tcBorders>
            <w:shd w:val="clear" w:color="auto" w:fill="auto"/>
            <w:noWrap/>
            <w:vAlign w:val="center"/>
          </w:tcPr>
          <w:p w14:paraId="5CDC57BF">
            <w:pPr>
              <w:widowControl/>
              <w:jc w:val="center"/>
              <w:rPr>
                <w:rFonts w:ascii="宋体" w:hAnsi="宋体" w:cs="宋体"/>
                <w:color w:val="000000"/>
                <w:kern w:val="0"/>
                <w:sz w:val="18"/>
                <w:szCs w:val="18"/>
              </w:rPr>
            </w:pPr>
            <w:r>
              <w:rPr>
                <w:rFonts w:ascii="宋体" w:hAnsi="宋体" w:cs="宋体"/>
                <w:color w:val="000000"/>
                <w:kern w:val="0"/>
                <w:sz w:val="18"/>
                <w:szCs w:val="18"/>
              </w:rPr>
              <w:t>32,601.34</w:t>
            </w:r>
          </w:p>
        </w:tc>
        <w:tc>
          <w:tcPr>
            <w:tcW w:w="806" w:type="pct"/>
            <w:tcBorders>
              <w:top w:val="nil"/>
              <w:left w:val="nil"/>
              <w:bottom w:val="single" w:color="auto" w:sz="4" w:space="0"/>
              <w:right w:val="single" w:color="auto" w:sz="4" w:space="0"/>
            </w:tcBorders>
            <w:shd w:val="clear" w:color="auto" w:fill="auto"/>
            <w:noWrap/>
            <w:vAlign w:val="center"/>
          </w:tcPr>
          <w:p w14:paraId="16257697">
            <w:pPr>
              <w:widowControl/>
              <w:jc w:val="center"/>
              <w:rPr>
                <w:rFonts w:ascii="宋体" w:hAnsi="宋体" w:cs="宋体"/>
                <w:color w:val="000000"/>
                <w:kern w:val="0"/>
                <w:sz w:val="18"/>
                <w:szCs w:val="18"/>
              </w:rPr>
            </w:pPr>
            <w:r>
              <w:rPr>
                <w:rFonts w:ascii="宋体" w:hAnsi="宋体" w:cs="宋体"/>
                <w:color w:val="000000"/>
                <w:kern w:val="0"/>
                <w:sz w:val="18"/>
                <w:szCs w:val="18"/>
              </w:rPr>
              <w:t>9,651.34</w:t>
            </w:r>
          </w:p>
        </w:tc>
        <w:tc>
          <w:tcPr>
            <w:tcW w:w="604" w:type="pct"/>
            <w:tcBorders>
              <w:top w:val="single" w:color="auto" w:sz="4" w:space="0"/>
              <w:left w:val="nil"/>
              <w:bottom w:val="single" w:color="auto" w:sz="4" w:space="0"/>
              <w:right w:val="single" w:color="auto" w:sz="4" w:space="0"/>
            </w:tcBorders>
            <w:shd w:val="clear" w:color="auto" w:fill="auto"/>
            <w:noWrap/>
            <w:vAlign w:val="center"/>
          </w:tcPr>
          <w:p w14:paraId="65594171">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1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AF0E73">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70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FC379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33" w:type="pct"/>
            <w:tcBorders>
              <w:top w:val="single" w:color="auto" w:sz="4" w:space="0"/>
              <w:left w:val="single" w:color="auto" w:sz="4" w:space="0"/>
              <w:bottom w:val="single" w:color="auto" w:sz="4" w:space="0"/>
              <w:right w:val="single" w:color="auto" w:sz="4" w:space="0"/>
            </w:tcBorders>
          </w:tcPr>
          <w:p w14:paraId="50B47C8B">
            <w:pPr>
              <w:widowControl/>
              <w:jc w:val="center"/>
              <w:rPr>
                <w:rFonts w:ascii="宋体" w:hAnsi="宋体" w:cs="宋体"/>
                <w:color w:val="000000"/>
                <w:kern w:val="0"/>
                <w:sz w:val="18"/>
                <w:szCs w:val="18"/>
              </w:rPr>
            </w:pPr>
            <w:r>
              <w:rPr>
                <w:rFonts w:ascii="宋体" w:hAnsi="宋体" w:cs="宋体"/>
                <w:color w:val="000000"/>
                <w:kern w:val="0"/>
                <w:sz w:val="18"/>
                <w:szCs w:val="18"/>
              </w:rPr>
              <w:t>2,700.00</w:t>
            </w:r>
          </w:p>
        </w:tc>
        <w:tc>
          <w:tcPr>
            <w:tcW w:w="63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7C76EE">
            <w:pPr>
              <w:widowControl/>
              <w:jc w:val="center"/>
              <w:rPr>
                <w:rFonts w:ascii="宋体" w:hAnsi="宋体" w:cs="宋体"/>
                <w:color w:val="000000"/>
                <w:kern w:val="0"/>
                <w:sz w:val="18"/>
                <w:szCs w:val="18"/>
              </w:rPr>
            </w:pPr>
            <w:r>
              <w:rPr>
                <w:rFonts w:ascii="宋体" w:hAnsi="宋体" w:cs="宋体"/>
                <w:color w:val="000000"/>
                <w:kern w:val="0"/>
                <w:sz w:val="18"/>
                <w:szCs w:val="18"/>
              </w:rPr>
              <w:t>12,250.00</w:t>
            </w:r>
          </w:p>
        </w:tc>
      </w:tr>
    </w:tbl>
    <w:p w14:paraId="58F1689B">
      <w:pPr>
        <w:pStyle w:val="20"/>
        <w:snapToGrid w:val="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按照发行方案及筹资计划，本次拟发行项目的总投资为</w:t>
      </w:r>
      <w:r>
        <w:rPr>
          <w:color w:val="000000" w:themeColor="text1"/>
          <w:sz w:val="24"/>
          <w:szCs w:val="24"/>
          <w14:textFill>
            <w14:solidFill>
              <w14:schemeClr w14:val="tx1"/>
            </w14:solidFill>
          </w14:textFill>
        </w:rPr>
        <w:t>32,601.34</w:t>
      </w:r>
      <w:r>
        <w:rPr>
          <w:rFonts w:hint="eastAsia"/>
          <w:color w:val="000000" w:themeColor="text1"/>
          <w:sz w:val="24"/>
          <w:szCs w:val="24"/>
          <w14:textFill>
            <w14:solidFill>
              <w14:schemeClr w14:val="tx1"/>
            </w14:solidFill>
          </w14:textFill>
        </w:rPr>
        <w:t>万元，通过自筹资金、申请专项债券、其他合规性融资等途径解决，其一，自筹资金</w:t>
      </w:r>
      <w:r>
        <w:rPr>
          <w:color w:val="000000" w:themeColor="text1"/>
          <w:sz w:val="24"/>
          <w:szCs w:val="24"/>
          <w14:textFill>
            <w14:solidFill>
              <w14:schemeClr w14:val="tx1"/>
            </w14:solidFill>
          </w14:textFill>
        </w:rPr>
        <w:t>9,651.34</w:t>
      </w:r>
      <w:r>
        <w:rPr>
          <w:rFonts w:hint="eastAsia"/>
          <w:color w:val="000000" w:themeColor="text1"/>
          <w:sz w:val="24"/>
          <w:szCs w:val="24"/>
          <w14:textFill>
            <w14:solidFill>
              <w14:schemeClr w14:val="tx1"/>
            </w14:solidFill>
          </w14:textFill>
        </w:rPr>
        <w:t>万元。其二，拟发行专项债券</w:t>
      </w:r>
      <w:r>
        <w:rPr>
          <w:color w:val="000000" w:themeColor="text1"/>
          <w:sz w:val="24"/>
          <w:szCs w:val="24"/>
          <w14:textFill>
            <w14:solidFill>
              <w14:schemeClr w14:val="tx1"/>
            </w14:solidFill>
          </w14:textFill>
        </w:rPr>
        <w:t>22,950.00</w:t>
      </w:r>
      <w:r>
        <w:rPr>
          <w:rFonts w:hint="eastAsia"/>
          <w:color w:val="000000" w:themeColor="text1"/>
          <w:sz w:val="24"/>
          <w:szCs w:val="24"/>
          <w14:textFill>
            <w14:solidFill>
              <w14:schemeClr w14:val="tx1"/>
            </w14:solidFill>
          </w14:textFill>
        </w:rPr>
        <w:t>万元，其中，2</w:t>
      </w:r>
      <w:r>
        <w:rPr>
          <w:color w:val="000000" w:themeColor="text1"/>
          <w:sz w:val="24"/>
          <w:szCs w:val="24"/>
          <w14:textFill>
            <w14:solidFill>
              <w14:schemeClr w14:val="tx1"/>
            </w14:solidFill>
          </w14:textFill>
        </w:rPr>
        <w:t>023</w:t>
      </w:r>
      <w:r>
        <w:rPr>
          <w:rFonts w:hint="eastAsia"/>
          <w:color w:val="000000" w:themeColor="text1"/>
          <w:sz w:val="24"/>
          <w:szCs w:val="24"/>
          <w14:textFill>
            <w14:solidFill>
              <w14:schemeClr w14:val="tx1"/>
            </w14:solidFill>
          </w14:textFill>
        </w:rPr>
        <w:t>年已发行</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,000.00万元，期限为</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年；</w:t>
      </w:r>
      <w:r>
        <w:rPr>
          <w:color w:val="000000" w:themeColor="text1"/>
          <w:sz w:val="24"/>
          <w:szCs w:val="24"/>
          <w14:textFill>
            <w14:solidFill>
              <w14:schemeClr w14:val="tx1"/>
            </w14:solidFill>
          </w14:textFill>
        </w:rPr>
        <w:t>4,000.00</w:t>
      </w:r>
      <w:r>
        <w:rPr>
          <w:rFonts w:hint="eastAsia"/>
          <w:color w:val="000000" w:themeColor="text1"/>
          <w:sz w:val="24"/>
          <w:szCs w:val="24"/>
          <w14:textFill>
            <w14:solidFill>
              <w14:schemeClr w14:val="tx1"/>
            </w14:solidFill>
          </w14:textFill>
        </w:rPr>
        <w:t>万元于2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年6月由2022年江西省高质量发展补短板专项债券（十二期）——2022年江西省政府专项债券（二十期）调整至本项目，发行期限3</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年；2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年计划新增发行</w:t>
      </w:r>
      <w:r>
        <w:rPr>
          <w:color w:val="000000" w:themeColor="text1"/>
          <w:sz w:val="24"/>
          <w:szCs w:val="24"/>
          <w14:textFill>
            <w14:solidFill>
              <w14:schemeClr w14:val="tx1"/>
            </w14:solidFill>
          </w14:textFill>
        </w:rPr>
        <w:t>14,950.00</w:t>
      </w:r>
      <w:r>
        <w:rPr>
          <w:rFonts w:hint="eastAsia"/>
          <w:color w:val="000000" w:themeColor="text1"/>
          <w:sz w:val="24"/>
          <w:szCs w:val="24"/>
          <w14:textFill>
            <w14:solidFill>
              <w14:schemeClr w14:val="tx1"/>
            </w14:solidFill>
          </w14:textFill>
        </w:rPr>
        <w:t>万元，期限为7年，其中本期申请发行</w:t>
      </w:r>
      <w:r>
        <w:rPr>
          <w:color w:val="000000" w:themeColor="text1"/>
          <w:sz w:val="24"/>
          <w:szCs w:val="24"/>
          <w14:textFill>
            <w14:solidFill>
              <w14:schemeClr w14:val="tx1"/>
            </w14:solidFill>
          </w14:textFill>
        </w:rPr>
        <w:t>2,700.00</w:t>
      </w:r>
      <w:r>
        <w:rPr>
          <w:rFonts w:hint="eastAsia"/>
          <w:color w:val="000000" w:themeColor="text1"/>
          <w:sz w:val="24"/>
          <w:szCs w:val="24"/>
          <w14:textFill>
            <w14:solidFill>
              <w14:schemeClr w14:val="tx1"/>
            </w14:solidFill>
          </w14:textFill>
        </w:rPr>
        <w:t>万元，后续计划发行</w:t>
      </w:r>
      <w:r>
        <w:rPr>
          <w:color w:val="000000" w:themeColor="text1"/>
          <w:sz w:val="24"/>
          <w:szCs w:val="24"/>
          <w14:textFill>
            <w14:solidFill>
              <w14:schemeClr w14:val="tx1"/>
            </w14:solidFill>
          </w14:textFill>
        </w:rPr>
        <w:t>12,250.00</w:t>
      </w:r>
      <w:r>
        <w:rPr>
          <w:rFonts w:hint="eastAsia"/>
          <w:color w:val="000000" w:themeColor="text1"/>
          <w:sz w:val="24"/>
          <w:szCs w:val="24"/>
          <w14:textFill>
            <w14:solidFill>
              <w14:schemeClr w14:val="tx1"/>
            </w14:solidFill>
          </w14:textFill>
        </w:rPr>
        <w:t>万元。</w:t>
      </w:r>
    </w:p>
    <w:p w14:paraId="4DFE517A">
      <w:pPr>
        <w:pStyle w:val="20"/>
        <w:snapToGrid w:val="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根据《南昌县霞山村安置房住宅小区一期工程（棚户区改造）项目可行性研究报告》（以下简称“可研报告”），项目建设内容为：本项目总用地面积约53974.56平方米（80.96亩），总建筑面积156663.93平方米，其中，计容面积约121691.98平方米、不计容面积约34971.95平方米(其中架空层约53.53平方米、风井约63.82 平方米，地下室约34854.6平方米)。住宅建筑面积约116902.87平方米、商业网点建筑面积约459.28平方米、幼儿园建筑面积约2122.54平方米，养老服务设施用房面积约207.93平方米、物业用房面积约328.66平方米、社区服务用房面积约680.61平方米、垃圾站公厕建筑面积约130.95平方米、消防控制室面积约44.72平方米、地下室出入口面积约83.83平方米、烟道面积约24.86平方米、非机动车停车库面积约596.79平方米、架空层约108.94平方米。</w:t>
      </w:r>
    </w:p>
    <w:p w14:paraId="70AFA523">
      <w:pPr>
        <w:pStyle w:val="20"/>
        <w:snapToGrid w:val="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根据可研报告及其批复，本项目投资估算详见表1-1；项目建设期内的年度资金计划表详见表1-2。</w:t>
      </w:r>
    </w:p>
    <w:p w14:paraId="75C39F90">
      <w:pPr>
        <w:pStyle w:val="20"/>
        <w:spacing w:afterLines="50" w:line="360" w:lineRule="exact"/>
        <w:ind w:firstLine="420" w:firstLineChars="200"/>
        <w:jc w:val="center"/>
        <w:rPr>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表1-</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项目总投资估算表</w:t>
      </w:r>
    </w:p>
    <w:p w14:paraId="2A240B79">
      <w:pPr>
        <w:pStyle w:val="20"/>
        <w:spacing w:before="0" w:beforeAutospacing="0" w:afterLines="50" w:afterAutospacing="0" w:line="360" w:lineRule="exact"/>
        <w:ind w:firstLine="360" w:firstLineChars="200"/>
        <w:jc w:val="right"/>
        <w:rPr>
          <w:color w:val="000000" w:themeColor="text1"/>
          <w:sz w:val="21"/>
          <w:szCs w:val="21"/>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1543"/>
        <w:gridCol w:w="4419"/>
        <w:gridCol w:w="2758"/>
      </w:tblGrid>
      <w:tr w14:paraId="2CCC0355">
        <w:trPr>
          <w:trHeight w:val="270" w:hRule="atLeast"/>
        </w:trPr>
        <w:tc>
          <w:tcPr>
            <w:tcW w:w="8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ED022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2534" w:type="pct"/>
            <w:tcBorders>
              <w:top w:val="single" w:color="auto" w:sz="4" w:space="0"/>
              <w:left w:val="nil"/>
              <w:bottom w:val="single" w:color="auto" w:sz="4" w:space="0"/>
              <w:right w:val="single" w:color="auto" w:sz="4" w:space="0"/>
            </w:tcBorders>
            <w:shd w:val="clear" w:color="auto" w:fill="auto"/>
            <w:noWrap/>
            <w:vAlign w:val="center"/>
          </w:tcPr>
          <w:p w14:paraId="62F33AD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1581" w:type="pct"/>
            <w:tcBorders>
              <w:top w:val="single" w:color="auto" w:sz="4" w:space="0"/>
              <w:left w:val="nil"/>
              <w:bottom w:val="single" w:color="auto" w:sz="4" w:space="0"/>
              <w:right w:val="single" w:color="auto" w:sz="4" w:space="0"/>
            </w:tcBorders>
            <w:shd w:val="clear" w:color="auto" w:fill="auto"/>
            <w:noWrap/>
            <w:vAlign w:val="center"/>
          </w:tcPr>
          <w:p w14:paraId="6570473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r>
      <w:tr w14:paraId="369AF9C9">
        <w:trPr>
          <w:trHeight w:val="300" w:hRule="atLeast"/>
        </w:trPr>
        <w:tc>
          <w:tcPr>
            <w:tcW w:w="885" w:type="pct"/>
            <w:tcBorders>
              <w:top w:val="nil"/>
              <w:left w:val="single" w:color="auto" w:sz="4" w:space="0"/>
              <w:bottom w:val="single" w:color="auto" w:sz="4" w:space="0"/>
              <w:right w:val="single" w:color="auto" w:sz="4" w:space="0"/>
            </w:tcBorders>
            <w:shd w:val="clear" w:color="auto" w:fill="auto"/>
            <w:noWrap/>
            <w:vAlign w:val="center"/>
          </w:tcPr>
          <w:p w14:paraId="4F010AF3">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534" w:type="pct"/>
            <w:tcBorders>
              <w:top w:val="nil"/>
              <w:left w:val="nil"/>
              <w:bottom w:val="single" w:color="auto" w:sz="4" w:space="0"/>
              <w:right w:val="single" w:color="auto" w:sz="4" w:space="0"/>
            </w:tcBorders>
            <w:shd w:val="clear" w:color="auto" w:fill="auto"/>
            <w:vAlign w:val="center"/>
          </w:tcPr>
          <w:p w14:paraId="6AA34D7F">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1581" w:type="pct"/>
            <w:tcBorders>
              <w:top w:val="nil"/>
              <w:left w:val="nil"/>
              <w:bottom w:val="single" w:color="auto" w:sz="4" w:space="0"/>
              <w:right w:val="single" w:color="auto" w:sz="4" w:space="0"/>
            </w:tcBorders>
            <w:shd w:val="clear" w:color="auto" w:fill="auto"/>
            <w:vAlign w:val="center"/>
          </w:tcPr>
          <w:p w14:paraId="0187EA47">
            <w:pPr>
              <w:widowControl/>
              <w:jc w:val="center"/>
              <w:rPr>
                <w:rFonts w:ascii="宋体" w:hAnsi="宋体" w:cs="宋体"/>
                <w:color w:val="000000"/>
                <w:kern w:val="0"/>
                <w:sz w:val="18"/>
                <w:szCs w:val="18"/>
              </w:rPr>
            </w:pPr>
            <w:r>
              <w:rPr>
                <w:rFonts w:hint="eastAsia" w:ascii="宋体" w:hAnsi="宋体" w:cs="宋体"/>
                <w:color w:val="000000"/>
                <w:kern w:val="0"/>
                <w:sz w:val="18"/>
                <w:szCs w:val="18"/>
              </w:rPr>
              <w:t>29,311.15</w:t>
            </w:r>
          </w:p>
        </w:tc>
      </w:tr>
      <w:tr w14:paraId="2C5D47EF">
        <w:trPr>
          <w:trHeight w:val="270" w:hRule="atLeast"/>
        </w:trPr>
        <w:tc>
          <w:tcPr>
            <w:tcW w:w="885" w:type="pct"/>
            <w:tcBorders>
              <w:top w:val="nil"/>
              <w:left w:val="single" w:color="auto" w:sz="4" w:space="0"/>
              <w:bottom w:val="single" w:color="auto" w:sz="4" w:space="0"/>
              <w:right w:val="single" w:color="auto" w:sz="4" w:space="0"/>
            </w:tcBorders>
            <w:shd w:val="clear" w:color="auto" w:fill="auto"/>
            <w:noWrap/>
            <w:vAlign w:val="center"/>
          </w:tcPr>
          <w:p w14:paraId="55732DED">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2534" w:type="pct"/>
            <w:tcBorders>
              <w:top w:val="nil"/>
              <w:left w:val="nil"/>
              <w:bottom w:val="single" w:color="auto" w:sz="4" w:space="0"/>
              <w:right w:val="single" w:color="auto" w:sz="4" w:space="0"/>
            </w:tcBorders>
            <w:shd w:val="clear" w:color="auto" w:fill="auto"/>
            <w:vAlign w:val="center"/>
          </w:tcPr>
          <w:p w14:paraId="2FBE42B3">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1581" w:type="pct"/>
            <w:tcBorders>
              <w:top w:val="nil"/>
              <w:left w:val="nil"/>
              <w:bottom w:val="single" w:color="auto" w:sz="4" w:space="0"/>
              <w:right w:val="single" w:color="auto" w:sz="4" w:space="0"/>
            </w:tcBorders>
            <w:shd w:val="clear" w:color="auto" w:fill="auto"/>
            <w:vAlign w:val="center"/>
          </w:tcPr>
          <w:p w14:paraId="5C0FCDDA">
            <w:pPr>
              <w:widowControl/>
              <w:jc w:val="center"/>
              <w:rPr>
                <w:rFonts w:ascii="宋体" w:hAnsi="宋体" w:cs="宋体"/>
                <w:color w:val="000000"/>
                <w:kern w:val="0"/>
                <w:sz w:val="18"/>
                <w:szCs w:val="18"/>
              </w:rPr>
            </w:pPr>
            <w:r>
              <w:rPr>
                <w:rFonts w:hint="eastAsia" w:ascii="宋体" w:hAnsi="宋体" w:cs="宋体"/>
                <w:color w:val="000000"/>
                <w:kern w:val="0"/>
                <w:sz w:val="18"/>
                <w:szCs w:val="18"/>
              </w:rPr>
              <w:t>1,623.28</w:t>
            </w:r>
          </w:p>
        </w:tc>
      </w:tr>
      <w:tr w14:paraId="0304B8ED">
        <w:trPr>
          <w:trHeight w:val="312" w:hRule="atLeast"/>
        </w:trPr>
        <w:tc>
          <w:tcPr>
            <w:tcW w:w="885" w:type="pct"/>
            <w:tcBorders>
              <w:top w:val="nil"/>
              <w:left w:val="single" w:color="auto" w:sz="4" w:space="0"/>
              <w:bottom w:val="single" w:color="auto" w:sz="4" w:space="0"/>
              <w:right w:val="single" w:color="auto" w:sz="4" w:space="0"/>
            </w:tcBorders>
            <w:shd w:val="clear" w:color="auto" w:fill="auto"/>
            <w:noWrap/>
            <w:vAlign w:val="center"/>
          </w:tcPr>
          <w:p w14:paraId="142B67F0">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534" w:type="pct"/>
            <w:tcBorders>
              <w:top w:val="nil"/>
              <w:left w:val="nil"/>
              <w:bottom w:val="single" w:color="auto" w:sz="4" w:space="0"/>
              <w:right w:val="single" w:color="auto" w:sz="4" w:space="0"/>
            </w:tcBorders>
            <w:shd w:val="clear" w:color="auto" w:fill="auto"/>
            <w:vAlign w:val="center"/>
          </w:tcPr>
          <w:p w14:paraId="45107074">
            <w:pPr>
              <w:widowControl/>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1581" w:type="pct"/>
            <w:tcBorders>
              <w:top w:val="nil"/>
              <w:left w:val="nil"/>
              <w:bottom w:val="single" w:color="auto" w:sz="4" w:space="0"/>
              <w:right w:val="single" w:color="auto" w:sz="4" w:space="0"/>
            </w:tcBorders>
            <w:shd w:val="clear" w:color="auto" w:fill="auto"/>
            <w:vAlign w:val="center"/>
          </w:tcPr>
          <w:p w14:paraId="4069E65E">
            <w:pPr>
              <w:widowControl/>
              <w:jc w:val="center"/>
              <w:rPr>
                <w:rFonts w:ascii="宋体" w:hAnsi="宋体" w:cs="宋体"/>
                <w:color w:val="000000"/>
                <w:kern w:val="0"/>
                <w:sz w:val="18"/>
                <w:szCs w:val="18"/>
              </w:rPr>
            </w:pPr>
            <w:r>
              <w:rPr>
                <w:rFonts w:hint="eastAsia" w:ascii="宋体" w:hAnsi="宋体" w:cs="宋体"/>
                <w:color w:val="000000"/>
                <w:kern w:val="0"/>
                <w:sz w:val="18"/>
                <w:szCs w:val="18"/>
              </w:rPr>
              <w:t>1,465.56</w:t>
            </w:r>
          </w:p>
        </w:tc>
      </w:tr>
      <w:tr w14:paraId="54276312">
        <w:trPr>
          <w:trHeight w:val="270" w:hRule="atLeast"/>
        </w:trPr>
        <w:tc>
          <w:tcPr>
            <w:tcW w:w="341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84A52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项目静态总投资</w:t>
            </w:r>
          </w:p>
        </w:tc>
        <w:tc>
          <w:tcPr>
            <w:tcW w:w="1581" w:type="pct"/>
            <w:tcBorders>
              <w:top w:val="nil"/>
              <w:left w:val="nil"/>
              <w:bottom w:val="single" w:color="auto" w:sz="4" w:space="0"/>
              <w:right w:val="single" w:color="auto" w:sz="4" w:space="0"/>
            </w:tcBorders>
            <w:shd w:val="clear" w:color="auto" w:fill="auto"/>
            <w:vAlign w:val="center"/>
          </w:tcPr>
          <w:p w14:paraId="7889702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32,399.99</w:t>
            </w:r>
          </w:p>
        </w:tc>
      </w:tr>
    </w:tbl>
    <w:p w14:paraId="29466259">
      <w:pPr>
        <w:spacing w:beforeLines="50" w:line="360" w:lineRule="auto"/>
        <w:ind w:firstLine="420" w:firstLineChars="200"/>
        <w:jc w:val="center"/>
        <w:rPr>
          <w:rFonts w:ascii="宋体" w:hAnsi="宋体" w:cs="仿宋"/>
          <w:b/>
          <w:bCs/>
          <w:color w:val="000000" w:themeColor="text1"/>
          <w:szCs w:val="28"/>
          <w14:textFill>
            <w14:solidFill>
              <w14:schemeClr w14:val="tx1"/>
            </w14:solidFill>
          </w14:textFill>
        </w:rPr>
      </w:pPr>
      <w:r>
        <w:rPr>
          <w:rFonts w:hint="eastAsia" w:ascii="宋体" w:hAnsi="宋体" w:cs="仿宋"/>
          <w:b/>
          <w:bCs/>
          <w:color w:val="000000" w:themeColor="text1"/>
          <w:szCs w:val="28"/>
          <w14:textFill>
            <w14:solidFill>
              <w14:schemeClr w14:val="tx1"/>
            </w14:solidFill>
          </w14:textFill>
        </w:rPr>
        <w:t>表1-2 项目分年度支出计划表</w:t>
      </w:r>
    </w:p>
    <w:p w14:paraId="0C48F86E">
      <w:pPr>
        <w:ind w:firstLine="360" w:firstLineChars="200"/>
        <w:jc w:val="right"/>
        <w:rPr>
          <w:rFonts w:ascii="宋体" w:hAnsi="宋体" w:cs="仿宋"/>
          <w:b/>
          <w:bCs/>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721"/>
        <w:gridCol w:w="2067"/>
        <w:gridCol w:w="1289"/>
        <w:gridCol w:w="1005"/>
        <w:gridCol w:w="1175"/>
        <w:gridCol w:w="1289"/>
        <w:gridCol w:w="1174"/>
      </w:tblGrid>
      <w:tr w14:paraId="7DDCF4B9">
        <w:trPr>
          <w:trHeight w:val="270" w:hRule="atLeast"/>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4DB009D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185" w:type="pct"/>
            <w:tcBorders>
              <w:top w:val="single" w:color="auto" w:sz="4" w:space="0"/>
              <w:left w:val="nil"/>
              <w:bottom w:val="single" w:color="auto" w:sz="4" w:space="0"/>
              <w:right w:val="single" w:color="auto" w:sz="4" w:space="0"/>
            </w:tcBorders>
            <w:shd w:val="clear" w:color="auto" w:fill="auto"/>
            <w:vAlign w:val="center"/>
          </w:tcPr>
          <w:p w14:paraId="28B2337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费用类型</w:t>
            </w:r>
          </w:p>
        </w:tc>
        <w:tc>
          <w:tcPr>
            <w:tcW w:w="739" w:type="pct"/>
            <w:tcBorders>
              <w:top w:val="single" w:color="auto" w:sz="4" w:space="0"/>
              <w:left w:val="nil"/>
              <w:bottom w:val="single" w:color="auto" w:sz="4" w:space="0"/>
              <w:right w:val="single" w:color="auto" w:sz="4" w:space="0"/>
            </w:tcBorders>
            <w:shd w:val="clear" w:color="auto" w:fill="auto"/>
            <w:vAlign w:val="center"/>
          </w:tcPr>
          <w:p w14:paraId="29189E8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76" w:type="pct"/>
            <w:tcBorders>
              <w:top w:val="single" w:color="auto" w:sz="4" w:space="0"/>
              <w:left w:val="nil"/>
              <w:bottom w:val="single" w:color="auto" w:sz="4" w:space="0"/>
              <w:right w:val="single" w:color="auto" w:sz="4" w:space="0"/>
            </w:tcBorders>
            <w:shd w:val="clear" w:color="auto" w:fill="auto"/>
            <w:vAlign w:val="center"/>
          </w:tcPr>
          <w:p w14:paraId="50D993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674" w:type="pct"/>
            <w:tcBorders>
              <w:top w:val="single" w:color="auto" w:sz="4" w:space="0"/>
              <w:left w:val="nil"/>
              <w:bottom w:val="single" w:color="auto" w:sz="4" w:space="0"/>
              <w:right w:val="single" w:color="auto" w:sz="4" w:space="0"/>
            </w:tcBorders>
            <w:shd w:val="clear" w:color="auto" w:fill="auto"/>
            <w:vAlign w:val="center"/>
          </w:tcPr>
          <w:p w14:paraId="2E1AFB4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739" w:type="pct"/>
            <w:tcBorders>
              <w:top w:val="single" w:color="auto" w:sz="4" w:space="0"/>
              <w:left w:val="nil"/>
              <w:bottom w:val="single" w:color="auto" w:sz="4" w:space="0"/>
              <w:right w:val="single" w:color="auto" w:sz="4" w:space="0"/>
            </w:tcBorders>
            <w:shd w:val="clear" w:color="auto" w:fill="auto"/>
            <w:vAlign w:val="center"/>
          </w:tcPr>
          <w:p w14:paraId="583F502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674" w:type="pct"/>
            <w:tcBorders>
              <w:top w:val="single" w:color="auto" w:sz="4" w:space="0"/>
              <w:left w:val="nil"/>
              <w:bottom w:val="single" w:color="auto" w:sz="4" w:space="0"/>
              <w:right w:val="single" w:color="auto" w:sz="4" w:space="0"/>
            </w:tcBorders>
            <w:shd w:val="clear" w:color="auto" w:fill="auto"/>
            <w:vAlign w:val="center"/>
          </w:tcPr>
          <w:p w14:paraId="5D761B0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r>
      <w:tr w14:paraId="5FAFAC16">
        <w:trPr>
          <w:trHeight w:val="270" w:hRule="atLeast"/>
        </w:trPr>
        <w:tc>
          <w:tcPr>
            <w:tcW w:w="414" w:type="pct"/>
            <w:tcBorders>
              <w:top w:val="nil"/>
              <w:left w:val="single" w:color="auto" w:sz="4" w:space="0"/>
              <w:bottom w:val="single" w:color="auto" w:sz="4" w:space="0"/>
              <w:right w:val="single" w:color="auto" w:sz="4" w:space="0"/>
            </w:tcBorders>
            <w:shd w:val="clear" w:color="auto" w:fill="auto"/>
            <w:vAlign w:val="center"/>
          </w:tcPr>
          <w:p w14:paraId="7ED8909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1185" w:type="pct"/>
            <w:tcBorders>
              <w:top w:val="nil"/>
              <w:left w:val="nil"/>
              <w:bottom w:val="single" w:color="auto" w:sz="4" w:space="0"/>
              <w:right w:val="single" w:color="auto" w:sz="4" w:space="0"/>
            </w:tcBorders>
            <w:shd w:val="clear" w:color="auto" w:fill="auto"/>
            <w:vAlign w:val="center"/>
          </w:tcPr>
          <w:p w14:paraId="46724E8E">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工程费用</w:t>
            </w:r>
          </w:p>
        </w:tc>
        <w:tc>
          <w:tcPr>
            <w:tcW w:w="739" w:type="pct"/>
            <w:tcBorders>
              <w:top w:val="nil"/>
              <w:left w:val="nil"/>
              <w:bottom w:val="single" w:color="auto" w:sz="4" w:space="0"/>
              <w:right w:val="single" w:color="auto" w:sz="4" w:space="0"/>
            </w:tcBorders>
            <w:shd w:val="clear" w:color="auto" w:fill="auto"/>
            <w:noWrap/>
            <w:vAlign w:val="center"/>
          </w:tcPr>
          <w:p w14:paraId="5E617D9E">
            <w:pPr>
              <w:widowControl/>
              <w:jc w:val="center"/>
              <w:rPr>
                <w:rFonts w:ascii="宋体" w:hAnsi="宋体" w:cs="Arial"/>
                <w:kern w:val="0"/>
                <w:sz w:val="18"/>
                <w:szCs w:val="18"/>
              </w:rPr>
            </w:pPr>
            <w:r>
              <w:rPr>
                <w:rFonts w:ascii="宋体" w:hAnsi="宋体" w:cs="Arial"/>
                <w:kern w:val="0"/>
                <w:sz w:val="18"/>
                <w:szCs w:val="18"/>
              </w:rPr>
              <w:t>29,311.15</w:t>
            </w:r>
          </w:p>
        </w:tc>
        <w:tc>
          <w:tcPr>
            <w:tcW w:w="576" w:type="pct"/>
            <w:tcBorders>
              <w:top w:val="nil"/>
              <w:left w:val="nil"/>
              <w:bottom w:val="single" w:color="auto" w:sz="4" w:space="0"/>
              <w:right w:val="single" w:color="auto" w:sz="4" w:space="0"/>
            </w:tcBorders>
            <w:shd w:val="clear" w:color="auto" w:fill="auto"/>
            <w:noWrap/>
            <w:vAlign w:val="center"/>
          </w:tcPr>
          <w:p w14:paraId="6DA92794">
            <w:pPr>
              <w:widowControl/>
              <w:jc w:val="center"/>
              <w:rPr>
                <w:rFonts w:ascii="宋体" w:hAnsi="宋体" w:cs="Arial"/>
                <w:kern w:val="0"/>
                <w:sz w:val="18"/>
                <w:szCs w:val="18"/>
              </w:rPr>
            </w:pPr>
            <w:r>
              <w:rPr>
                <w:rFonts w:ascii="宋体" w:hAnsi="宋体" w:cs="Arial"/>
                <w:kern w:val="0"/>
                <w:sz w:val="18"/>
                <w:szCs w:val="18"/>
              </w:rPr>
              <w:t>327.79</w:t>
            </w:r>
          </w:p>
        </w:tc>
        <w:tc>
          <w:tcPr>
            <w:tcW w:w="674" w:type="pct"/>
            <w:tcBorders>
              <w:top w:val="nil"/>
              <w:left w:val="nil"/>
              <w:bottom w:val="single" w:color="auto" w:sz="4" w:space="0"/>
              <w:right w:val="single" w:color="auto" w:sz="4" w:space="0"/>
            </w:tcBorders>
            <w:shd w:val="clear" w:color="auto" w:fill="auto"/>
            <w:noWrap/>
            <w:vAlign w:val="center"/>
          </w:tcPr>
          <w:p w14:paraId="0A2C37CC">
            <w:pPr>
              <w:widowControl/>
              <w:jc w:val="center"/>
              <w:rPr>
                <w:rFonts w:ascii="宋体" w:hAnsi="宋体" w:cs="Arial"/>
                <w:kern w:val="0"/>
                <w:sz w:val="18"/>
                <w:szCs w:val="18"/>
              </w:rPr>
            </w:pPr>
            <w:r>
              <w:rPr>
                <w:rFonts w:ascii="宋体" w:hAnsi="宋体" w:cs="Arial"/>
                <w:kern w:val="0"/>
                <w:sz w:val="18"/>
                <w:szCs w:val="18"/>
              </w:rPr>
              <w:t>4,327.79</w:t>
            </w:r>
          </w:p>
        </w:tc>
        <w:tc>
          <w:tcPr>
            <w:tcW w:w="739" w:type="pct"/>
            <w:tcBorders>
              <w:top w:val="nil"/>
              <w:left w:val="nil"/>
              <w:bottom w:val="single" w:color="auto" w:sz="4" w:space="0"/>
              <w:right w:val="single" w:color="auto" w:sz="4" w:space="0"/>
            </w:tcBorders>
            <w:shd w:val="clear" w:color="auto" w:fill="auto"/>
            <w:noWrap/>
            <w:vAlign w:val="center"/>
          </w:tcPr>
          <w:p w14:paraId="3D56AA18">
            <w:pPr>
              <w:widowControl/>
              <w:jc w:val="center"/>
              <w:rPr>
                <w:rFonts w:ascii="宋体" w:hAnsi="宋体" w:cs="Arial"/>
                <w:kern w:val="0"/>
                <w:sz w:val="18"/>
                <w:szCs w:val="18"/>
              </w:rPr>
            </w:pPr>
            <w:r>
              <w:rPr>
                <w:rFonts w:ascii="宋体" w:hAnsi="宋体" w:cs="Arial"/>
                <w:kern w:val="0"/>
                <w:sz w:val="18"/>
                <w:szCs w:val="18"/>
              </w:rPr>
              <w:t>18,327.79</w:t>
            </w:r>
          </w:p>
        </w:tc>
        <w:tc>
          <w:tcPr>
            <w:tcW w:w="674" w:type="pct"/>
            <w:tcBorders>
              <w:top w:val="nil"/>
              <w:left w:val="nil"/>
              <w:bottom w:val="single" w:color="auto" w:sz="4" w:space="0"/>
              <w:right w:val="single" w:color="auto" w:sz="4" w:space="0"/>
            </w:tcBorders>
            <w:shd w:val="clear" w:color="auto" w:fill="auto"/>
            <w:noWrap/>
            <w:vAlign w:val="center"/>
          </w:tcPr>
          <w:p w14:paraId="224EE372">
            <w:pPr>
              <w:widowControl/>
              <w:jc w:val="center"/>
              <w:rPr>
                <w:rFonts w:ascii="宋体" w:hAnsi="宋体" w:cs="宋体"/>
                <w:color w:val="000000"/>
                <w:kern w:val="0"/>
                <w:sz w:val="18"/>
                <w:szCs w:val="18"/>
              </w:rPr>
            </w:pPr>
            <w:r>
              <w:rPr>
                <w:rFonts w:hint="eastAsia" w:ascii="宋体" w:hAnsi="宋体" w:cs="宋体"/>
                <w:color w:val="000000"/>
                <w:kern w:val="0"/>
                <w:sz w:val="18"/>
                <w:szCs w:val="18"/>
              </w:rPr>
              <w:t>6,327.78</w:t>
            </w:r>
          </w:p>
        </w:tc>
      </w:tr>
      <w:tr w14:paraId="432BE72D">
        <w:trPr>
          <w:trHeight w:val="270" w:hRule="atLeast"/>
        </w:trPr>
        <w:tc>
          <w:tcPr>
            <w:tcW w:w="414" w:type="pct"/>
            <w:tcBorders>
              <w:top w:val="nil"/>
              <w:left w:val="single" w:color="auto" w:sz="4" w:space="0"/>
              <w:bottom w:val="single" w:color="auto" w:sz="4" w:space="0"/>
              <w:right w:val="single" w:color="auto" w:sz="4" w:space="0"/>
            </w:tcBorders>
            <w:shd w:val="clear" w:color="auto" w:fill="auto"/>
            <w:vAlign w:val="center"/>
          </w:tcPr>
          <w:p w14:paraId="278A150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p>
        </w:tc>
        <w:tc>
          <w:tcPr>
            <w:tcW w:w="1185" w:type="pct"/>
            <w:tcBorders>
              <w:top w:val="nil"/>
              <w:left w:val="nil"/>
              <w:bottom w:val="single" w:color="auto" w:sz="4" w:space="0"/>
              <w:right w:val="single" w:color="auto" w:sz="4" w:space="0"/>
            </w:tcBorders>
            <w:shd w:val="clear" w:color="auto" w:fill="auto"/>
            <w:vAlign w:val="center"/>
          </w:tcPr>
          <w:p w14:paraId="0575E35C">
            <w:pPr>
              <w:widowControl/>
              <w:jc w:val="center"/>
              <w:rPr>
                <w:rFonts w:ascii="宋体" w:hAnsi="宋体" w:cs="宋体"/>
                <w:color w:val="000000"/>
                <w:kern w:val="0"/>
                <w:sz w:val="18"/>
                <w:szCs w:val="18"/>
              </w:rPr>
            </w:pPr>
            <w:r>
              <w:rPr>
                <w:rFonts w:hint="eastAsia" w:ascii="宋体" w:hAnsi="宋体" w:cs="宋体"/>
                <w:color w:val="000000"/>
                <w:kern w:val="0"/>
                <w:sz w:val="18"/>
                <w:szCs w:val="18"/>
              </w:rPr>
              <w:t>工程建设其他费用</w:t>
            </w:r>
          </w:p>
        </w:tc>
        <w:tc>
          <w:tcPr>
            <w:tcW w:w="739" w:type="pct"/>
            <w:tcBorders>
              <w:top w:val="nil"/>
              <w:left w:val="nil"/>
              <w:bottom w:val="single" w:color="auto" w:sz="4" w:space="0"/>
              <w:right w:val="single" w:color="auto" w:sz="4" w:space="0"/>
            </w:tcBorders>
            <w:shd w:val="clear" w:color="auto" w:fill="auto"/>
            <w:noWrap/>
            <w:vAlign w:val="center"/>
          </w:tcPr>
          <w:p w14:paraId="5265A908">
            <w:pPr>
              <w:widowControl/>
              <w:jc w:val="center"/>
              <w:rPr>
                <w:rFonts w:ascii="宋体" w:hAnsi="宋体" w:cs="Arial"/>
                <w:kern w:val="0"/>
                <w:sz w:val="18"/>
                <w:szCs w:val="18"/>
              </w:rPr>
            </w:pPr>
            <w:r>
              <w:rPr>
                <w:rFonts w:ascii="宋体" w:hAnsi="宋体" w:cs="Arial"/>
                <w:kern w:val="0"/>
                <w:sz w:val="18"/>
                <w:szCs w:val="18"/>
              </w:rPr>
              <w:t>1,623.28</w:t>
            </w:r>
          </w:p>
        </w:tc>
        <w:tc>
          <w:tcPr>
            <w:tcW w:w="576" w:type="pct"/>
            <w:tcBorders>
              <w:top w:val="nil"/>
              <w:left w:val="nil"/>
              <w:bottom w:val="single" w:color="auto" w:sz="4" w:space="0"/>
              <w:right w:val="single" w:color="auto" w:sz="4" w:space="0"/>
            </w:tcBorders>
            <w:shd w:val="clear" w:color="auto" w:fill="auto"/>
            <w:noWrap/>
            <w:vAlign w:val="center"/>
          </w:tcPr>
          <w:p w14:paraId="7C12860F">
            <w:pPr>
              <w:widowControl/>
              <w:jc w:val="center"/>
              <w:rPr>
                <w:rFonts w:ascii="宋体" w:hAnsi="宋体" w:cs="Arial"/>
                <w:kern w:val="0"/>
                <w:sz w:val="18"/>
                <w:szCs w:val="18"/>
              </w:rPr>
            </w:pPr>
            <w:r>
              <w:rPr>
                <w:rFonts w:ascii="宋体" w:hAnsi="宋体" w:cs="Arial"/>
                <w:kern w:val="0"/>
                <w:sz w:val="18"/>
                <w:szCs w:val="18"/>
              </w:rPr>
              <w:t>405.82</w:t>
            </w:r>
          </w:p>
        </w:tc>
        <w:tc>
          <w:tcPr>
            <w:tcW w:w="674" w:type="pct"/>
            <w:tcBorders>
              <w:top w:val="nil"/>
              <w:left w:val="nil"/>
              <w:bottom w:val="single" w:color="auto" w:sz="4" w:space="0"/>
              <w:right w:val="single" w:color="auto" w:sz="4" w:space="0"/>
            </w:tcBorders>
            <w:shd w:val="clear" w:color="auto" w:fill="auto"/>
            <w:noWrap/>
            <w:vAlign w:val="center"/>
          </w:tcPr>
          <w:p w14:paraId="2CFE27D0">
            <w:pPr>
              <w:widowControl/>
              <w:jc w:val="center"/>
              <w:rPr>
                <w:rFonts w:ascii="宋体" w:hAnsi="宋体" w:cs="Arial"/>
                <w:kern w:val="0"/>
                <w:sz w:val="18"/>
                <w:szCs w:val="18"/>
              </w:rPr>
            </w:pPr>
            <w:r>
              <w:rPr>
                <w:rFonts w:ascii="宋体" w:hAnsi="宋体" w:cs="Arial"/>
                <w:kern w:val="0"/>
                <w:sz w:val="18"/>
                <w:szCs w:val="18"/>
              </w:rPr>
              <w:t>405.82</w:t>
            </w:r>
          </w:p>
        </w:tc>
        <w:tc>
          <w:tcPr>
            <w:tcW w:w="739" w:type="pct"/>
            <w:tcBorders>
              <w:top w:val="nil"/>
              <w:left w:val="nil"/>
              <w:bottom w:val="single" w:color="auto" w:sz="4" w:space="0"/>
              <w:right w:val="single" w:color="auto" w:sz="4" w:space="0"/>
            </w:tcBorders>
            <w:shd w:val="clear" w:color="auto" w:fill="auto"/>
            <w:noWrap/>
            <w:vAlign w:val="center"/>
          </w:tcPr>
          <w:p w14:paraId="30CA5A0D">
            <w:pPr>
              <w:widowControl/>
              <w:jc w:val="center"/>
              <w:rPr>
                <w:rFonts w:ascii="宋体" w:hAnsi="宋体" w:cs="Arial"/>
                <w:kern w:val="0"/>
                <w:sz w:val="18"/>
                <w:szCs w:val="18"/>
              </w:rPr>
            </w:pPr>
            <w:r>
              <w:rPr>
                <w:rFonts w:ascii="宋体" w:hAnsi="宋体" w:cs="Arial"/>
                <w:kern w:val="0"/>
                <w:sz w:val="18"/>
                <w:szCs w:val="18"/>
              </w:rPr>
              <w:t>405.82</w:t>
            </w:r>
          </w:p>
        </w:tc>
        <w:tc>
          <w:tcPr>
            <w:tcW w:w="674" w:type="pct"/>
            <w:tcBorders>
              <w:top w:val="nil"/>
              <w:left w:val="nil"/>
              <w:bottom w:val="single" w:color="auto" w:sz="4" w:space="0"/>
              <w:right w:val="single" w:color="auto" w:sz="4" w:space="0"/>
            </w:tcBorders>
            <w:shd w:val="clear" w:color="auto" w:fill="auto"/>
            <w:noWrap/>
            <w:vAlign w:val="center"/>
          </w:tcPr>
          <w:p w14:paraId="2A002A44">
            <w:pPr>
              <w:widowControl/>
              <w:jc w:val="center"/>
              <w:rPr>
                <w:rFonts w:ascii="宋体" w:hAnsi="宋体" w:cs="宋体"/>
                <w:color w:val="000000"/>
                <w:kern w:val="0"/>
                <w:sz w:val="18"/>
                <w:szCs w:val="18"/>
              </w:rPr>
            </w:pPr>
            <w:r>
              <w:rPr>
                <w:rFonts w:hint="eastAsia" w:ascii="宋体" w:hAnsi="宋体" w:cs="宋体"/>
                <w:color w:val="000000"/>
                <w:kern w:val="0"/>
                <w:sz w:val="18"/>
                <w:szCs w:val="18"/>
              </w:rPr>
              <w:t>405.82</w:t>
            </w:r>
          </w:p>
        </w:tc>
      </w:tr>
      <w:tr w14:paraId="7E1C5C04">
        <w:trPr>
          <w:trHeight w:val="270" w:hRule="atLeast"/>
        </w:trPr>
        <w:tc>
          <w:tcPr>
            <w:tcW w:w="414" w:type="pct"/>
            <w:tcBorders>
              <w:top w:val="nil"/>
              <w:left w:val="single" w:color="auto" w:sz="4" w:space="0"/>
              <w:bottom w:val="single" w:color="auto" w:sz="4" w:space="0"/>
              <w:right w:val="single" w:color="auto" w:sz="4" w:space="0"/>
            </w:tcBorders>
            <w:shd w:val="clear" w:color="auto" w:fill="auto"/>
            <w:vAlign w:val="center"/>
          </w:tcPr>
          <w:p w14:paraId="56198B4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w:t>
            </w:r>
          </w:p>
        </w:tc>
        <w:tc>
          <w:tcPr>
            <w:tcW w:w="1185" w:type="pct"/>
            <w:tcBorders>
              <w:top w:val="nil"/>
              <w:left w:val="nil"/>
              <w:bottom w:val="single" w:color="auto" w:sz="4" w:space="0"/>
              <w:right w:val="single" w:color="auto" w:sz="4" w:space="0"/>
            </w:tcBorders>
            <w:shd w:val="clear" w:color="auto" w:fill="auto"/>
            <w:vAlign w:val="center"/>
          </w:tcPr>
          <w:p w14:paraId="4D40EAA2">
            <w:pPr>
              <w:widowControl/>
              <w:jc w:val="center"/>
              <w:rPr>
                <w:rFonts w:ascii="宋体" w:hAnsi="宋体" w:cs="宋体"/>
                <w:color w:val="000000"/>
                <w:kern w:val="0"/>
                <w:sz w:val="18"/>
                <w:szCs w:val="18"/>
              </w:rPr>
            </w:pPr>
            <w:r>
              <w:rPr>
                <w:rFonts w:hint="eastAsia" w:ascii="宋体" w:hAnsi="宋体" w:cs="宋体"/>
                <w:color w:val="000000"/>
                <w:kern w:val="0"/>
                <w:sz w:val="18"/>
                <w:szCs w:val="18"/>
              </w:rPr>
              <w:t>预备费</w:t>
            </w:r>
          </w:p>
        </w:tc>
        <w:tc>
          <w:tcPr>
            <w:tcW w:w="739" w:type="pct"/>
            <w:tcBorders>
              <w:top w:val="nil"/>
              <w:left w:val="nil"/>
              <w:bottom w:val="single" w:color="auto" w:sz="4" w:space="0"/>
              <w:right w:val="single" w:color="auto" w:sz="4" w:space="0"/>
            </w:tcBorders>
            <w:shd w:val="clear" w:color="auto" w:fill="auto"/>
            <w:noWrap/>
            <w:vAlign w:val="center"/>
          </w:tcPr>
          <w:p w14:paraId="232803E4">
            <w:pPr>
              <w:widowControl/>
              <w:jc w:val="center"/>
              <w:rPr>
                <w:rFonts w:ascii="宋体" w:hAnsi="宋体" w:cs="Arial"/>
                <w:kern w:val="0"/>
                <w:sz w:val="18"/>
                <w:szCs w:val="18"/>
              </w:rPr>
            </w:pPr>
            <w:r>
              <w:rPr>
                <w:rFonts w:ascii="宋体" w:hAnsi="宋体" w:cs="Arial"/>
                <w:kern w:val="0"/>
                <w:sz w:val="18"/>
                <w:szCs w:val="18"/>
              </w:rPr>
              <w:t>1,465.56</w:t>
            </w:r>
          </w:p>
        </w:tc>
        <w:tc>
          <w:tcPr>
            <w:tcW w:w="576" w:type="pct"/>
            <w:tcBorders>
              <w:top w:val="nil"/>
              <w:left w:val="nil"/>
              <w:bottom w:val="single" w:color="auto" w:sz="4" w:space="0"/>
              <w:right w:val="single" w:color="auto" w:sz="4" w:space="0"/>
            </w:tcBorders>
            <w:shd w:val="clear" w:color="auto" w:fill="auto"/>
            <w:noWrap/>
            <w:vAlign w:val="center"/>
          </w:tcPr>
          <w:p w14:paraId="76FFAD72">
            <w:pPr>
              <w:widowControl/>
              <w:jc w:val="center"/>
              <w:rPr>
                <w:rFonts w:ascii="宋体" w:hAnsi="宋体" w:cs="Arial"/>
                <w:kern w:val="0"/>
                <w:sz w:val="18"/>
                <w:szCs w:val="18"/>
              </w:rPr>
            </w:pPr>
          </w:p>
        </w:tc>
        <w:tc>
          <w:tcPr>
            <w:tcW w:w="674" w:type="pct"/>
            <w:tcBorders>
              <w:top w:val="nil"/>
              <w:left w:val="nil"/>
              <w:bottom w:val="single" w:color="auto" w:sz="4" w:space="0"/>
              <w:right w:val="single" w:color="auto" w:sz="4" w:space="0"/>
            </w:tcBorders>
            <w:shd w:val="clear" w:color="auto" w:fill="auto"/>
            <w:noWrap/>
            <w:vAlign w:val="center"/>
          </w:tcPr>
          <w:p w14:paraId="70AB2763">
            <w:pPr>
              <w:widowControl/>
              <w:jc w:val="center"/>
              <w:rPr>
                <w:rFonts w:ascii="宋体" w:hAnsi="宋体" w:cs="Arial"/>
                <w:kern w:val="0"/>
                <w:sz w:val="18"/>
                <w:szCs w:val="18"/>
              </w:rPr>
            </w:pPr>
          </w:p>
        </w:tc>
        <w:tc>
          <w:tcPr>
            <w:tcW w:w="739" w:type="pct"/>
            <w:tcBorders>
              <w:top w:val="nil"/>
              <w:left w:val="nil"/>
              <w:bottom w:val="single" w:color="auto" w:sz="4" w:space="0"/>
              <w:right w:val="single" w:color="auto" w:sz="4" w:space="0"/>
            </w:tcBorders>
            <w:shd w:val="clear" w:color="auto" w:fill="auto"/>
            <w:noWrap/>
            <w:vAlign w:val="center"/>
          </w:tcPr>
          <w:p w14:paraId="1F0CEBF7">
            <w:pPr>
              <w:widowControl/>
              <w:jc w:val="center"/>
              <w:rPr>
                <w:rFonts w:ascii="宋体" w:hAnsi="宋体" w:cs="Arial"/>
                <w:kern w:val="0"/>
                <w:sz w:val="18"/>
                <w:szCs w:val="18"/>
              </w:rPr>
            </w:pPr>
            <w:r>
              <w:rPr>
                <w:rFonts w:ascii="宋体" w:hAnsi="宋体" w:cs="Arial"/>
                <w:kern w:val="0"/>
                <w:sz w:val="18"/>
                <w:szCs w:val="18"/>
              </w:rPr>
              <w:t>732.78</w:t>
            </w:r>
          </w:p>
        </w:tc>
        <w:tc>
          <w:tcPr>
            <w:tcW w:w="674" w:type="pct"/>
            <w:tcBorders>
              <w:top w:val="nil"/>
              <w:left w:val="nil"/>
              <w:bottom w:val="single" w:color="auto" w:sz="4" w:space="0"/>
              <w:right w:val="single" w:color="auto" w:sz="4" w:space="0"/>
            </w:tcBorders>
            <w:shd w:val="clear" w:color="auto" w:fill="auto"/>
            <w:noWrap/>
            <w:vAlign w:val="center"/>
          </w:tcPr>
          <w:p w14:paraId="43C68CE5">
            <w:pPr>
              <w:widowControl/>
              <w:jc w:val="center"/>
              <w:rPr>
                <w:rFonts w:ascii="宋体" w:hAnsi="宋体" w:cs="宋体"/>
                <w:color w:val="000000"/>
                <w:kern w:val="0"/>
                <w:sz w:val="18"/>
                <w:szCs w:val="18"/>
              </w:rPr>
            </w:pPr>
            <w:r>
              <w:rPr>
                <w:rFonts w:hint="eastAsia" w:ascii="宋体" w:hAnsi="宋体" w:cs="宋体"/>
                <w:color w:val="000000"/>
                <w:kern w:val="0"/>
                <w:sz w:val="18"/>
                <w:szCs w:val="18"/>
              </w:rPr>
              <w:t>732.78</w:t>
            </w:r>
          </w:p>
        </w:tc>
      </w:tr>
      <w:tr w14:paraId="44570D78">
        <w:trPr>
          <w:trHeight w:val="270" w:hRule="atLeast"/>
        </w:trPr>
        <w:tc>
          <w:tcPr>
            <w:tcW w:w="1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056B7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739" w:type="pct"/>
            <w:tcBorders>
              <w:top w:val="nil"/>
              <w:left w:val="nil"/>
              <w:bottom w:val="single" w:color="auto" w:sz="4" w:space="0"/>
              <w:right w:val="single" w:color="auto" w:sz="4" w:space="0"/>
            </w:tcBorders>
            <w:shd w:val="clear" w:color="auto" w:fill="auto"/>
            <w:vAlign w:val="center"/>
          </w:tcPr>
          <w:p w14:paraId="0BD46F5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32,399.99</w:t>
            </w:r>
          </w:p>
        </w:tc>
        <w:tc>
          <w:tcPr>
            <w:tcW w:w="576" w:type="pct"/>
            <w:tcBorders>
              <w:top w:val="nil"/>
              <w:left w:val="nil"/>
              <w:bottom w:val="single" w:color="auto" w:sz="4" w:space="0"/>
              <w:right w:val="single" w:color="auto" w:sz="4" w:space="0"/>
            </w:tcBorders>
            <w:shd w:val="clear" w:color="auto" w:fill="auto"/>
            <w:vAlign w:val="center"/>
          </w:tcPr>
          <w:p w14:paraId="20CBC42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733.61</w:t>
            </w:r>
          </w:p>
        </w:tc>
        <w:tc>
          <w:tcPr>
            <w:tcW w:w="674" w:type="pct"/>
            <w:tcBorders>
              <w:top w:val="nil"/>
              <w:left w:val="nil"/>
              <w:bottom w:val="single" w:color="auto" w:sz="4" w:space="0"/>
              <w:right w:val="single" w:color="auto" w:sz="4" w:space="0"/>
            </w:tcBorders>
            <w:shd w:val="clear" w:color="auto" w:fill="auto"/>
            <w:vAlign w:val="center"/>
          </w:tcPr>
          <w:p w14:paraId="271DE9D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4,733.61</w:t>
            </w:r>
          </w:p>
        </w:tc>
        <w:tc>
          <w:tcPr>
            <w:tcW w:w="739" w:type="pct"/>
            <w:tcBorders>
              <w:top w:val="nil"/>
              <w:left w:val="nil"/>
              <w:bottom w:val="single" w:color="auto" w:sz="4" w:space="0"/>
              <w:right w:val="single" w:color="auto" w:sz="4" w:space="0"/>
            </w:tcBorders>
            <w:shd w:val="clear" w:color="auto" w:fill="auto"/>
            <w:vAlign w:val="center"/>
          </w:tcPr>
          <w:p w14:paraId="2DD79BC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19,466.39</w:t>
            </w:r>
          </w:p>
        </w:tc>
        <w:tc>
          <w:tcPr>
            <w:tcW w:w="674" w:type="pct"/>
            <w:tcBorders>
              <w:top w:val="nil"/>
              <w:left w:val="nil"/>
              <w:bottom w:val="single" w:color="auto" w:sz="4" w:space="0"/>
              <w:right w:val="single" w:color="auto" w:sz="4" w:space="0"/>
            </w:tcBorders>
            <w:shd w:val="clear" w:color="auto" w:fill="auto"/>
            <w:vAlign w:val="center"/>
          </w:tcPr>
          <w:p w14:paraId="5CF6E5C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7,466.38</w:t>
            </w:r>
          </w:p>
        </w:tc>
      </w:tr>
    </w:tbl>
    <w:p w14:paraId="41257363">
      <w:pPr>
        <w:pStyle w:val="20"/>
        <w:spacing w:before="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注：项目建设周期为36个月，从2022年3月28日-2025年3月29日。</w:t>
      </w:r>
    </w:p>
    <w:p w14:paraId="14815289">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二、项目投资估算及资金筹措方案</w:t>
      </w:r>
    </w:p>
    <w:p w14:paraId="237D8E67">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（一）投资估算</w:t>
      </w:r>
    </w:p>
    <w:p w14:paraId="178ACDD8">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1、估算编制依据</w:t>
      </w:r>
    </w:p>
    <w:p w14:paraId="20417481">
      <w:pPr>
        <w:spacing w:line="360" w:lineRule="auto"/>
        <w:ind w:left="-140" w:leftChars="-67" w:right="-98" w:rightChars="-47" w:firstLine="376" w:firstLineChars="157"/>
        <w:rPr>
          <w:rFonts w:ascii="楷体" w:hAnsi="楷体" w:eastAsia="楷体" w:cs="楷体"/>
          <w:bCs/>
          <w:sz w:val="28"/>
          <w:szCs w:val="28"/>
        </w:rPr>
      </w:pPr>
      <w:r>
        <w:rPr>
          <w:rFonts w:hint="eastAsia" w:ascii="宋体" w:hAnsi="宋体" w:eastAsia="宋体" w:cs="宋体"/>
          <w:bCs/>
          <w:sz w:val="24"/>
          <w:szCs w:val="24"/>
        </w:rPr>
        <w:t>1)</w:t>
      </w:r>
      <w:r>
        <w:rPr>
          <w:rFonts w:hint="eastAsia" w:ascii="楷体" w:hAnsi="楷体" w:eastAsia="楷体" w:cs="楷体"/>
          <w:bCs/>
          <w:sz w:val="28"/>
          <w:szCs w:val="28"/>
        </w:rPr>
        <w:t xml:space="preserve"> </w:t>
      </w:r>
      <w:r>
        <w:rPr>
          <w:rFonts w:hint="eastAsia" w:ascii="宋体" w:hAnsi="宋体" w:eastAsia="宋体" w:cs="宋体"/>
          <w:bCs/>
          <w:sz w:val="24"/>
          <w:szCs w:val="24"/>
        </w:rPr>
        <w:t>《关于南昌县霞山村安置房住宅小区一期工程（棚户区改造）可行性研究报告的批复》（南行审投资投字【2022】28号）批复</w:t>
      </w:r>
    </w:p>
    <w:p w14:paraId="58197F3B">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2)财政部《关于试点发展项目收益与融资自求平衡的地方政府专项债券品种的通知》（财预〔2017〕89号文）；</w:t>
      </w:r>
    </w:p>
    <w:p w14:paraId="589195D7">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3)财政部《关于做好2018年地方政府债券发行工作的意见》（财库〔2018〕61号）；</w:t>
      </w:r>
    </w:p>
    <w:p w14:paraId="671B9B07">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4)《国家鼓励发展的资源节约综合利用和环境保护技术》（国家发展改革委令[2005]第65号）；</w:t>
      </w:r>
    </w:p>
    <w:p w14:paraId="55238F58">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5)《中华人民共和国电力法（2015年修正）》（国家主席令[2015]第24号）；</w:t>
      </w:r>
    </w:p>
    <w:p w14:paraId="249CAB8C">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6)《水利建设项目经济评价规范》（SL72-2013）；</w:t>
      </w:r>
    </w:p>
    <w:p w14:paraId="551DF7CC">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7)《水电建设项目经济评价规范》（DL/T5441-2010）；</w:t>
      </w:r>
    </w:p>
    <w:p w14:paraId="2B30A3D9">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8) 《南昌县霞山村安置房住宅小区一期工程（棚户区改造）可行性研究报告》；</w:t>
      </w:r>
    </w:p>
    <w:p w14:paraId="3D88E289">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9) 建设工程规划设计要求（蓝协（2018）第001号）；</w:t>
      </w:r>
    </w:p>
    <w:p w14:paraId="237C090B">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2、费率及参数</w:t>
      </w:r>
    </w:p>
    <w:p w14:paraId="7164EEDC">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本项目从客观、谨慎角度出发、发行利率取3.9%进行测算，本次债券发行按照每半年付息，到期一次性还本的方式。另外，按0.1%费率计算债券发行费用，符合专项债发行现状。</w:t>
      </w:r>
    </w:p>
    <w:p w14:paraId="68FB603F">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（二）资金筹措方案</w:t>
      </w:r>
    </w:p>
    <w:p w14:paraId="304C3D66">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1、资金筹措原则</w:t>
      </w:r>
    </w:p>
    <w:p w14:paraId="48EC17D1">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本次资金筹措遵循以下原则：</w:t>
      </w:r>
    </w:p>
    <w:p w14:paraId="5DADC5D5">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（1）项目投入一定资本金，保证项目顺利开工及后续融资的可能；</w:t>
      </w:r>
    </w:p>
    <w:p w14:paraId="3380E43C">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（2）发行地方政府专项债券、其他融资。</w:t>
      </w:r>
    </w:p>
    <w:p w14:paraId="2D197A34">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2、资金筹措方案</w:t>
      </w:r>
    </w:p>
    <w:p w14:paraId="68A470AC">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考虑资金成本，结合本次发行项目实际情况，为降低资金成本，减轻财务负担，提高资金流动性，保障项目现金流最大化，本项目投资人根据国家相关规定，初步确定项目资金来源如下：</w:t>
      </w:r>
    </w:p>
    <w:p w14:paraId="2BB3AE45">
      <w:pPr>
        <w:pStyle w:val="20"/>
        <w:keepNext/>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595"/>
        <w:gridCol w:w="1149"/>
        <w:gridCol w:w="1406"/>
        <w:gridCol w:w="1053"/>
        <w:gridCol w:w="1076"/>
        <w:gridCol w:w="1233"/>
        <w:gridCol w:w="1104"/>
        <w:gridCol w:w="1104"/>
      </w:tblGrid>
      <w:tr w14:paraId="554BF665">
        <w:trPr>
          <w:trHeight w:val="480" w:hRule="atLeast"/>
        </w:trPr>
        <w:tc>
          <w:tcPr>
            <w:tcW w:w="34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C40201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0121B3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8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55A1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194" w:type="pct"/>
            <w:gridSpan w:val="5"/>
            <w:tcBorders>
              <w:top w:val="single" w:color="auto" w:sz="4" w:space="0"/>
              <w:left w:val="nil"/>
              <w:bottom w:val="single" w:color="auto" w:sz="4" w:space="0"/>
              <w:right w:val="single" w:color="auto" w:sz="4" w:space="0"/>
            </w:tcBorders>
            <w:vAlign w:val="center"/>
          </w:tcPr>
          <w:p w14:paraId="7CE3D68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1F7E6B9B">
        <w:trPr>
          <w:trHeight w:val="270" w:hRule="atLeast"/>
        </w:trPr>
        <w:tc>
          <w:tcPr>
            <w:tcW w:w="341" w:type="pct"/>
            <w:vMerge w:val="continue"/>
            <w:tcBorders>
              <w:top w:val="single" w:color="auto" w:sz="4" w:space="0"/>
              <w:left w:val="single" w:color="auto" w:sz="4" w:space="0"/>
              <w:bottom w:val="single" w:color="auto" w:sz="4" w:space="0"/>
              <w:right w:val="single" w:color="auto" w:sz="4" w:space="0"/>
            </w:tcBorders>
            <w:vAlign w:val="center"/>
          </w:tcPr>
          <w:p w14:paraId="272B0F2D">
            <w:pPr>
              <w:widowControl/>
              <w:jc w:val="center"/>
              <w:rPr>
                <w:rFonts w:ascii="宋体" w:hAnsi="宋体" w:cs="宋体"/>
                <w:b/>
                <w:bCs/>
                <w:color w:val="000000"/>
                <w:kern w:val="0"/>
                <w:sz w:val="18"/>
                <w:szCs w:val="18"/>
              </w:rPr>
            </w:pPr>
          </w:p>
        </w:tc>
        <w:tc>
          <w:tcPr>
            <w:tcW w:w="659" w:type="pct"/>
            <w:vMerge w:val="continue"/>
            <w:tcBorders>
              <w:top w:val="single" w:color="auto" w:sz="4" w:space="0"/>
              <w:left w:val="single" w:color="auto" w:sz="4" w:space="0"/>
              <w:bottom w:val="single" w:color="auto" w:sz="4" w:space="0"/>
              <w:right w:val="single" w:color="auto" w:sz="4" w:space="0"/>
            </w:tcBorders>
            <w:vAlign w:val="center"/>
          </w:tcPr>
          <w:p w14:paraId="61914836">
            <w:pPr>
              <w:widowControl/>
              <w:jc w:val="center"/>
              <w:rPr>
                <w:rFonts w:ascii="宋体" w:hAnsi="宋体" w:cs="宋体"/>
                <w:b/>
                <w:bCs/>
                <w:color w:val="000000"/>
                <w:kern w:val="0"/>
                <w:sz w:val="18"/>
                <w:szCs w:val="18"/>
              </w:rPr>
            </w:pPr>
          </w:p>
        </w:tc>
        <w:tc>
          <w:tcPr>
            <w:tcW w:w="806" w:type="pct"/>
            <w:vMerge w:val="continue"/>
            <w:tcBorders>
              <w:top w:val="single" w:color="auto" w:sz="4" w:space="0"/>
              <w:left w:val="single" w:color="auto" w:sz="4" w:space="0"/>
              <w:bottom w:val="single" w:color="auto" w:sz="4" w:space="0"/>
              <w:right w:val="single" w:color="auto" w:sz="4" w:space="0"/>
            </w:tcBorders>
            <w:vAlign w:val="center"/>
          </w:tcPr>
          <w:p w14:paraId="7BA5A428">
            <w:pPr>
              <w:widowControl/>
              <w:jc w:val="center"/>
              <w:rPr>
                <w:rFonts w:ascii="宋体" w:hAnsi="宋体" w:cs="宋体"/>
                <w:b/>
                <w:bCs/>
                <w:color w:val="000000"/>
                <w:kern w:val="0"/>
                <w:sz w:val="18"/>
                <w:szCs w:val="18"/>
              </w:rPr>
            </w:pPr>
          </w:p>
        </w:tc>
        <w:tc>
          <w:tcPr>
            <w:tcW w:w="604" w:type="pct"/>
            <w:tcBorders>
              <w:top w:val="single" w:color="auto" w:sz="4" w:space="0"/>
              <w:left w:val="nil"/>
              <w:bottom w:val="single" w:color="auto" w:sz="4" w:space="0"/>
              <w:right w:val="single" w:color="auto" w:sz="4" w:space="0"/>
            </w:tcBorders>
            <w:shd w:val="clear" w:color="auto" w:fill="auto"/>
            <w:vAlign w:val="center"/>
          </w:tcPr>
          <w:p w14:paraId="358EC61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17" w:type="pct"/>
            <w:tcBorders>
              <w:top w:val="single" w:color="auto" w:sz="4" w:space="0"/>
              <w:left w:val="single" w:color="auto" w:sz="4" w:space="0"/>
              <w:bottom w:val="single" w:color="auto" w:sz="4" w:space="0"/>
              <w:right w:val="single" w:color="auto" w:sz="4" w:space="0"/>
            </w:tcBorders>
            <w:shd w:val="clear" w:color="auto" w:fill="auto"/>
            <w:vAlign w:val="center"/>
          </w:tcPr>
          <w:p w14:paraId="2A021FD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2023年发行</w:t>
            </w:r>
          </w:p>
        </w:tc>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14:paraId="724783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年6月调整发行</w:t>
            </w:r>
          </w:p>
        </w:tc>
        <w:tc>
          <w:tcPr>
            <w:tcW w:w="633" w:type="pct"/>
            <w:tcBorders>
              <w:top w:val="single" w:color="auto" w:sz="4" w:space="0"/>
              <w:left w:val="single" w:color="auto" w:sz="4" w:space="0"/>
              <w:bottom w:val="single" w:color="auto" w:sz="4" w:space="0"/>
              <w:right w:val="single" w:color="auto" w:sz="4" w:space="0"/>
            </w:tcBorders>
          </w:tcPr>
          <w:p w14:paraId="028AD79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年本期发行</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14:paraId="7CCEB7B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2024年后续发行</w:t>
            </w:r>
          </w:p>
        </w:tc>
      </w:tr>
      <w:tr w14:paraId="18F39032">
        <w:trPr>
          <w:trHeight w:val="300" w:hRule="atLeast"/>
        </w:trPr>
        <w:tc>
          <w:tcPr>
            <w:tcW w:w="341" w:type="pct"/>
            <w:tcBorders>
              <w:top w:val="nil"/>
              <w:left w:val="single" w:color="auto" w:sz="4" w:space="0"/>
              <w:bottom w:val="single" w:color="auto" w:sz="4" w:space="0"/>
              <w:right w:val="single" w:color="auto" w:sz="4" w:space="0"/>
            </w:tcBorders>
            <w:shd w:val="clear" w:color="auto" w:fill="auto"/>
            <w:noWrap/>
            <w:vAlign w:val="center"/>
          </w:tcPr>
          <w:p w14:paraId="5748A216">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9" w:type="pct"/>
            <w:tcBorders>
              <w:top w:val="nil"/>
              <w:left w:val="nil"/>
              <w:bottom w:val="single" w:color="auto" w:sz="4" w:space="0"/>
              <w:right w:val="single" w:color="auto" w:sz="4" w:space="0"/>
            </w:tcBorders>
            <w:shd w:val="clear" w:color="auto" w:fill="auto"/>
            <w:noWrap/>
            <w:vAlign w:val="center"/>
          </w:tcPr>
          <w:p w14:paraId="2BEE1FA1">
            <w:pPr>
              <w:widowControl/>
              <w:jc w:val="center"/>
              <w:rPr>
                <w:rFonts w:ascii="宋体" w:hAnsi="宋体" w:cs="宋体"/>
                <w:color w:val="000000"/>
                <w:kern w:val="0"/>
                <w:sz w:val="18"/>
                <w:szCs w:val="18"/>
              </w:rPr>
            </w:pPr>
            <w:r>
              <w:rPr>
                <w:rFonts w:ascii="宋体" w:hAnsi="宋体" w:cs="宋体"/>
                <w:color w:val="000000"/>
                <w:kern w:val="0"/>
                <w:sz w:val="18"/>
                <w:szCs w:val="18"/>
              </w:rPr>
              <w:t>32,601.34</w:t>
            </w:r>
          </w:p>
        </w:tc>
        <w:tc>
          <w:tcPr>
            <w:tcW w:w="806" w:type="pct"/>
            <w:tcBorders>
              <w:top w:val="nil"/>
              <w:left w:val="nil"/>
              <w:bottom w:val="single" w:color="auto" w:sz="4" w:space="0"/>
              <w:right w:val="single" w:color="auto" w:sz="4" w:space="0"/>
            </w:tcBorders>
            <w:shd w:val="clear" w:color="auto" w:fill="auto"/>
            <w:noWrap/>
            <w:vAlign w:val="center"/>
          </w:tcPr>
          <w:p w14:paraId="1A8B0BD0">
            <w:pPr>
              <w:widowControl/>
              <w:jc w:val="center"/>
              <w:rPr>
                <w:rFonts w:ascii="宋体" w:hAnsi="宋体" w:cs="宋体"/>
                <w:color w:val="000000"/>
                <w:kern w:val="0"/>
                <w:sz w:val="18"/>
                <w:szCs w:val="18"/>
              </w:rPr>
            </w:pPr>
            <w:r>
              <w:rPr>
                <w:rFonts w:ascii="宋体" w:hAnsi="宋体" w:cs="宋体"/>
                <w:color w:val="000000"/>
                <w:kern w:val="0"/>
                <w:sz w:val="18"/>
                <w:szCs w:val="18"/>
              </w:rPr>
              <w:t>9,651.34</w:t>
            </w:r>
          </w:p>
        </w:tc>
        <w:tc>
          <w:tcPr>
            <w:tcW w:w="604" w:type="pct"/>
            <w:tcBorders>
              <w:top w:val="single" w:color="auto" w:sz="4" w:space="0"/>
              <w:left w:val="nil"/>
              <w:bottom w:val="single" w:color="auto" w:sz="4" w:space="0"/>
              <w:right w:val="single" w:color="auto" w:sz="4" w:space="0"/>
            </w:tcBorders>
            <w:shd w:val="clear" w:color="auto" w:fill="auto"/>
            <w:noWrap/>
            <w:vAlign w:val="center"/>
          </w:tcPr>
          <w:p w14:paraId="685B9FB2">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1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AA13DD">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70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318C0B">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33" w:type="pct"/>
            <w:tcBorders>
              <w:top w:val="single" w:color="auto" w:sz="4" w:space="0"/>
              <w:left w:val="single" w:color="auto" w:sz="4" w:space="0"/>
              <w:bottom w:val="single" w:color="auto" w:sz="4" w:space="0"/>
              <w:right w:val="single" w:color="auto" w:sz="4" w:space="0"/>
            </w:tcBorders>
          </w:tcPr>
          <w:p w14:paraId="6A829567">
            <w:pPr>
              <w:widowControl/>
              <w:jc w:val="center"/>
              <w:rPr>
                <w:rFonts w:ascii="宋体" w:hAnsi="宋体" w:cs="宋体"/>
                <w:color w:val="000000"/>
                <w:kern w:val="0"/>
                <w:sz w:val="18"/>
                <w:szCs w:val="18"/>
              </w:rPr>
            </w:pPr>
            <w:r>
              <w:rPr>
                <w:rFonts w:ascii="宋体" w:hAnsi="宋体" w:cs="宋体"/>
                <w:color w:val="000000"/>
                <w:kern w:val="0"/>
                <w:sz w:val="18"/>
                <w:szCs w:val="18"/>
              </w:rPr>
              <w:t>2,700.00</w:t>
            </w:r>
          </w:p>
        </w:tc>
        <w:tc>
          <w:tcPr>
            <w:tcW w:w="63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8D1A39">
            <w:pPr>
              <w:widowControl/>
              <w:jc w:val="center"/>
              <w:rPr>
                <w:rFonts w:ascii="宋体" w:hAnsi="宋体" w:cs="宋体"/>
                <w:color w:val="000000"/>
                <w:kern w:val="0"/>
                <w:sz w:val="18"/>
                <w:szCs w:val="18"/>
              </w:rPr>
            </w:pPr>
            <w:r>
              <w:rPr>
                <w:rFonts w:ascii="宋体" w:hAnsi="宋体" w:cs="宋体"/>
                <w:color w:val="000000"/>
                <w:kern w:val="0"/>
                <w:sz w:val="18"/>
                <w:szCs w:val="18"/>
              </w:rPr>
              <w:t>12,250.00</w:t>
            </w:r>
          </w:p>
        </w:tc>
      </w:tr>
    </w:tbl>
    <w:p w14:paraId="0FF616F8">
      <w:pPr>
        <w:pStyle w:val="20"/>
        <w:snapToGrid w:val="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按照发行方案及筹资计划，本次拟发行项目的总投资为</w:t>
      </w:r>
      <w:r>
        <w:rPr>
          <w:color w:val="000000" w:themeColor="text1"/>
          <w:sz w:val="24"/>
          <w:szCs w:val="24"/>
          <w14:textFill>
            <w14:solidFill>
              <w14:schemeClr w14:val="tx1"/>
            </w14:solidFill>
          </w14:textFill>
        </w:rPr>
        <w:t>32,601.34</w:t>
      </w:r>
      <w:r>
        <w:rPr>
          <w:rFonts w:hint="eastAsia"/>
          <w:color w:val="000000" w:themeColor="text1"/>
          <w:sz w:val="24"/>
          <w:szCs w:val="24"/>
          <w14:textFill>
            <w14:solidFill>
              <w14:schemeClr w14:val="tx1"/>
            </w14:solidFill>
          </w14:textFill>
        </w:rPr>
        <w:t>万元，通过自筹资金、申请专项债券、其他合规性融资等途径解决，其一，自筹资金</w:t>
      </w:r>
      <w:r>
        <w:rPr>
          <w:color w:val="000000" w:themeColor="text1"/>
          <w:sz w:val="24"/>
          <w:szCs w:val="24"/>
          <w14:textFill>
            <w14:solidFill>
              <w14:schemeClr w14:val="tx1"/>
            </w14:solidFill>
          </w14:textFill>
        </w:rPr>
        <w:t>9,651.34</w:t>
      </w:r>
      <w:r>
        <w:rPr>
          <w:rFonts w:hint="eastAsia"/>
          <w:color w:val="000000" w:themeColor="text1"/>
          <w:sz w:val="24"/>
          <w:szCs w:val="24"/>
          <w14:textFill>
            <w14:solidFill>
              <w14:schemeClr w14:val="tx1"/>
            </w14:solidFill>
          </w14:textFill>
        </w:rPr>
        <w:t>万元。其二，拟发行专项债券</w:t>
      </w:r>
      <w:r>
        <w:rPr>
          <w:color w:val="000000" w:themeColor="text1"/>
          <w:sz w:val="24"/>
          <w:szCs w:val="24"/>
          <w14:textFill>
            <w14:solidFill>
              <w14:schemeClr w14:val="tx1"/>
            </w14:solidFill>
          </w14:textFill>
        </w:rPr>
        <w:t>22,950.00</w:t>
      </w:r>
      <w:r>
        <w:rPr>
          <w:rFonts w:hint="eastAsia"/>
          <w:color w:val="000000" w:themeColor="text1"/>
          <w:sz w:val="24"/>
          <w:szCs w:val="24"/>
          <w14:textFill>
            <w14:solidFill>
              <w14:schemeClr w14:val="tx1"/>
            </w14:solidFill>
          </w14:textFill>
        </w:rPr>
        <w:t>万元，其中，2</w:t>
      </w:r>
      <w:r>
        <w:rPr>
          <w:color w:val="000000" w:themeColor="text1"/>
          <w:sz w:val="24"/>
          <w:szCs w:val="24"/>
          <w14:textFill>
            <w14:solidFill>
              <w14:schemeClr w14:val="tx1"/>
            </w14:solidFill>
          </w14:textFill>
        </w:rPr>
        <w:t>023</w:t>
      </w:r>
      <w:r>
        <w:rPr>
          <w:rFonts w:hint="eastAsia"/>
          <w:color w:val="000000" w:themeColor="text1"/>
          <w:sz w:val="24"/>
          <w:szCs w:val="24"/>
          <w14:textFill>
            <w14:solidFill>
              <w14:schemeClr w14:val="tx1"/>
            </w14:solidFill>
          </w14:textFill>
        </w:rPr>
        <w:t>年已发行</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,000.00万元，期限为</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年；</w:t>
      </w:r>
      <w:r>
        <w:rPr>
          <w:color w:val="000000" w:themeColor="text1"/>
          <w:sz w:val="24"/>
          <w:szCs w:val="24"/>
          <w14:textFill>
            <w14:solidFill>
              <w14:schemeClr w14:val="tx1"/>
            </w14:solidFill>
          </w14:textFill>
        </w:rPr>
        <w:t>4,000.00</w:t>
      </w:r>
      <w:r>
        <w:rPr>
          <w:rFonts w:hint="eastAsia"/>
          <w:color w:val="000000" w:themeColor="text1"/>
          <w:sz w:val="24"/>
          <w:szCs w:val="24"/>
          <w14:textFill>
            <w14:solidFill>
              <w14:schemeClr w14:val="tx1"/>
            </w14:solidFill>
          </w14:textFill>
        </w:rPr>
        <w:t>万元于2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年6月由2022年江西省高质量发展补短板专项债券（十二期）——2022年江西省政府专项债券（二十期）调整至本项目，发行期限3</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年；2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年计划新增发行</w:t>
      </w:r>
      <w:r>
        <w:rPr>
          <w:color w:val="000000" w:themeColor="text1"/>
          <w:sz w:val="24"/>
          <w:szCs w:val="24"/>
          <w14:textFill>
            <w14:solidFill>
              <w14:schemeClr w14:val="tx1"/>
            </w14:solidFill>
          </w14:textFill>
        </w:rPr>
        <w:t>14,950.00</w:t>
      </w:r>
      <w:r>
        <w:rPr>
          <w:rFonts w:hint="eastAsia"/>
          <w:color w:val="000000" w:themeColor="text1"/>
          <w:sz w:val="24"/>
          <w:szCs w:val="24"/>
          <w14:textFill>
            <w14:solidFill>
              <w14:schemeClr w14:val="tx1"/>
            </w14:solidFill>
          </w14:textFill>
        </w:rPr>
        <w:t>万元，期限为7年，其中本期申请发行</w:t>
      </w:r>
      <w:r>
        <w:rPr>
          <w:color w:val="000000" w:themeColor="text1"/>
          <w:sz w:val="24"/>
          <w:szCs w:val="24"/>
          <w14:textFill>
            <w14:solidFill>
              <w14:schemeClr w14:val="tx1"/>
            </w14:solidFill>
          </w14:textFill>
        </w:rPr>
        <w:t>2,700.00</w:t>
      </w:r>
      <w:r>
        <w:rPr>
          <w:rFonts w:hint="eastAsia"/>
          <w:color w:val="000000" w:themeColor="text1"/>
          <w:sz w:val="24"/>
          <w:szCs w:val="24"/>
          <w14:textFill>
            <w14:solidFill>
              <w14:schemeClr w14:val="tx1"/>
            </w14:solidFill>
          </w14:textFill>
        </w:rPr>
        <w:t>万元，后续计划发行</w:t>
      </w:r>
      <w:r>
        <w:rPr>
          <w:color w:val="000000" w:themeColor="text1"/>
          <w:sz w:val="24"/>
          <w:szCs w:val="24"/>
          <w14:textFill>
            <w14:solidFill>
              <w14:schemeClr w14:val="tx1"/>
            </w14:solidFill>
          </w14:textFill>
        </w:rPr>
        <w:t>12,250.00</w:t>
      </w:r>
      <w:r>
        <w:rPr>
          <w:rFonts w:hint="eastAsia"/>
          <w:color w:val="000000" w:themeColor="text1"/>
          <w:sz w:val="24"/>
          <w:szCs w:val="24"/>
          <w14:textFill>
            <w14:solidFill>
              <w14:schemeClr w14:val="tx1"/>
            </w14:solidFill>
          </w14:textFill>
        </w:rPr>
        <w:t>万元。</w:t>
      </w:r>
    </w:p>
    <w:p w14:paraId="74510DE8">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三、项目预期收益、成本及融资平衡情况</w:t>
      </w:r>
    </w:p>
    <w:p w14:paraId="2AC10FCD">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（一）收入测算</w:t>
      </w:r>
    </w:p>
    <w:p w14:paraId="1F0CA8BF">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本次申请发行的202</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年江西省南昌县霞山村安置房住宅小区一期工程（棚户区改造）专项债券项目，在债券存续期内合理预计业务活动现金流入合计</w:t>
      </w:r>
      <w:r>
        <w:rPr>
          <w:color w:val="000000" w:themeColor="text1"/>
          <w:sz w:val="24"/>
          <w:szCs w:val="24"/>
          <w14:textFill>
            <w14:solidFill>
              <w14:schemeClr w14:val="tx1"/>
            </w14:solidFill>
          </w14:textFill>
        </w:rPr>
        <w:t>300,171.24</w:t>
      </w:r>
      <w:r>
        <w:rPr>
          <w:rFonts w:hint="eastAsia"/>
          <w:color w:val="000000" w:themeColor="text1"/>
          <w:sz w:val="24"/>
          <w:szCs w:val="24"/>
          <w14:textFill>
            <w14:solidFill>
              <w14:schemeClr w14:val="tx1"/>
            </w14:solidFill>
          </w14:textFill>
        </w:rPr>
        <w:t>万元，其中：土地出让收入</w:t>
      </w:r>
      <w:r>
        <w:rPr>
          <w:color w:val="000000" w:themeColor="text1"/>
          <w:sz w:val="24"/>
          <w:szCs w:val="24"/>
          <w14:textFill>
            <w14:solidFill>
              <w14:schemeClr w14:val="tx1"/>
            </w14:solidFill>
          </w14:textFill>
        </w:rPr>
        <w:t>300,171.24</w:t>
      </w:r>
      <w:r>
        <w:rPr>
          <w:rFonts w:hint="eastAsia"/>
          <w:color w:val="000000" w:themeColor="text1"/>
          <w:sz w:val="24"/>
          <w:szCs w:val="24"/>
          <w14:textFill>
            <w14:solidFill>
              <w14:schemeClr w14:val="tx1"/>
            </w14:solidFill>
          </w14:textFill>
        </w:rPr>
        <w:t>万元</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项目自运营期（202</w:t>
      </w:r>
      <w:r>
        <w:rPr>
          <w:color w:val="000000" w:themeColor="text1"/>
          <w:sz w:val="24"/>
          <w:szCs w:val="24"/>
          <w14:textFill>
            <w14:solidFill>
              <w14:schemeClr w14:val="tx1"/>
            </w14:solidFill>
          </w14:textFill>
        </w:rPr>
        <w:t>6年1</w:t>
      </w:r>
      <w:r>
        <w:rPr>
          <w:rFonts w:hint="eastAsia"/>
          <w:color w:val="000000" w:themeColor="text1"/>
          <w:sz w:val="24"/>
          <w:szCs w:val="24"/>
          <w14:textFill>
            <w14:solidFill>
              <w14:schemeClr w14:val="tx1"/>
            </w14:solidFill>
          </w14:textFill>
        </w:rPr>
        <w:t>月）开始至债券到期的项目收益年度分布情况如下：</w:t>
      </w:r>
    </w:p>
    <w:p w14:paraId="1144CE26">
      <w:pPr>
        <w:pStyle w:val="20"/>
        <w:keepNext/>
        <w:spacing w:before="0" w:beforeAutospacing="0" w:after="0" w:afterAutospacing="0" w:line="360" w:lineRule="exact"/>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w:t>
      </w:r>
      <w:r>
        <w:rPr>
          <w:b/>
          <w:color w:val="000000" w:themeColor="text1"/>
          <w:sz w:val="21"/>
          <w:szCs w:val="21"/>
          <w14:textFill>
            <w14:solidFill>
              <w14:schemeClr w14:val="tx1"/>
            </w14:solidFill>
          </w14:textFill>
        </w:rPr>
        <w:t xml:space="preserve">1  </w:t>
      </w:r>
      <w:r>
        <w:rPr>
          <w:rFonts w:hint="eastAsia"/>
          <w:b/>
          <w:color w:val="000000" w:themeColor="text1"/>
          <w:sz w:val="21"/>
          <w:szCs w:val="21"/>
          <w14:textFill>
            <w14:solidFill>
              <w14:schemeClr w14:val="tx1"/>
            </w14:solidFill>
          </w14:textFill>
        </w:rPr>
        <w:t>项目收益年度分布情况分析</w:t>
      </w:r>
    </w:p>
    <w:p w14:paraId="01D800DC">
      <w:pPr>
        <w:pStyle w:val="20"/>
        <w:keepNext/>
        <w:spacing w:before="0" w:beforeAutospacing="0" w:after="0" w:afterAutospacing="0" w:line="360" w:lineRule="exact"/>
        <w:ind w:right="54" w:rightChars="26"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2164"/>
        <w:gridCol w:w="3517"/>
        <w:gridCol w:w="3039"/>
      </w:tblGrid>
      <w:tr w14:paraId="59723AF4">
        <w:trPr>
          <w:trHeight w:val="480" w:hRule="atLeast"/>
        </w:trPr>
        <w:tc>
          <w:tcPr>
            <w:tcW w:w="124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D675E1">
            <w:pPr>
              <w:widowControl/>
              <w:jc w:val="center"/>
              <w:rPr>
                <w:rFonts w:ascii="宋体" w:hAnsi="宋体" w:cs="宋体"/>
                <w:b/>
                <w:bCs/>
                <w:kern w:val="0"/>
                <w:sz w:val="18"/>
                <w:szCs w:val="18"/>
              </w:rPr>
            </w:pPr>
            <w:r>
              <w:rPr>
                <w:rFonts w:hint="eastAsia" w:ascii="宋体" w:hAnsi="宋体" w:cs="宋体"/>
                <w:b/>
                <w:bCs/>
                <w:kern w:val="0"/>
                <w:sz w:val="18"/>
                <w:szCs w:val="18"/>
              </w:rPr>
              <w:t>年份</w:t>
            </w:r>
          </w:p>
        </w:tc>
        <w:tc>
          <w:tcPr>
            <w:tcW w:w="2016" w:type="pct"/>
            <w:tcBorders>
              <w:top w:val="single" w:color="auto" w:sz="4" w:space="0"/>
              <w:left w:val="nil"/>
              <w:bottom w:val="single" w:color="auto" w:sz="4" w:space="0"/>
              <w:right w:val="single" w:color="auto" w:sz="4" w:space="0"/>
            </w:tcBorders>
            <w:shd w:val="clear" w:color="auto" w:fill="auto"/>
            <w:noWrap/>
            <w:vAlign w:val="center"/>
          </w:tcPr>
          <w:p w14:paraId="2B38816A">
            <w:pPr>
              <w:widowControl/>
              <w:jc w:val="center"/>
              <w:rPr>
                <w:rFonts w:ascii="宋体" w:hAnsi="宋体" w:cs="宋体"/>
                <w:b/>
                <w:bCs/>
                <w:kern w:val="0"/>
                <w:sz w:val="18"/>
                <w:szCs w:val="18"/>
              </w:rPr>
            </w:pPr>
            <w:r>
              <w:rPr>
                <w:rFonts w:hint="eastAsia" w:ascii="宋体" w:hAnsi="宋体" w:cs="宋体"/>
                <w:b/>
                <w:bCs/>
                <w:kern w:val="0"/>
                <w:sz w:val="18"/>
                <w:szCs w:val="18"/>
              </w:rPr>
              <w:t>土地出让收入</w:t>
            </w:r>
          </w:p>
        </w:tc>
        <w:tc>
          <w:tcPr>
            <w:tcW w:w="1742" w:type="pct"/>
            <w:tcBorders>
              <w:top w:val="single" w:color="auto" w:sz="4" w:space="0"/>
              <w:left w:val="nil"/>
              <w:bottom w:val="single" w:color="auto" w:sz="4" w:space="0"/>
              <w:right w:val="single" w:color="auto" w:sz="4" w:space="0"/>
            </w:tcBorders>
            <w:shd w:val="clear" w:color="auto" w:fill="auto"/>
            <w:noWrap/>
            <w:vAlign w:val="center"/>
          </w:tcPr>
          <w:p w14:paraId="060DEA78">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241913CE">
        <w:trPr>
          <w:trHeight w:val="323" w:hRule="atLeast"/>
        </w:trPr>
        <w:tc>
          <w:tcPr>
            <w:tcW w:w="1241" w:type="pct"/>
            <w:tcBorders>
              <w:top w:val="nil"/>
              <w:left w:val="single" w:color="auto" w:sz="4" w:space="0"/>
              <w:bottom w:val="single" w:color="auto" w:sz="4" w:space="0"/>
              <w:right w:val="single" w:color="auto" w:sz="4" w:space="0"/>
            </w:tcBorders>
            <w:shd w:val="clear" w:color="auto" w:fill="auto"/>
            <w:noWrap/>
            <w:vAlign w:val="center"/>
          </w:tcPr>
          <w:p w14:paraId="3F47F109">
            <w:pPr>
              <w:widowControl/>
              <w:jc w:val="center"/>
              <w:rPr>
                <w:rFonts w:ascii="宋体" w:hAnsi="宋体" w:cs="宋体"/>
                <w:kern w:val="0"/>
                <w:sz w:val="18"/>
                <w:szCs w:val="18"/>
              </w:rPr>
            </w:pPr>
            <w:r>
              <w:rPr>
                <w:rFonts w:hint="eastAsia" w:ascii="宋体" w:hAnsi="宋体" w:cs="宋体"/>
                <w:kern w:val="0"/>
                <w:sz w:val="18"/>
                <w:szCs w:val="18"/>
              </w:rPr>
              <w:t>2029年</w:t>
            </w:r>
          </w:p>
        </w:tc>
        <w:tc>
          <w:tcPr>
            <w:tcW w:w="2016" w:type="pct"/>
            <w:tcBorders>
              <w:top w:val="nil"/>
              <w:left w:val="nil"/>
              <w:bottom w:val="single" w:color="auto" w:sz="4" w:space="0"/>
              <w:right w:val="single" w:color="auto" w:sz="4" w:space="0"/>
            </w:tcBorders>
            <w:shd w:val="clear" w:color="auto" w:fill="auto"/>
            <w:noWrap/>
            <w:vAlign w:val="center"/>
          </w:tcPr>
          <w:p w14:paraId="03B20236">
            <w:pPr>
              <w:widowControl/>
              <w:jc w:val="center"/>
              <w:rPr>
                <w:rFonts w:ascii="宋体" w:hAnsi="宋体" w:cs="宋体"/>
                <w:kern w:val="0"/>
                <w:sz w:val="18"/>
                <w:szCs w:val="18"/>
              </w:rPr>
            </w:pPr>
            <w:r>
              <w:rPr>
                <w:rFonts w:hint="eastAsia" w:ascii="宋体" w:hAnsi="宋体" w:cs="宋体"/>
                <w:kern w:val="0"/>
                <w:sz w:val="18"/>
                <w:szCs w:val="18"/>
              </w:rPr>
              <w:t>300,171.24</w:t>
            </w:r>
          </w:p>
        </w:tc>
        <w:tc>
          <w:tcPr>
            <w:tcW w:w="1742" w:type="pct"/>
            <w:tcBorders>
              <w:top w:val="nil"/>
              <w:left w:val="nil"/>
              <w:bottom w:val="single" w:color="auto" w:sz="4" w:space="0"/>
              <w:right w:val="single" w:color="auto" w:sz="4" w:space="0"/>
            </w:tcBorders>
            <w:shd w:val="clear" w:color="auto" w:fill="auto"/>
            <w:noWrap/>
            <w:vAlign w:val="center"/>
          </w:tcPr>
          <w:p w14:paraId="6D03FBA5">
            <w:pPr>
              <w:widowControl/>
              <w:jc w:val="center"/>
              <w:rPr>
                <w:rFonts w:ascii="宋体" w:hAnsi="宋体" w:cs="宋体"/>
                <w:kern w:val="0"/>
                <w:sz w:val="18"/>
                <w:szCs w:val="18"/>
              </w:rPr>
            </w:pPr>
            <w:r>
              <w:rPr>
                <w:rFonts w:hint="eastAsia" w:ascii="宋体" w:hAnsi="宋体" w:cs="宋体"/>
                <w:kern w:val="0"/>
                <w:sz w:val="18"/>
                <w:szCs w:val="18"/>
              </w:rPr>
              <w:t>300,171.24</w:t>
            </w:r>
          </w:p>
        </w:tc>
      </w:tr>
      <w:tr w14:paraId="78C6D086">
        <w:trPr>
          <w:trHeight w:val="270" w:hRule="atLeast"/>
        </w:trPr>
        <w:tc>
          <w:tcPr>
            <w:tcW w:w="1241" w:type="pct"/>
            <w:tcBorders>
              <w:top w:val="nil"/>
              <w:left w:val="single" w:color="auto" w:sz="4" w:space="0"/>
              <w:bottom w:val="single" w:color="auto" w:sz="4" w:space="0"/>
              <w:right w:val="single" w:color="auto" w:sz="4" w:space="0"/>
            </w:tcBorders>
            <w:shd w:val="clear" w:color="auto" w:fill="auto"/>
            <w:noWrap/>
            <w:vAlign w:val="center"/>
          </w:tcPr>
          <w:p w14:paraId="540F321E">
            <w:pPr>
              <w:widowControl/>
              <w:jc w:val="center"/>
              <w:rPr>
                <w:rFonts w:ascii="宋体" w:hAnsi="宋体" w:cs="宋体"/>
                <w:b/>
                <w:bCs/>
                <w:kern w:val="0"/>
                <w:sz w:val="18"/>
                <w:szCs w:val="18"/>
              </w:rPr>
            </w:pPr>
            <w:r>
              <w:rPr>
                <w:rFonts w:hint="eastAsia" w:ascii="宋体" w:hAnsi="宋体" w:cs="宋体"/>
                <w:b/>
                <w:bCs/>
                <w:kern w:val="0"/>
                <w:sz w:val="18"/>
                <w:szCs w:val="18"/>
              </w:rPr>
              <w:t>合计</w:t>
            </w:r>
          </w:p>
        </w:tc>
        <w:tc>
          <w:tcPr>
            <w:tcW w:w="2016" w:type="pct"/>
            <w:tcBorders>
              <w:top w:val="nil"/>
              <w:left w:val="nil"/>
              <w:bottom w:val="single" w:color="auto" w:sz="4" w:space="0"/>
              <w:right w:val="single" w:color="auto" w:sz="4" w:space="0"/>
            </w:tcBorders>
            <w:shd w:val="clear" w:color="auto" w:fill="auto"/>
            <w:noWrap/>
            <w:vAlign w:val="center"/>
          </w:tcPr>
          <w:p w14:paraId="3AF0CE18">
            <w:pPr>
              <w:widowControl/>
              <w:jc w:val="center"/>
              <w:rPr>
                <w:rFonts w:ascii="宋体" w:hAnsi="宋体" w:cs="宋体"/>
                <w:b/>
                <w:bCs/>
                <w:kern w:val="0"/>
                <w:sz w:val="18"/>
                <w:szCs w:val="18"/>
              </w:rPr>
            </w:pPr>
            <w:r>
              <w:rPr>
                <w:rFonts w:hint="eastAsia" w:ascii="宋体" w:hAnsi="宋体" w:cs="宋体"/>
                <w:b/>
                <w:bCs/>
                <w:kern w:val="0"/>
                <w:sz w:val="18"/>
                <w:szCs w:val="18"/>
              </w:rPr>
              <w:t>300,171.24</w:t>
            </w:r>
          </w:p>
        </w:tc>
        <w:tc>
          <w:tcPr>
            <w:tcW w:w="1742" w:type="pct"/>
            <w:tcBorders>
              <w:top w:val="nil"/>
              <w:left w:val="nil"/>
              <w:bottom w:val="single" w:color="auto" w:sz="4" w:space="0"/>
              <w:right w:val="single" w:color="auto" w:sz="4" w:space="0"/>
            </w:tcBorders>
            <w:shd w:val="clear" w:color="auto" w:fill="auto"/>
            <w:noWrap/>
            <w:vAlign w:val="center"/>
          </w:tcPr>
          <w:p w14:paraId="4AFB9EEB">
            <w:pPr>
              <w:widowControl/>
              <w:jc w:val="center"/>
              <w:rPr>
                <w:rFonts w:ascii="宋体" w:hAnsi="宋体" w:cs="宋体"/>
                <w:b/>
                <w:bCs/>
                <w:kern w:val="0"/>
                <w:sz w:val="18"/>
                <w:szCs w:val="18"/>
              </w:rPr>
            </w:pPr>
            <w:r>
              <w:rPr>
                <w:rFonts w:hint="eastAsia" w:ascii="宋体" w:hAnsi="宋体" w:cs="宋体"/>
                <w:b/>
                <w:bCs/>
                <w:kern w:val="0"/>
                <w:sz w:val="18"/>
                <w:szCs w:val="18"/>
              </w:rPr>
              <w:t>300,171.24</w:t>
            </w:r>
          </w:p>
        </w:tc>
      </w:tr>
    </w:tbl>
    <w:p w14:paraId="321933B2">
      <w:pPr>
        <w:pStyle w:val="20"/>
        <w:spacing w:beforeLines="50" w:beforeAutospacing="0" w:afterLines="50" w:afterAutospacing="0" w:line="360" w:lineRule="exact"/>
        <w:ind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本项目经营收入的估算依据如下：</w:t>
      </w:r>
    </w:p>
    <w:p w14:paraId="04A383B3">
      <w:pPr>
        <w:pStyle w:val="20"/>
        <w:spacing w:before="0" w:beforeAutospacing="0" w:after="0" w:afterAutospacing="0" w:line="360" w:lineRule="exact"/>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（1）土地出让收入</w:t>
      </w:r>
    </w:p>
    <w:p w14:paraId="782B36DE">
      <w:pPr>
        <w:pStyle w:val="2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项目出让地块为富山大道以南，金沙二路以东，南昌绕城高速以北，出让面积为402.52亩，预计出让时间2029年，地块性质为:住宅用地。</w:t>
      </w:r>
    </w:p>
    <w:p w14:paraId="76E42F53">
      <w:pPr>
        <w:pStyle w:val="20"/>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出让地块价格参照南昌县2020年7月-12月成交地块南昌县范围内东祥路以西，小蓝大道以北，银湖中路以东地块起始价为610万元/亩，结合时间因素，配套因素和地块的区位因素，并考虑地理位置及土地性质、使用年限等考虑地块在2029年出让时间地价。则计算出让区域内住宅用地土地2029年综合地价。根据项目建设及出让计划，拟2029年进行土地出让。得出本项目2029年土地出让价格为 745.73 万元/亩。</w:t>
      </w:r>
    </w:p>
    <w:p w14:paraId="2609D99C">
      <w:pPr>
        <w:pStyle w:val="20"/>
        <w:spacing w:before="0" w:beforeAutospacing="0" w:after="0" w:afterAutospacing="0" w:line="360" w:lineRule="exact"/>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现预测项目出让区土地价格如下:</w:t>
      </w:r>
    </w:p>
    <w:p w14:paraId="499AC6DB">
      <w:pPr>
        <w:pStyle w:val="20"/>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单位：万元/亩</w:t>
      </w:r>
    </w:p>
    <w:tbl>
      <w:tblPr>
        <w:tblStyle w:val="24"/>
        <w:tblW w:w="5000" w:type="pct"/>
        <w:tblInd w:w="0" w:type="dxa"/>
        <w:tblLayout w:type="autofit"/>
        <w:tblCellMar>
          <w:top w:w="0" w:type="dxa"/>
          <w:left w:w="108" w:type="dxa"/>
          <w:bottom w:w="0" w:type="dxa"/>
          <w:right w:w="108" w:type="dxa"/>
        </w:tblCellMar>
      </w:tblPr>
      <w:tblGrid>
        <w:gridCol w:w="637"/>
        <w:gridCol w:w="4993"/>
        <w:gridCol w:w="882"/>
        <w:gridCol w:w="882"/>
        <w:gridCol w:w="1326"/>
      </w:tblGrid>
      <w:tr w14:paraId="3263AFEA">
        <w:trPr>
          <w:trHeight w:val="375" w:hRule="atLeast"/>
        </w:trPr>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14:paraId="214E585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2863" w:type="pct"/>
            <w:tcBorders>
              <w:top w:val="single" w:color="auto" w:sz="4" w:space="0"/>
              <w:left w:val="nil"/>
              <w:bottom w:val="single" w:color="auto" w:sz="4" w:space="0"/>
              <w:right w:val="single" w:color="auto" w:sz="4" w:space="0"/>
            </w:tcBorders>
            <w:shd w:val="clear" w:color="auto" w:fill="auto"/>
            <w:noWrap/>
            <w:vAlign w:val="center"/>
          </w:tcPr>
          <w:p w14:paraId="3C481EEB">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w:t>
            </w:r>
          </w:p>
        </w:tc>
        <w:tc>
          <w:tcPr>
            <w:tcW w:w="506" w:type="pct"/>
            <w:tcBorders>
              <w:top w:val="single" w:color="auto" w:sz="4" w:space="0"/>
              <w:left w:val="nil"/>
              <w:bottom w:val="single" w:color="auto" w:sz="4" w:space="0"/>
              <w:right w:val="single" w:color="auto" w:sz="4" w:space="0"/>
            </w:tcBorders>
            <w:shd w:val="clear" w:color="auto" w:fill="auto"/>
            <w:noWrap/>
            <w:vAlign w:val="center"/>
          </w:tcPr>
          <w:p w14:paraId="2B7FF4C1">
            <w:pPr>
              <w:widowControl/>
              <w:jc w:val="center"/>
              <w:rPr>
                <w:rFonts w:ascii="宋体" w:hAnsi="宋体" w:cs="宋体"/>
                <w:color w:val="000000"/>
                <w:kern w:val="0"/>
                <w:sz w:val="18"/>
                <w:szCs w:val="18"/>
              </w:rPr>
            </w:pPr>
            <w:r>
              <w:rPr>
                <w:rFonts w:hint="eastAsia" w:ascii="宋体" w:hAnsi="宋体" w:cs="宋体"/>
                <w:color w:val="000000"/>
                <w:kern w:val="0"/>
                <w:sz w:val="18"/>
                <w:szCs w:val="18"/>
              </w:rPr>
              <w:t>2022年</w:t>
            </w:r>
          </w:p>
        </w:tc>
        <w:tc>
          <w:tcPr>
            <w:tcW w:w="506" w:type="pct"/>
            <w:tcBorders>
              <w:top w:val="single" w:color="auto" w:sz="4" w:space="0"/>
              <w:left w:val="nil"/>
              <w:bottom w:val="single" w:color="auto" w:sz="4" w:space="0"/>
              <w:right w:val="single" w:color="auto" w:sz="4" w:space="0"/>
            </w:tcBorders>
            <w:shd w:val="clear" w:color="auto" w:fill="auto"/>
            <w:noWrap/>
            <w:vAlign w:val="center"/>
          </w:tcPr>
          <w:p w14:paraId="0C69A414">
            <w:pPr>
              <w:widowControl/>
              <w:jc w:val="center"/>
              <w:rPr>
                <w:rFonts w:ascii="宋体" w:hAnsi="宋体" w:cs="宋体"/>
                <w:color w:val="000000"/>
                <w:kern w:val="0"/>
                <w:sz w:val="18"/>
                <w:szCs w:val="18"/>
              </w:rPr>
            </w:pPr>
            <w:r>
              <w:rPr>
                <w:rFonts w:hint="eastAsia" w:ascii="宋体" w:hAnsi="宋体" w:cs="宋体"/>
                <w:color w:val="000000"/>
                <w:kern w:val="0"/>
                <w:sz w:val="18"/>
                <w:szCs w:val="18"/>
              </w:rPr>
              <w:t>2029年</w:t>
            </w:r>
          </w:p>
        </w:tc>
        <w:tc>
          <w:tcPr>
            <w:tcW w:w="761" w:type="pct"/>
            <w:tcBorders>
              <w:top w:val="single" w:color="auto" w:sz="4" w:space="0"/>
              <w:left w:val="nil"/>
              <w:bottom w:val="single" w:color="auto" w:sz="4" w:space="0"/>
              <w:right w:val="single" w:color="auto" w:sz="4" w:space="0"/>
            </w:tcBorders>
            <w:shd w:val="clear" w:color="auto" w:fill="auto"/>
            <w:noWrap/>
            <w:vAlign w:val="center"/>
          </w:tcPr>
          <w:p w14:paraId="3E518542">
            <w:pPr>
              <w:widowControl/>
              <w:jc w:val="center"/>
              <w:rPr>
                <w:rFonts w:ascii="宋体" w:hAnsi="宋体" w:cs="宋体"/>
                <w:color w:val="000000"/>
                <w:kern w:val="0"/>
                <w:sz w:val="18"/>
                <w:szCs w:val="18"/>
              </w:rPr>
            </w:pPr>
            <w:r>
              <w:rPr>
                <w:rFonts w:hint="eastAsia" w:ascii="宋体" w:hAnsi="宋体" w:cs="宋体"/>
                <w:color w:val="000000"/>
                <w:kern w:val="0"/>
                <w:sz w:val="18"/>
                <w:szCs w:val="18"/>
              </w:rPr>
              <w:t>增长率（%）</w:t>
            </w:r>
          </w:p>
        </w:tc>
      </w:tr>
      <w:tr w14:paraId="3E58BBB5">
        <w:trPr>
          <w:trHeight w:val="1125" w:hRule="atLeast"/>
        </w:trPr>
        <w:tc>
          <w:tcPr>
            <w:tcW w:w="365" w:type="pct"/>
            <w:tcBorders>
              <w:top w:val="nil"/>
              <w:left w:val="single" w:color="auto" w:sz="4" w:space="0"/>
              <w:bottom w:val="single" w:color="auto" w:sz="4" w:space="0"/>
              <w:right w:val="single" w:color="auto" w:sz="4" w:space="0"/>
            </w:tcBorders>
            <w:shd w:val="clear" w:color="auto" w:fill="auto"/>
            <w:vAlign w:val="center"/>
          </w:tcPr>
          <w:p w14:paraId="766DA62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w:t>
            </w:r>
          </w:p>
        </w:tc>
        <w:tc>
          <w:tcPr>
            <w:tcW w:w="2863" w:type="pct"/>
            <w:tcBorders>
              <w:top w:val="nil"/>
              <w:left w:val="nil"/>
              <w:bottom w:val="single" w:color="auto" w:sz="4" w:space="0"/>
              <w:right w:val="single" w:color="auto" w:sz="4" w:space="0"/>
            </w:tcBorders>
            <w:shd w:val="clear" w:color="auto" w:fill="auto"/>
            <w:vAlign w:val="center"/>
          </w:tcPr>
          <w:p w14:paraId="0BA6E002">
            <w:pPr>
              <w:widowControl/>
              <w:jc w:val="center"/>
              <w:rPr>
                <w:rFonts w:ascii="宋体" w:hAnsi="宋体" w:cs="宋体"/>
                <w:color w:val="000000"/>
                <w:kern w:val="0"/>
                <w:sz w:val="18"/>
                <w:szCs w:val="18"/>
              </w:rPr>
            </w:pPr>
            <w:r>
              <w:rPr>
                <w:rFonts w:hint="eastAsia" w:ascii="宋体" w:hAnsi="宋体" w:cs="宋体"/>
                <w:color w:val="000000"/>
                <w:kern w:val="0"/>
                <w:sz w:val="18"/>
                <w:szCs w:val="18"/>
              </w:rPr>
              <w:t>南昌县霞山村安置房住宅小区一期工程（棚户区改造）</w:t>
            </w:r>
          </w:p>
        </w:tc>
        <w:tc>
          <w:tcPr>
            <w:tcW w:w="506" w:type="pct"/>
            <w:tcBorders>
              <w:top w:val="nil"/>
              <w:left w:val="nil"/>
              <w:bottom w:val="single" w:color="auto" w:sz="4" w:space="0"/>
              <w:right w:val="single" w:color="auto" w:sz="4" w:space="0"/>
            </w:tcBorders>
            <w:shd w:val="clear" w:color="auto" w:fill="auto"/>
            <w:noWrap/>
            <w:vAlign w:val="center"/>
          </w:tcPr>
          <w:p w14:paraId="3862706B">
            <w:pPr>
              <w:widowControl/>
              <w:jc w:val="center"/>
              <w:rPr>
                <w:rFonts w:ascii="宋体" w:hAnsi="宋体" w:cs="宋体"/>
                <w:color w:val="000000"/>
                <w:kern w:val="0"/>
                <w:sz w:val="18"/>
                <w:szCs w:val="18"/>
              </w:rPr>
            </w:pPr>
            <w:r>
              <w:rPr>
                <w:rFonts w:hint="eastAsia" w:ascii="宋体" w:hAnsi="宋体" w:cs="宋体"/>
                <w:color w:val="000000"/>
                <w:kern w:val="0"/>
                <w:sz w:val="18"/>
                <w:szCs w:val="18"/>
              </w:rPr>
              <w:t>610</w:t>
            </w:r>
          </w:p>
        </w:tc>
        <w:tc>
          <w:tcPr>
            <w:tcW w:w="506" w:type="pct"/>
            <w:tcBorders>
              <w:top w:val="nil"/>
              <w:left w:val="nil"/>
              <w:bottom w:val="single" w:color="auto" w:sz="4" w:space="0"/>
              <w:right w:val="single" w:color="auto" w:sz="4" w:space="0"/>
            </w:tcBorders>
            <w:shd w:val="clear" w:color="auto" w:fill="auto"/>
            <w:noWrap/>
            <w:vAlign w:val="center"/>
          </w:tcPr>
          <w:p w14:paraId="544D5940">
            <w:pPr>
              <w:widowControl/>
              <w:jc w:val="center"/>
              <w:rPr>
                <w:rFonts w:ascii="宋体" w:hAnsi="宋体" w:cs="宋体"/>
                <w:color w:val="000000"/>
                <w:kern w:val="0"/>
                <w:sz w:val="18"/>
                <w:szCs w:val="18"/>
              </w:rPr>
            </w:pPr>
            <w:r>
              <w:rPr>
                <w:rFonts w:hint="eastAsia" w:ascii="宋体" w:hAnsi="宋体" w:cs="宋体"/>
                <w:color w:val="000000"/>
                <w:kern w:val="0"/>
                <w:sz w:val="18"/>
                <w:szCs w:val="18"/>
              </w:rPr>
              <w:t>745.73</w:t>
            </w:r>
          </w:p>
        </w:tc>
        <w:tc>
          <w:tcPr>
            <w:tcW w:w="761" w:type="pct"/>
            <w:tcBorders>
              <w:top w:val="nil"/>
              <w:left w:val="nil"/>
              <w:bottom w:val="single" w:color="auto" w:sz="4" w:space="0"/>
              <w:right w:val="single" w:color="auto" w:sz="4" w:space="0"/>
            </w:tcBorders>
            <w:shd w:val="clear" w:color="auto" w:fill="auto"/>
            <w:noWrap/>
            <w:vAlign w:val="center"/>
          </w:tcPr>
          <w:p w14:paraId="752DD2E2">
            <w:pPr>
              <w:widowControl/>
              <w:jc w:val="center"/>
              <w:rPr>
                <w:rFonts w:ascii="宋体" w:hAnsi="宋体" w:cs="宋体"/>
                <w:color w:val="000000"/>
                <w:kern w:val="0"/>
                <w:sz w:val="18"/>
                <w:szCs w:val="18"/>
              </w:rPr>
            </w:pPr>
            <w:r>
              <w:rPr>
                <w:rFonts w:hint="eastAsia" w:ascii="宋体" w:hAnsi="宋体" w:cs="宋体"/>
                <w:color w:val="000000"/>
                <w:kern w:val="0"/>
                <w:sz w:val="18"/>
                <w:szCs w:val="18"/>
              </w:rPr>
              <w:t>4.10%</w:t>
            </w:r>
          </w:p>
        </w:tc>
      </w:tr>
    </w:tbl>
    <w:p w14:paraId="0C8011CB">
      <w:pPr>
        <w:pStyle w:val="20"/>
        <w:spacing w:beforeLines="5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南昌县城市建设投资发展有限公司综合考虑适度增长因素，保守预测了202</w:t>
      </w:r>
      <w:r>
        <w:rPr>
          <w:color w:val="000000" w:themeColor="text1"/>
          <w:sz w:val="24"/>
          <w:szCs w:val="24"/>
          <w14:textFill>
            <w14:solidFill>
              <w14:schemeClr w14:val="tx1"/>
            </w14:solidFill>
          </w14:textFill>
        </w:rPr>
        <w:t>6-</w:t>
      </w:r>
      <w:r>
        <w:rPr>
          <w:rFonts w:hint="eastAsia"/>
          <w:color w:val="000000" w:themeColor="text1"/>
          <w:sz w:val="24"/>
          <w:szCs w:val="24"/>
          <w14:textFill>
            <w14:solidFill>
              <w14:schemeClr w14:val="tx1"/>
            </w14:solidFill>
          </w14:textFill>
        </w:rPr>
        <w:t>20</w:t>
      </w:r>
      <w:r>
        <w:rPr>
          <w:color w:val="000000" w:themeColor="text1"/>
          <w:sz w:val="24"/>
          <w:szCs w:val="24"/>
          <w14:textFill>
            <w14:solidFill>
              <w14:schemeClr w14:val="tx1"/>
            </w14:solidFill>
          </w14:textFill>
        </w:rPr>
        <w:t>51</w:t>
      </w:r>
      <w:r>
        <w:rPr>
          <w:rFonts w:hint="eastAsia"/>
          <w:color w:val="000000" w:themeColor="text1"/>
          <w:sz w:val="24"/>
          <w:szCs w:val="24"/>
          <w14:textFill>
            <w14:solidFill>
              <w14:schemeClr w14:val="tx1"/>
            </w14:solidFill>
          </w14:textFill>
        </w:rPr>
        <w:t>年的收入、支出，在本项目的实施过程中，可以产生持续稳定的收益，各年现金流入及现金流出均保持了稳定的增长，且保持了各年现金结余的总体增长。</w:t>
      </w:r>
    </w:p>
    <w:p w14:paraId="6450BDDB">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（二）项目运营成本测算</w:t>
      </w:r>
    </w:p>
    <w:p w14:paraId="771FC1D6">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1、运营成本</w:t>
      </w:r>
    </w:p>
    <w:p w14:paraId="147658C0">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支出按照支出用途分类可分为：经营成本支出、其他支出及固定资产投资支出，本项目建成后的经营成本主要包括土地出让扣减项目:省级统筹资金等各项费用支出，因充足性分析主要依据对现金流量进行分析，故对于不需付现的费用（如折旧摊销等）暂不在支出情况预测表中反映。</w:t>
      </w:r>
    </w:p>
    <w:p w14:paraId="26388B6A">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可研报告及《实施方案》中明确了各项成本的估算标准如下：</w:t>
      </w:r>
    </w:p>
    <w:p w14:paraId="1B6A3C32">
      <w:pPr>
        <w:pStyle w:val="20"/>
        <w:spacing w:afterLines="50"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1）土地出让扣减项目:省级统筹资金：按土地出让收入的2</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计算。</w:t>
      </w:r>
    </w:p>
    <w:p w14:paraId="08736479">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业务活动支出及投资建设支出预测情况如下表3</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所示：</w:t>
      </w:r>
    </w:p>
    <w:p w14:paraId="26A37A18">
      <w:pPr>
        <w:pStyle w:val="20"/>
        <w:spacing w:before="0" w:beforeAutospacing="0" w:afterLines="50" w:afterAutospacing="0" w:line="360" w:lineRule="exact"/>
        <w:ind w:firstLine="420" w:firstLineChars="20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表3-</w:t>
      </w:r>
      <w:r>
        <w:rPr>
          <w:b/>
          <w:color w:val="000000" w:themeColor="text1"/>
          <w:sz w:val="21"/>
          <w:szCs w:val="21"/>
          <w14:textFill>
            <w14:solidFill>
              <w14:schemeClr w14:val="tx1"/>
            </w14:solidFill>
          </w14:textFill>
        </w:rPr>
        <w:t>4  2026</w:t>
      </w:r>
      <w:r>
        <w:rPr>
          <w:rFonts w:hint="eastAsia"/>
          <w:b/>
          <w:color w:val="000000" w:themeColor="text1"/>
          <w:sz w:val="21"/>
          <w:szCs w:val="21"/>
          <w14:textFill>
            <w14:solidFill>
              <w14:schemeClr w14:val="tx1"/>
            </w14:solidFill>
          </w14:textFill>
        </w:rPr>
        <w:t>-</w:t>
      </w:r>
      <w:r>
        <w:rPr>
          <w:b/>
          <w:color w:val="000000" w:themeColor="text1"/>
          <w:sz w:val="21"/>
          <w:szCs w:val="21"/>
          <w14:textFill>
            <w14:solidFill>
              <w14:schemeClr w14:val="tx1"/>
            </w14:solidFill>
          </w14:textFill>
        </w:rPr>
        <w:t>2051</w:t>
      </w:r>
      <w:r>
        <w:rPr>
          <w:rFonts w:hint="eastAsia"/>
          <w:b/>
          <w:color w:val="000000" w:themeColor="text1"/>
          <w:sz w:val="21"/>
          <w:szCs w:val="21"/>
          <w14:textFill>
            <w14:solidFill>
              <w14:schemeClr w14:val="tx1"/>
            </w14:solidFill>
          </w14:textFill>
        </w:rPr>
        <w:t>年支出情况预测表</w:t>
      </w:r>
    </w:p>
    <w:p w14:paraId="2B621927">
      <w:pPr>
        <w:pStyle w:val="20"/>
        <w:keepNext/>
        <w:spacing w:before="0" w:beforeAutospacing="0" w:after="0" w:afterAutospacing="0" w:line="360" w:lineRule="exact"/>
        <w:ind w:right="54" w:rightChars="26"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p w14:paraId="77F4F830">
      <w:pPr>
        <w:pStyle w:val="20"/>
        <w:keepNext/>
        <w:spacing w:before="0" w:beforeAutospacing="0" w:after="0" w:afterAutospacing="0" w:line="360" w:lineRule="exact"/>
        <w:ind w:right="54" w:rightChars="26" w:firstLine="360" w:firstLineChars="200"/>
        <w:jc w:val="right"/>
        <w:rPr>
          <w:color w:val="000000" w:themeColor="text1"/>
          <w:sz w:val="18"/>
          <w:szCs w:val="18"/>
          <w14:textFill>
            <w14:solidFill>
              <w14:schemeClr w14:val="tx1"/>
            </w14:solidFill>
          </w14:textFill>
        </w:rPr>
      </w:pPr>
    </w:p>
    <w:tbl>
      <w:tblPr>
        <w:tblStyle w:val="24"/>
        <w:tblW w:w="5000" w:type="pct"/>
        <w:tblInd w:w="0" w:type="dxa"/>
        <w:tblLayout w:type="autofit"/>
        <w:tblCellMar>
          <w:top w:w="0" w:type="dxa"/>
          <w:left w:w="108" w:type="dxa"/>
          <w:bottom w:w="0" w:type="dxa"/>
          <w:right w:w="108" w:type="dxa"/>
        </w:tblCellMar>
      </w:tblPr>
      <w:tblGrid>
        <w:gridCol w:w="1494"/>
        <w:gridCol w:w="5297"/>
        <w:gridCol w:w="1929"/>
      </w:tblGrid>
      <w:tr w14:paraId="6A1066DE">
        <w:trPr>
          <w:trHeight w:val="480" w:hRule="atLeast"/>
        </w:trPr>
        <w:tc>
          <w:tcPr>
            <w:tcW w:w="857" w:type="pct"/>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35876B6A">
            <w:pPr>
              <w:widowControl/>
              <w:jc w:val="center"/>
              <w:rPr>
                <w:rFonts w:ascii="宋体" w:hAnsi="宋体" w:cs="宋体"/>
                <w:b/>
                <w:bCs/>
                <w:kern w:val="0"/>
                <w:sz w:val="18"/>
                <w:szCs w:val="18"/>
              </w:rPr>
            </w:pPr>
            <w:r>
              <w:rPr>
                <w:rFonts w:hint="eastAsia" w:ascii="宋体" w:hAnsi="宋体" w:cs="宋体"/>
                <w:b/>
                <w:bCs/>
                <w:kern w:val="0"/>
                <w:sz w:val="18"/>
                <w:szCs w:val="18"/>
              </w:rPr>
              <w:t>年份</w:t>
            </w:r>
          </w:p>
        </w:tc>
        <w:tc>
          <w:tcPr>
            <w:tcW w:w="3037" w:type="pct"/>
            <w:tcBorders>
              <w:top w:val="single" w:color="auto" w:sz="4" w:space="0"/>
              <w:left w:val="nil"/>
              <w:bottom w:val="single" w:color="auto" w:sz="4" w:space="0"/>
              <w:right w:val="single" w:color="auto" w:sz="4" w:space="0"/>
            </w:tcBorders>
            <w:shd w:val="clear" w:color="000000" w:fill="FFFFFF"/>
            <w:noWrap/>
            <w:vAlign w:val="center"/>
          </w:tcPr>
          <w:p w14:paraId="570360AF">
            <w:pPr>
              <w:widowControl/>
              <w:jc w:val="center"/>
              <w:rPr>
                <w:rFonts w:ascii="宋体" w:hAnsi="宋体" w:cs="宋体"/>
                <w:b/>
                <w:bCs/>
                <w:kern w:val="0"/>
                <w:sz w:val="18"/>
                <w:szCs w:val="18"/>
              </w:rPr>
            </w:pPr>
            <w:r>
              <w:rPr>
                <w:rFonts w:hint="eastAsia" w:ascii="宋体" w:hAnsi="宋体" w:cs="宋体"/>
                <w:b/>
                <w:bCs/>
                <w:kern w:val="0"/>
                <w:sz w:val="18"/>
                <w:szCs w:val="18"/>
              </w:rPr>
              <w:t>运营成本</w:t>
            </w:r>
          </w:p>
        </w:tc>
        <w:tc>
          <w:tcPr>
            <w:tcW w:w="1106" w:type="pct"/>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5720A825">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3C44E148">
        <w:trPr>
          <w:trHeight w:val="480" w:hRule="atLeast"/>
        </w:trPr>
        <w:tc>
          <w:tcPr>
            <w:tcW w:w="857" w:type="pct"/>
            <w:vMerge w:val="continue"/>
            <w:tcBorders>
              <w:top w:val="single" w:color="auto" w:sz="4" w:space="0"/>
              <w:left w:val="single" w:color="auto" w:sz="4" w:space="0"/>
              <w:bottom w:val="single" w:color="auto" w:sz="4" w:space="0"/>
              <w:right w:val="single" w:color="auto" w:sz="4" w:space="0"/>
            </w:tcBorders>
            <w:vAlign w:val="center"/>
          </w:tcPr>
          <w:p w14:paraId="65AF6168">
            <w:pPr>
              <w:widowControl/>
              <w:jc w:val="center"/>
              <w:rPr>
                <w:rFonts w:ascii="宋体" w:hAnsi="宋体" w:cs="宋体"/>
                <w:b/>
                <w:bCs/>
                <w:kern w:val="0"/>
                <w:sz w:val="18"/>
                <w:szCs w:val="18"/>
              </w:rPr>
            </w:pPr>
          </w:p>
        </w:tc>
        <w:tc>
          <w:tcPr>
            <w:tcW w:w="3037" w:type="pct"/>
            <w:tcBorders>
              <w:top w:val="nil"/>
              <w:left w:val="nil"/>
              <w:bottom w:val="single" w:color="auto" w:sz="4" w:space="0"/>
              <w:right w:val="single" w:color="auto" w:sz="4" w:space="0"/>
            </w:tcBorders>
            <w:shd w:val="clear" w:color="000000" w:fill="FFFFFF"/>
            <w:vAlign w:val="center"/>
          </w:tcPr>
          <w:p w14:paraId="1BD0D286">
            <w:pPr>
              <w:widowControl/>
              <w:jc w:val="center"/>
              <w:rPr>
                <w:rFonts w:ascii="宋体" w:hAnsi="宋体" w:cs="宋体"/>
                <w:b/>
                <w:bCs/>
                <w:kern w:val="0"/>
                <w:sz w:val="18"/>
                <w:szCs w:val="18"/>
              </w:rPr>
            </w:pPr>
            <w:r>
              <w:rPr>
                <w:rFonts w:hint="eastAsia" w:ascii="宋体" w:hAnsi="宋体" w:cs="宋体"/>
                <w:b/>
                <w:bCs/>
                <w:kern w:val="0"/>
                <w:sz w:val="18"/>
                <w:szCs w:val="18"/>
              </w:rPr>
              <w:t>土地出让扣减项目:省级统筹资金</w:t>
            </w:r>
          </w:p>
        </w:tc>
        <w:tc>
          <w:tcPr>
            <w:tcW w:w="1106" w:type="pct"/>
            <w:vMerge w:val="continue"/>
            <w:tcBorders>
              <w:top w:val="single" w:color="auto" w:sz="4" w:space="0"/>
              <w:left w:val="single" w:color="auto" w:sz="4" w:space="0"/>
              <w:bottom w:val="single" w:color="auto" w:sz="4" w:space="0"/>
              <w:right w:val="single" w:color="auto" w:sz="4" w:space="0"/>
            </w:tcBorders>
            <w:vAlign w:val="center"/>
          </w:tcPr>
          <w:p w14:paraId="34B48D99">
            <w:pPr>
              <w:widowControl/>
              <w:jc w:val="center"/>
              <w:rPr>
                <w:rFonts w:ascii="宋体" w:hAnsi="宋体" w:cs="宋体"/>
                <w:b/>
                <w:bCs/>
                <w:kern w:val="0"/>
                <w:sz w:val="18"/>
                <w:szCs w:val="18"/>
              </w:rPr>
            </w:pPr>
          </w:p>
        </w:tc>
      </w:tr>
      <w:tr w14:paraId="73CBC849">
        <w:trPr>
          <w:trHeight w:val="323" w:hRule="atLeast"/>
        </w:trPr>
        <w:tc>
          <w:tcPr>
            <w:tcW w:w="857" w:type="pct"/>
            <w:tcBorders>
              <w:top w:val="nil"/>
              <w:left w:val="single" w:color="auto" w:sz="4" w:space="0"/>
              <w:bottom w:val="single" w:color="auto" w:sz="4" w:space="0"/>
              <w:right w:val="single" w:color="auto" w:sz="4" w:space="0"/>
            </w:tcBorders>
            <w:shd w:val="clear" w:color="000000" w:fill="FFFFFF"/>
            <w:noWrap/>
            <w:vAlign w:val="center"/>
          </w:tcPr>
          <w:p w14:paraId="516DA208">
            <w:pPr>
              <w:widowControl/>
              <w:jc w:val="center"/>
              <w:rPr>
                <w:rFonts w:ascii="宋体" w:hAnsi="宋体" w:cs="宋体"/>
                <w:kern w:val="0"/>
                <w:sz w:val="18"/>
                <w:szCs w:val="18"/>
              </w:rPr>
            </w:pPr>
            <w:r>
              <w:rPr>
                <w:rFonts w:hint="eastAsia" w:ascii="宋体" w:hAnsi="宋体" w:cs="宋体"/>
                <w:kern w:val="0"/>
                <w:sz w:val="18"/>
                <w:szCs w:val="18"/>
              </w:rPr>
              <w:t>2029年</w:t>
            </w:r>
          </w:p>
        </w:tc>
        <w:tc>
          <w:tcPr>
            <w:tcW w:w="3037" w:type="pct"/>
            <w:tcBorders>
              <w:top w:val="nil"/>
              <w:left w:val="nil"/>
              <w:bottom w:val="single" w:color="auto" w:sz="4" w:space="0"/>
              <w:right w:val="single" w:color="auto" w:sz="4" w:space="0"/>
            </w:tcBorders>
            <w:shd w:val="clear" w:color="000000" w:fill="FFFFFF"/>
            <w:noWrap/>
            <w:vAlign w:val="center"/>
          </w:tcPr>
          <w:p w14:paraId="55C8FC49">
            <w:pPr>
              <w:widowControl/>
              <w:jc w:val="center"/>
              <w:rPr>
                <w:rFonts w:ascii="宋体" w:hAnsi="宋体" w:cs="宋体"/>
                <w:kern w:val="0"/>
                <w:sz w:val="18"/>
                <w:szCs w:val="18"/>
              </w:rPr>
            </w:pPr>
            <w:r>
              <w:rPr>
                <w:rFonts w:hint="eastAsia" w:ascii="宋体" w:hAnsi="宋体" w:cs="宋体"/>
                <w:kern w:val="0"/>
                <w:sz w:val="18"/>
                <w:szCs w:val="18"/>
              </w:rPr>
              <w:t>6,003.42</w:t>
            </w:r>
          </w:p>
        </w:tc>
        <w:tc>
          <w:tcPr>
            <w:tcW w:w="1106" w:type="pct"/>
            <w:tcBorders>
              <w:top w:val="nil"/>
              <w:left w:val="nil"/>
              <w:bottom w:val="single" w:color="auto" w:sz="4" w:space="0"/>
              <w:right w:val="single" w:color="auto" w:sz="4" w:space="0"/>
            </w:tcBorders>
            <w:shd w:val="clear" w:color="000000" w:fill="FFFFFF"/>
            <w:noWrap/>
            <w:vAlign w:val="center"/>
          </w:tcPr>
          <w:p w14:paraId="0EA0F11A">
            <w:pPr>
              <w:widowControl/>
              <w:jc w:val="center"/>
              <w:rPr>
                <w:rFonts w:ascii="宋体" w:hAnsi="宋体" w:cs="宋体"/>
                <w:kern w:val="0"/>
                <w:sz w:val="18"/>
                <w:szCs w:val="18"/>
              </w:rPr>
            </w:pPr>
            <w:r>
              <w:rPr>
                <w:rFonts w:hint="eastAsia" w:ascii="宋体" w:hAnsi="宋体" w:cs="宋体"/>
                <w:kern w:val="0"/>
                <w:sz w:val="18"/>
                <w:szCs w:val="18"/>
              </w:rPr>
              <w:t>6,003.42</w:t>
            </w:r>
          </w:p>
        </w:tc>
      </w:tr>
      <w:tr w14:paraId="2EA2965B">
        <w:trPr>
          <w:trHeight w:val="270" w:hRule="atLeast"/>
        </w:trPr>
        <w:tc>
          <w:tcPr>
            <w:tcW w:w="857" w:type="pct"/>
            <w:tcBorders>
              <w:top w:val="nil"/>
              <w:left w:val="single" w:color="auto" w:sz="4" w:space="0"/>
              <w:bottom w:val="single" w:color="auto" w:sz="4" w:space="0"/>
              <w:right w:val="single" w:color="auto" w:sz="4" w:space="0"/>
            </w:tcBorders>
            <w:shd w:val="clear" w:color="000000" w:fill="FFFFFF"/>
            <w:noWrap/>
            <w:vAlign w:val="center"/>
          </w:tcPr>
          <w:p w14:paraId="64EDA9BA">
            <w:pPr>
              <w:widowControl/>
              <w:jc w:val="center"/>
              <w:rPr>
                <w:rFonts w:ascii="宋体" w:hAnsi="宋体" w:cs="宋体"/>
                <w:b/>
                <w:bCs/>
                <w:kern w:val="0"/>
                <w:sz w:val="18"/>
                <w:szCs w:val="18"/>
              </w:rPr>
            </w:pPr>
            <w:r>
              <w:rPr>
                <w:rFonts w:hint="eastAsia" w:ascii="宋体" w:hAnsi="宋体" w:cs="宋体"/>
                <w:b/>
                <w:bCs/>
                <w:kern w:val="0"/>
                <w:sz w:val="18"/>
                <w:szCs w:val="18"/>
              </w:rPr>
              <w:t>合计</w:t>
            </w:r>
          </w:p>
        </w:tc>
        <w:tc>
          <w:tcPr>
            <w:tcW w:w="3037" w:type="pct"/>
            <w:tcBorders>
              <w:top w:val="nil"/>
              <w:left w:val="nil"/>
              <w:bottom w:val="single" w:color="auto" w:sz="4" w:space="0"/>
              <w:right w:val="single" w:color="auto" w:sz="4" w:space="0"/>
            </w:tcBorders>
            <w:shd w:val="clear" w:color="000000" w:fill="FFFFFF"/>
            <w:noWrap/>
            <w:vAlign w:val="center"/>
          </w:tcPr>
          <w:p w14:paraId="5D99146F">
            <w:pPr>
              <w:widowControl/>
              <w:jc w:val="center"/>
              <w:rPr>
                <w:rFonts w:ascii="宋体" w:hAnsi="宋体" w:cs="宋体"/>
                <w:b/>
                <w:bCs/>
                <w:kern w:val="0"/>
                <w:sz w:val="18"/>
                <w:szCs w:val="18"/>
              </w:rPr>
            </w:pPr>
            <w:r>
              <w:rPr>
                <w:rFonts w:hint="eastAsia" w:ascii="宋体" w:hAnsi="宋体" w:cs="宋体"/>
                <w:b/>
                <w:bCs/>
                <w:kern w:val="0"/>
                <w:sz w:val="18"/>
                <w:szCs w:val="18"/>
              </w:rPr>
              <w:t>6,003.42</w:t>
            </w:r>
          </w:p>
        </w:tc>
        <w:tc>
          <w:tcPr>
            <w:tcW w:w="1106" w:type="pct"/>
            <w:tcBorders>
              <w:top w:val="nil"/>
              <w:left w:val="nil"/>
              <w:bottom w:val="single" w:color="auto" w:sz="4" w:space="0"/>
              <w:right w:val="single" w:color="auto" w:sz="4" w:space="0"/>
            </w:tcBorders>
            <w:shd w:val="clear" w:color="000000" w:fill="FFFFFF"/>
            <w:noWrap/>
            <w:vAlign w:val="center"/>
          </w:tcPr>
          <w:p w14:paraId="3B3A4F67">
            <w:pPr>
              <w:widowControl/>
              <w:jc w:val="center"/>
              <w:rPr>
                <w:rFonts w:ascii="宋体" w:hAnsi="宋体" w:cs="宋体"/>
                <w:b/>
                <w:bCs/>
                <w:kern w:val="0"/>
                <w:sz w:val="18"/>
                <w:szCs w:val="18"/>
              </w:rPr>
            </w:pPr>
            <w:r>
              <w:rPr>
                <w:rFonts w:ascii="宋体" w:hAnsi="宋体" w:cs="宋体"/>
                <w:b/>
                <w:bCs/>
                <w:kern w:val="0"/>
                <w:sz w:val="18"/>
                <w:szCs w:val="18"/>
              </w:rPr>
              <w:t>6,003.42</w:t>
            </w:r>
          </w:p>
        </w:tc>
      </w:tr>
    </w:tbl>
    <w:p w14:paraId="5F63090D">
      <w:pPr>
        <w:pStyle w:val="20"/>
        <w:spacing w:before="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注：1.支出情况预测表主要体现的是需要支付现金的成本费用部分，故对于不需付现的费用（如折旧摊销等）进行了剔除，暂不在上表中反映。</w:t>
      </w:r>
    </w:p>
    <w:p w14:paraId="4823BE5A">
      <w:pPr>
        <w:pStyle w:val="20"/>
        <w:spacing w:before="0" w:beforeAutospacing="0" w:afterLines="50" w:afterAutospacing="0" w:line="360" w:lineRule="exact"/>
        <w:ind w:firstLine="420" w:firstLineChars="200"/>
        <w:jc w:val="both"/>
        <w:rPr>
          <w:color w:val="000000" w:themeColor="text1"/>
          <w:sz w:val="21"/>
          <w:szCs w:val="21"/>
          <w14:textFill>
            <w14:solidFill>
              <w14:schemeClr w14:val="tx1"/>
            </w14:solidFill>
          </w14:textFill>
        </w:rPr>
        <w:sectPr>
          <w:pgSz w:w="11906" w:h="16838"/>
          <w:pgMar w:top="1531" w:right="1701" w:bottom="1418" w:left="1701" w:header="851" w:footer="992" w:gutter="0"/>
          <w:cols w:space="425" w:num="1"/>
          <w:docGrid w:type="linesAndChars" w:linePitch="312" w:charSpace="0"/>
        </w:sectPr>
      </w:pPr>
    </w:p>
    <w:p w14:paraId="64BCB3BA">
      <w:pPr>
        <w:ind w:left="-140" w:leftChars="-67" w:right="-98" w:rightChars="-47" w:firstLine="439" w:firstLineChars="157"/>
        <w:rPr>
          <w:rFonts w:ascii="楷体" w:hAnsi="楷体" w:eastAsia="楷体" w:cs="楷体"/>
          <w:bCs/>
          <w:sz w:val="28"/>
          <w:szCs w:val="28"/>
        </w:rPr>
      </w:pPr>
    </w:p>
    <w:p w14:paraId="6ECCBEE9">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2、财务费用</w:t>
      </w:r>
    </w:p>
    <w:p w14:paraId="156B62D7">
      <w:pPr>
        <w:spacing w:line="360" w:lineRule="auto"/>
        <w:ind w:left="-140" w:leftChars="-67" w:right="-98" w:rightChars="-47" w:firstLine="376" w:firstLineChars="157"/>
        <w:rPr>
          <w:rFonts w:ascii="宋体" w:hAnsi="宋体" w:eastAsia="宋体" w:cs="宋体"/>
          <w:bCs/>
          <w:sz w:val="24"/>
          <w:szCs w:val="24"/>
        </w:rPr>
      </w:pPr>
      <w:r>
        <w:rPr>
          <w:rFonts w:hint="eastAsia" w:ascii="宋体" w:hAnsi="宋体" w:eastAsia="宋体" w:cs="宋体"/>
          <w:bCs/>
          <w:sz w:val="24"/>
          <w:szCs w:val="24"/>
        </w:rPr>
        <w:t>本次拟发行南昌县霞山村安置房住宅小区一期工程（棚户区改造）项目地方政府专项债券以满足项目投资需求，债券计划在2024年发行，年利率按照3.7%计算。根据债券发行计划及利率计算每年财务费用。按照债券发行要求，专项债券每半年偿还债券利息，到期一次性偿还本金。</w:t>
      </w:r>
    </w:p>
    <w:p w14:paraId="42010838">
      <w:pPr>
        <w:widowControl/>
        <w:spacing w:line="560" w:lineRule="exact"/>
        <w:ind w:firstLine="560" w:firstLineChars="200"/>
        <w:jc w:val="left"/>
        <w:outlineLvl w:val="1"/>
        <w:rPr>
          <w:rFonts w:ascii="楷体" w:hAnsi="楷体" w:eastAsia="楷体" w:cs="楷体"/>
          <w:b/>
          <w:bCs/>
          <w:sz w:val="28"/>
          <w:szCs w:val="28"/>
        </w:rPr>
      </w:pPr>
      <w:r>
        <w:rPr>
          <w:rFonts w:hint="eastAsia" w:ascii="楷体" w:hAnsi="楷体" w:eastAsia="楷体" w:cs="楷体"/>
          <w:b/>
          <w:bCs/>
          <w:sz w:val="28"/>
          <w:szCs w:val="28"/>
        </w:rPr>
        <w:t>（三）项目资金测算平衡表</w:t>
      </w:r>
    </w:p>
    <w:p w14:paraId="37A44B65">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1．本期债券调整项目应付本息情况</w:t>
      </w:r>
    </w:p>
    <w:p w14:paraId="78E9AAAE">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本次南昌县城市建设投资发展有限公司组织申报发行南昌县霞山村安置房住宅小区一期工程（棚户区改造）项目专项债券项目的总投资额</w:t>
      </w:r>
      <w:r>
        <w:rPr>
          <w:color w:val="000000" w:themeColor="text1"/>
          <w:sz w:val="24"/>
          <w:szCs w:val="24"/>
          <w14:textFill>
            <w14:solidFill>
              <w14:schemeClr w14:val="tx1"/>
            </w14:solidFill>
          </w14:textFill>
        </w:rPr>
        <w:t>32,601.34</w:t>
      </w:r>
      <w:r>
        <w:rPr>
          <w:rFonts w:hint="eastAsia"/>
          <w:color w:val="000000" w:themeColor="text1"/>
          <w:sz w:val="24"/>
          <w:szCs w:val="24"/>
          <w14:textFill>
            <w14:solidFill>
              <w14:schemeClr w14:val="tx1"/>
            </w14:solidFill>
          </w14:textFill>
        </w:rPr>
        <w:t>万元。计划发行专项债券金额</w:t>
      </w:r>
      <w:r>
        <w:rPr>
          <w:color w:val="000000" w:themeColor="text1"/>
          <w:sz w:val="24"/>
          <w:szCs w:val="24"/>
          <w14:textFill>
            <w14:solidFill>
              <w14:schemeClr w14:val="tx1"/>
            </w14:solidFill>
          </w14:textFill>
        </w:rPr>
        <w:t>22,950.00</w:t>
      </w:r>
      <w:r>
        <w:rPr>
          <w:rFonts w:hint="eastAsia"/>
          <w:color w:val="000000" w:themeColor="text1"/>
          <w:sz w:val="24"/>
          <w:szCs w:val="24"/>
          <w14:textFill>
            <w14:solidFill>
              <w14:schemeClr w14:val="tx1"/>
            </w14:solidFill>
          </w14:textFill>
        </w:rPr>
        <w:t>万元，其中：2</w:t>
      </w:r>
      <w:r>
        <w:rPr>
          <w:color w:val="000000" w:themeColor="text1"/>
          <w:sz w:val="24"/>
          <w:szCs w:val="24"/>
          <w14:textFill>
            <w14:solidFill>
              <w14:schemeClr w14:val="tx1"/>
            </w14:solidFill>
          </w14:textFill>
        </w:rPr>
        <w:t>023</w:t>
      </w:r>
      <w:r>
        <w:rPr>
          <w:rFonts w:hint="eastAsia"/>
          <w:color w:val="000000" w:themeColor="text1"/>
          <w:sz w:val="24"/>
          <w:szCs w:val="24"/>
          <w14:textFill>
            <w14:solidFill>
              <w14:schemeClr w14:val="tx1"/>
            </w14:solidFill>
          </w14:textFill>
        </w:rPr>
        <w:t>年已发行</w:t>
      </w:r>
      <w:r>
        <w:rPr>
          <w:color w:val="000000" w:themeColor="text1"/>
          <w:sz w:val="24"/>
          <w:szCs w:val="24"/>
          <w14:textFill>
            <w14:solidFill>
              <w14:schemeClr w14:val="tx1"/>
            </w14:solidFill>
          </w14:textFill>
        </w:rPr>
        <w:t>4,000.00</w:t>
      </w:r>
      <w:r>
        <w:rPr>
          <w:rFonts w:hint="eastAsia"/>
          <w:color w:val="000000" w:themeColor="text1"/>
          <w:sz w:val="24"/>
          <w:szCs w:val="24"/>
          <w14:textFill>
            <w14:solidFill>
              <w14:schemeClr w14:val="tx1"/>
            </w14:solidFill>
          </w14:textFill>
        </w:rPr>
        <w:t>万元，期限为7年，发行实际利率2</w:t>
      </w:r>
      <w:r>
        <w:rPr>
          <w:color w:val="000000" w:themeColor="text1"/>
          <w:sz w:val="24"/>
          <w:szCs w:val="24"/>
          <w14:textFill>
            <w14:solidFill>
              <w14:schemeClr w14:val="tx1"/>
            </w14:solidFill>
          </w14:textFill>
        </w:rPr>
        <w:t>.79%</w:t>
      </w:r>
      <w:r>
        <w:rPr>
          <w:rFonts w:hint="eastAsia"/>
          <w:color w:val="000000" w:themeColor="text1"/>
          <w:sz w:val="24"/>
          <w:szCs w:val="24"/>
          <w14:textFill>
            <w14:solidFill>
              <w14:schemeClr w14:val="tx1"/>
            </w14:solidFill>
          </w14:textFill>
        </w:rPr>
        <w:t>；</w:t>
      </w:r>
      <w:r>
        <w:rPr>
          <w:rFonts w:hint="eastAsia"/>
          <w:sz w:val="24"/>
          <w:szCs w:val="24"/>
        </w:rPr>
        <w:t>4</w:t>
      </w:r>
      <w:r>
        <w:rPr>
          <w:sz w:val="24"/>
          <w:szCs w:val="24"/>
        </w:rPr>
        <w:t>,000.00</w:t>
      </w:r>
      <w:r>
        <w:rPr>
          <w:rFonts w:hint="eastAsia"/>
          <w:sz w:val="24"/>
          <w:szCs w:val="24"/>
        </w:rPr>
        <w:t>万元于2</w:t>
      </w:r>
      <w:r>
        <w:rPr>
          <w:sz w:val="24"/>
          <w:szCs w:val="24"/>
        </w:rPr>
        <w:t>024</w:t>
      </w:r>
      <w:r>
        <w:rPr>
          <w:rFonts w:hint="eastAsia"/>
          <w:sz w:val="24"/>
          <w:szCs w:val="24"/>
        </w:rPr>
        <w:t>年6月由</w:t>
      </w:r>
      <w:r>
        <w:rPr>
          <w:rFonts w:hint="eastAsia"/>
          <w:color w:val="000000" w:themeColor="text1"/>
          <w:sz w:val="24"/>
          <w:szCs w:val="24"/>
          <w14:textFill>
            <w14:solidFill>
              <w14:schemeClr w14:val="tx1"/>
            </w14:solidFill>
          </w14:textFill>
        </w:rPr>
        <w:t>2022年江西省高质量发展补短板专项债券（十二期）——2022年江西省政府专项债券（二十期）</w:t>
      </w:r>
      <w:r>
        <w:rPr>
          <w:rFonts w:hint="eastAsia"/>
          <w:sz w:val="24"/>
          <w:szCs w:val="24"/>
        </w:rPr>
        <w:t>调整至本项目，发行期限</w:t>
      </w:r>
      <w:r>
        <w:rPr>
          <w:sz w:val="24"/>
          <w:szCs w:val="24"/>
        </w:rPr>
        <w:t>30</w:t>
      </w:r>
      <w:r>
        <w:rPr>
          <w:rFonts w:hint="eastAsia"/>
          <w:sz w:val="24"/>
          <w:szCs w:val="24"/>
        </w:rPr>
        <w:t>年，发行利率3</w:t>
      </w:r>
      <w:r>
        <w:rPr>
          <w:sz w:val="24"/>
          <w:szCs w:val="24"/>
        </w:rPr>
        <w:t>.54%</w:t>
      </w:r>
      <w:r>
        <w:rPr>
          <w:rFonts w:hint="eastAsia"/>
          <w:sz w:val="24"/>
          <w:szCs w:val="24"/>
        </w:rPr>
        <w:t>；</w:t>
      </w:r>
      <w:r>
        <w:rPr>
          <w:rFonts w:hint="eastAsia"/>
          <w:color w:val="000000" w:themeColor="text1"/>
          <w:sz w:val="24"/>
          <w:szCs w:val="24"/>
          <w:lang w:val="en-GB"/>
          <w14:textFill>
            <w14:solidFill>
              <w14:schemeClr w14:val="tx1"/>
            </w14:solidFill>
          </w14:textFill>
        </w:rPr>
        <w:t>2</w:t>
      </w:r>
      <w:r>
        <w:rPr>
          <w:color w:val="000000" w:themeColor="text1"/>
          <w:sz w:val="24"/>
          <w:szCs w:val="24"/>
          <w:lang w:val="en-GB"/>
          <w14:textFill>
            <w14:solidFill>
              <w14:schemeClr w14:val="tx1"/>
            </w14:solidFill>
          </w14:textFill>
        </w:rPr>
        <w:t>024</w:t>
      </w:r>
      <w:r>
        <w:rPr>
          <w:rFonts w:hint="eastAsia"/>
          <w:color w:val="000000" w:themeColor="text1"/>
          <w:sz w:val="24"/>
          <w:szCs w:val="24"/>
          <w:lang w:val="en-GB"/>
          <w14:textFill>
            <w14:solidFill>
              <w14:schemeClr w14:val="tx1"/>
            </w14:solidFill>
          </w14:textFill>
        </w:rPr>
        <w:t>年计划新增发行</w:t>
      </w:r>
      <w:r>
        <w:rPr>
          <w:color w:val="000000" w:themeColor="text1"/>
          <w:sz w:val="24"/>
          <w:szCs w:val="24"/>
          <w:lang w:val="en-GB"/>
          <w14:textFill>
            <w14:solidFill>
              <w14:schemeClr w14:val="tx1"/>
            </w14:solidFill>
          </w14:textFill>
        </w:rPr>
        <w:t>14,950.00</w:t>
      </w:r>
      <w:r>
        <w:rPr>
          <w:rFonts w:hint="eastAsia"/>
          <w:color w:val="000000" w:themeColor="text1"/>
          <w:sz w:val="24"/>
          <w:szCs w:val="24"/>
          <w:lang w:val="en-GB"/>
          <w14:textFill>
            <w14:solidFill>
              <w14:schemeClr w14:val="tx1"/>
            </w14:solidFill>
          </w14:textFill>
        </w:rPr>
        <w:t>万元，期限为7年，</w:t>
      </w:r>
      <w:r>
        <w:rPr>
          <w:rFonts w:hint="eastAsia"/>
          <w:color w:val="000000" w:themeColor="text1"/>
          <w:sz w:val="24"/>
          <w:szCs w:val="24"/>
          <w14:textFill>
            <w14:solidFill>
              <w14:schemeClr w14:val="tx1"/>
            </w14:solidFill>
          </w14:textFill>
        </w:rPr>
        <w:t>其中本期申请发行</w:t>
      </w:r>
      <w:r>
        <w:rPr>
          <w:color w:val="000000" w:themeColor="text1"/>
          <w:sz w:val="24"/>
          <w:szCs w:val="24"/>
          <w14:textFill>
            <w14:solidFill>
              <w14:schemeClr w14:val="tx1"/>
            </w14:solidFill>
          </w14:textFill>
        </w:rPr>
        <w:t>2,700.00</w:t>
      </w:r>
      <w:r>
        <w:rPr>
          <w:rFonts w:hint="eastAsia"/>
          <w:color w:val="000000" w:themeColor="text1"/>
          <w:sz w:val="24"/>
          <w:szCs w:val="24"/>
          <w14:textFill>
            <w14:solidFill>
              <w14:schemeClr w14:val="tx1"/>
            </w14:solidFill>
          </w14:textFill>
        </w:rPr>
        <w:t>万元，后续计划发行</w:t>
      </w:r>
      <w:r>
        <w:rPr>
          <w:color w:val="000000" w:themeColor="text1"/>
          <w:sz w:val="24"/>
          <w:szCs w:val="24"/>
          <w14:textFill>
            <w14:solidFill>
              <w14:schemeClr w14:val="tx1"/>
            </w14:solidFill>
          </w14:textFill>
        </w:rPr>
        <w:t>12,250.00</w:t>
      </w:r>
      <w:r>
        <w:rPr>
          <w:rFonts w:hint="eastAsia"/>
          <w:color w:val="000000" w:themeColor="text1"/>
          <w:sz w:val="24"/>
          <w:szCs w:val="24"/>
          <w14:textFill>
            <w14:solidFill>
              <w14:schemeClr w14:val="tx1"/>
            </w14:solidFill>
          </w14:textFill>
        </w:rPr>
        <w:t>万元。从客观、谨慎角度出发，</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年期债券利率预计</w:t>
      </w:r>
      <w:r>
        <w:rPr>
          <w:color w:val="000000" w:themeColor="text1"/>
          <w:sz w:val="24"/>
          <w:szCs w:val="24"/>
          <w14:textFill>
            <w14:solidFill>
              <w14:schemeClr w14:val="tx1"/>
            </w14:solidFill>
          </w14:textFill>
        </w:rPr>
        <w:t>3.90%</w:t>
      </w:r>
      <w:r>
        <w:rPr>
          <w:rFonts w:hint="eastAsia"/>
          <w:color w:val="000000" w:themeColor="text1"/>
          <w:sz w:val="24"/>
          <w:szCs w:val="24"/>
          <w14:textFill>
            <w14:solidFill>
              <w14:schemeClr w14:val="tx1"/>
            </w14:solidFill>
          </w14:textFill>
        </w:rPr>
        <w:t>，发行费率暂按照0.10%测算，据此预计专项债券利息合计为</w:t>
      </w:r>
      <w:r>
        <w:rPr>
          <w:color w:val="000000" w:themeColor="text1"/>
          <w:sz w:val="24"/>
          <w:szCs w:val="24"/>
          <w14:textFill>
            <w14:solidFill>
              <w14:schemeClr w14:val="tx1"/>
            </w14:solidFill>
          </w14:textFill>
        </w:rPr>
        <w:t>8,827.36</w:t>
      </w:r>
      <w:r>
        <w:rPr>
          <w:rFonts w:hint="eastAsia"/>
          <w:color w:val="000000" w:themeColor="text1"/>
          <w:sz w:val="24"/>
          <w:szCs w:val="24"/>
          <w14:textFill>
            <w14:solidFill>
              <w14:schemeClr w14:val="tx1"/>
            </w14:solidFill>
          </w14:textFill>
        </w:rPr>
        <w:t>万元，预计发行费用为</w:t>
      </w:r>
      <w:r>
        <w:rPr>
          <w:color w:val="000000" w:themeColor="text1"/>
          <w:sz w:val="24"/>
          <w:szCs w:val="24"/>
          <w14:textFill>
            <w14:solidFill>
              <w14:schemeClr w14:val="tx1"/>
            </w14:solidFill>
          </w14:textFill>
        </w:rPr>
        <w:t>18.95</w:t>
      </w:r>
      <w:r>
        <w:rPr>
          <w:rFonts w:hint="eastAsia"/>
          <w:color w:val="000000" w:themeColor="text1"/>
          <w:sz w:val="24"/>
          <w:szCs w:val="24"/>
          <w14:textFill>
            <w14:solidFill>
              <w14:schemeClr w14:val="tx1"/>
            </w14:solidFill>
          </w14:textFill>
        </w:rPr>
        <w:t>万元。</w:t>
      </w:r>
    </w:p>
    <w:p w14:paraId="22AD3B48">
      <w:pPr>
        <w:pStyle w:val="2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按照该</w:t>
      </w:r>
      <w:r>
        <w:rPr>
          <w:color w:val="000000" w:themeColor="text1"/>
          <w:sz w:val="24"/>
          <w:szCs w:val="24"/>
          <w14:textFill>
            <w14:solidFill>
              <w14:schemeClr w14:val="tx1"/>
            </w14:solidFill>
          </w14:textFill>
        </w:rPr>
        <w:t>项目</w:t>
      </w:r>
      <w:r>
        <w:rPr>
          <w:rFonts w:hint="eastAsia"/>
          <w:color w:val="000000" w:themeColor="text1"/>
          <w:sz w:val="24"/>
          <w:szCs w:val="24"/>
          <w14:textFill>
            <w14:solidFill>
              <w14:schemeClr w14:val="tx1"/>
            </w14:solidFill>
          </w14:textFill>
        </w:rPr>
        <w:t>专项债券发行计划</w:t>
      </w:r>
      <w:r>
        <w:rPr>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年发行7年期债券以年利率</w:t>
      </w:r>
      <w:r>
        <w:rPr>
          <w:color w:val="000000" w:themeColor="text1"/>
          <w:sz w:val="24"/>
          <w:szCs w:val="24"/>
          <w14:textFill>
            <w14:solidFill>
              <w14:schemeClr w14:val="tx1"/>
            </w14:solidFill>
          </w14:textFill>
        </w:rPr>
        <w:t>3.90%</w:t>
      </w:r>
      <w:r>
        <w:rPr>
          <w:rFonts w:hint="eastAsia"/>
          <w:color w:val="000000" w:themeColor="text1"/>
          <w:sz w:val="24"/>
          <w:szCs w:val="24"/>
          <w14:textFill>
            <w14:solidFill>
              <w14:schemeClr w14:val="tx1"/>
            </w14:solidFill>
          </w14:textFill>
        </w:rPr>
        <w:t>预计每年利息支出，到期一次还本，本项目专项债券还本付息情况如下表所示：</w:t>
      </w:r>
    </w:p>
    <w:p w14:paraId="5DA2E6BB">
      <w:pPr>
        <w:jc w:val="center"/>
        <w:rPr>
          <w:rFonts w:ascii="宋体" w:hAnsi="宋体" w:cs="仿宋"/>
          <w:b/>
          <w:color w:val="000000" w:themeColor="text1"/>
          <w:szCs w:val="24"/>
          <w14:textFill>
            <w14:solidFill>
              <w14:schemeClr w14:val="tx1"/>
            </w14:solidFill>
          </w14:textFill>
        </w:rPr>
      </w:pPr>
      <w:r>
        <w:rPr>
          <w:rFonts w:hint="eastAsia" w:ascii="宋体" w:hAnsi="宋体" w:cs="仿宋"/>
          <w:b/>
          <w:color w:val="000000" w:themeColor="text1"/>
          <w:szCs w:val="24"/>
          <w14:textFill>
            <w14:solidFill>
              <w14:schemeClr w14:val="tx1"/>
            </w14:solidFill>
          </w14:textFill>
        </w:rPr>
        <w:t>表3</w:t>
      </w:r>
      <w:r>
        <w:rPr>
          <w:rFonts w:hint="eastAsia" w:ascii="宋体" w:hAnsi="宋体"/>
          <w:b/>
          <w:color w:val="000000" w:themeColor="text1"/>
          <w:szCs w:val="24"/>
          <w14:textFill>
            <w14:solidFill>
              <w14:schemeClr w14:val="tx1"/>
            </w14:solidFill>
          </w14:textFill>
        </w:rPr>
        <w:t>-</w:t>
      </w:r>
      <w:r>
        <w:rPr>
          <w:rFonts w:ascii="宋体" w:hAnsi="宋体"/>
          <w:b/>
          <w:color w:val="000000" w:themeColor="text1"/>
          <w:szCs w:val="24"/>
          <w14:textFill>
            <w14:solidFill>
              <w14:schemeClr w14:val="tx1"/>
            </w14:solidFill>
          </w14:textFill>
        </w:rPr>
        <w:t>2 2023</w:t>
      </w:r>
      <w:r>
        <w:rPr>
          <w:rFonts w:hint="eastAsia" w:ascii="宋体" w:hAnsi="宋体" w:cs="仿宋"/>
          <w:b/>
          <w:color w:val="000000" w:themeColor="text1"/>
          <w:szCs w:val="24"/>
          <w14:textFill>
            <w14:solidFill>
              <w14:schemeClr w14:val="tx1"/>
            </w14:solidFill>
          </w14:textFill>
        </w:rPr>
        <w:t>-</w:t>
      </w:r>
      <w:r>
        <w:rPr>
          <w:rFonts w:ascii="宋体" w:hAnsi="宋体" w:cs="仿宋"/>
          <w:b/>
          <w:color w:val="000000" w:themeColor="text1"/>
          <w:szCs w:val="24"/>
          <w14:textFill>
            <w14:solidFill>
              <w14:schemeClr w14:val="tx1"/>
            </w14:solidFill>
          </w14:textFill>
        </w:rPr>
        <w:t>2052</w:t>
      </w:r>
      <w:r>
        <w:rPr>
          <w:rFonts w:hint="eastAsia" w:ascii="宋体" w:hAnsi="宋体" w:cs="仿宋"/>
          <w:b/>
          <w:color w:val="000000" w:themeColor="text1"/>
          <w:szCs w:val="24"/>
          <w14:textFill>
            <w14:solidFill>
              <w14:schemeClr w14:val="tx1"/>
            </w14:solidFill>
          </w14:textFill>
        </w:rPr>
        <w:t>年专项债券还本付息情况预测表</w:t>
      </w:r>
    </w:p>
    <w:p w14:paraId="10D726D7">
      <w:pPr>
        <w:jc w:val="right"/>
        <w:rPr>
          <w:rFonts w:ascii="宋体" w:hAnsi="宋体" w:cs="仿宋"/>
          <w:color w:val="000000" w:themeColor="text1"/>
          <w:sz w:val="18"/>
          <w:szCs w:val="18"/>
          <w14:textFill>
            <w14:solidFill>
              <w14:schemeClr w14:val="tx1"/>
            </w14:solidFill>
          </w14:textFill>
        </w:rPr>
      </w:pPr>
      <w:r>
        <w:rPr>
          <w:rFonts w:hint="eastAsia" w:ascii="宋体" w:hAnsi="宋体" w:cs="仿宋"/>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1441"/>
        <w:gridCol w:w="1446"/>
        <w:gridCol w:w="1148"/>
        <w:gridCol w:w="1043"/>
        <w:gridCol w:w="1047"/>
        <w:gridCol w:w="1148"/>
        <w:gridCol w:w="1447"/>
      </w:tblGrid>
      <w:tr w14:paraId="0FA4D57F">
        <w:trPr>
          <w:trHeight w:val="270" w:hRule="atLeast"/>
          <w:tblHeader/>
        </w:trPr>
        <w:tc>
          <w:tcPr>
            <w:tcW w:w="826" w:type="pct"/>
            <w:tcBorders>
              <w:top w:val="single" w:color="auto" w:sz="4" w:space="0"/>
              <w:left w:val="single" w:color="auto" w:sz="4" w:space="0"/>
              <w:bottom w:val="single" w:color="auto" w:sz="4" w:space="0"/>
              <w:right w:val="single" w:color="auto" w:sz="4" w:space="0"/>
            </w:tcBorders>
            <w:shd w:val="clear" w:color="auto" w:fill="auto"/>
            <w:vAlign w:val="center"/>
          </w:tcPr>
          <w:p w14:paraId="69B5083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829" w:type="pct"/>
            <w:tcBorders>
              <w:top w:val="single" w:color="auto" w:sz="4" w:space="0"/>
              <w:left w:val="nil"/>
              <w:bottom w:val="single" w:color="auto" w:sz="4" w:space="0"/>
              <w:right w:val="single" w:color="auto" w:sz="4" w:space="0"/>
            </w:tcBorders>
            <w:shd w:val="clear" w:color="auto" w:fill="auto"/>
            <w:vAlign w:val="center"/>
          </w:tcPr>
          <w:p w14:paraId="67E7D83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658" w:type="pct"/>
            <w:tcBorders>
              <w:top w:val="single" w:color="auto" w:sz="4" w:space="0"/>
              <w:left w:val="nil"/>
              <w:bottom w:val="single" w:color="auto" w:sz="4" w:space="0"/>
              <w:right w:val="single" w:color="auto" w:sz="4" w:space="0"/>
            </w:tcBorders>
            <w:shd w:val="clear" w:color="auto" w:fill="auto"/>
            <w:vAlign w:val="center"/>
          </w:tcPr>
          <w:p w14:paraId="0080499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598" w:type="pct"/>
            <w:tcBorders>
              <w:top w:val="single" w:color="auto" w:sz="4" w:space="0"/>
              <w:left w:val="nil"/>
              <w:bottom w:val="single" w:color="auto" w:sz="4" w:space="0"/>
              <w:right w:val="single" w:color="auto" w:sz="4" w:space="0"/>
            </w:tcBorders>
            <w:shd w:val="clear" w:color="auto" w:fill="auto"/>
            <w:vAlign w:val="center"/>
          </w:tcPr>
          <w:p w14:paraId="03F4845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600" w:type="pct"/>
            <w:tcBorders>
              <w:top w:val="single" w:color="auto" w:sz="4" w:space="0"/>
              <w:left w:val="nil"/>
              <w:bottom w:val="single" w:color="auto" w:sz="4" w:space="0"/>
              <w:right w:val="single" w:color="auto" w:sz="4" w:space="0"/>
            </w:tcBorders>
            <w:shd w:val="clear" w:color="auto" w:fill="auto"/>
            <w:vAlign w:val="center"/>
          </w:tcPr>
          <w:p w14:paraId="32D3DE0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658" w:type="pct"/>
            <w:tcBorders>
              <w:top w:val="single" w:color="auto" w:sz="4" w:space="0"/>
              <w:left w:val="nil"/>
              <w:bottom w:val="single" w:color="auto" w:sz="4" w:space="0"/>
              <w:right w:val="single" w:color="auto" w:sz="4" w:space="0"/>
            </w:tcBorders>
            <w:shd w:val="clear" w:color="auto" w:fill="auto"/>
            <w:vAlign w:val="center"/>
          </w:tcPr>
          <w:p w14:paraId="054A890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829" w:type="pct"/>
            <w:tcBorders>
              <w:top w:val="single" w:color="auto" w:sz="4" w:space="0"/>
              <w:left w:val="nil"/>
              <w:bottom w:val="single" w:color="auto" w:sz="4" w:space="0"/>
              <w:right w:val="single" w:color="auto" w:sz="4" w:space="0"/>
            </w:tcBorders>
            <w:shd w:val="clear" w:color="auto" w:fill="auto"/>
            <w:vAlign w:val="center"/>
          </w:tcPr>
          <w:p w14:paraId="2965EFF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65B4AC4E">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636A37B5">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w:t>
            </w:r>
          </w:p>
        </w:tc>
        <w:tc>
          <w:tcPr>
            <w:tcW w:w="829" w:type="pct"/>
            <w:tcBorders>
              <w:top w:val="nil"/>
              <w:left w:val="nil"/>
              <w:bottom w:val="single" w:color="auto" w:sz="4" w:space="0"/>
              <w:right w:val="single" w:color="auto" w:sz="4" w:space="0"/>
            </w:tcBorders>
            <w:shd w:val="clear" w:color="auto" w:fill="auto"/>
            <w:vAlign w:val="center"/>
          </w:tcPr>
          <w:p w14:paraId="6B267BD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58" w:type="pct"/>
            <w:tcBorders>
              <w:top w:val="nil"/>
              <w:left w:val="nil"/>
              <w:bottom w:val="single" w:color="auto" w:sz="4" w:space="0"/>
              <w:right w:val="single" w:color="auto" w:sz="4" w:space="0"/>
            </w:tcBorders>
            <w:shd w:val="clear" w:color="auto" w:fill="auto"/>
            <w:vAlign w:val="center"/>
          </w:tcPr>
          <w:p w14:paraId="0AFF8B8C">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598" w:type="pct"/>
            <w:tcBorders>
              <w:top w:val="nil"/>
              <w:left w:val="nil"/>
              <w:bottom w:val="single" w:color="auto" w:sz="4" w:space="0"/>
              <w:right w:val="single" w:color="auto" w:sz="4" w:space="0"/>
            </w:tcBorders>
            <w:shd w:val="clear" w:color="auto" w:fill="auto"/>
            <w:vAlign w:val="center"/>
          </w:tcPr>
          <w:p w14:paraId="60D75FFB">
            <w:pPr>
              <w:widowControl/>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600" w:type="pct"/>
            <w:tcBorders>
              <w:top w:val="nil"/>
              <w:left w:val="nil"/>
              <w:bottom w:val="single" w:color="auto" w:sz="4" w:space="0"/>
              <w:right w:val="single" w:color="auto" w:sz="4" w:space="0"/>
            </w:tcBorders>
            <w:shd w:val="clear" w:color="auto" w:fill="auto"/>
            <w:vAlign w:val="center"/>
          </w:tcPr>
          <w:p w14:paraId="1F10134E">
            <w:pPr>
              <w:widowControl/>
              <w:jc w:val="center"/>
              <w:rPr>
                <w:rFonts w:ascii="宋体" w:hAnsi="宋体" w:cs="宋体"/>
                <w:color w:val="000000"/>
                <w:kern w:val="0"/>
                <w:sz w:val="18"/>
                <w:szCs w:val="18"/>
              </w:rPr>
            </w:pPr>
          </w:p>
        </w:tc>
        <w:tc>
          <w:tcPr>
            <w:tcW w:w="658" w:type="pct"/>
            <w:tcBorders>
              <w:top w:val="nil"/>
              <w:left w:val="nil"/>
              <w:bottom w:val="single" w:color="auto" w:sz="4" w:space="0"/>
              <w:right w:val="single" w:color="auto" w:sz="4" w:space="0"/>
            </w:tcBorders>
            <w:shd w:val="clear" w:color="auto" w:fill="auto"/>
            <w:vAlign w:val="center"/>
          </w:tcPr>
          <w:p w14:paraId="31C70535">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77C753A6">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3B19D549">
        <w:trPr>
          <w:trHeight w:val="45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031CA8A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r>
              <w:rPr>
                <w:rFonts w:ascii="宋体" w:hAnsi="宋体" w:cs="宋体"/>
                <w:color w:val="000000"/>
                <w:kern w:val="0"/>
                <w:sz w:val="18"/>
                <w:szCs w:val="18"/>
              </w:rPr>
              <w:t>024</w:t>
            </w:r>
            <w:r>
              <w:rPr>
                <w:rFonts w:hint="eastAsia" w:ascii="宋体" w:hAnsi="宋体" w:cs="宋体"/>
                <w:color w:val="000000"/>
                <w:kern w:val="0"/>
                <w:sz w:val="18"/>
                <w:szCs w:val="18"/>
              </w:rPr>
              <w:t>年6月调整发行</w:t>
            </w:r>
          </w:p>
        </w:tc>
        <w:tc>
          <w:tcPr>
            <w:tcW w:w="829" w:type="pct"/>
            <w:tcBorders>
              <w:top w:val="nil"/>
              <w:left w:val="nil"/>
              <w:bottom w:val="single" w:color="auto" w:sz="4" w:space="0"/>
              <w:right w:val="single" w:color="auto" w:sz="4" w:space="0"/>
            </w:tcBorders>
            <w:shd w:val="clear" w:color="auto" w:fill="auto"/>
            <w:vAlign w:val="center"/>
          </w:tcPr>
          <w:p w14:paraId="0B111465">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083DFDB5">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598" w:type="pct"/>
            <w:tcBorders>
              <w:top w:val="nil"/>
              <w:left w:val="nil"/>
              <w:bottom w:val="single" w:color="auto" w:sz="4" w:space="0"/>
              <w:right w:val="single" w:color="auto" w:sz="4" w:space="0"/>
            </w:tcBorders>
            <w:shd w:val="clear" w:color="auto" w:fill="auto"/>
            <w:vAlign w:val="center"/>
          </w:tcPr>
          <w:p w14:paraId="6E061AE7">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7A4483BD">
            <w:pPr>
              <w:widowControl/>
              <w:jc w:val="center"/>
              <w:rPr>
                <w:rFonts w:ascii="宋体" w:hAnsi="宋体" w:cs="宋体"/>
                <w:color w:val="000000"/>
                <w:kern w:val="0"/>
                <w:sz w:val="18"/>
                <w:szCs w:val="18"/>
              </w:rPr>
            </w:pPr>
            <w:r>
              <w:rPr>
                <w:rFonts w:hint="eastAsia" w:ascii="宋体" w:hAnsi="宋体" w:cs="宋体"/>
                <w:color w:val="000000"/>
                <w:kern w:val="0"/>
                <w:sz w:val="18"/>
                <w:szCs w:val="18"/>
              </w:rPr>
              <w:t>70.80</w:t>
            </w:r>
          </w:p>
        </w:tc>
        <w:tc>
          <w:tcPr>
            <w:tcW w:w="658" w:type="pct"/>
            <w:tcBorders>
              <w:top w:val="nil"/>
              <w:left w:val="nil"/>
              <w:bottom w:val="single" w:color="auto" w:sz="4" w:space="0"/>
              <w:right w:val="single" w:color="auto" w:sz="4" w:space="0"/>
            </w:tcBorders>
            <w:shd w:val="clear" w:color="auto" w:fill="auto"/>
            <w:vAlign w:val="center"/>
          </w:tcPr>
          <w:p w14:paraId="4370E295">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791C5FD8">
            <w:pPr>
              <w:widowControl/>
              <w:jc w:val="center"/>
              <w:rPr>
                <w:rFonts w:ascii="宋体" w:hAnsi="宋体" w:cs="宋体"/>
                <w:color w:val="000000"/>
                <w:kern w:val="0"/>
                <w:sz w:val="18"/>
                <w:szCs w:val="18"/>
              </w:rPr>
            </w:pPr>
            <w:r>
              <w:rPr>
                <w:rFonts w:hint="eastAsia" w:ascii="宋体" w:hAnsi="宋体" w:cs="宋体"/>
                <w:color w:val="000000"/>
                <w:kern w:val="0"/>
                <w:sz w:val="18"/>
                <w:szCs w:val="18"/>
              </w:rPr>
              <w:t>8,000.00</w:t>
            </w:r>
          </w:p>
        </w:tc>
      </w:tr>
      <w:tr w14:paraId="21921D07">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2306FCE">
            <w:pPr>
              <w:widowControl/>
              <w:jc w:val="center"/>
              <w:rPr>
                <w:rFonts w:ascii="宋体" w:hAnsi="宋体" w:cs="宋体"/>
                <w:color w:val="000000"/>
                <w:kern w:val="0"/>
                <w:sz w:val="18"/>
                <w:szCs w:val="18"/>
              </w:rPr>
            </w:pPr>
            <w:r>
              <w:rPr>
                <w:rFonts w:hint="eastAsia" w:ascii="宋体" w:hAnsi="宋体" w:cs="宋体"/>
                <w:color w:val="000000"/>
                <w:kern w:val="0"/>
                <w:sz w:val="18"/>
                <w:szCs w:val="18"/>
              </w:rPr>
              <w:t>2024年本期</w:t>
            </w:r>
          </w:p>
        </w:tc>
        <w:tc>
          <w:tcPr>
            <w:tcW w:w="829" w:type="pct"/>
            <w:tcBorders>
              <w:top w:val="nil"/>
              <w:left w:val="nil"/>
              <w:bottom w:val="single" w:color="auto" w:sz="4" w:space="0"/>
              <w:right w:val="single" w:color="auto" w:sz="4" w:space="0"/>
            </w:tcBorders>
            <w:shd w:val="clear" w:color="auto" w:fill="auto"/>
            <w:vAlign w:val="center"/>
          </w:tcPr>
          <w:p w14:paraId="7A831FE8">
            <w:pPr>
              <w:widowControl/>
              <w:jc w:val="center"/>
              <w:rPr>
                <w:rFonts w:ascii="宋体" w:hAnsi="宋体" w:cs="宋体"/>
                <w:color w:val="000000"/>
                <w:kern w:val="0"/>
                <w:sz w:val="18"/>
                <w:szCs w:val="18"/>
              </w:rPr>
            </w:pPr>
            <w:r>
              <w:rPr>
                <w:rFonts w:hint="eastAsia" w:ascii="宋体" w:hAnsi="宋体" w:cs="宋体"/>
                <w:color w:val="000000"/>
                <w:kern w:val="0"/>
                <w:sz w:val="18"/>
                <w:szCs w:val="18"/>
              </w:rPr>
              <w:t>8,000.00</w:t>
            </w:r>
          </w:p>
        </w:tc>
        <w:tc>
          <w:tcPr>
            <w:tcW w:w="658" w:type="pct"/>
            <w:tcBorders>
              <w:top w:val="nil"/>
              <w:left w:val="nil"/>
              <w:bottom w:val="single" w:color="auto" w:sz="4" w:space="0"/>
              <w:right w:val="single" w:color="auto" w:sz="4" w:space="0"/>
            </w:tcBorders>
            <w:shd w:val="clear" w:color="auto" w:fill="auto"/>
            <w:vAlign w:val="center"/>
          </w:tcPr>
          <w:p w14:paraId="433F7887">
            <w:pPr>
              <w:widowControl/>
              <w:jc w:val="center"/>
              <w:rPr>
                <w:rFonts w:ascii="宋体" w:hAnsi="宋体" w:cs="宋体"/>
                <w:color w:val="000000"/>
                <w:kern w:val="0"/>
                <w:sz w:val="18"/>
                <w:szCs w:val="18"/>
              </w:rPr>
            </w:pPr>
            <w:r>
              <w:rPr>
                <w:rFonts w:ascii="宋体" w:hAnsi="宋体" w:cs="宋体"/>
                <w:color w:val="000000"/>
                <w:kern w:val="0"/>
                <w:sz w:val="18"/>
                <w:szCs w:val="18"/>
              </w:rPr>
              <w:t>2,700.00</w:t>
            </w:r>
          </w:p>
        </w:tc>
        <w:tc>
          <w:tcPr>
            <w:tcW w:w="598" w:type="pct"/>
            <w:tcBorders>
              <w:top w:val="nil"/>
              <w:left w:val="nil"/>
              <w:bottom w:val="single" w:color="auto" w:sz="4" w:space="0"/>
              <w:right w:val="single" w:color="auto" w:sz="4" w:space="0"/>
            </w:tcBorders>
            <w:shd w:val="clear" w:color="auto" w:fill="auto"/>
            <w:vAlign w:val="center"/>
          </w:tcPr>
          <w:p w14:paraId="0AE027D9">
            <w:pPr>
              <w:widowControl/>
              <w:jc w:val="center"/>
              <w:rPr>
                <w:rFonts w:ascii="宋体" w:hAnsi="宋体" w:cs="宋体"/>
                <w:color w:val="000000"/>
                <w:kern w:val="0"/>
                <w:sz w:val="18"/>
                <w:szCs w:val="18"/>
              </w:rPr>
            </w:pPr>
            <w:r>
              <w:rPr>
                <w:rFonts w:ascii="宋体" w:hAnsi="宋体" w:cs="宋体"/>
                <w:color w:val="000000"/>
                <w:kern w:val="0"/>
                <w:sz w:val="18"/>
                <w:szCs w:val="18"/>
              </w:rPr>
              <w:t>2.70</w:t>
            </w:r>
          </w:p>
        </w:tc>
        <w:tc>
          <w:tcPr>
            <w:tcW w:w="600" w:type="pct"/>
            <w:tcBorders>
              <w:top w:val="nil"/>
              <w:left w:val="nil"/>
              <w:bottom w:val="single" w:color="auto" w:sz="4" w:space="0"/>
              <w:right w:val="single" w:color="auto" w:sz="4" w:space="0"/>
            </w:tcBorders>
            <w:shd w:val="clear" w:color="auto" w:fill="auto"/>
            <w:vAlign w:val="center"/>
          </w:tcPr>
          <w:p w14:paraId="620A2090">
            <w:pPr>
              <w:widowControl/>
              <w:jc w:val="center"/>
              <w:rPr>
                <w:rFonts w:ascii="宋体" w:hAnsi="宋体" w:cs="宋体"/>
                <w:color w:val="000000"/>
                <w:kern w:val="0"/>
                <w:sz w:val="18"/>
                <w:szCs w:val="18"/>
              </w:rPr>
            </w:pPr>
          </w:p>
        </w:tc>
        <w:tc>
          <w:tcPr>
            <w:tcW w:w="658" w:type="pct"/>
            <w:tcBorders>
              <w:top w:val="nil"/>
              <w:left w:val="nil"/>
              <w:bottom w:val="single" w:color="auto" w:sz="4" w:space="0"/>
              <w:right w:val="single" w:color="auto" w:sz="4" w:space="0"/>
            </w:tcBorders>
            <w:shd w:val="clear" w:color="auto" w:fill="auto"/>
            <w:vAlign w:val="center"/>
          </w:tcPr>
          <w:p w14:paraId="29289DC4">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16D46D4B">
            <w:pPr>
              <w:widowControl/>
              <w:jc w:val="center"/>
              <w:rPr>
                <w:rFonts w:ascii="宋体" w:hAnsi="宋体" w:cs="宋体"/>
                <w:color w:val="000000"/>
                <w:kern w:val="0"/>
                <w:sz w:val="18"/>
                <w:szCs w:val="18"/>
              </w:rPr>
            </w:pPr>
            <w:r>
              <w:rPr>
                <w:rFonts w:ascii="宋体" w:hAnsi="宋体" w:cs="宋体"/>
                <w:color w:val="000000"/>
                <w:kern w:val="0"/>
                <w:sz w:val="18"/>
                <w:szCs w:val="18"/>
              </w:rPr>
              <w:t>10,700.00</w:t>
            </w:r>
          </w:p>
        </w:tc>
      </w:tr>
      <w:tr w14:paraId="502CED07">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5F87DB3C">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r>
              <w:rPr>
                <w:rFonts w:ascii="宋体" w:hAnsi="宋体" w:cs="宋体"/>
                <w:color w:val="000000"/>
                <w:kern w:val="0"/>
                <w:sz w:val="18"/>
                <w:szCs w:val="18"/>
              </w:rPr>
              <w:t>024</w:t>
            </w:r>
            <w:r>
              <w:rPr>
                <w:rFonts w:hint="eastAsia" w:ascii="宋体" w:hAnsi="宋体" w:cs="宋体"/>
                <w:color w:val="000000"/>
                <w:kern w:val="0"/>
                <w:sz w:val="18"/>
                <w:szCs w:val="18"/>
              </w:rPr>
              <w:t>年后续</w:t>
            </w:r>
          </w:p>
        </w:tc>
        <w:tc>
          <w:tcPr>
            <w:tcW w:w="829" w:type="pct"/>
            <w:tcBorders>
              <w:top w:val="nil"/>
              <w:left w:val="nil"/>
              <w:bottom w:val="single" w:color="auto" w:sz="4" w:space="0"/>
              <w:right w:val="single" w:color="auto" w:sz="4" w:space="0"/>
            </w:tcBorders>
            <w:shd w:val="clear" w:color="auto" w:fill="auto"/>
            <w:vAlign w:val="center"/>
          </w:tcPr>
          <w:p w14:paraId="505C82C0">
            <w:pPr>
              <w:widowControl/>
              <w:jc w:val="center"/>
              <w:rPr>
                <w:rFonts w:ascii="宋体" w:hAnsi="宋体" w:cs="宋体"/>
                <w:color w:val="000000"/>
                <w:kern w:val="0"/>
                <w:sz w:val="18"/>
                <w:szCs w:val="18"/>
              </w:rPr>
            </w:pPr>
            <w:r>
              <w:rPr>
                <w:rFonts w:ascii="宋体" w:hAnsi="宋体" w:cs="宋体"/>
                <w:color w:val="000000"/>
                <w:kern w:val="0"/>
                <w:sz w:val="18"/>
                <w:szCs w:val="18"/>
              </w:rPr>
              <w:t>10,700.00</w:t>
            </w:r>
          </w:p>
        </w:tc>
        <w:tc>
          <w:tcPr>
            <w:tcW w:w="658" w:type="pct"/>
            <w:tcBorders>
              <w:top w:val="nil"/>
              <w:left w:val="nil"/>
              <w:bottom w:val="single" w:color="auto" w:sz="4" w:space="0"/>
              <w:right w:val="single" w:color="auto" w:sz="4" w:space="0"/>
            </w:tcBorders>
            <w:shd w:val="clear" w:color="auto" w:fill="auto"/>
            <w:vAlign w:val="center"/>
          </w:tcPr>
          <w:p w14:paraId="080084BA">
            <w:pPr>
              <w:widowControl/>
              <w:jc w:val="center"/>
              <w:rPr>
                <w:rFonts w:ascii="宋体" w:hAnsi="宋体" w:cs="宋体"/>
                <w:color w:val="000000"/>
                <w:kern w:val="0"/>
                <w:sz w:val="18"/>
                <w:szCs w:val="18"/>
              </w:rPr>
            </w:pPr>
            <w:r>
              <w:rPr>
                <w:rFonts w:ascii="宋体" w:hAnsi="宋体" w:cs="宋体"/>
                <w:color w:val="000000"/>
                <w:kern w:val="0"/>
                <w:sz w:val="18"/>
                <w:szCs w:val="18"/>
              </w:rPr>
              <w:t>12,250.00</w:t>
            </w:r>
          </w:p>
        </w:tc>
        <w:tc>
          <w:tcPr>
            <w:tcW w:w="598" w:type="pct"/>
            <w:tcBorders>
              <w:top w:val="nil"/>
              <w:left w:val="nil"/>
              <w:bottom w:val="single" w:color="auto" w:sz="4" w:space="0"/>
              <w:right w:val="single" w:color="auto" w:sz="4" w:space="0"/>
            </w:tcBorders>
            <w:shd w:val="clear" w:color="auto" w:fill="auto"/>
            <w:vAlign w:val="center"/>
          </w:tcPr>
          <w:p w14:paraId="29320322">
            <w:pPr>
              <w:widowControl/>
              <w:jc w:val="center"/>
              <w:rPr>
                <w:rFonts w:ascii="宋体" w:hAnsi="宋体" w:cs="宋体"/>
                <w:color w:val="000000"/>
                <w:kern w:val="0"/>
                <w:sz w:val="18"/>
                <w:szCs w:val="18"/>
              </w:rPr>
            </w:pPr>
            <w:r>
              <w:rPr>
                <w:rFonts w:ascii="宋体" w:hAnsi="宋体" w:cs="宋体"/>
                <w:color w:val="000000"/>
                <w:kern w:val="0"/>
                <w:sz w:val="18"/>
                <w:szCs w:val="18"/>
              </w:rPr>
              <w:t>12.25</w:t>
            </w:r>
          </w:p>
        </w:tc>
        <w:tc>
          <w:tcPr>
            <w:tcW w:w="600" w:type="pct"/>
            <w:tcBorders>
              <w:top w:val="nil"/>
              <w:left w:val="nil"/>
              <w:bottom w:val="single" w:color="auto" w:sz="4" w:space="0"/>
              <w:right w:val="single" w:color="auto" w:sz="4" w:space="0"/>
            </w:tcBorders>
            <w:shd w:val="clear" w:color="auto" w:fill="auto"/>
            <w:vAlign w:val="center"/>
          </w:tcPr>
          <w:p w14:paraId="0667F59E">
            <w:pPr>
              <w:widowControl/>
              <w:jc w:val="center"/>
              <w:rPr>
                <w:rFonts w:ascii="宋体" w:hAnsi="宋体" w:cs="宋体"/>
                <w:color w:val="000000"/>
                <w:kern w:val="0"/>
                <w:sz w:val="18"/>
                <w:szCs w:val="18"/>
              </w:rPr>
            </w:pPr>
            <w:r>
              <w:rPr>
                <w:rFonts w:hint="eastAsia" w:ascii="宋体" w:hAnsi="宋体" w:cs="宋体"/>
                <w:color w:val="000000"/>
                <w:kern w:val="0"/>
                <w:sz w:val="18"/>
                <w:szCs w:val="18"/>
              </w:rPr>
              <w:t>111.60</w:t>
            </w:r>
          </w:p>
        </w:tc>
        <w:tc>
          <w:tcPr>
            <w:tcW w:w="658" w:type="pct"/>
            <w:tcBorders>
              <w:top w:val="nil"/>
              <w:left w:val="nil"/>
              <w:bottom w:val="single" w:color="auto" w:sz="4" w:space="0"/>
              <w:right w:val="single" w:color="auto" w:sz="4" w:space="0"/>
            </w:tcBorders>
            <w:shd w:val="clear" w:color="auto" w:fill="auto"/>
            <w:vAlign w:val="center"/>
          </w:tcPr>
          <w:p w14:paraId="5A438662">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08D68548">
            <w:pPr>
              <w:widowControl/>
              <w:jc w:val="center"/>
              <w:rPr>
                <w:rFonts w:ascii="宋体" w:hAnsi="宋体" w:cs="宋体"/>
                <w:color w:val="000000"/>
                <w:kern w:val="0"/>
                <w:sz w:val="18"/>
                <w:szCs w:val="18"/>
              </w:rPr>
            </w:pPr>
            <w:r>
              <w:rPr>
                <w:rFonts w:ascii="宋体" w:hAnsi="宋体" w:cs="宋体"/>
                <w:color w:val="000000"/>
                <w:kern w:val="0"/>
                <w:sz w:val="18"/>
                <w:szCs w:val="18"/>
              </w:rPr>
              <w:t>22,950.00</w:t>
            </w:r>
          </w:p>
        </w:tc>
      </w:tr>
      <w:tr w14:paraId="06E9CAA5">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7EF2E40">
            <w:pPr>
              <w:widowControl/>
              <w:jc w:val="center"/>
              <w:rPr>
                <w:rFonts w:ascii="宋体" w:hAnsi="宋体" w:cs="宋体"/>
                <w:color w:val="000000"/>
                <w:kern w:val="0"/>
                <w:sz w:val="18"/>
                <w:szCs w:val="18"/>
              </w:rPr>
            </w:pPr>
            <w:r>
              <w:rPr>
                <w:rFonts w:hint="eastAsia" w:ascii="宋体" w:hAnsi="宋体" w:cs="宋体"/>
                <w:color w:val="000000"/>
                <w:kern w:val="0"/>
                <w:sz w:val="18"/>
                <w:szCs w:val="18"/>
              </w:rPr>
              <w:t>2025年</w:t>
            </w:r>
          </w:p>
        </w:tc>
        <w:tc>
          <w:tcPr>
            <w:tcW w:w="829" w:type="pct"/>
            <w:tcBorders>
              <w:top w:val="nil"/>
              <w:left w:val="nil"/>
              <w:bottom w:val="single" w:color="auto" w:sz="4" w:space="0"/>
              <w:right w:val="single" w:color="auto" w:sz="4" w:space="0"/>
            </w:tcBorders>
            <w:shd w:val="clear" w:color="auto" w:fill="auto"/>
            <w:vAlign w:val="center"/>
          </w:tcPr>
          <w:p w14:paraId="3DA6055A">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21A885C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pct"/>
            <w:tcBorders>
              <w:top w:val="nil"/>
              <w:left w:val="nil"/>
              <w:bottom w:val="single" w:color="auto" w:sz="4" w:space="0"/>
              <w:right w:val="single" w:color="auto" w:sz="4" w:space="0"/>
            </w:tcBorders>
            <w:shd w:val="clear" w:color="auto" w:fill="auto"/>
            <w:vAlign w:val="center"/>
          </w:tcPr>
          <w:p w14:paraId="3D8065E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0" w:type="pct"/>
            <w:tcBorders>
              <w:top w:val="nil"/>
              <w:left w:val="nil"/>
              <w:bottom w:val="single" w:color="auto" w:sz="4" w:space="0"/>
              <w:right w:val="single" w:color="auto" w:sz="4" w:space="0"/>
            </w:tcBorders>
            <w:shd w:val="clear" w:color="auto" w:fill="auto"/>
            <w:vAlign w:val="center"/>
          </w:tcPr>
          <w:p w14:paraId="6667A3C2">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17C90672">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107D27B1">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r>
      <w:tr w14:paraId="3BB684D4">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0966693">
            <w:pPr>
              <w:widowControl/>
              <w:jc w:val="center"/>
              <w:rPr>
                <w:rFonts w:ascii="宋体" w:hAnsi="宋体" w:cs="宋体"/>
                <w:color w:val="000000"/>
                <w:kern w:val="0"/>
                <w:sz w:val="18"/>
                <w:szCs w:val="18"/>
              </w:rPr>
            </w:pPr>
            <w:r>
              <w:rPr>
                <w:rFonts w:hint="eastAsia" w:ascii="宋体" w:hAnsi="宋体" w:cs="宋体"/>
                <w:color w:val="000000"/>
                <w:kern w:val="0"/>
                <w:sz w:val="18"/>
                <w:szCs w:val="18"/>
              </w:rPr>
              <w:t>2026年</w:t>
            </w:r>
          </w:p>
        </w:tc>
        <w:tc>
          <w:tcPr>
            <w:tcW w:w="829" w:type="pct"/>
            <w:tcBorders>
              <w:top w:val="nil"/>
              <w:left w:val="nil"/>
              <w:bottom w:val="single" w:color="auto" w:sz="4" w:space="0"/>
              <w:right w:val="single" w:color="auto" w:sz="4" w:space="0"/>
            </w:tcBorders>
            <w:shd w:val="clear" w:color="auto" w:fill="auto"/>
            <w:vAlign w:val="center"/>
          </w:tcPr>
          <w:p w14:paraId="3E2D0F96">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5268980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98" w:type="pct"/>
            <w:tcBorders>
              <w:top w:val="nil"/>
              <w:left w:val="nil"/>
              <w:bottom w:val="single" w:color="auto" w:sz="4" w:space="0"/>
              <w:right w:val="single" w:color="auto" w:sz="4" w:space="0"/>
            </w:tcBorders>
            <w:shd w:val="clear" w:color="auto" w:fill="auto"/>
            <w:vAlign w:val="center"/>
          </w:tcPr>
          <w:p w14:paraId="0330F14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0" w:type="pct"/>
            <w:tcBorders>
              <w:top w:val="nil"/>
              <w:left w:val="nil"/>
              <w:bottom w:val="single" w:color="auto" w:sz="4" w:space="0"/>
              <w:right w:val="single" w:color="auto" w:sz="4" w:space="0"/>
            </w:tcBorders>
            <w:shd w:val="clear" w:color="auto" w:fill="auto"/>
            <w:vAlign w:val="center"/>
          </w:tcPr>
          <w:p w14:paraId="07C4765D">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3E6D4AEF">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6A8FEA8B">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r>
      <w:tr w14:paraId="1AF6E8E1">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710FD81">
            <w:pPr>
              <w:widowControl/>
              <w:jc w:val="center"/>
              <w:rPr>
                <w:rFonts w:ascii="宋体" w:hAnsi="宋体" w:cs="宋体"/>
                <w:color w:val="000000"/>
                <w:kern w:val="0"/>
                <w:sz w:val="18"/>
                <w:szCs w:val="18"/>
              </w:rPr>
            </w:pPr>
            <w:r>
              <w:rPr>
                <w:rFonts w:hint="eastAsia" w:ascii="宋体" w:hAnsi="宋体" w:cs="宋体"/>
                <w:color w:val="000000"/>
                <w:kern w:val="0"/>
                <w:sz w:val="18"/>
                <w:szCs w:val="18"/>
              </w:rPr>
              <w:t>2027年</w:t>
            </w:r>
          </w:p>
        </w:tc>
        <w:tc>
          <w:tcPr>
            <w:tcW w:w="829" w:type="pct"/>
            <w:tcBorders>
              <w:top w:val="nil"/>
              <w:left w:val="nil"/>
              <w:bottom w:val="single" w:color="auto" w:sz="4" w:space="0"/>
              <w:right w:val="single" w:color="auto" w:sz="4" w:space="0"/>
            </w:tcBorders>
            <w:shd w:val="clear" w:color="auto" w:fill="auto"/>
            <w:vAlign w:val="center"/>
          </w:tcPr>
          <w:p w14:paraId="1EA2EFDA">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60FB6070">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2FA9BC6C">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08779505">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5DB04FBC">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483BFAD6">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r>
      <w:tr w14:paraId="0984C458">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7F543C3">
            <w:pPr>
              <w:widowControl/>
              <w:jc w:val="center"/>
              <w:rPr>
                <w:rFonts w:ascii="宋体" w:hAnsi="宋体" w:cs="宋体"/>
                <w:color w:val="000000"/>
                <w:kern w:val="0"/>
                <w:sz w:val="18"/>
                <w:szCs w:val="18"/>
              </w:rPr>
            </w:pPr>
            <w:r>
              <w:rPr>
                <w:rFonts w:hint="eastAsia" w:ascii="宋体" w:hAnsi="宋体" w:cs="宋体"/>
                <w:color w:val="000000"/>
                <w:kern w:val="0"/>
                <w:sz w:val="18"/>
                <w:szCs w:val="18"/>
              </w:rPr>
              <w:t>2028年</w:t>
            </w:r>
          </w:p>
        </w:tc>
        <w:tc>
          <w:tcPr>
            <w:tcW w:w="829" w:type="pct"/>
            <w:tcBorders>
              <w:top w:val="nil"/>
              <w:left w:val="nil"/>
              <w:bottom w:val="single" w:color="auto" w:sz="4" w:space="0"/>
              <w:right w:val="single" w:color="auto" w:sz="4" w:space="0"/>
            </w:tcBorders>
            <w:shd w:val="clear" w:color="auto" w:fill="auto"/>
            <w:vAlign w:val="center"/>
          </w:tcPr>
          <w:p w14:paraId="39175EFC">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29CD9A6A">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0F9C63D0">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7B478874">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5FAD1399">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2B0EDB72">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r>
      <w:tr w14:paraId="0A063C8D">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459F850A">
            <w:pPr>
              <w:widowControl/>
              <w:jc w:val="center"/>
              <w:rPr>
                <w:rFonts w:ascii="宋体" w:hAnsi="宋体" w:cs="宋体"/>
                <w:color w:val="000000"/>
                <w:kern w:val="0"/>
                <w:sz w:val="18"/>
                <w:szCs w:val="18"/>
              </w:rPr>
            </w:pPr>
            <w:r>
              <w:rPr>
                <w:rFonts w:hint="eastAsia" w:ascii="宋体" w:hAnsi="宋体" w:cs="宋体"/>
                <w:color w:val="000000"/>
                <w:kern w:val="0"/>
                <w:sz w:val="18"/>
                <w:szCs w:val="18"/>
              </w:rPr>
              <w:t>2029年</w:t>
            </w:r>
          </w:p>
        </w:tc>
        <w:tc>
          <w:tcPr>
            <w:tcW w:w="829" w:type="pct"/>
            <w:tcBorders>
              <w:top w:val="nil"/>
              <w:left w:val="nil"/>
              <w:bottom w:val="single" w:color="auto" w:sz="4" w:space="0"/>
              <w:right w:val="single" w:color="auto" w:sz="4" w:space="0"/>
            </w:tcBorders>
            <w:shd w:val="clear" w:color="auto" w:fill="auto"/>
            <w:vAlign w:val="center"/>
          </w:tcPr>
          <w:p w14:paraId="4AEA0679">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12CE3E6C">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06701F99">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33789FBE">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077D815B">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191DFE13">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r>
      <w:tr w14:paraId="59F1BF66">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B09AC92">
            <w:pPr>
              <w:widowControl/>
              <w:jc w:val="center"/>
              <w:rPr>
                <w:rFonts w:ascii="宋体" w:hAnsi="宋体" w:cs="宋体"/>
                <w:color w:val="000000"/>
                <w:kern w:val="0"/>
                <w:sz w:val="18"/>
                <w:szCs w:val="18"/>
              </w:rPr>
            </w:pPr>
            <w:r>
              <w:rPr>
                <w:rFonts w:hint="eastAsia" w:ascii="宋体" w:hAnsi="宋体" w:cs="宋体"/>
                <w:color w:val="000000"/>
                <w:kern w:val="0"/>
                <w:sz w:val="18"/>
                <w:szCs w:val="18"/>
              </w:rPr>
              <w:t>2030年</w:t>
            </w:r>
          </w:p>
        </w:tc>
        <w:tc>
          <w:tcPr>
            <w:tcW w:w="829" w:type="pct"/>
            <w:tcBorders>
              <w:top w:val="nil"/>
              <w:left w:val="nil"/>
              <w:bottom w:val="single" w:color="auto" w:sz="4" w:space="0"/>
              <w:right w:val="single" w:color="auto" w:sz="4" w:space="0"/>
            </w:tcBorders>
            <w:shd w:val="clear" w:color="auto" w:fill="auto"/>
            <w:vAlign w:val="center"/>
          </w:tcPr>
          <w:p w14:paraId="30E7728D">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58" w:type="pct"/>
            <w:tcBorders>
              <w:top w:val="nil"/>
              <w:left w:val="nil"/>
              <w:bottom w:val="single" w:color="auto" w:sz="4" w:space="0"/>
              <w:right w:val="single" w:color="auto" w:sz="4" w:space="0"/>
            </w:tcBorders>
            <w:shd w:val="clear" w:color="auto" w:fill="auto"/>
            <w:vAlign w:val="center"/>
          </w:tcPr>
          <w:p w14:paraId="01657A06">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2975B52B">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37777FB3">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658" w:type="pct"/>
            <w:tcBorders>
              <w:top w:val="nil"/>
              <w:left w:val="nil"/>
              <w:bottom w:val="single" w:color="auto" w:sz="4" w:space="0"/>
              <w:right w:val="single" w:color="auto" w:sz="4" w:space="0"/>
            </w:tcBorders>
            <w:shd w:val="clear" w:color="auto" w:fill="auto"/>
            <w:vAlign w:val="center"/>
          </w:tcPr>
          <w:p w14:paraId="4B76E5BF">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829" w:type="pct"/>
            <w:tcBorders>
              <w:top w:val="nil"/>
              <w:left w:val="nil"/>
              <w:bottom w:val="single" w:color="auto" w:sz="4" w:space="0"/>
              <w:right w:val="single" w:color="auto" w:sz="4" w:space="0"/>
            </w:tcBorders>
            <w:shd w:val="clear" w:color="auto" w:fill="auto"/>
            <w:vAlign w:val="center"/>
          </w:tcPr>
          <w:p w14:paraId="0908DE27">
            <w:pPr>
              <w:widowControl/>
              <w:jc w:val="center"/>
              <w:rPr>
                <w:rFonts w:ascii="宋体" w:hAnsi="宋体" w:cs="宋体"/>
                <w:color w:val="000000"/>
                <w:kern w:val="0"/>
                <w:sz w:val="18"/>
                <w:szCs w:val="18"/>
              </w:rPr>
            </w:pPr>
            <w:r>
              <w:rPr>
                <w:rFonts w:hint="eastAsia" w:ascii="宋体" w:hAnsi="宋体" w:cs="宋体"/>
                <w:color w:val="000000"/>
                <w:kern w:val="0"/>
                <w:sz w:val="18"/>
                <w:szCs w:val="18"/>
              </w:rPr>
              <w:t>18,950.00</w:t>
            </w:r>
          </w:p>
        </w:tc>
      </w:tr>
      <w:tr w14:paraId="4DB457A4">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218F62BC">
            <w:pPr>
              <w:widowControl/>
              <w:jc w:val="center"/>
              <w:rPr>
                <w:rFonts w:ascii="宋体" w:hAnsi="宋体" w:cs="宋体"/>
                <w:color w:val="000000"/>
                <w:kern w:val="0"/>
                <w:sz w:val="18"/>
                <w:szCs w:val="18"/>
              </w:rPr>
            </w:pPr>
            <w:r>
              <w:rPr>
                <w:rFonts w:hint="eastAsia" w:ascii="宋体" w:hAnsi="宋体" w:cs="宋体"/>
                <w:color w:val="000000"/>
                <w:kern w:val="0"/>
                <w:sz w:val="18"/>
                <w:szCs w:val="18"/>
              </w:rPr>
              <w:t>2031年</w:t>
            </w:r>
          </w:p>
        </w:tc>
        <w:tc>
          <w:tcPr>
            <w:tcW w:w="829" w:type="pct"/>
            <w:tcBorders>
              <w:top w:val="nil"/>
              <w:left w:val="nil"/>
              <w:bottom w:val="single" w:color="auto" w:sz="4" w:space="0"/>
              <w:right w:val="single" w:color="auto" w:sz="4" w:space="0"/>
            </w:tcBorders>
            <w:shd w:val="clear" w:color="auto" w:fill="auto"/>
            <w:vAlign w:val="center"/>
          </w:tcPr>
          <w:p w14:paraId="76171C81">
            <w:pPr>
              <w:widowControl/>
              <w:jc w:val="center"/>
              <w:rPr>
                <w:rFonts w:ascii="宋体" w:hAnsi="宋体" w:cs="宋体"/>
                <w:color w:val="000000"/>
                <w:kern w:val="0"/>
                <w:sz w:val="18"/>
                <w:szCs w:val="18"/>
              </w:rPr>
            </w:pPr>
            <w:r>
              <w:rPr>
                <w:rFonts w:hint="eastAsia" w:ascii="宋体" w:hAnsi="宋体" w:cs="宋体"/>
                <w:color w:val="000000"/>
                <w:kern w:val="0"/>
                <w:sz w:val="18"/>
                <w:szCs w:val="18"/>
              </w:rPr>
              <w:t>18,950.00</w:t>
            </w:r>
          </w:p>
        </w:tc>
        <w:tc>
          <w:tcPr>
            <w:tcW w:w="658" w:type="pct"/>
            <w:tcBorders>
              <w:top w:val="nil"/>
              <w:left w:val="nil"/>
              <w:bottom w:val="single" w:color="auto" w:sz="4" w:space="0"/>
              <w:right w:val="single" w:color="auto" w:sz="4" w:space="0"/>
            </w:tcBorders>
            <w:shd w:val="clear" w:color="auto" w:fill="auto"/>
            <w:vAlign w:val="center"/>
          </w:tcPr>
          <w:p w14:paraId="2EA7332E">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34FB6965">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7EA67D96">
            <w:pPr>
              <w:widowControl/>
              <w:jc w:val="center"/>
              <w:rPr>
                <w:rFonts w:ascii="宋体" w:hAnsi="宋体" w:cs="宋体"/>
                <w:color w:val="000000"/>
                <w:kern w:val="0"/>
                <w:sz w:val="18"/>
                <w:szCs w:val="18"/>
              </w:rPr>
            </w:pPr>
            <w:r>
              <w:rPr>
                <w:rFonts w:hint="eastAsia" w:ascii="宋体" w:hAnsi="宋体" w:cs="宋体"/>
                <w:color w:val="000000"/>
                <w:kern w:val="0"/>
                <w:sz w:val="18"/>
                <w:szCs w:val="18"/>
              </w:rPr>
              <w:t>724.65</w:t>
            </w:r>
          </w:p>
        </w:tc>
        <w:tc>
          <w:tcPr>
            <w:tcW w:w="658" w:type="pct"/>
            <w:tcBorders>
              <w:top w:val="nil"/>
              <w:left w:val="nil"/>
              <w:bottom w:val="single" w:color="auto" w:sz="4" w:space="0"/>
              <w:right w:val="single" w:color="auto" w:sz="4" w:space="0"/>
            </w:tcBorders>
            <w:shd w:val="clear" w:color="auto" w:fill="auto"/>
            <w:vAlign w:val="center"/>
          </w:tcPr>
          <w:p w14:paraId="5633D02E">
            <w:pPr>
              <w:widowControl/>
              <w:jc w:val="center"/>
              <w:rPr>
                <w:rFonts w:ascii="宋体" w:hAnsi="宋体" w:cs="宋体"/>
                <w:color w:val="000000"/>
                <w:kern w:val="0"/>
                <w:sz w:val="18"/>
                <w:szCs w:val="18"/>
              </w:rPr>
            </w:pPr>
            <w:r>
              <w:rPr>
                <w:rFonts w:hint="eastAsia" w:ascii="宋体" w:hAnsi="宋体" w:cs="宋体"/>
                <w:color w:val="000000"/>
                <w:kern w:val="0"/>
                <w:sz w:val="18"/>
                <w:szCs w:val="18"/>
              </w:rPr>
              <w:t>14,950.00</w:t>
            </w:r>
          </w:p>
        </w:tc>
        <w:tc>
          <w:tcPr>
            <w:tcW w:w="829" w:type="pct"/>
            <w:tcBorders>
              <w:top w:val="nil"/>
              <w:left w:val="nil"/>
              <w:bottom w:val="single" w:color="auto" w:sz="4" w:space="0"/>
              <w:right w:val="single" w:color="auto" w:sz="4" w:space="0"/>
            </w:tcBorders>
            <w:shd w:val="clear" w:color="auto" w:fill="auto"/>
            <w:vAlign w:val="center"/>
          </w:tcPr>
          <w:p w14:paraId="6F21515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6286636E">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06D01E91">
            <w:pPr>
              <w:widowControl/>
              <w:jc w:val="center"/>
              <w:rPr>
                <w:rFonts w:ascii="宋体" w:hAnsi="宋体" w:cs="宋体"/>
                <w:color w:val="000000"/>
                <w:kern w:val="0"/>
                <w:sz w:val="18"/>
                <w:szCs w:val="18"/>
              </w:rPr>
            </w:pPr>
            <w:r>
              <w:rPr>
                <w:rFonts w:hint="eastAsia" w:ascii="宋体" w:hAnsi="宋体" w:cs="宋体"/>
                <w:color w:val="000000"/>
                <w:kern w:val="0"/>
                <w:sz w:val="18"/>
                <w:szCs w:val="18"/>
              </w:rPr>
              <w:t>2032年</w:t>
            </w:r>
          </w:p>
        </w:tc>
        <w:tc>
          <w:tcPr>
            <w:tcW w:w="829" w:type="pct"/>
            <w:tcBorders>
              <w:top w:val="nil"/>
              <w:left w:val="nil"/>
              <w:bottom w:val="single" w:color="auto" w:sz="4" w:space="0"/>
              <w:right w:val="single" w:color="auto" w:sz="4" w:space="0"/>
            </w:tcBorders>
            <w:shd w:val="clear" w:color="auto" w:fill="auto"/>
            <w:vAlign w:val="center"/>
          </w:tcPr>
          <w:p w14:paraId="231B33CA">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51CD0380">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50A921A9">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1315B2A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1DE89157">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4C3C768B">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1ADFD901">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223B71F0">
            <w:pPr>
              <w:widowControl/>
              <w:jc w:val="center"/>
              <w:rPr>
                <w:rFonts w:ascii="宋体" w:hAnsi="宋体" w:cs="宋体"/>
                <w:color w:val="000000"/>
                <w:kern w:val="0"/>
                <w:sz w:val="18"/>
                <w:szCs w:val="18"/>
              </w:rPr>
            </w:pPr>
            <w:r>
              <w:rPr>
                <w:rFonts w:hint="eastAsia" w:ascii="宋体" w:hAnsi="宋体" w:cs="宋体"/>
                <w:color w:val="000000"/>
                <w:kern w:val="0"/>
                <w:sz w:val="18"/>
                <w:szCs w:val="18"/>
              </w:rPr>
              <w:t>2033年</w:t>
            </w:r>
          </w:p>
        </w:tc>
        <w:tc>
          <w:tcPr>
            <w:tcW w:w="829" w:type="pct"/>
            <w:tcBorders>
              <w:top w:val="nil"/>
              <w:left w:val="nil"/>
              <w:bottom w:val="single" w:color="auto" w:sz="4" w:space="0"/>
              <w:right w:val="single" w:color="auto" w:sz="4" w:space="0"/>
            </w:tcBorders>
            <w:shd w:val="clear" w:color="auto" w:fill="auto"/>
            <w:vAlign w:val="center"/>
          </w:tcPr>
          <w:p w14:paraId="2C98634C">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453AB2EC">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1A6FA298">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0BBBD1F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39F62D36">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6C0F997D">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4F446F7D">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3E1F4E1">
            <w:pPr>
              <w:widowControl/>
              <w:jc w:val="center"/>
              <w:rPr>
                <w:rFonts w:ascii="宋体" w:hAnsi="宋体" w:cs="宋体"/>
                <w:color w:val="000000"/>
                <w:kern w:val="0"/>
                <w:sz w:val="18"/>
                <w:szCs w:val="18"/>
              </w:rPr>
            </w:pPr>
            <w:r>
              <w:rPr>
                <w:rFonts w:hint="eastAsia" w:ascii="宋体" w:hAnsi="宋体" w:cs="宋体"/>
                <w:color w:val="000000"/>
                <w:kern w:val="0"/>
                <w:sz w:val="18"/>
                <w:szCs w:val="18"/>
              </w:rPr>
              <w:t>2034年</w:t>
            </w:r>
          </w:p>
        </w:tc>
        <w:tc>
          <w:tcPr>
            <w:tcW w:w="829" w:type="pct"/>
            <w:tcBorders>
              <w:top w:val="nil"/>
              <w:left w:val="nil"/>
              <w:bottom w:val="single" w:color="auto" w:sz="4" w:space="0"/>
              <w:right w:val="single" w:color="auto" w:sz="4" w:space="0"/>
            </w:tcBorders>
            <w:shd w:val="clear" w:color="auto" w:fill="auto"/>
            <w:vAlign w:val="center"/>
          </w:tcPr>
          <w:p w14:paraId="27CBD824">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7B02BBAE">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6993733E">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4841F7D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0B3F6886">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669B36B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4BB451B1">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AC6D880">
            <w:pPr>
              <w:widowControl/>
              <w:jc w:val="center"/>
              <w:rPr>
                <w:rFonts w:ascii="宋体" w:hAnsi="宋体" w:cs="宋体"/>
                <w:color w:val="000000"/>
                <w:kern w:val="0"/>
                <w:sz w:val="18"/>
                <w:szCs w:val="18"/>
              </w:rPr>
            </w:pPr>
            <w:r>
              <w:rPr>
                <w:rFonts w:hint="eastAsia" w:ascii="宋体" w:hAnsi="宋体" w:cs="宋体"/>
                <w:color w:val="000000"/>
                <w:kern w:val="0"/>
                <w:sz w:val="18"/>
                <w:szCs w:val="18"/>
              </w:rPr>
              <w:t>2035年</w:t>
            </w:r>
          </w:p>
        </w:tc>
        <w:tc>
          <w:tcPr>
            <w:tcW w:w="829" w:type="pct"/>
            <w:tcBorders>
              <w:top w:val="nil"/>
              <w:left w:val="nil"/>
              <w:bottom w:val="single" w:color="auto" w:sz="4" w:space="0"/>
              <w:right w:val="single" w:color="auto" w:sz="4" w:space="0"/>
            </w:tcBorders>
            <w:shd w:val="clear" w:color="auto" w:fill="auto"/>
            <w:vAlign w:val="center"/>
          </w:tcPr>
          <w:p w14:paraId="68528163">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305EB58E">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1DFC6BB7">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6BCE25C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407BDFE9">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346C6A13">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30EA37F3">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613C6205">
            <w:pPr>
              <w:widowControl/>
              <w:jc w:val="center"/>
              <w:rPr>
                <w:rFonts w:ascii="宋体" w:hAnsi="宋体" w:cs="宋体"/>
                <w:color w:val="000000"/>
                <w:kern w:val="0"/>
                <w:sz w:val="18"/>
                <w:szCs w:val="18"/>
              </w:rPr>
            </w:pPr>
            <w:r>
              <w:rPr>
                <w:rFonts w:hint="eastAsia" w:ascii="宋体" w:hAnsi="宋体" w:cs="宋体"/>
                <w:color w:val="000000"/>
                <w:kern w:val="0"/>
                <w:sz w:val="18"/>
                <w:szCs w:val="18"/>
              </w:rPr>
              <w:t>2036年</w:t>
            </w:r>
          </w:p>
        </w:tc>
        <w:tc>
          <w:tcPr>
            <w:tcW w:w="829" w:type="pct"/>
            <w:tcBorders>
              <w:top w:val="nil"/>
              <w:left w:val="nil"/>
              <w:bottom w:val="single" w:color="auto" w:sz="4" w:space="0"/>
              <w:right w:val="single" w:color="auto" w:sz="4" w:space="0"/>
            </w:tcBorders>
            <w:shd w:val="clear" w:color="auto" w:fill="auto"/>
            <w:vAlign w:val="center"/>
          </w:tcPr>
          <w:p w14:paraId="3E4ACA4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3AD45A6C">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57E6CBEF">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6EFD5AD5">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B1EE6EC">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3DDCC373">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6C5BB9DD">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6C8B0139">
            <w:pPr>
              <w:widowControl/>
              <w:jc w:val="center"/>
              <w:rPr>
                <w:rFonts w:ascii="宋体" w:hAnsi="宋体" w:cs="宋体"/>
                <w:color w:val="000000"/>
                <w:kern w:val="0"/>
                <w:sz w:val="18"/>
                <w:szCs w:val="18"/>
              </w:rPr>
            </w:pPr>
            <w:r>
              <w:rPr>
                <w:rFonts w:hint="eastAsia" w:ascii="宋体" w:hAnsi="宋体" w:cs="宋体"/>
                <w:color w:val="000000"/>
                <w:kern w:val="0"/>
                <w:sz w:val="18"/>
                <w:szCs w:val="18"/>
              </w:rPr>
              <w:t>2037年</w:t>
            </w:r>
          </w:p>
        </w:tc>
        <w:tc>
          <w:tcPr>
            <w:tcW w:w="829" w:type="pct"/>
            <w:tcBorders>
              <w:top w:val="nil"/>
              <w:left w:val="nil"/>
              <w:bottom w:val="single" w:color="auto" w:sz="4" w:space="0"/>
              <w:right w:val="single" w:color="auto" w:sz="4" w:space="0"/>
            </w:tcBorders>
            <w:shd w:val="clear" w:color="auto" w:fill="auto"/>
            <w:vAlign w:val="center"/>
          </w:tcPr>
          <w:p w14:paraId="67DC5AA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0EC303BC">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4436B05D">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0D8483D8">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3D09F7F6">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2F56DCC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262FBFD0">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F22EF16">
            <w:pPr>
              <w:widowControl/>
              <w:jc w:val="center"/>
              <w:rPr>
                <w:rFonts w:ascii="宋体" w:hAnsi="宋体" w:cs="宋体"/>
                <w:color w:val="000000"/>
                <w:kern w:val="0"/>
                <w:sz w:val="18"/>
                <w:szCs w:val="18"/>
              </w:rPr>
            </w:pPr>
            <w:r>
              <w:rPr>
                <w:rFonts w:hint="eastAsia" w:ascii="宋体" w:hAnsi="宋体" w:cs="宋体"/>
                <w:color w:val="000000"/>
                <w:kern w:val="0"/>
                <w:sz w:val="18"/>
                <w:szCs w:val="18"/>
              </w:rPr>
              <w:t>2038年</w:t>
            </w:r>
          </w:p>
        </w:tc>
        <w:tc>
          <w:tcPr>
            <w:tcW w:w="829" w:type="pct"/>
            <w:tcBorders>
              <w:top w:val="nil"/>
              <w:left w:val="nil"/>
              <w:bottom w:val="single" w:color="auto" w:sz="4" w:space="0"/>
              <w:right w:val="single" w:color="auto" w:sz="4" w:space="0"/>
            </w:tcBorders>
            <w:shd w:val="clear" w:color="auto" w:fill="auto"/>
            <w:vAlign w:val="center"/>
          </w:tcPr>
          <w:p w14:paraId="78EBDF8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5E742396">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54CE0B6B">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297F01B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7AF62A2">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4D75E87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5A4C219C">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4625A89">
            <w:pPr>
              <w:widowControl/>
              <w:jc w:val="center"/>
              <w:rPr>
                <w:rFonts w:ascii="宋体" w:hAnsi="宋体" w:cs="宋体"/>
                <w:color w:val="000000"/>
                <w:kern w:val="0"/>
                <w:sz w:val="18"/>
                <w:szCs w:val="18"/>
              </w:rPr>
            </w:pPr>
            <w:r>
              <w:rPr>
                <w:rFonts w:hint="eastAsia" w:ascii="宋体" w:hAnsi="宋体" w:cs="宋体"/>
                <w:color w:val="000000"/>
                <w:kern w:val="0"/>
                <w:sz w:val="18"/>
                <w:szCs w:val="18"/>
              </w:rPr>
              <w:t>2039年</w:t>
            </w:r>
          </w:p>
        </w:tc>
        <w:tc>
          <w:tcPr>
            <w:tcW w:w="829" w:type="pct"/>
            <w:tcBorders>
              <w:top w:val="nil"/>
              <w:left w:val="nil"/>
              <w:bottom w:val="single" w:color="auto" w:sz="4" w:space="0"/>
              <w:right w:val="single" w:color="auto" w:sz="4" w:space="0"/>
            </w:tcBorders>
            <w:shd w:val="clear" w:color="auto" w:fill="auto"/>
            <w:vAlign w:val="center"/>
          </w:tcPr>
          <w:p w14:paraId="175A8AE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5B8CA5A0">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696A5461">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124B0BC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3EEEB678">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25016AF1">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5ABE7989">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04A4DCE2">
            <w:pPr>
              <w:widowControl/>
              <w:jc w:val="center"/>
              <w:rPr>
                <w:rFonts w:ascii="宋体" w:hAnsi="宋体" w:cs="宋体"/>
                <w:color w:val="000000"/>
                <w:kern w:val="0"/>
                <w:sz w:val="18"/>
                <w:szCs w:val="18"/>
              </w:rPr>
            </w:pPr>
            <w:r>
              <w:rPr>
                <w:rFonts w:hint="eastAsia" w:ascii="宋体" w:hAnsi="宋体" w:cs="宋体"/>
                <w:color w:val="000000"/>
                <w:kern w:val="0"/>
                <w:sz w:val="18"/>
                <w:szCs w:val="18"/>
              </w:rPr>
              <w:t>2040年</w:t>
            </w:r>
          </w:p>
        </w:tc>
        <w:tc>
          <w:tcPr>
            <w:tcW w:w="829" w:type="pct"/>
            <w:tcBorders>
              <w:top w:val="nil"/>
              <w:left w:val="nil"/>
              <w:bottom w:val="single" w:color="auto" w:sz="4" w:space="0"/>
              <w:right w:val="single" w:color="auto" w:sz="4" w:space="0"/>
            </w:tcBorders>
            <w:shd w:val="clear" w:color="auto" w:fill="auto"/>
            <w:vAlign w:val="center"/>
          </w:tcPr>
          <w:p w14:paraId="0B9E53D4">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5CE3C304">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3BAE7D67">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1801374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5C37DD24">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7DEAD9B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3B5C7809">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ABB05F0">
            <w:pPr>
              <w:widowControl/>
              <w:jc w:val="center"/>
              <w:rPr>
                <w:rFonts w:ascii="宋体" w:hAnsi="宋体" w:cs="宋体"/>
                <w:color w:val="000000"/>
                <w:kern w:val="0"/>
                <w:sz w:val="18"/>
                <w:szCs w:val="18"/>
              </w:rPr>
            </w:pPr>
            <w:r>
              <w:rPr>
                <w:rFonts w:hint="eastAsia" w:ascii="宋体" w:hAnsi="宋体" w:cs="宋体"/>
                <w:color w:val="000000"/>
                <w:kern w:val="0"/>
                <w:sz w:val="18"/>
                <w:szCs w:val="18"/>
              </w:rPr>
              <w:t>2041年</w:t>
            </w:r>
          </w:p>
        </w:tc>
        <w:tc>
          <w:tcPr>
            <w:tcW w:w="829" w:type="pct"/>
            <w:tcBorders>
              <w:top w:val="nil"/>
              <w:left w:val="nil"/>
              <w:bottom w:val="single" w:color="auto" w:sz="4" w:space="0"/>
              <w:right w:val="single" w:color="auto" w:sz="4" w:space="0"/>
            </w:tcBorders>
            <w:shd w:val="clear" w:color="auto" w:fill="auto"/>
            <w:vAlign w:val="center"/>
          </w:tcPr>
          <w:p w14:paraId="3A6FEA2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2EBA815F">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371DFF4D">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32A2DA9B">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7AAFB2A3">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27F900CD">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6B557774">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7445541">
            <w:pPr>
              <w:widowControl/>
              <w:jc w:val="center"/>
              <w:rPr>
                <w:rFonts w:ascii="宋体" w:hAnsi="宋体" w:cs="宋体"/>
                <w:color w:val="000000"/>
                <w:kern w:val="0"/>
                <w:sz w:val="18"/>
                <w:szCs w:val="18"/>
              </w:rPr>
            </w:pPr>
            <w:r>
              <w:rPr>
                <w:rFonts w:hint="eastAsia" w:ascii="宋体" w:hAnsi="宋体" w:cs="宋体"/>
                <w:color w:val="000000"/>
                <w:kern w:val="0"/>
                <w:sz w:val="18"/>
                <w:szCs w:val="18"/>
              </w:rPr>
              <w:t>2042年</w:t>
            </w:r>
          </w:p>
        </w:tc>
        <w:tc>
          <w:tcPr>
            <w:tcW w:w="829" w:type="pct"/>
            <w:tcBorders>
              <w:top w:val="nil"/>
              <w:left w:val="nil"/>
              <w:bottom w:val="single" w:color="auto" w:sz="4" w:space="0"/>
              <w:right w:val="single" w:color="auto" w:sz="4" w:space="0"/>
            </w:tcBorders>
            <w:shd w:val="clear" w:color="auto" w:fill="auto"/>
            <w:vAlign w:val="center"/>
          </w:tcPr>
          <w:p w14:paraId="6E95B19F">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3BB0D1FD">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76A022C3">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4CBCA7B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0E1FA732">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5D44A7E4">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4BFEC949">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26D2C875">
            <w:pPr>
              <w:widowControl/>
              <w:jc w:val="center"/>
              <w:rPr>
                <w:rFonts w:ascii="宋体" w:hAnsi="宋体" w:cs="宋体"/>
                <w:color w:val="000000"/>
                <w:kern w:val="0"/>
                <w:sz w:val="18"/>
                <w:szCs w:val="18"/>
              </w:rPr>
            </w:pPr>
            <w:r>
              <w:rPr>
                <w:rFonts w:hint="eastAsia" w:ascii="宋体" w:hAnsi="宋体" w:cs="宋体"/>
                <w:color w:val="000000"/>
                <w:kern w:val="0"/>
                <w:sz w:val="18"/>
                <w:szCs w:val="18"/>
              </w:rPr>
              <w:t>2043年</w:t>
            </w:r>
          </w:p>
        </w:tc>
        <w:tc>
          <w:tcPr>
            <w:tcW w:w="829" w:type="pct"/>
            <w:tcBorders>
              <w:top w:val="nil"/>
              <w:left w:val="nil"/>
              <w:bottom w:val="single" w:color="auto" w:sz="4" w:space="0"/>
              <w:right w:val="single" w:color="auto" w:sz="4" w:space="0"/>
            </w:tcBorders>
            <w:shd w:val="clear" w:color="auto" w:fill="auto"/>
            <w:vAlign w:val="center"/>
          </w:tcPr>
          <w:p w14:paraId="47DC2866">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7B0E5A5C">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2FB30533">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03D5D72A">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529C50A">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55736FDF">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3F85496A">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2197564">
            <w:pPr>
              <w:widowControl/>
              <w:jc w:val="center"/>
              <w:rPr>
                <w:rFonts w:ascii="宋体" w:hAnsi="宋体" w:cs="宋体"/>
                <w:color w:val="000000"/>
                <w:kern w:val="0"/>
                <w:sz w:val="18"/>
                <w:szCs w:val="18"/>
              </w:rPr>
            </w:pPr>
            <w:r>
              <w:rPr>
                <w:rFonts w:hint="eastAsia" w:ascii="宋体" w:hAnsi="宋体" w:cs="宋体"/>
                <w:color w:val="000000"/>
                <w:kern w:val="0"/>
                <w:sz w:val="18"/>
                <w:szCs w:val="18"/>
              </w:rPr>
              <w:t>2044年</w:t>
            </w:r>
          </w:p>
        </w:tc>
        <w:tc>
          <w:tcPr>
            <w:tcW w:w="829" w:type="pct"/>
            <w:tcBorders>
              <w:top w:val="nil"/>
              <w:left w:val="nil"/>
              <w:bottom w:val="single" w:color="auto" w:sz="4" w:space="0"/>
              <w:right w:val="single" w:color="auto" w:sz="4" w:space="0"/>
            </w:tcBorders>
            <w:shd w:val="clear" w:color="auto" w:fill="auto"/>
            <w:vAlign w:val="center"/>
          </w:tcPr>
          <w:p w14:paraId="2A2406CC">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56D30D45">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0053A24E">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653B7FC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7EF6F7F0">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4E15B3FD">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0E089983">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427E2D09">
            <w:pPr>
              <w:widowControl/>
              <w:jc w:val="center"/>
              <w:rPr>
                <w:rFonts w:ascii="宋体" w:hAnsi="宋体" w:cs="宋体"/>
                <w:color w:val="000000"/>
                <w:kern w:val="0"/>
                <w:sz w:val="18"/>
                <w:szCs w:val="18"/>
              </w:rPr>
            </w:pPr>
            <w:r>
              <w:rPr>
                <w:rFonts w:hint="eastAsia" w:ascii="宋体" w:hAnsi="宋体" w:cs="宋体"/>
                <w:color w:val="000000"/>
                <w:kern w:val="0"/>
                <w:sz w:val="18"/>
                <w:szCs w:val="18"/>
              </w:rPr>
              <w:t>2045年</w:t>
            </w:r>
          </w:p>
        </w:tc>
        <w:tc>
          <w:tcPr>
            <w:tcW w:w="829" w:type="pct"/>
            <w:tcBorders>
              <w:top w:val="nil"/>
              <w:left w:val="nil"/>
              <w:bottom w:val="single" w:color="auto" w:sz="4" w:space="0"/>
              <w:right w:val="single" w:color="auto" w:sz="4" w:space="0"/>
            </w:tcBorders>
            <w:shd w:val="clear" w:color="auto" w:fill="auto"/>
            <w:vAlign w:val="center"/>
          </w:tcPr>
          <w:p w14:paraId="1C6A3DA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2F8882C9">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0DB00B89">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5EFC2D8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91EA7A1">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66CBF909">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00044A31">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0D1110D">
            <w:pPr>
              <w:widowControl/>
              <w:jc w:val="center"/>
              <w:rPr>
                <w:rFonts w:ascii="宋体" w:hAnsi="宋体" w:cs="宋体"/>
                <w:color w:val="000000"/>
                <w:kern w:val="0"/>
                <w:sz w:val="18"/>
                <w:szCs w:val="18"/>
              </w:rPr>
            </w:pPr>
            <w:r>
              <w:rPr>
                <w:rFonts w:hint="eastAsia" w:ascii="宋体" w:hAnsi="宋体" w:cs="宋体"/>
                <w:color w:val="000000"/>
                <w:kern w:val="0"/>
                <w:sz w:val="18"/>
                <w:szCs w:val="18"/>
              </w:rPr>
              <w:t>2046年</w:t>
            </w:r>
          </w:p>
        </w:tc>
        <w:tc>
          <w:tcPr>
            <w:tcW w:w="829" w:type="pct"/>
            <w:tcBorders>
              <w:top w:val="nil"/>
              <w:left w:val="nil"/>
              <w:bottom w:val="single" w:color="auto" w:sz="4" w:space="0"/>
              <w:right w:val="single" w:color="auto" w:sz="4" w:space="0"/>
            </w:tcBorders>
            <w:shd w:val="clear" w:color="auto" w:fill="auto"/>
            <w:vAlign w:val="center"/>
          </w:tcPr>
          <w:p w14:paraId="5B35C01D">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6B1BB4B9">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2F3DC974">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3A59370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08FD9FBD">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792E7DA9">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1AB4138A">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187D440A">
            <w:pPr>
              <w:widowControl/>
              <w:jc w:val="center"/>
              <w:rPr>
                <w:rFonts w:ascii="宋体" w:hAnsi="宋体" w:cs="宋体"/>
                <w:color w:val="000000"/>
                <w:kern w:val="0"/>
                <w:sz w:val="18"/>
                <w:szCs w:val="18"/>
              </w:rPr>
            </w:pPr>
            <w:r>
              <w:rPr>
                <w:rFonts w:hint="eastAsia" w:ascii="宋体" w:hAnsi="宋体" w:cs="宋体"/>
                <w:color w:val="000000"/>
                <w:kern w:val="0"/>
                <w:sz w:val="18"/>
                <w:szCs w:val="18"/>
              </w:rPr>
              <w:t>2047年</w:t>
            </w:r>
          </w:p>
        </w:tc>
        <w:tc>
          <w:tcPr>
            <w:tcW w:w="829" w:type="pct"/>
            <w:tcBorders>
              <w:top w:val="nil"/>
              <w:left w:val="nil"/>
              <w:bottom w:val="single" w:color="auto" w:sz="4" w:space="0"/>
              <w:right w:val="single" w:color="auto" w:sz="4" w:space="0"/>
            </w:tcBorders>
            <w:shd w:val="clear" w:color="auto" w:fill="auto"/>
            <w:vAlign w:val="center"/>
          </w:tcPr>
          <w:p w14:paraId="62C72264">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1C001E25">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392DA7D1">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7F6A90A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392C943">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0ED9BCDC">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7FB44358">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424A202D">
            <w:pPr>
              <w:widowControl/>
              <w:jc w:val="center"/>
              <w:rPr>
                <w:rFonts w:ascii="宋体" w:hAnsi="宋体" w:cs="宋体"/>
                <w:color w:val="000000"/>
                <w:kern w:val="0"/>
                <w:sz w:val="18"/>
                <w:szCs w:val="18"/>
              </w:rPr>
            </w:pPr>
            <w:r>
              <w:rPr>
                <w:rFonts w:hint="eastAsia" w:ascii="宋体" w:hAnsi="宋体" w:cs="宋体"/>
                <w:color w:val="000000"/>
                <w:kern w:val="0"/>
                <w:sz w:val="18"/>
                <w:szCs w:val="18"/>
              </w:rPr>
              <w:t>2048年</w:t>
            </w:r>
          </w:p>
        </w:tc>
        <w:tc>
          <w:tcPr>
            <w:tcW w:w="829" w:type="pct"/>
            <w:tcBorders>
              <w:top w:val="nil"/>
              <w:left w:val="nil"/>
              <w:bottom w:val="single" w:color="auto" w:sz="4" w:space="0"/>
              <w:right w:val="single" w:color="auto" w:sz="4" w:space="0"/>
            </w:tcBorders>
            <w:shd w:val="clear" w:color="auto" w:fill="auto"/>
            <w:vAlign w:val="center"/>
          </w:tcPr>
          <w:p w14:paraId="6E8A3A86">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1B97EF19">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6CD4E8D5">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1415BBEA">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33597097">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3B5CC2BF">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5C6F158D">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443C2378">
            <w:pPr>
              <w:widowControl/>
              <w:jc w:val="center"/>
              <w:rPr>
                <w:rFonts w:ascii="宋体" w:hAnsi="宋体" w:cs="宋体"/>
                <w:color w:val="000000"/>
                <w:kern w:val="0"/>
                <w:sz w:val="18"/>
                <w:szCs w:val="18"/>
              </w:rPr>
            </w:pPr>
            <w:r>
              <w:rPr>
                <w:rFonts w:hint="eastAsia" w:ascii="宋体" w:hAnsi="宋体" w:cs="宋体"/>
                <w:color w:val="000000"/>
                <w:kern w:val="0"/>
                <w:sz w:val="18"/>
                <w:szCs w:val="18"/>
              </w:rPr>
              <w:t>2049年</w:t>
            </w:r>
          </w:p>
        </w:tc>
        <w:tc>
          <w:tcPr>
            <w:tcW w:w="829" w:type="pct"/>
            <w:tcBorders>
              <w:top w:val="nil"/>
              <w:left w:val="nil"/>
              <w:bottom w:val="single" w:color="auto" w:sz="4" w:space="0"/>
              <w:right w:val="single" w:color="auto" w:sz="4" w:space="0"/>
            </w:tcBorders>
            <w:shd w:val="clear" w:color="auto" w:fill="auto"/>
            <w:vAlign w:val="center"/>
          </w:tcPr>
          <w:p w14:paraId="698510F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211EB94F">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7FF616E4">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56E3AB6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2321BCC4">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469B314C">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1AEC38AF">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72EEE0A2">
            <w:pPr>
              <w:widowControl/>
              <w:jc w:val="center"/>
              <w:rPr>
                <w:rFonts w:ascii="宋体" w:hAnsi="宋体" w:cs="宋体"/>
                <w:color w:val="000000"/>
                <w:kern w:val="0"/>
                <w:sz w:val="18"/>
                <w:szCs w:val="18"/>
              </w:rPr>
            </w:pPr>
            <w:r>
              <w:rPr>
                <w:rFonts w:hint="eastAsia" w:ascii="宋体" w:hAnsi="宋体" w:cs="宋体"/>
                <w:color w:val="000000"/>
                <w:kern w:val="0"/>
                <w:sz w:val="18"/>
                <w:szCs w:val="18"/>
              </w:rPr>
              <w:t>2050年</w:t>
            </w:r>
          </w:p>
        </w:tc>
        <w:tc>
          <w:tcPr>
            <w:tcW w:w="829" w:type="pct"/>
            <w:tcBorders>
              <w:top w:val="nil"/>
              <w:left w:val="nil"/>
              <w:bottom w:val="single" w:color="auto" w:sz="4" w:space="0"/>
              <w:right w:val="single" w:color="auto" w:sz="4" w:space="0"/>
            </w:tcBorders>
            <w:shd w:val="clear" w:color="auto" w:fill="auto"/>
            <w:vAlign w:val="center"/>
          </w:tcPr>
          <w:p w14:paraId="7981E89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1A2108CD">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0FAED74B">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1A756E3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434C5DB3">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37458375">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603AD5CE">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51208A4">
            <w:pPr>
              <w:widowControl/>
              <w:jc w:val="center"/>
              <w:rPr>
                <w:rFonts w:ascii="宋体" w:hAnsi="宋体" w:cs="宋体"/>
                <w:color w:val="000000"/>
                <w:kern w:val="0"/>
                <w:sz w:val="18"/>
                <w:szCs w:val="18"/>
              </w:rPr>
            </w:pPr>
            <w:r>
              <w:rPr>
                <w:rFonts w:hint="eastAsia" w:ascii="宋体" w:hAnsi="宋体" w:cs="宋体"/>
                <w:color w:val="000000"/>
                <w:kern w:val="0"/>
                <w:sz w:val="18"/>
                <w:szCs w:val="18"/>
              </w:rPr>
              <w:t>2051年</w:t>
            </w:r>
          </w:p>
        </w:tc>
        <w:tc>
          <w:tcPr>
            <w:tcW w:w="829" w:type="pct"/>
            <w:tcBorders>
              <w:top w:val="nil"/>
              <w:left w:val="nil"/>
              <w:bottom w:val="single" w:color="auto" w:sz="4" w:space="0"/>
              <w:right w:val="single" w:color="auto" w:sz="4" w:space="0"/>
            </w:tcBorders>
            <w:shd w:val="clear" w:color="auto" w:fill="auto"/>
            <w:vAlign w:val="center"/>
          </w:tcPr>
          <w:p w14:paraId="0A385E8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041BF6C5">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7553F2BF">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66CB0B6B">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658" w:type="pct"/>
            <w:tcBorders>
              <w:top w:val="nil"/>
              <w:left w:val="nil"/>
              <w:bottom w:val="single" w:color="auto" w:sz="4" w:space="0"/>
              <w:right w:val="single" w:color="auto" w:sz="4" w:space="0"/>
            </w:tcBorders>
            <w:shd w:val="clear" w:color="auto" w:fill="auto"/>
            <w:vAlign w:val="center"/>
          </w:tcPr>
          <w:p w14:paraId="4C76EBCC">
            <w:pPr>
              <w:widowControl/>
              <w:jc w:val="center"/>
              <w:rPr>
                <w:rFonts w:ascii="宋体" w:hAnsi="宋体" w:cs="宋体"/>
                <w:color w:val="000000"/>
                <w:kern w:val="0"/>
                <w:sz w:val="18"/>
                <w:szCs w:val="18"/>
              </w:rPr>
            </w:pPr>
          </w:p>
        </w:tc>
        <w:tc>
          <w:tcPr>
            <w:tcW w:w="829" w:type="pct"/>
            <w:tcBorders>
              <w:top w:val="nil"/>
              <w:left w:val="nil"/>
              <w:bottom w:val="single" w:color="auto" w:sz="4" w:space="0"/>
              <w:right w:val="single" w:color="auto" w:sz="4" w:space="0"/>
            </w:tcBorders>
            <w:shd w:val="clear" w:color="auto" w:fill="auto"/>
            <w:vAlign w:val="center"/>
          </w:tcPr>
          <w:p w14:paraId="73D612D6">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0154AFDC">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39B56B14">
            <w:pPr>
              <w:widowControl/>
              <w:jc w:val="center"/>
              <w:rPr>
                <w:rFonts w:ascii="宋体" w:hAnsi="宋体" w:cs="宋体"/>
                <w:color w:val="000000"/>
                <w:kern w:val="0"/>
                <w:sz w:val="18"/>
                <w:szCs w:val="18"/>
              </w:rPr>
            </w:pPr>
            <w:r>
              <w:rPr>
                <w:rFonts w:hint="eastAsia" w:ascii="宋体" w:hAnsi="宋体" w:cs="宋体"/>
                <w:color w:val="000000"/>
                <w:kern w:val="0"/>
                <w:sz w:val="18"/>
                <w:szCs w:val="18"/>
              </w:rPr>
              <w:t>2052年</w:t>
            </w:r>
          </w:p>
        </w:tc>
        <w:tc>
          <w:tcPr>
            <w:tcW w:w="829" w:type="pct"/>
            <w:tcBorders>
              <w:top w:val="nil"/>
              <w:left w:val="nil"/>
              <w:bottom w:val="single" w:color="auto" w:sz="4" w:space="0"/>
              <w:right w:val="single" w:color="auto" w:sz="4" w:space="0"/>
            </w:tcBorders>
            <w:shd w:val="clear" w:color="auto" w:fill="auto"/>
            <w:vAlign w:val="center"/>
          </w:tcPr>
          <w:p w14:paraId="716594F6">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58" w:type="pct"/>
            <w:tcBorders>
              <w:top w:val="nil"/>
              <w:left w:val="nil"/>
              <w:bottom w:val="single" w:color="auto" w:sz="4" w:space="0"/>
              <w:right w:val="single" w:color="auto" w:sz="4" w:space="0"/>
            </w:tcBorders>
            <w:shd w:val="clear" w:color="auto" w:fill="auto"/>
            <w:vAlign w:val="center"/>
          </w:tcPr>
          <w:p w14:paraId="27663223">
            <w:pPr>
              <w:widowControl/>
              <w:jc w:val="center"/>
              <w:rPr>
                <w:rFonts w:ascii="宋体" w:hAnsi="宋体" w:cs="宋体"/>
                <w:color w:val="000000"/>
                <w:kern w:val="0"/>
                <w:sz w:val="18"/>
                <w:szCs w:val="18"/>
              </w:rPr>
            </w:pPr>
          </w:p>
        </w:tc>
        <w:tc>
          <w:tcPr>
            <w:tcW w:w="598" w:type="pct"/>
            <w:tcBorders>
              <w:top w:val="nil"/>
              <w:left w:val="nil"/>
              <w:bottom w:val="single" w:color="auto" w:sz="4" w:space="0"/>
              <w:right w:val="single" w:color="auto" w:sz="4" w:space="0"/>
            </w:tcBorders>
            <w:shd w:val="clear" w:color="auto" w:fill="auto"/>
            <w:vAlign w:val="center"/>
          </w:tcPr>
          <w:p w14:paraId="65F37D53">
            <w:pPr>
              <w:widowControl/>
              <w:jc w:val="center"/>
              <w:rPr>
                <w:rFonts w:ascii="宋体" w:hAnsi="宋体" w:cs="宋体"/>
                <w:color w:val="000000"/>
                <w:kern w:val="0"/>
                <w:sz w:val="18"/>
                <w:szCs w:val="18"/>
              </w:rPr>
            </w:pPr>
          </w:p>
        </w:tc>
        <w:tc>
          <w:tcPr>
            <w:tcW w:w="600" w:type="pct"/>
            <w:tcBorders>
              <w:top w:val="nil"/>
              <w:left w:val="nil"/>
              <w:bottom w:val="single" w:color="auto" w:sz="4" w:space="0"/>
              <w:right w:val="single" w:color="auto" w:sz="4" w:space="0"/>
            </w:tcBorders>
            <w:shd w:val="clear" w:color="auto" w:fill="auto"/>
            <w:vAlign w:val="center"/>
          </w:tcPr>
          <w:p w14:paraId="7AB5E209">
            <w:pPr>
              <w:widowControl/>
              <w:jc w:val="center"/>
              <w:rPr>
                <w:rFonts w:ascii="宋体" w:hAnsi="宋体" w:cs="宋体"/>
                <w:color w:val="000000"/>
                <w:kern w:val="0"/>
                <w:sz w:val="18"/>
                <w:szCs w:val="18"/>
              </w:rPr>
            </w:pPr>
            <w:r>
              <w:rPr>
                <w:rFonts w:hint="eastAsia" w:ascii="宋体" w:hAnsi="宋体" w:cs="宋体"/>
                <w:color w:val="000000"/>
                <w:kern w:val="0"/>
                <w:sz w:val="18"/>
                <w:szCs w:val="18"/>
              </w:rPr>
              <w:t>70.80</w:t>
            </w:r>
          </w:p>
        </w:tc>
        <w:tc>
          <w:tcPr>
            <w:tcW w:w="658" w:type="pct"/>
            <w:tcBorders>
              <w:top w:val="nil"/>
              <w:left w:val="nil"/>
              <w:bottom w:val="single" w:color="auto" w:sz="4" w:space="0"/>
              <w:right w:val="single" w:color="auto" w:sz="4" w:space="0"/>
            </w:tcBorders>
            <w:shd w:val="clear" w:color="auto" w:fill="auto"/>
            <w:vAlign w:val="center"/>
          </w:tcPr>
          <w:p w14:paraId="21A0F2F3">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829" w:type="pct"/>
            <w:tcBorders>
              <w:top w:val="nil"/>
              <w:left w:val="nil"/>
              <w:bottom w:val="single" w:color="auto" w:sz="4" w:space="0"/>
              <w:right w:val="single" w:color="auto" w:sz="4" w:space="0"/>
            </w:tcBorders>
            <w:shd w:val="clear" w:color="auto" w:fill="auto"/>
            <w:vAlign w:val="center"/>
          </w:tcPr>
          <w:p w14:paraId="384E48E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5A80CB3E">
        <w:trPr>
          <w:trHeight w:val="270" w:hRule="atLeast"/>
        </w:trPr>
        <w:tc>
          <w:tcPr>
            <w:tcW w:w="826" w:type="pct"/>
            <w:tcBorders>
              <w:top w:val="nil"/>
              <w:left w:val="single" w:color="auto" w:sz="4" w:space="0"/>
              <w:bottom w:val="single" w:color="auto" w:sz="4" w:space="0"/>
              <w:right w:val="single" w:color="auto" w:sz="4" w:space="0"/>
            </w:tcBorders>
            <w:shd w:val="clear" w:color="auto" w:fill="auto"/>
            <w:vAlign w:val="center"/>
          </w:tcPr>
          <w:p w14:paraId="53C1103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829" w:type="pct"/>
            <w:tcBorders>
              <w:top w:val="nil"/>
              <w:left w:val="nil"/>
              <w:bottom w:val="single" w:color="auto" w:sz="4" w:space="0"/>
              <w:right w:val="single" w:color="auto" w:sz="4" w:space="0"/>
            </w:tcBorders>
            <w:shd w:val="clear" w:color="auto" w:fill="auto"/>
            <w:vAlign w:val="center"/>
          </w:tcPr>
          <w:p w14:paraId="19938113">
            <w:pPr>
              <w:widowControl/>
              <w:jc w:val="center"/>
              <w:rPr>
                <w:rFonts w:ascii="宋体" w:hAnsi="宋体" w:cs="宋体"/>
                <w:b/>
                <w:bCs/>
                <w:color w:val="000000"/>
                <w:kern w:val="0"/>
                <w:sz w:val="18"/>
                <w:szCs w:val="18"/>
              </w:rPr>
            </w:pPr>
          </w:p>
        </w:tc>
        <w:tc>
          <w:tcPr>
            <w:tcW w:w="658" w:type="pct"/>
            <w:tcBorders>
              <w:top w:val="nil"/>
              <w:left w:val="nil"/>
              <w:bottom w:val="single" w:color="auto" w:sz="4" w:space="0"/>
              <w:right w:val="single" w:color="auto" w:sz="4" w:space="0"/>
            </w:tcBorders>
            <w:shd w:val="clear" w:color="auto" w:fill="auto"/>
            <w:vAlign w:val="center"/>
          </w:tcPr>
          <w:p w14:paraId="7D68B56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22,950.00</w:t>
            </w:r>
          </w:p>
        </w:tc>
        <w:tc>
          <w:tcPr>
            <w:tcW w:w="598" w:type="pct"/>
            <w:tcBorders>
              <w:top w:val="nil"/>
              <w:left w:val="nil"/>
              <w:bottom w:val="single" w:color="auto" w:sz="4" w:space="0"/>
              <w:right w:val="single" w:color="auto" w:sz="4" w:space="0"/>
            </w:tcBorders>
            <w:shd w:val="clear" w:color="auto" w:fill="auto"/>
            <w:vAlign w:val="center"/>
          </w:tcPr>
          <w:p w14:paraId="59C8849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18.95</w:t>
            </w:r>
          </w:p>
        </w:tc>
        <w:tc>
          <w:tcPr>
            <w:tcW w:w="600" w:type="pct"/>
            <w:tcBorders>
              <w:top w:val="nil"/>
              <w:left w:val="nil"/>
              <w:bottom w:val="single" w:color="auto" w:sz="4" w:space="0"/>
              <w:right w:val="single" w:color="auto" w:sz="4" w:space="0"/>
            </w:tcBorders>
            <w:shd w:val="clear" w:color="auto" w:fill="auto"/>
            <w:vAlign w:val="center"/>
          </w:tcPr>
          <w:p w14:paraId="5A7BC7E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8,827.35</w:t>
            </w:r>
          </w:p>
        </w:tc>
        <w:tc>
          <w:tcPr>
            <w:tcW w:w="658" w:type="pct"/>
            <w:tcBorders>
              <w:top w:val="nil"/>
              <w:left w:val="nil"/>
              <w:bottom w:val="single" w:color="auto" w:sz="4" w:space="0"/>
              <w:right w:val="single" w:color="auto" w:sz="4" w:space="0"/>
            </w:tcBorders>
            <w:shd w:val="clear" w:color="auto" w:fill="auto"/>
            <w:vAlign w:val="center"/>
          </w:tcPr>
          <w:p w14:paraId="67296C1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22,950.00</w:t>
            </w:r>
          </w:p>
        </w:tc>
        <w:tc>
          <w:tcPr>
            <w:tcW w:w="829" w:type="pct"/>
            <w:tcBorders>
              <w:top w:val="nil"/>
              <w:left w:val="nil"/>
              <w:bottom w:val="single" w:color="auto" w:sz="4" w:space="0"/>
              <w:right w:val="single" w:color="auto" w:sz="4" w:space="0"/>
            </w:tcBorders>
            <w:shd w:val="clear" w:color="auto" w:fill="auto"/>
            <w:vAlign w:val="center"/>
          </w:tcPr>
          <w:p w14:paraId="70FF4E43">
            <w:pPr>
              <w:widowControl/>
              <w:jc w:val="center"/>
              <w:rPr>
                <w:rFonts w:ascii="宋体" w:hAnsi="宋体" w:cs="宋体"/>
                <w:b/>
                <w:bCs/>
                <w:color w:val="000000"/>
                <w:kern w:val="0"/>
                <w:sz w:val="18"/>
                <w:szCs w:val="18"/>
              </w:rPr>
            </w:pPr>
          </w:p>
        </w:tc>
      </w:tr>
    </w:tbl>
    <w:p w14:paraId="332B13EB">
      <w:pPr>
        <w:pStyle w:val="20"/>
        <w:spacing w:before="0" w:beforeAutospacing="0" w:afterLines="50" w:afterAutospacing="0" w:line="360" w:lineRule="exact"/>
        <w:ind w:firstLine="360" w:firstLineChars="200"/>
        <w:jc w:val="both"/>
        <w:rPr>
          <w:rFonts w:cs="Times New Roman"/>
          <w:color w:val="000000" w:themeColor="text1"/>
          <w:sz w:val="18"/>
          <w:szCs w:val="18"/>
          <w14:textFill>
            <w14:solidFill>
              <w14:schemeClr w14:val="tx1"/>
            </w14:solidFill>
          </w14:textFill>
        </w:rPr>
      </w:pPr>
      <w:r>
        <w:rPr>
          <w:rFonts w:hint="eastAsia" w:cs="Times New Roman"/>
          <w:color w:val="000000" w:themeColor="text1"/>
          <w:sz w:val="18"/>
          <w:szCs w:val="18"/>
          <w14:textFill>
            <w14:solidFill>
              <w14:schemeClr w14:val="tx1"/>
            </w14:solidFill>
          </w14:textFill>
        </w:rPr>
        <w:t>注：</w:t>
      </w:r>
      <w:r>
        <w:rPr>
          <w:rFonts w:cs="Times New Roman"/>
          <w:color w:val="000000" w:themeColor="text1"/>
          <w:sz w:val="18"/>
          <w:szCs w:val="18"/>
          <w14:textFill>
            <w14:solidFill>
              <w14:schemeClr w14:val="tx1"/>
            </w14:solidFill>
          </w14:textFill>
        </w:rPr>
        <w:t>30</w:t>
      </w:r>
      <w:r>
        <w:rPr>
          <w:rFonts w:hint="eastAsia" w:cs="Times New Roman"/>
          <w:color w:val="000000" w:themeColor="text1"/>
          <w:sz w:val="18"/>
          <w:szCs w:val="18"/>
          <w14:textFill>
            <w14:solidFill>
              <w14:schemeClr w14:val="tx1"/>
            </w14:solidFill>
          </w14:textFill>
        </w:rPr>
        <w:t>年期</w:t>
      </w:r>
      <w:r>
        <w:rPr>
          <w:rFonts w:hint="eastAsia"/>
          <w:color w:val="000000" w:themeColor="text1"/>
          <w:sz w:val="18"/>
          <w:szCs w:val="18"/>
          <w14:textFill>
            <w14:solidFill>
              <w14:schemeClr w14:val="tx1"/>
            </w14:solidFill>
          </w14:textFill>
        </w:rPr>
        <w:t>债券从债券发行年份的当年起按照每半年支付一次债券利息，7年期债券从债券发行年份的次年起按照每年支付一次债券利息</w:t>
      </w:r>
      <w:r>
        <w:rPr>
          <w:rFonts w:hint="eastAsia" w:cs="Times New Roman"/>
          <w:color w:val="000000" w:themeColor="text1"/>
          <w:sz w:val="18"/>
          <w:szCs w:val="18"/>
          <w14:textFill>
            <w14:solidFill>
              <w14:schemeClr w14:val="tx1"/>
            </w14:solidFill>
          </w14:textFill>
        </w:rPr>
        <w:t>。</w:t>
      </w:r>
    </w:p>
    <w:p w14:paraId="34F433C3">
      <w:pPr>
        <w:pStyle w:val="20"/>
        <w:spacing w:before="0" w:beforeAutospacing="0" w:afterLines="50" w:afterAutospacing="0" w:line="360" w:lineRule="exact"/>
        <w:ind w:firstLine="480" w:firstLineChars="200"/>
        <w:jc w:val="both"/>
        <w:rPr>
          <w:color w:val="000000" w:themeColor="text1"/>
          <w:sz w:val="24"/>
          <w:szCs w:val="24"/>
          <w14:textFill>
            <w14:solidFill>
              <w14:schemeClr w14:val="tx1"/>
            </w14:solidFill>
          </w14:textFill>
        </w:rPr>
        <w:sectPr>
          <w:pgSz w:w="11906" w:h="16838"/>
          <w:pgMar w:top="1418" w:right="1701" w:bottom="1531" w:left="1701" w:header="851" w:footer="992" w:gutter="0"/>
          <w:cols w:space="425" w:num="1"/>
          <w:docGrid w:type="linesAndChars" w:linePitch="312" w:charSpace="0"/>
        </w:sectPr>
      </w:pPr>
      <w:r>
        <w:rPr>
          <w:rFonts w:hint="eastAsia"/>
          <w:color w:val="000000" w:themeColor="text1"/>
          <w:sz w:val="24"/>
          <w:szCs w:val="24"/>
          <w14:textFill>
            <w14:solidFill>
              <w14:schemeClr w14:val="tx1"/>
            </w14:solidFill>
          </w14:textFill>
        </w:rPr>
        <w:t>202</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年江西省南昌县霞山村安置房住宅小区一期工程（棚户区改造）专项债券项目实施方案资金充足性分析情况具体如下表3</w:t>
      </w:r>
      <w:r>
        <w:rPr>
          <w:color w:val="000000" w:themeColor="text1"/>
          <w:sz w:val="24"/>
          <w:szCs w:val="24"/>
          <w14:textFill>
            <w14:solidFill>
              <w14:schemeClr w14:val="tx1"/>
            </w14:solidFill>
          </w14:textFill>
        </w:rPr>
        <w:t>-5</w:t>
      </w:r>
      <w:r>
        <w:rPr>
          <w:rFonts w:hint="eastAsia"/>
          <w:color w:val="000000" w:themeColor="text1"/>
          <w:sz w:val="24"/>
          <w:szCs w:val="24"/>
          <w14:textFill>
            <w14:solidFill>
              <w14:schemeClr w14:val="tx1"/>
            </w14:solidFill>
          </w14:textFill>
        </w:rPr>
        <w:t>及图3-</w:t>
      </w:r>
      <w:r>
        <w:rPr>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所示：</w:t>
      </w:r>
    </w:p>
    <w:p w14:paraId="4724F722">
      <w:pPr>
        <w:pStyle w:val="20"/>
        <w:spacing w:before="0" w:beforeAutospacing="0" w:afterLines="50" w:afterAutospacing="0" w:line="360" w:lineRule="exact"/>
        <w:ind w:firstLine="480" w:firstLineChars="200"/>
        <w:jc w:val="both"/>
        <w:rPr>
          <w:color w:val="000000" w:themeColor="text1"/>
          <w:sz w:val="24"/>
          <w:szCs w:val="24"/>
          <w14:textFill>
            <w14:solidFill>
              <w14:schemeClr w14:val="tx1"/>
            </w14:solidFill>
          </w14:textFill>
        </w:rPr>
      </w:pPr>
    </w:p>
    <w:p w14:paraId="2902C53B">
      <w:pPr>
        <w:pStyle w:val="20"/>
        <w:spacing w:afterLines="50" w:afterAutospacing="0" w:line="360" w:lineRule="exact"/>
        <w:ind w:firstLine="440" w:firstLineChars="200"/>
        <w:jc w:val="center"/>
        <w:rPr>
          <w:b/>
          <w:color w:val="000000" w:themeColor="text1"/>
          <w14:textFill>
            <w14:solidFill>
              <w14:schemeClr w14:val="tx1"/>
            </w14:solidFill>
          </w14:textFill>
        </w:rPr>
      </w:pPr>
      <w:r>
        <w:rPr>
          <w:rFonts w:hint="eastAsia"/>
          <w:b/>
          <w:color w:val="000000" w:themeColor="text1"/>
          <w14:textFill>
            <w14:solidFill>
              <w14:schemeClr w14:val="tx1"/>
            </w14:solidFill>
          </w14:textFill>
        </w:rPr>
        <w:t>表3-</w:t>
      </w:r>
      <w:r>
        <w:rPr>
          <w:b/>
          <w:color w:val="000000" w:themeColor="text1"/>
          <w14:textFill>
            <w14:solidFill>
              <w14:schemeClr w14:val="tx1"/>
            </w14:solidFill>
          </w14:textFill>
        </w:rPr>
        <w:t xml:space="preserve">5 </w:t>
      </w:r>
      <w:r>
        <w:rPr>
          <w:rFonts w:hint="eastAsia"/>
          <w:b/>
          <w:color w:val="000000" w:themeColor="text1"/>
          <w14:textFill>
            <w14:solidFill>
              <w14:schemeClr w14:val="tx1"/>
            </w14:solidFill>
          </w14:textFill>
        </w:rPr>
        <w:t>202</w:t>
      </w: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年江西省南昌县霞山村安置房住宅小区一期工程（棚户区改造）专项债券项目实施方案资金充足性分析情况表</w:t>
      </w:r>
    </w:p>
    <w:p w14:paraId="22713DB5">
      <w:pPr>
        <w:pStyle w:val="20"/>
        <w:spacing w:before="0" w:beforeAutospacing="0" w:after="0" w:afterAutospacing="0" w:line="360" w:lineRule="exact"/>
        <w:ind w:right="-510" w:rightChars="-243"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724"/>
        <w:gridCol w:w="2076"/>
        <w:gridCol w:w="1399"/>
        <w:gridCol w:w="1010"/>
        <w:gridCol w:w="1174"/>
        <w:gridCol w:w="1287"/>
        <w:gridCol w:w="1174"/>
        <w:gridCol w:w="1287"/>
        <w:gridCol w:w="1287"/>
        <w:gridCol w:w="1287"/>
        <w:gridCol w:w="1400"/>
      </w:tblGrid>
      <w:tr w14:paraId="78666932">
        <w:trPr>
          <w:trHeight w:val="405" w:hRule="atLeast"/>
          <w:tblHeader/>
        </w:trPr>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14:paraId="5BF33B8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36" w:type="pct"/>
            <w:tcBorders>
              <w:top w:val="single" w:color="auto" w:sz="4" w:space="0"/>
              <w:left w:val="nil"/>
              <w:bottom w:val="single" w:color="auto" w:sz="4" w:space="0"/>
              <w:right w:val="single" w:color="auto" w:sz="4" w:space="0"/>
            </w:tcBorders>
            <w:shd w:val="clear" w:color="auto" w:fill="auto"/>
            <w:vAlign w:val="center"/>
          </w:tcPr>
          <w:p w14:paraId="7DF8E8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96" w:type="pct"/>
            <w:tcBorders>
              <w:top w:val="single" w:color="auto" w:sz="4" w:space="0"/>
              <w:left w:val="nil"/>
              <w:bottom w:val="single" w:color="auto" w:sz="4" w:space="0"/>
              <w:right w:val="single" w:color="auto" w:sz="4" w:space="0"/>
            </w:tcBorders>
            <w:shd w:val="clear" w:color="auto" w:fill="auto"/>
            <w:vAlign w:val="center"/>
          </w:tcPr>
          <w:p w14:paraId="4193F8F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58" w:type="pct"/>
            <w:tcBorders>
              <w:top w:val="single" w:color="auto" w:sz="4" w:space="0"/>
              <w:left w:val="nil"/>
              <w:bottom w:val="single" w:color="auto" w:sz="4" w:space="0"/>
              <w:right w:val="single" w:color="auto" w:sz="4" w:space="0"/>
            </w:tcBorders>
            <w:shd w:val="clear" w:color="auto" w:fill="auto"/>
            <w:vAlign w:val="center"/>
          </w:tcPr>
          <w:p w14:paraId="3D10B6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416" w:type="pct"/>
            <w:tcBorders>
              <w:top w:val="single" w:color="auto" w:sz="4" w:space="0"/>
              <w:left w:val="nil"/>
              <w:bottom w:val="single" w:color="auto" w:sz="4" w:space="0"/>
              <w:right w:val="single" w:color="auto" w:sz="4" w:space="0"/>
            </w:tcBorders>
            <w:shd w:val="clear" w:color="auto" w:fill="auto"/>
            <w:vAlign w:val="center"/>
          </w:tcPr>
          <w:p w14:paraId="4CA5346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456" w:type="pct"/>
            <w:tcBorders>
              <w:top w:val="single" w:color="auto" w:sz="4" w:space="0"/>
              <w:left w:val="nil"/>
              <w:bottom w:val="single" w:color="auto" w:sz="4" w:space="0"/>
              <w:right w:val="single" w:color="auto" w:sz="4" w:space="0"/>
            </w:tcBorders>
            <w:shd w:val="clear" w:color="auto" w:fill="auto"/>
            <w:vAlign w:val="center"/>
          </w:tcPr>
          <w:p w14:paraId="65B9660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416" w:type="pct"/>
            <w:tcBorders>
              <w:top w:val="single" w:color="auto" w:sz="4" w:space="0"/>
              <w:left w:val="nil"/>
              <w:bottom w:val="single" w:color="auto" w:sz="4" w:space="0"/>
              <w:right w:val="single" w:color="auto" w:sz="4" w:space="0"/>
            </w:tcBorders>
            <w:shd w:val="clear" w:color="auto" w:fill="auto"/>
            <w:vAlign w:val="center"/>
          </w:tcPr>
          <w:p w14:paraId="33C3D1D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456" w:type="pct"/>
            <w:tcBorders>
              <w:top w:val="single" w:color="auto" w:sz="4" w:space="0"/>
              <w:left w:val="nil"/>
              <w:bottom w:val="single" w:color="auto" w:sz="4" w:space="0"/>
              <w:right w:val="single" w:color="auto" w:sz="4" w:space="0"/>
            </w:tcBorders>
            <w:shd w:val="clear" w:color="auto" w:fill="auto"/>
            <w:vAlign w:val="center"/>
          </w:tcPr>
          <w:p w14:paraId="71B3449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456" w:type="pct"/>
            <w:tcBorders>
              <w:top w:val="single" w:color="auto" w:sz="4" w:space="0"/>
              <w:left w:val="nil"/>
              <w:bottom w:val="single" w:color="auto" w:sz="4" w:space="0"/>
              <w:right w:val="single" w:color="auto" w:sz="4" w:space="0"/>
            </w:tcBorders>
            <w:shd w:val="clear" w:color="auto" w:fill="auto"/>
            <w:vAlign w:val="center"/>
          </w:tcPr>
          <w:p w14:paraId="3328B4E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456" w:type="pct"/>
            <w:tcBorders>
              <w:top w:val="single" w:color="auto" w:sz="4" w:space="0"/>
              <w:left w:val="nil"/>
              <w:bottom w:val="single" w:color="auto" w:sz="4" w:space="0"/>
              <w:right w:val="single" w:color="auto" w:sz="4" w:space="0"/>
            </w:tcBorders>
            <w:shd w:val="clear" w:color="auto" w:fill="auto"/>
            <w:vAlign w:val="center"/>
          </w:tcPr>
          <w:p w14:paraId="6B992DB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496" w:type="pct"/>
            <w:tcBorders>
              <w:top w:val="single" w:color="auto" w:sz="4" w:space="0"/>
              <w:left w:val="nil"/>
              <w:bottom w:val="single" w:color="auto" w:sz="4" w:space="0"/>
              <w:right w:val="single" w:color="auto" w:sz="4" w:space="0"/>
            </w:tcBorders>
            <w:shd w:val="clear" w:color="auto" w:fill="auto"/>
            <w:vAlign w:val="center"/>
          </w:tcPr>
          <w:p w14:paraId="1189D3A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r>
      <w:tr w14:paraId="3AD648AB">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3A98245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736" w:type="pct"/>
            <w:tcBorders>
              <w:top w:val="nil"/>
              <w:left w:val="nil"/>
              <w:bottom w:val="single" w:color="auto" w:sz="4" w:space="0"/>
              <w:right w:val="single" w:color="auto" w:sz="4" w:space="0"/>
            </w:tcBorders>
            <w:shd w:val="clear" w:color="auto" w:fill="auto"/>
            <w:vAlign w:val="center"/>
          </w:tcPr>
          <w:p w14:paraId="33598FE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496" w:type="pct"/>
            <w:tcBorders>
              <w:top w:val="nil"/>
              <w:left w:val="nil"/>
              <w:bottom w:val="single" w:color="auto" w:sz="4" w:space="0"/>
              <w:right w:val="single" w:color="auto" w:sz="4" w:space="0"/>
            </w:tcBorders>
            <w:shd w:val="clear" w:color="auto" w:fill="auto"/>
            <w:vAlign w:val="center"/>
          </w:tcPr>
          <w:p w14:paraId="0D263118">
            <w:pPr>
              <w:widowControl/>
              <w:jc w:val="center"/>
              <w:rPr>
                <w:rFonts w:ascii="宋体" w:hAnsi="宋体" w:cs="宋体"/>
                <w:color w:val="000000"/>
                <w:kern w:val="0"/>
                <w:sz w:val="18"/>
                <w:szCs w:val="18"/>
              </w:rPr>
            </w:pPr>
            <w:r>
              <w:rPr>
                <w:rFonts w:hint="eastAsia" w:ascii="宋体" w:hAnsi="宋体" w:cs="宋体"/>
                <w:color w:val="000000"/>
                <w:kern w:val="0"/>
                <w:sz w:val="18"/>
                <w:szCs w:val="18"/>
              </w:rPr>
              <w:t>332,772.58</w:t>
            </w:r>
          </w:p>
        </w:tc>
        <w:tc>
          <w:tcPr>
            <w:tcW w:w="358" w:type="pct"/>
            <w:tcBorders>
              <w:top w:val="nil"/>
              <w:left w:val="nil"/>
              <w:bottom w:val="single" w:color="auto" w:sz="4" w:space="0"/>
              <w:right w:val="single" w:color="auto" w:sz="4" w:space="0"/>
            </w:tcBorders>
            <w:shd w:val="clear" w:color="auto" w:fill="auto"/>
            <w:vAlign w:val="center"/>
          </w:tcPr>
          <w:p w14:paraId="3A5D32AD">
            <w:pPr>
              <w:widowControl/>
              <w:jc w:val="center"/>
              <w:rPr>
                <w:rFonts w:ascii="宋体" w:hAnsi="宋体" w:cs="宋体"/>
                <w:color w:val="000000"/>
                <w:kern w:val="0"/>
                <w:sz w:val="18"/>
                <w:szCs w:val="18"/>
              </w:rPr>
            </w:pPr>
            <w:r>
              <w:rPr>
                <w:rFonts w:hint="eastAsia" w:ascii="宋体" w:hAnsi="宋体" w:cs="宋体"/>
                <w:color w:val="000000"/>
                <w:kern w:val="0"/>
                <w:sz w:val="18"/>
                <w:szCs w:val="18"/>
              </w:rPr>
              <w:t>733.61</w:t>
            </w:r>
          </w:p>
        </w:tc>
        <w:tc>
          <w:tcPr>
            <w:tcW w:w="416" w:type="pct"/>
            <w:tcBorders>
              <w:top w:val="nil"/>
              <w:left w:val="nil"/>
              <w:bottom w:val="single" w:color="auto" w:sz="4" w:space="0"/>
              <w:right w:val="single" w:color="auto" w:sz="4" w:space="0"/>
            </w:tcBorders>
            <w:shd w:val="clear" w:color="auto" w:fill="auto"/>
            <w:vAlign w:val="center"/>
          </w:tcPr>
          <w:p w14:paraId="50343911">
            <w:pPr>
              <w:widowControl/>
              <w:jc w:val="center"/>
              <w:rPr>
                <w:rFonts w:ascii="宋体" w:hAnsi="宋体" w:cs="宋体"/>
                <w:color w:val="000000"/>
                <w:kern w:val="0"/>
                <w:sz w:val="18"/>
                <w:szCs w:val="18"/>
              </w:rPr>
            </w:pPr>
            <w:r>
              <w:rPr>
                <w:rFonts w:hint="eastAsia" w:ascii="宋体" w:hAnsi="宋体" w:cs="宋体"/>
                <w:color w:val="000000"/>
                <w:kern w:val="0"/>
                <w:sz w:val="18"/>
                <w:szCs w:val="18"/>
              </w:rPr>
              <w:t>4,737.61</w:t>
            </w:r>
          </w:p>
        </w:tc>
        <w:tc>
          <w:tcPr>
            <w:tcW w:w="456" w:type="pct"/>
            <w:tcBorders>
              <w:top w:val="nil"/>
              <w:left w:val="nil"/>
              <w:bottom w:val="single" w:color="auto" w:sz="4" w:space="0"/>
              <w:right w:val="single" w:color="auto" w:sz="4" w:space="0"/>
            </w:tcBorders>
            <w:shd w:val="clear" w:color="auto" w:fill="auto"/>
            <w:vAlign w:val="center"/>
          </w:tcPr>
          <w:p w14:paraId="3B453051">
            <w:pPr>
              <w:widowControl/>
              <w:jc w:val="center"/>
              <w:rPr>
                <w:rFonts w:ascii="宋体" w:hAnsi="宋体" w:cs="宋体"/>
                <w:color w:val="000000"/>
                <w:kern w:val="0"/>
                <w:sz w:val="18"/>
                <w:szCs w:val="18"/>
              </w:rPr>
            </w:pPr>
            <w:r>
              <w:rPr>
                <w:rFonts w:hint="eastAsia" w:ascii="宋体" w:hAnsi="宋体" w:cs="宋体"/>
                <w:color w:val="000000"/>
                <w:kern w:val="0"/>
                <w:sz w:val="18"/>
                <w:szCs w:val="18"/>
              </w:rPr>
              <w:t>19,663.74</w:t>
            </w:r>
          </w:p>
        </w:tc>
        <w:tc>
          <w:tcPr>
            <w:tcW w:w="416" w:type="pct"/>
            <w:tcBorders>
              <w:top w:val="nil"/>
              <w:left w:val="nil"/>
              <w:bottom w:val="single" w:color="auto" w:sz="4" w:space="0"/>
              <w:right w:val="single" w:color="auto" w:sz="4" w:space="0"/>
            </w:tcBorders>
            <w:shd w:val="clear" w:color="auto" w:fill="auto"/>
            <w:vAlign w:val="center"/>
          </w:tcPr>
          <w:p w14:paraId="35501DCF">
            <w:pPr>
              <w:widowControl/>
              <w:jc w:val="center"/>
              <w:rPr>
                <w:rFonts w:ascii="宋体" w:hAnsi="宋体" w:cs="宋体"/>
                <w:color w:val="000000"/>
                <w:kern w:val="0"/>
                <w:sz w:val="18"/>
                <w:szCs w:val="18"/>
              </w:rPr>
            </w:pPr>
            <w:r>
              <w:rPr>
                <w:rFonts w:hint="eastAsia" w:ascii="宋体" w:hAnsi="宋体" w:cs="宋体"/>
                <w:color w:val="000000"/>
                <w:kern w:val="0"/>
                <w:sz w:val="18"/>
                <w:szCs w:val="18"/>
              </w:rPr>
              <w:t>7,466.38</w:t>
            </w:r>
          </w:p>
        </w:tc>
        <w:tc>
          <w:tcPr>
            <w:tcW w:w="456" w:type="pct"/>
            <w:tcBorders>
              <w:top w:val="nil"/>
              <w:left w:val="nil"/>
              <w:bottom w:val="single" w:color="auto" w:sz="4" w:space="0"/>
              <w:right w:val="single" w:color="auto" w:sz="4" w:space="0"/>
            </w:tcBorders>
            <w:shd w:val="clear" w:color="auto" w:fill="auto"/>
            <w:vAlign w:val="center"/>
          </w:tcPr>
          <w:p w14:paraId="06D58C1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6A1907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A2A6B0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1D192A8D">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r>
      <w:tr w14:paraId="75635302">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3F057DC5">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6" w:type="pct"/>
            <w:tcBorders>
              <w:top w:val="nil"/>
              <w:left w:val="nil"/>
              <w:bottom w:val="single" w:color="auto" w:sz="4" w:space="0"/>
              <w:right w:val="single" w:color="auto" w:sz="4" w:space="0"/>
            </w:tcBorders>
            <w:shd w:val="clear" w:color="auto" w:fill="auto"/>
            <w:vAlign w:val="center"/>
          </w:tcPr>
          <w:p w14:paraId="0B3BBFB6">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96" w:type="pct"/>
            <w:tcBorders>
              <w:top w:val="nil"/>
              <w:left w:val="nil"/>
              <w:bottom w:val="single" w:color="auto" w:sz="4" w:space="0"/>
              <w:right w:val="single" w:color="auto" w:sz="4" w:space="0"/>
            </w:tcBorders>
            <w:shd w:val="clear" w:color="auto" w:fill="auto"/>
            <w:vAlign w:val="center"/>
          </w:tcPr>
          <w:p w14:paraId="3A072AC9">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358" w:type="pct"/>
            <w:tcBorders>
              <w:top w:val="nil"/>
              <w:left w:val="nil"/>
              <w:bottom w:val="single" w:color="auto" w:sz="4" w:space="0"/>
              <w:right w:val="single" w:color="auto" w:sz="4" w:space="0"/>
            </w:tcBorders>
            <w:shd w:val="clear" w:color="auto" w:fill="auto"/>
            <w:vAlign w:val="center"/>
          </w:tcPr>
          <w:p w14:paraId="520BE69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367C351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90CE5C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7F0DD09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0B2914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0DF7711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3B1A43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55A89897">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r>
      <w:tr w14:paraId="03BD1932">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2F905B0F">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36" w:type="pct"/>
            <w:tcBorders>
              <w:top w:val="nil"/>
              <w:left w:val="nil"/>
              <w:bottom w:val="single" w:color="auto" w:sz="4" w:space="0"/>
              <w:right w:val="single" w:color="auto" w:sz="4" w:space="0"/>
            </w:tcBorders>
            <w:shd w:val="clear" w:color="auto" w:fill="auto"/>
            <w:vAlign w:val="center"/>
          </w:tcPr>
          <w:p w14:paraId="04A64386">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96" w:type="pct"/>
            <w:tcBorders>
              <w:top w:val="nil"/>
              <w:left w:val="nil"/>
              <w:bottom w:val="single" w:color="auto" w:sz="4" w:space="0"/>
              <w:right w:val="single" w:color="auto" w:sz="4" w:space="0"/>
            </w:tcBorders>
            <w:shd w:val="clear" w:color="auto" w:fill="auto"/>
            <w:vAlign w:val="center"/>
          </w:tcPr>
          <w:p w14:paraId="6E67481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09249B9B">
            <w:pPr>
              <w:widowControl/>
              <w:jc w:val="center"/>
              <w:rPr>
                <w:rFonts w:ascii="宋体" w:hAnsi="宋体" w:cs="宋体"/>
                <w:color w:val="000000"/>
                <w:kern w:val="0"/>
                <w:sz w:val="18"/>
                <w:szCs w:val="18"/>
              </w:rPr>
            </w:pPr>
          </w:p>
        </w:tc>
        <w:tc>
          <w:tcPr>
            <w:tcW w:w="416" w:type="pct"/>
            <w:tcBorders>
              <w:top w:val="nil"/>
              <w:left w:val="nil"/>
              <w:bottom w:val="single" w:color="auto" w:sz="4" w:space="0"/>
              <w:right w:val="single" w:color="auto" w:sz="4" w:space="0"/>
            </w:tcBorders>
            <w:shd w:val="clear" w:color="auto" w:fill="auto"/>
            <w:vAlign w:val="center"/>
          </w:tcPr>
          <w:p w14:paraId="07D05B4A">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77DA0273">
            <w:pPr>
              <w:widowControl/>
              <w:jc w:val="center"/>
              <w:rPr>
                <w:rFonts w:ascii="宋体" w:hAnsi="宋体" w:cs="宋体"/>
                <w:color w:val="000000"/>
                <w:kern w:val="0"/>
                <w:sz w:val="18"/>
                <w:szCs w:val="18"/>
              </w:rPr>
            </w:pPr>
          </w:p>
        </w:tc>
        <w:tc>
          <w:tcPr>
            <w:tcW w:w="416" w:type="pct"/>
            <w:tcBorders>
              <w:top w:val="nil"/>
              <w:left w:val="nil"/>
              <w:bottom w:val="single" w:color="auto" w:sz="4" w:space="0"/>
              <w:right w:val="single" w:color="auto" w:sz="4" w:space="0"/>
            </w:tcBorders>
            <w:shd w:val="clear" w:color="auto" w:fill="auto"/>
            <w:vAlign w:val="center"/>
          </w:tcPr>
          <w:p w14:paraId="55891E87">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46FE5D35">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2FCCA8F0">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0492AF22">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2E39F66E">
            <w:pPr>
              <w:widowControl/>
              <w:jc w:val="center"/>
              <w:rPr>
                <w:rFonts w:ascii="宋体" w:hAnsi="宋体" w:cs="宋体"/>
                <w:color w:val="000000"/>
                <w:kern w:val="0"/>
                <w:sz w:val="18"/>
                <w:szCs w:val="18"/>
              </w:rPr>
            </w:pPr>
          </w:p>
        </w:tc>
      </w:tr>
      <w:tr w14:paraId="59C6891D">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66D03094">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36" w:type="pct"/>
            <w:tcBorders>
              <w:top w:val="nil"/>
              <w:left w:val="nil"/>
              <w:bottom w:val="single" w:color="auto" w:sz="4" w:space="0"/>
              <w:right w:val="single" w:color="auto" w:sz="4" w:space="0"/>
            </w:tcBorders>
            <w:shd w:val="clear" w:color="auto" w:fill="auto"/>
            <w:vAlign w:val="center"/>
          </w:tcPr>
          <w:p w14:paraId="637F0363">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96" w:type="pct"/>
            <w:tcBorders>
              <w:top w:val="nil"/>
              <w:left w:val="nil"/>
              <w:bottom w:val="single" w:color="auto" w:sz="4" w:space="0"/>
              <w:right w:val="single" w:color="auto" w:sz="4" w:space="0"/>
            </w:tcBorders>
            <w:shd w:val="clear" w:color="auto" w:fill="auto"/>
            <w:vAlign w:val="center"/>
          </w:tcPr>
          <w:p w14:paraId="2358548D">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358" w:type="pct"/>
            <w:tcBorders>
              <w:top w:val="nil"/>
              <w:left w:val="nil"/>
              <w:bottom w:val="single" w:color="auto" w:sz="4" w:space="0"/>
              <w:right w:val="single" w:color="auto" w:sz="4" w:space="0"/>
            </w:tcBorders>
            <w:shd w:val="clear" w:color="auto" w:fill="auto"/>
            <w:vAlign w:val="center"/>
          </w:tcPr>
          <w:p w14:paraId="5EA13C7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40E1DFF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7CD741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noWrap/>
            <w:vAlign w:val="center"/>
          </w:tcPr>
          <w:p w14:paraId="5AC866DF">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22D29877">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6B17B67A">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4506E121">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96" w:type="pct"/>
            <w:tcBorders>
              <w:top w:val="nil"/>
              <w:left w:val="nil"/>
              <w:bottom w:val="single" w:color="auto" w:sz="4" w:space="0"/>
              <w:right w:val="single" w:color="auto" w:sz="4" w:space="0"/>
            </w:tcBorders>
            <w:shd w:val="clear" w:color="auto" w:fill="auto"/>
            <w:noWrap/>
            <w:vAlign w:val="center"/>
          </w:tcPr>
          <w:p w14:paraId="2D80887B">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r>
      <w:tr w14:paraId="3F19953E">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66388A45">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36" w:type="pct"/>
            <w:tcBorders>
              <w:top w:val="nil"/>
              <w:left w:val="nil"/>
              <w:bottom w:val="single" w:color="auto" w:sz="4" w:space="0"/>
              <w:right w:val="single" w:color="auto" w:sz="4" w:space="0"/>
            </w:tcBorders>
            <w:shd w:val="clear" w:color="auto" w:fill="auto"/>
            <w:vAlign w:val="center"/>
          </w:tcPr>
          <w:p w14:paraId="725BF365">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96" w:type="pct"/>
            <w:tcBorders>
              <w:top w:val="nil"/>
              <w:left w:val="nil"/>
              <w:bottom w:val="single" w:color="auto" w:sz="4" w:space="0"/>
              <w:right w:val="single" w:color="auto" w:sz="4" w:space="0"/>
            </w:tcBorders>
            <w:shd w:val="clear" w:color="auto" w:fill="auto"/>
            <w:vAlign w:val="center"/>
          </w:tcPr>
          <w:p w14:paraId="31A27A0B">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358" w:type="pct"/>
            <w:tcBorders>
              <w:top w:val="nil"/>
              <w:left w:val="nil"/>
              <w:bottom w:val="single" w:color="auto" w:sz="4" w:space="0"/>
              <w:right w:val="single" w:color="auto" w:sz="4" w:space="0"/>
            </w:tcBorders>
            <w:shd w:val="clear" w:color="auto" w:fill="auto"/>
            <w:vAlign w:val="center"/>
          </w:tcPr>
          <w:p w14:paraId="4673FDC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75863C68">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456" w:type="pct"/>
            <w:tcBorders>
              <w:top w:val="nil"/>
              <w:left w:val="nil"/>
              <w:bottom w:val="single" w:color="auto" w:sz="4" w:space="0"/>
              <w:right w:val="single" w:color="auto" w:sz="4" w:space="0"/>
            </w:tcBorders>
            <w:shd w:val="clear" w:color="auto" w:fill="auto"/>
            <w:vAlign w:val="center"/>
          </w:tcPr>
          <w:p w14:paraId="04902AA7">
            <w:pPr>
              <w:widowControl/>
              <w:jc w:val="center"/>
              <w:rPr>
                <w:rFonts w:ascii="宋体" w:hAnsi="宋体" w:cs="宋体"/>
                <w:color w:val="000000"/>
                <w:kern w:val="0"/>
                <w:sz w:val="18"/>
                <w:szCs w:val="18"/>
              </w:rPr>
            </w:pPr>
            <w:r>
              <w:rPr>
                <w:rFonts w:hint="eastAsia" w:ascii="宋体" w:hAnsi="宋体" w:cs="宋体"/>
                <w:color w:val="000000"/>
                <w:kern w:val="0"/>
                <w:sz w:val="18"/>
                <w:szCs w:val="18"/>
              </w:rPr>
              <w:t>18,950.00</w:t>
            </w:r>
          </w:p>
        </w:tc>
        <w:tc>
          <w:tcPr>
            <w:tcW w:w="416" w:type="pct"/>
            <w:tcBorders>
              <w:top w:val="nil"/>
              <w:left w:val="nil"/>
              <w:bottom w:val="single" w:color="auto" w:sz="4" w:space="0"/>
              <w:right w:val="single" w:color="auto" w:sz="4" w:space="0"/>
            </w:tcBorders>
            <w:shd w:val="clear" w:color="auto" w:fill="auto"/>
            <w:vAlign w:val="center"/>
          </w:tcPr>
          <w:p w14:paraId="2F4E0AB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201807F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345BF31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F368E5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7B7D06C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8A0D945">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77338346">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736" w:type="pct"/>
            <w:tcBorders>
              <w:top w:val="nil"/>
              <w:left w:val="nil"/>
              <w:bottom w:val="single" w:color="auto" w:sz="4" w:space="0"/>
              <w:right w:val="single" w:color="auto" w:sz="4" w:space="0"/>
            </w:tcBorders>
            <w:shd w:val="clear" w:color="auto" w:fill="auto"/>
            <w:vAlign w:val="center"/>
          </w:tcPr>
          <w:p w14:paraId="67D1199F">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96" w:type="pct"/>
            <w:tcBorders>
              <w:top w:val="nil"/>
              <w:left w:val="nil"/>
              <w:bottom w:val="single" w:color="auto" w:sz="4" w:space="0"/>
              <w:right w:val="single" w:color="auto" w:sz="4" w:space="0"/>
            </w:tcBorders>
            <w:shd w:val="clear" w:color="auto" w:fill="auto"/>
            <w:vAlign w:val="center"/>
          </w:tcPr>
          <w:p w14:paraId="48462579">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358" w:type="pct"/>
            <w:tcBorders>
              <w:top w:val="nil"/>
              <w:left w:val="nil"/>
              <w:bottom w:val="single" w:color="auto" w:sz="4" w:space="0"/>
              <w:right w:val="single" w:color="auto" w:sz="4" w:space="0"/>
            </w:tcBorders>
            <w:shd w:val="clear" w:color="auto" w:fill="auto"/>
            <w:vAlign w:val="center"/>
          </w:tcPr>
          <w:p w14:paraId="28E9E44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66D49D8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456" w:type="pct"/>
            <w:tcBorders>
              <w:top w:val="nil"/>
              <w:left w:val="nil"/>
              <w:bottom w:val="single" w:color="auto" w:sz="4" w:space="0"/>
              <w:right w:val="single" w:color="auto" w:sz="4" w:space="0"/>
            </w:tcBorders>
            <w:shd w:val="clear" w:color="auto" w:fill="auto"/>
            <w:vAlign w:val="center"/>
          </w:tcPr>
          <w:p w14:paraId="23B10044">
            <w:pPr>
              <w:widowControl/>
              <w:jc w:val="center"/>
              <w:rPr>
                <w:rFonts w:ascii="宋体" w:hAnsi="宋体" w:cs="宋体"/>
                <w:color w:val="000000"/>
                <w:kern w:val="0"/>
                <w:sz w:val="18"/>
                <w:szCs w:val="18"/>
              </w:rPr>
            </w:pPr>
            <w:r>
              <w:rPr>
                <w:rFonts w:hint="eastAsia" w:ascii="宋体" w:hAnsi="宋体" w:cs="宋体"/>
                <w:color w:val="000000"/>
                <w:kern w:val="0"/>
                <w:sz w:val="18"/>
                <w:szCs w:val="18"/>
              </w:rPr>
              <w:t>18,950.00</w:t>
            </w:r>
          </w:p>
        </w:tc>
        <w:tc>
          <w:tcPr>
            <w:tcW w:w="416" w:type="pct"/>
            <w:tcBorders>
              <w:top w:val="nil"/>
              <w:left w:val="nil"/>
              <w:bottom w:val="single" w:color="auto" w:sz="4" w:space="0"/>
              <w:right w:val="single" w:color="auto" w:sz="4" w:space="0"/>
            </w:tcBorders>
            <w:shd w:val="clear" w:color="auto" w:fill="auto"/>
            <w:vAlign w:val="center"/>
          </w:tcPr>
          <w:p w14:paraId="77D118D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3EA6B69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EA5F6C7">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2E936BFB">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7D09AC6F">
            <w:pPr>
              <w:widowControl/>
              <w:jc w:val="center"/>
              <w:rPr>
                <w:rFonts w:ascii="宋体" w:hAnsi="宋体" w:cs="宋体"/>
                <w:color w:val="000000"/>
                <w:kern w:val="0"/>
                <w:sz w:val="18"/>
                <w:szCs w:val="18"/>
              </w:rPr>
            </w:pPr>
          </w:p>
        </w:tc>
      </w:tr>
      <w:tr w14:paraId="69A71755">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69D4560A">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736" w:type="pct"/>
            <w:tcBorders>
              <w:top w:val="nil"/>
              <w:left w:val="nil"/>
              <w:bottom w:val="single" w:color="auto" w:sz="4" w:space="0"/>
              <w:right w:val="single" w:color="auto" w:sz="4" w:space="0"/>
            </w:tcBorders>
            <w:shd w:val="clear" w:color="auto" w:fill="auto"/>
            <w:vAlign w:val="center"/>
          </w:tcPr>
          <w:p w14:paraId="4952CF42">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96" w:type="pct"/>
            <w:tcBorders>
              <w:top w:val="nil"/>
              <w:left w:val="nil"/>
              <w:bottom w:val="single" w:color="auto" w:sz="4" w:space="0"/>
              <w:right w:val="single" w:color="auto" w:sz="4" w:space="0"/>
            </w:tcBorders>
            <w:shd w:val="clear" w:color="auto" w:fill="auto"/>
            <w:vAlign w:val="center"/>
          </w:tcPr>
          <w:p w14:paraId="4F27310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4C191AB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53EC4A6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AE9F42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841D5EC">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0E090A9A">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600B454A">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31278565">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444E58E9">
            <w:pPr>
              <w:widowControl/>
              <w:jc w:val="center"/>
              <w:rPr>
                <w:rFonts w:ascii="宋体" w:hAnsi="宋体" w:cs="宋体"/>
                <w:color w:val="000000"/>
                <w:kern w:val="0"/>
                <w:sz w:val="18"/>
                <w:szCs w:val="18"/>
              </w:rPr>
            </w:pPr>
          </w:p>
        </w:tc>
      </w:tr>
      <w:tr w14:paraId="13347426">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12F75FD7">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36" w:type="pct"/>
            <w:tcBorders>
              <w:top w:val="nil"/>
              <w:left w:val="nil"/>
              <w:bottom w:val="single" w:color="auto" w:sz="4" w:space="0"/>
              <w:right w:val="single" w:color="auto" w:sz="4" w:space="0"/>
            </w:tcBorders>
            <w:shd w:val="clear" w:color="auto" w:fill="auto"/>
            <w:vAlign w:val="center"/>
          </w:tcPr>
          <w:p w14:paraId="0DDB6C36">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96" w:type="pct"/>
            <w:tcBorders>
              <w:top w:val="nil"/>
              <w:left w:val="nil"/>
              <w:bottom w:val="single" w:color="auto" w:sz="4" w:space="0"/>
              <w:right w:val="single" w:color="auto" w:sz="4" w:space="0"/>
            </w:tcBorders>
            <w:shd w:val="clear" w:color="auto" w:fill="auto"/>
            <w:vAlign w:val="center"/>
          </w:tcPr>
          <w:p w14:paraId="10FB329B">
            <w:pPr>
              <w:widowControl/>
              <w:jc w:val="center"/>
              <w:rPr>
                <w:rFonts w:ascii="宋体" w:hAnsi="宋体" w:cs="宋体"/>
                <w:color w:val="000000"/>
                <w:kern w:val="0"/>
                <w:sz w:val="18"/>
                <w:szCs w:val="18"/>
              </w:rPr>
            </w:pPr>
            <w:r>
              <w:rPr>
                <w:rFonts w:hint="eastAsia" w:ascii="宋体" w:hAnsi="宋体" w:cs="宋体"/>
                <w:color w:val="000000"/>
                <w:kern w:val="0"/>
                <w:sz w:val="18"/>
                <w:szCs w:val="18"/>
              </w:rPr>
              <w:t>9,651.34</w:t>
            </w:r>
          </w:p>
        </w:tc>
        <w:tc>
          <w:tcPr>
            <w:tcW w:w="358" w:type="pct"/>
            <w:tcBorders>
              <w:top w:val="nil"/>
              <w:left w:val="nil"/>
              <w:bottom w:val="single" w:color="auto" w:sz="4" w:space="0"/>
              <w:right w:val="single" w:color="auto" w:sz="4" w:space="0"/>
            </w:tcBorders>
            <w:shd w:val="clear" w:color="auto" w:fill="auto"/>
            <w:vAlign w:val="center"/>
          </w:tcPr>
          <w:p w14:paraId="07AC54AF">
            <w:pPr>
              <w:widowControl/>
              <w:jc w:val="center"/>
              <w:rPr>
                <w:rFonts w:ascii="宋体" w:hAnsi="宋体" w:cs="宋体"/>
                <w:color w:val="000000"/>
                <w:kern w:val="0"/>
                <w:sz w:val="18"/>
                <w:szCs w:val="18"/>
              </w:rPr>
            </w:pPr>
            <w:r>
              <w:rPr>
                <w:rFonts w:hint="eastAsia" w:ascii="宋体" w:hAnsi="宋体" w:cs="宋体"/>
                <w:color w:val="000000"/>
                <w:kern w:val="0"/>
                <w:sz w:val="18"/>
                <w:szCs w:val="18"/>
              </w:rPr>
              <w:t>733.61</w:t>
            </w:r>
          </w:p>
        </w:tc>
        <w:tc>
          <w:tcPr>
            <w:tcW w:w="416" w:type="pct"/>
            <w:tcBorders>
              <w:top w:val="nil"/>
              <w:left w:val="nil"/>
              <w:bottom w:val="single" w:color="auto" w:sz="4" w:space="0"/>
              <w:right w:val="single" w:color="auto" w:sz="4" w:space="0"/>
            </w:tcBorders>
            <w:shd w:val="clear" w:color="auto" w:fill="auto"/>
            <w:vAlign w:val="center"/>
          </w:tcPr>
          <w:p w14:paraId="4CE25BFE">
            <w:pPr>
              <w:widowControl/>
              <w:jc w:val="center"/>
              <w:rPr>
                <w:rFonts w:ascii="宋体" w:hAnsi="宋体" w:cs="宋体"/>
                <w:color w:val="000000"/>
                <w:kern w:val="0"/>
                <w:sz w:val="18"/>
                <w:szCs w:val="18"/>
              </w:rPr>
            </w:pPr>
            <w:r>
              <w:rPr>
                <w:rFonts w:hint="eastAsia" w:ascii="宋体" w:hAnsi="宋体" w:cs="宋体"/>
                <w:color w:val="000000"/>
                <w:kern w:val="0"/>
                <w:sz w:val="18"/>
                <w:szCs w:val="18"/>
              </w:rPr>
              <w:t>737.61</w:t>
            </w:r>
          </w:p>
        </w:tc>
        <w:tc>
          <w:tcPr>
            <w:tcW w:w="456" w:type="pct"/>
            <w:tcBorders>
              <w:top w:val="nil"/>
              <w:left w:val="nil"/>
              <w:bottom w:val="single" w:color="auto" w:sz="4" w:space="0"/>
              <w:right w:val="single" w:color="auto" w:sz="4" w:space="0"/>
            </w:tcBorders>
            <w:shd w:val="clear" w:color="auto" w:fill="auto"/>
            <w:vAlign w:val="center"/>
          </w:tcPr>
          <w:p w14:paraId="793CF146">
            <w:pPr>
              <w:widowControl/>
              <w:jc w:val="center"/>
              <w:rPr>
                <w:rFonts w:ascii="宋体" w:hAnsi="宋体" w:cs="宋体"/>
                <w:color w:val="000000"/>
                <w:kern w:val="0"/>
                <w:sz w:val="18"/>
                <w:szCs w:val="18"/>
              </w:rPr>
            </w:pPr>
            <w:r>
              <w:rPr>
                <w:rFonts w:hint="eastAsia" w:ascii="宋体" w:hAnsi="宋体" w:cs="宋体"/>
                <w:color w:val="000000"/>
                <w:kern w:val="0"/>
                <w:sz w:val="18"/>
                <w:szCs w:val="18"/>
              </w:rPr>
              <w:t>713.74</w:t>
            </w:r>
          </w:p>
        </w:tc>
        <w:tc>
          <w:tcPr>
            <w:tcW w:w="416" w:type="pct"/>
            <w:tcBorders>
              <w:top w:val="nil"/>
              <w:left w:val="nil"/>
              <w:bottom w:val="single" w:color="auto" w:sz="4" w:space="0"/>
              <w:right w:val="single" w:color="auto" w:sz="4" w:space="0"/>
            </w:tcBorders>
            <w:shd w:val="clear" w:color="auto" w:fill="auto"/>
            <w:vAlign w:val="center"/>
          </w:tcPr>
          <w:p w14:paraId="2CD2154D">
            <w:pPr>
              <w:widowControl/>
              <w:jc w:val="center"/>
              <w:rPr>
                <w:rFonts w:ascii="宋体" w:hAnsi="宋体" w:cs="宋体"/>
                <w:color w:val="000000"/>
                <w:kern w:val="0"/>
                <w:sz w:val="18"/>
                <w:szCs w:val="18"/>
              </w:rPr>
            </w:pPr>
            <w:r>
              <w:rPr>
                <w:rFonts w:hint="eastAsia" w:ascii="宋体" w:hAnsi="宋体" w:cs="宋体"/>
                <w:color w:val="000000"/>
                <w:kern w:val="0"/>
                <w:sz w:val="18"/>
                <w:szCs w:val="18"/>
              </w:rPr>
              <w:t>7,466.38</w:t>
            </w:r>
          </w:p>
        </w:tc>
        <w:tc>
          <w:tcPr>
            <w:tcW w:w="456" w:type="pct"/>
            <w:tcBorders>
              <w:top w:val="nil"/>
              <w:left w:val="nil"/>
              <w:bottom w:val="single" w:color="auto" w:sz="4" w:space="0"/>
              <w:right w:val="single" w:color="auto" w:sz="4" w:space="0"/>
            </w:tcBorders>
            <w:shd w:val="clear" w:color="auto" w:fill="auto"/>
            <w:vAlign w:val="center"/>
          </w:tcPr>
          <w:p w14:paraId="5560115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2664E2F0">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1CDFDB54">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1C7286AE">
            <w:pPr>
              <w:widowControl/>
              <w:jc w:val="center"/>
              <w:rPr>
                <w:rFonts w:ascii="宋体" w:hAnsi="宋体" w:cs="宋体"/>
                <w:color w:val="000000"/>
                <w:kern w:val="0"/>
                <w:sz w:val="18"/>
                <w:szCs w:val="18"/>
              </w:rPr>
            </w:pPr>
          </w:p>
        </w:tc>
      </w:tr>
      <w:tr w14:paraId="4446FE3D">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658ACB6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736" w:type="pct"/>
            <w:tcBorders>
              <w:top w:val="nil"/>
              <w:left w:val="nil"/>
              <w:bottom w:val="single" w:color="auto" w:sz="4" w:space="0"/>
              <w:right w:val="single" w:color="auto" w:sz="4" w:space="0"/>
            </w:tcBorders>
            <w:shd w:val="clear" w:color="auto" w:fill="auto"/>
            <w:vAlign w:val="center"/>
          </w:tcPr>
          <w:p w14:paraId="574A4CE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496" w:type="pct"/>
            <w:tcBorders>
              <w:top w:val="nil"/>
              <w:left w:val="nil"/>
              <w:bottom w:val="single" w:color="auto" w:sz="4" w:space="0"/>
              <w:right w:val="single" w:color="auto" w:sz="4" w:space="0"/>
            </w:tcBorders>
            <w:shd w:val="clear" w:color="auto" w:fill="auto"/>
            <w:vAlign w:val="center"/>
          </w:tcPr>
          <w:p w14:paraId="6D056D0C">
            <w:pPr>
              <w:widowControl/>
              <w:jc w:val="center"/>
              <w:rPr>
                <w:rFonts w:ascii="宋体" w:hAnsi="宋体" w:cs="宋体"/>
                <w:color w:val="000000"/>
                <w:kern w:val="0"/>
                <w:sz w:val="18"/>
                <w:szCs w:val="18"/>
              </w:rPr>
            </w:pPr>
            <w:r>
              <w:rPr>
                <w:rFonts w:hint="eastAsia" w:ascii="宋体" w:hAnsi="宋体" w:cs="宋体"/>
                <w:color w:val="000000"/>
                <w:kern w:val="0"/>
                <w:sz w:val="18"/>
                <w:szCs w:val="18"/>
              </w:rPr>
              <w:t>70,199.71</w:t>
            </w:r>
          </w:p>
        </w:tc>
        <w:tc>
          <w:tcPr>
            <w:tcW w:w="358" w:type="pct"/>
            <w:tcBorders>
              <w:top w:val="nil"/>
              <w:left w:val="nil"/>
              <w:bottom w:val="single" w:color="auto" w:sz="4" w:space="0"/>
              <w:right w:val="single" w:color="auto" w:sz="4" w:space="0"/>
            </w:tcBorders>
            <w:shd w:val="clear" w:color="auto" w:fill="auto"/>
            <w:vAlign w:val="center"/>
          </w:tcPr>
          <w:p w14:paraId="7E2ECF4F">
            <w:pPr>
              <w:widowControl/>
              <w:jc w:val="center"/>
              <w:rPr>
                <w:rFonts w:ascii="宋体" w:hAnsi="宋体" w:cs="宋体"/>
                <w:color w:val="000000"/>
                <w:kern w:val="0"/>
                <w:sz w:val="18"/>
                <w:szCs w:val="18"/>
              </w:rPr>
            </w:pPr>
            <w:r>
              <w:rPr>
                <w:rFonts w:hint="eastAsia" w:ascii="宋体" w:hAnsi="宋体" w:cs="宋体"/>
                <w:color w:val="000000"/>
                <w:kern w:val="0"/>
                <w:sz w:val="18"/>
                <w:szCs w:val="18"/>
              </w:rPr>
              <w:t>733.61</w:t>
            </w:r>
          </w:p>
        </w:tc>
        <w:tc>
          <w:tcPr>
            <w:tcW w:w="416" w:type="pct"/>
            <w:tcBorders>
              <w:top w:val="nil"/>
              <w:left w:val="nil"/>
              <w:bottom w:val="single" w:color="auto" w:sz="4" w:space="0"/>
              <w:right w:val="single" w:color="auto" w:sz="4" w:space="0"/>
            </w:tcBorders>
            <w:shd w:val="clear" w:color="auto" w:fill="auto"/>
            <w:vAlign w:val="center"/>
          </w:tcPr>
          <w:p w14:paraId="49DB6C52">
            <w:pPr>
              <w:widowControl/>
              <w:jc w:val="center"/>
              <w:rPr>
                <w:rFonts w:ascii="宋体" w:hAnsi="宋体" w:cs="宋体"/>
                <w:color w:val="000000"/>
                <w:kern w:val="0"/>
                <w:sz w:val="18"/>
                <w:szCs w:val="18"/>
              </w:rPr>
            </w:pPr>
            <w:r>
              <w:rPr>
                <w:rFonts w:hint="eastAsia" w:ascii="宋体" w:hAnsi="宋体" w:cs="宋体"/>
                <w:color w:val="000000"/>
                <w:kern w:val="0"/>
                <w:sz w:val="18"/>
                <w:szCs w:val="18"/>
              </w:rPr>
              <w:t>4,737.61</w:t>
            </w:r>
          </w:p>
        </w:tc>
        <w:tc>
          <w:tcPr>
            <w:tcW w:w="456" w:type="pct"/>
            <w:tcBorders>
              <w:top w:val="nil"/>
              <w:left w:val="nil"/>
              <w:bottom w:val="single" w:color="auto" w:sz="4" w:space="0"/>
              <w:right w:val="single" w:color="auto" w:sz="4" w:space="0"/>
            </w:tcBorders>
            <w:shd w:val="clear" w:color="auto" w:fill="auto"/>
            <w:vAlign w:val="center"/>
          </w:tcPr>
          <w:p w14:paraId="42464C1C">
            <w:pPr>
              <w:widowControl/>
              <w:jc w:val="center"/>
              <w:rPr>
                <w:rFonts w:ascii="宋体" w:hAnsi="宋体" w:cs="宋体"/>
                <w:color w:val="000000"/>
                <w:kern w:val="0"/>
                <w:sz w:val="18"/>
                <w:szCs w:val="18"/>
              </w:rPr>
            </w:pPr>
            <w:r>
              <w:rPr>
                <w:rFonts w:hint="eastAsia" w:ascii="宋体" w:hAnsi="宋体" w:cs="宋体"/>
                <w:color w:val="000000"/>
                <w:kern w:val="0"/>
                <w:sz w:val="18"/>
                <w:szCs w:val="18"/>
              </w:rPr>
              <w:t>19,663.74</w:t>
            </w:r>
          </w:p>
        </w:tc>
        <w:tc>
          <w:tcPr>
            <w:tcW w:w="416" w:type="pct"/>
            <w:tcBorders>
              <w:top w:val="nil"/>
              <w:left w:val="nil"/>
              <w:bottom w:val="single" w:color="auto" w:sz="4" w:space="0"/>
              <w:right w:val="single" w:color="auto" w:sz="4" w:space="0"/>
            </w:tcBorders>
            <w:shd w:val="clear" w:color="auto" w:fill="auto"/>
            <w:vAlign w:val="center"/>
          </w:tcPr>
          <w:p w14:paraId="1E1C87BF">
            <w:pPr>
              <w:widowControl/>
              <w:jc w:val="center"/>
              <w:rPr>
                <w:rFonts w:ascii="宋体" w:hAnsi="宋体" w:cs="宋体"/>
                <w:color w:val="000000"/>
                <w:kern w:val="0"/>
                <w:sz w:val="18"/>
                <w:szCs w:val="18"/>
              </w:rPr>
            </w:pPr>
            <w:r>
              <w:rPr>
                <w:rFonts w:hint="eastAsia" w:ascii="宋体" w:hAnsi="宋体" w:cs="宋体"/>
                <w:color w:val="000000"/>
                <w:kern w:val="0"/>
                <w:sz w:val="18"/>
                <w:szCs w:val="18"/>
              </w:rPr>
              <w:t>8,302.63</w:t>
            </w:r>
          </w:p>
        </w:tc>
        <w:tc>
          <w:tcPr>
            <w:tcW w:w="456" w:type="pct"/>
            <w:tcBorders>
              <w:top w:val="nil"/>
              <w:left w:val="nil"/>
              <w:bottom w:val="single" w:color="auto" w:sz="4" w:space="0"/>
              <w:right w:val="single" w:color="auto" w:sz="4" w:space="0"/>
            </w:tcBorders>
            <w:shd w:val="clear" w:color="auto" w:fill="auto"/>
            <w:vAlign w:val="center"/>
          </w:tcPr>
          <w:p w14:paraId="62D4B40A">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0879B885">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51835EA4">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96" w:type="pct"/>
            <w:tcBorders>
              <w:top w:val="nil"/>
              <w:left w:val="nil"/>
              <w:bottom w:val="single" w:color="auto" w:sz="4" w:space="0"/>
              <w:right w:val="single" w:color="auto" w:sz="4" w:space="0"/>
            </w:tcBorders>
            <w:shd w:val="clear" w:color="auto" w:fill="auto"/>
            <w:vAlign w:val="center"/>
          </w:tcPr>
          <w:p w14:paraId="6C40ED9A">
            <w:pPr>
              <w:widowControl/>
              <w:jc w:val="center"/>
              <w:rPr>
                <w:rFonts w:ascii="宋体" w:hAnsi="宋体" w:cs="宋体"/>
                <w:color w:val="000000"/>
                <w:kern w:val="0"/>
                <w:sz w:val="18"/>
                <w:szCs w:val="18"/>
              </w:rPr>
            </w:pPr>
            <w:r>
              <w:rPr>
                <w:rFonts w:hint="eastAsia" w:ascii="宋体" w:hAnsi="宋体" w:cs="宋体"/>
                <w:color w:val="000000"/>
                <w:kern w:val="0"/>
                <w:sz w:val="18"/>
                <w:szCs w:val="18"/>
              </w:rPr>
              <w:t>6,839.67</w:t>
            </w:r>
          </w:p>
        </w:tc>
      </w:tr>
      <w:tr w14:paraId="586A2EA0">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428BBFB1">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6" w:type="pct"/>
            <w:tcBorders>
              <w:top w:val="nil"/>
              <w:left w:val="nil"/>
              <w:bottom w:val="single" w:color="auto" w:sz="4" w:space="0"/>
              <w:right w:val="single" w:color="auto" w:sz="4" w:space="0"/>
            </w:tcBorders>
            <w:shd w:val="clear" w:color="auto" w:fill="auto"/>
            <w:vAlign w:val="center"/>
          </w:tcPr>
          <w:p w14:paraId="12F5DC5A">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96" w:type="pct"/>
            <w:tcBorders>
              <w:top w:val="nil"/>
              <w:left w:val="nil"/>
              <w:bottom w:val="single" w:color="auto" w:sz="4" w:space="0"/>
              <w:right w:val="single" w:color="auto" w:sz="4" w:space="0"/>
            </w:tcBorders>
            <w:shd w:val="clear" w:color="auto" w:fill="auto"/>
            <w:vAlign w:val="center"/>
          </w:tcPr>
          <w:p w14:paraId="60A99BEE">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358" w:type="pct"/>
            <w:tcBorders>
              <w:top w:val="nil"/>
              <w:left w:val="nil"/>
              <w:bottom w:val="single" w:color="auto" w:sz="4" w:space="0"/>
              <w:right w:val="single" w:color="auto" w:sz="4" w:space="0"/>
            </w:tcBorders>
            <w:shd w:val="clear" w:color="auto" w:fill="auto"/>
            <w:vAlign w:val="center"/>
          </w:tcPr>
          <w:p w14:paraId="3134535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CDA888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3FB51CD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957517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CCE97E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3F95D36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FD023B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2D43CA6D">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r>
      <w:tr w14:paraId="54AA0E6F">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7C3DCE3F">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36" w:type="pct"/>
            <w:tcBorders>
              <w:top w:val="nil"/>
              <w:left w:val="nil"/>
              <w:bottom w:val="single" w:color="auto" w:sz="4" w:space="0"/>
              <w:right w:val="single" w:color="auto" w:sz="4" w:space="0"/>
            </w:tcBorders>
            <w:shd w:val="clear" w:color="auto" w:fill="auto"/>
            <w:vAlign w:val="center"/>
          </w:tcPr>
          <w:p w14:paraId="13A6D13C">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96" w:type="pct"/>
            <w:tcBorders>
              <w:top w:val="nil"/>
              <w:left w:val="nil"/>
              <w:bottom w:val="single" w:color="auto" w:sz="4" w:space="0"/>
              <w:right w:val="single" w:color="auto" w:sz="4" w:space="0"/>
            </w:tcBorders>
            <w:shd w:val="clear" w:color="auto" w:fill="auto"/>
            <w:vAlign w:val="center"/>
          </w:tcPr>
          <w:p w14:paraId="53C262B9">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358" w:type="pct"/>
            <w:tcBorders>
              <w:top w:val="nil"/>
              <w:left w:val="nil"/>
              <w:bottom w:val="single" w:color="auto" w:sz="4" w:space="0"/>
              <w:right w:val="single" w:color="auto" w:sz="4" w:space="0"/>
            </w:tcBorders>
            <w:shd w:val="clear" w:color="auto" w:fill="auto"/>
            <w:vAlign w:val="center"/>
          </w:tcPr>
          <w:p w14:paraId="18B0BC6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5A22645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89824C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noWrap/>
            <w:vAlign w:val="center"/>
          </w:tcPr>
          <w:p w14:paraId="30D731D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4CF9D2D6">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7786334D">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56" w:type="pct"/>
            <w:tcBorders>
              <w:top w:val="nil"/>
              <w:left w:val="nil"/>
              <w:bottom w:val="single" w:color="auto" w:sz="4" w:space="0"/>
              <w:right w:val="single" w:color="auto" w:sz="4" w:space="0"/>
            </w:tcBorders>
            <w:shd w:val="clear" w:color="auto" w:fill="auto"/>
            <w:noWrap/>
            <w:vAlign w:val="center"/>
          </w:tcPr>
          <w:p w14:paraId="693DDBE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96" w:type="pct"/>
            <w:tcBorders>
              <w:top w:val="nil"/>
              <w:left w:val="nil"/>
              <w:bottom w:val="single" w:color="auto" w:sz="4" w:space="0"/>
              <w:right w:val="single" w:color="auto" w:sz="4" w:space="0"/>
            </w:tcBorders>
            <w:shd w:val="clear" w:color="auto" w:fill="auto"/>
            <w:noWrap/>
            <w:vAlign w:val="center"/>
          </w:tcPr>
          <w:p w14:paraId="74108B9A">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r>
      <w:tr w14:paraId="3DFEE517">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3A6AAA9E">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36" w:type="pct"/>
            <w:tcBorders>
              <w:top w:val="nil"/>
              <w:left w:val="nil"/>
              <w:bottom w:val="single" w:color="auto" w:sz="4" w:space="0"/>
              <w:right w:val="single" w:color="auto" w:sz="4" w:space="0"/>
            </w:tcBorders>
            <w:shd w:val="clear" w:color="auto" w:fill="auto"/>
            <w:vAlign w:val="center"/>
          </w:tcPr>
          <w:p w14:paraId="541D30E8">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96" w:type="pct"/>
            <w:tcBorders>
              <w:top w:val="nil"/>
              <w:left w:val="nil"/>
              <w:bottom w:val="single" w:color="auto" w:sz="4" w:space="0"/>
              <w:right w:val="single" w:color="auto" w:sz="4" w:space="0"/>
            </w:tcBorders>
            <w:shd w:val="clear" w:color="auto" w:fill="auto"/>
            <w:vAlign w:val="center"/>
          </w:tcPr>
          <w:p w14:paraId="05F601C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1584597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20BA1F3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72867C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noWrap/>
            <w:vAlign w:val="center"/>
          </w:tcPr>
          <w:p w14:paraId="6ABF619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noWrap/>
            <w:vAlign w:val="center"/>
          </w:tcPr>
          <w:p w14:paraId="4BB04F9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noWrap/>
            <w:vAlign w:val="center"/>
          </w:tcPr>
          <w:p w14:paraId="1AAF63B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noWrap/>
            <w:vAlign w:val="center"/>
          </w:tcPr>
          <w:p w14:paraId="6349EA7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noWrap/>
            <w:vAlign w:val="center"/>
          </w:tcPr>
          <w:p w14:paraId="578BE5E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6CD57E36">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01794564">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36" w:type="pct"/>
            <w:tcBorders>
              <w:top w:val="nil"/>
              <w:left w:val="nil"/>
              <w:bottom w:val="single" w:color="auto" w:sz="4" w:space="0"/>
              <w:right w:val="single" w:color="auto" w:sz="4" w:space="0"/>
            </w:tcBorders>
            <w:shd w:val="clear" w:color="auto" w:fill="auto"/>
            <w:vAlign w:val="center"/>
          </w:tcPr>
          <w:p w14:paraId="76C95614">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96" w:type="pct"/>
            <w:tcBorders>
              <w:top w:val="nil"/>
              <w:left w:val="nil"/>
              <w:bottom w:val="single" w:color="auto" w:sz="4" w:space="0"/>
              <w:right w:val="single" w:color="auto" w:sz="4" w:space="0"/>
            </w:tcBorders>
            <w:shd w:val="clear" w:color="auto" w:fill="auto"/>
            <w:vAlign w:val="center"/>
          </w:tcPr>
          <w:p w14:paraId="43172166">
            <w:pPr>
              <w:widowControl/>
              <w:jc w:val="center"/>
              <w:rPr>
                <w:rFonts w:ascii="宋体" w:hAnsi="宋体" w:cs="宋体"/>
                <w:color w:val="000000"/>
                <w:kern w:val="0"/>
                <w:sz w:val="18"/>
                <w:szCs w:val="18"/>
              </w:rPr>
            </w:pPr>
            <w:r>
              <w:rPr>
                <w:rFonts w:hint="eastAsia" w:ascii="宋体" w:hAnsi="宋体" w:cs="宋体"/>
                <w:color w:val="000000"/>
                <w:kern w:val="0"/>
                <w:sz w:val="18"/>
                <w:szCs w:val="18"/>
              </w:rPr>
              <w:t>32,399.99</w:t>
            </w:r>
          </w:p>
        </w:tc>
        <w:tc>
          <w:tcPr>
            <w:tcW w:w="358" w:type="pct"/>
            <w:tcBorders>
              <w:top w:val="nil"/>
              <w:left w:val="nil"/>
              <w:bottom w:val="single" w:color="auto" w:sz="4" w:space="0"/>
              <w:right w:val="single" w:color="auto" w:sz="4" w:space="0"/>
            </w:tcBorders>
            <w:shd w:val="clear" w:color="auto" w:fill="auto"/>
            <w:vAlign w:val="center"/>
          </w:tcPr>
          <w:p w14:paraId="703788B3">
            <w:pPr>
              <w:widowControl/>
              <w:jc w:val="center"/>
              <w:rPr>
                <w:rFonts w:ascii="宋体" w:hAnsi="宋体" w:cs="宋体"/>
                <w:color w:val="000000"/>
                <w:kern w:val="0"/>
                <w:sz w:val="18"/>
                <w:szCs w:val="18"/>
              </w:rPr>
            </w:pPr>
            <w:r>
              <w:rPr>
                <w:rFonts w:hint="eastAsia" w:ascii="宋体" w:hAnsi="宋体" w:cs="宋体"/>
                <w:color w:val="000000"/>
                <w:kern w:val="0"/>
                <w:sz w:val="18"/>
                <w:szCs w:val="18"/>
              </w:rPr>
              <w:t>733.61</w:t>
            </w:r>
          </w:p>
        </w:tc>
        <w:tc>
          <w:tcPr>
            <w:tcW w:w="416" w:type="pct"/>
            <w:tcBorders>
              <w:top w:val="nil"/>
              <w:left w:val="nil"/>
              <w:bottom w:val="single" w:color="auto" w:sz="4" w:space="0"/>
              <w:right w:val="single" w:color="auto" w:sz="4" w:space="0"/>
            </w:tcBorders>
            <w:shd w:val="clear" w:color="auto" w:fill="auto"/>
            <w:vAlign w:val="center"/>
          </w:tcPr>
          <w:p w14:paraId="54BC04BC">
            <w:pPr>
              <w:widowControl/>
              <w:jc w:val="center"/>
              <w:rPr>
                <w:rFonts w:ascii="宋体" w:hAnsi="宋体" w:cs="宋体"/>
                <w:color w:val="000000"/>
                <w:kern w:val="0"/>
                <w:sz w:val="18"/>
                <w:szCs w:val="18"/>
              </w:rPr>
            </w:pPr>
            <w:r>
              <w:rPr>
                <w:rFonts w:hint="eastAsia" w:ascii="宋体" w:hAnsi="宋体" w:cs="宋体"/>
                <w:color w:val="000000"/>
                <w:kern w:val="0"/>
                <w:sz w:val="18"/>
                <w:szCs w:val="18"/>
              </w:rPr>
              <w:t>4,733.61</w:t>
            </w:r>
          </w:p>
        </w:tc>
        <w:tc>
          <w:tcPr>
            <w:tcW w:w="456" w:type="pct"/>
            <w:tcBorders>
              <w:top w:val="nil"/>
              <w:left w:val="nil"/>
              <w:bottom w:val="single" w:color="auto" w:sz="4" w:space="0"/>
              <w:right w:val="single" w:color="auto" w:sz="4" w:space="0"/>
            </w:tcBorders>
            <w:shd w:val="clear" w:color="auto" w:fill="auto"/>
            <w:vAlign w:val="center"/>
          </w:tcPr>
          <w:p w14:paraId="0D2A2ABB">
            <w:pPr>
              <w:widowControl/>
              <w:jc w:val="center"/>
              <w:rPr>
                <w:rFonts w:ascii="宋体" w:hAnsi="宋体" w:cs="宋体"/>
                <w:color w:val="000000"/>
                <w:kern w:val="0"/>
                <w:sz w:val="18"/>
                <w:szCs w:val="18"/>
              </w:rPr>
            </w:pPr>
            <w:r>
              <w:rPr>
                <w:rFonts w:hint="eastAsia" w:ascii="宋体" w:hAnsi="宋体" w:cs="宋体"/>
                <w:color w:val="000000"/>
                <w:kern w:val="0"/>
                <w:sz w:val="18"/>
                <w:szCs w:val="18"/>
              </w:rPr>
              <w:t>19,466.39</w:t>
            </w:r>
          </w:p>
        </w:tc>
        <w:tc>
          <w:tcPr>
            <w:tcW w:w="416" w:type="pct"/>
            <w:tcBorders>
              <w:top w:val="nil"/>
              <w:left w:val="nil"/>
              <w:bottom w:val="single" w:color="auto" w:sz="4" w:space="0"/>
              <w:right w:val="single" w:color="auto" w:sz="4" w:space="0"/>
            </w:tcBorders>
            <w:shd w:val="clear" w:color="auto" w:fill="auto"/>
            <w:vAlign w:val="center"/>
          </w:tcPr>
          <w:p w14:paraId="3AA3F91B">
            <w:pPr>
              <w:widowControl/>
              <w:jc w:val="center"/>
              <w:rPr>
                <w:rFonts w:ascii="宋体" w:hAnsi="宋体" w:cs="宋体"/>
                <w:color w:val="000000"/>
                <w:kern w:val="0"/>
                <w:sz w:val="18"/>
                <w:szCs w:val="18"/>
              </w:rPr>
            </w:pPr>
            <w:r>
              <w:rPr>
                <w:rFonts w:hint="eastAsia" w:ascii="宋体" w:hAnsi="宋体" w:cs="宋体"/>
                <w:color w:val="000000"/>
                <w:kern w:val="0"/>
                <w:sz w:val="18"/>
                <w:szCs w:val="18"/>
              </w:rPr>
              <w:t>7,466.38</w:t>
            </w:r>
          </w:p>
        </w:tc>
        <w:tc>
          <w:tcPr>
            <w:tcW w:w="456" w:type="pct"/>
            <w:tcBorders>
              <w:top w:val="nil"/>
              <w:left w:val="nil"/>
              <w:bottom w:val="single" w:color="auto" w:sz="4" w:space="0"/>
              <w:right w:val="single" w:color="auto" w:sz="4" w:space="0"/>
            </w:tcBorders>
            <w:shd w:val="clear" w:color="auto" w:fill="auto"/>
            <w:vAlign w:val="center"/>
          </w:tcPr>
          <w:p w14:paraId="348D46B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06F2CF41">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2ABA086B">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61C93A6A">
            <w:pPr>
              <w:widowControl/>
              <w:jc w:val="center"/>
              <w:rPr>
                <w:rFonts w:ascii="宋体" w:hAnsi="宋体" w:cs="宋体"/>
                <w:color w:val="000000"/>
                <w:kern w:val="0"/>
                <w:sz w:val="18"/>
                <w:szCs w:val="18"/>
              </w:rPr>
            </w:pPr>
          </w:p>
        </w:tc>
      </w:tr>
      <w:tr w14:paraId="5BE8686D">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568A5FF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36" w:type="pct"/>
            <w:tcBorders>
              <w:top w:val="nil"/>
              <w:left w:val="nil"/>
              <w:bottom w:val="single" w:color="auto" w:sz="4" w:space="0"/>
              <w:right w:val="single" w:color="auto" w:sz="4" w:space="0"/>
            </w:tcBorders>
            <w:shd w:val="clear" w:color="auto" w:fill="auto"/>
            <w:vAlign w:val="center"/>
          </w:tcPr>
          <w:p w14:paraId="6D8E56F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96" w:type="pct"/>
            <w:tcBorders>
              <w:top w:val="nil"/>
              <w:left w:val="nil"/>
              <w:bottom w:val="single" w:color="auto" w:sz="4" w:space="0"/>
              <w:right w:val="single" w:color="auto" w:sz="4" w:space="0"/>
            </w:tcBorders>
            <w:shd w:val="clear" w:color="auto" w:fill="auto"/>
            <w:vAlign w:val="center"/>
          </w:tcPr>
          <w:p w14:paraId="56ED4BAB">
            <w:pPr>
              <w:widowControl/>
              <w:jc w:val="center"/>
              <w:rPr>
                <w:rFonts w:ascii="宋体" w:hAnsi="宋体" w:cs="宋体"/>
                <w:color w:val="000000"/>
                <w:kern w:val="0"/>
                <w:sz w:val="18"/>
                <w:szCs w:val="18"/>
              </w:rPr>
            </w:pPr>
            <w:r>
              <w:rPr>
                <w:rFonts w:hint="eastAsia" w:ascii="宋体" w:hAnsi="宋体" w:cs="宋体"/>
                <w:color w:val="000000"/>
                <w:kern w:val="0"/>
                <w:sz w:val="18"/>
                <w:szCs w:val="18"/>
              </w:rPr>
              <w:t>31,796.30</w:t>
            </w:r>
          </w:p>
        </w:tc>
        <w:tc>
          <w:tcPr>
            <w:tcW w:w="358" w:type="pct"/>
            <w:tcBorders>
              <w:top w:val="nil"/>
              <w:left w:val="nil"/>
              <w:bottom w:val="single" w:color="auto" w:sz="4" w:space="0"/>
              <w:right w:val="single" w:color="auto" w:sz="4" w:space="0"/>
            </w:tcBorders>
            <w:shd w:val="clear" w:color="auto" w:fill="auto"/>
            <w:vAlign w:val="center"/>
          </w:tcPr>
          <w:p w14:paraId="253CAE3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0550C975">
            <w:pPr>
              <w:widowControl/>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456" w:type="pct"/>
            <w:tcBorders>
              <w:top w:val="nil"/>
              <w:left w:val="nil"/>
              <w:bottom w:val="single" w:color="auto" w:sz="4" w:space="0"/>
              <w:right w:val="single" w:color="auto" w:sz="4" w:space="0"/>
            </w:tcBorders>
            <w:shd w:val="clear" w:color="auto" w:fill="auto"/>
            <w:vAlign w:val="center"/>
          </w:tcPr>
          <w:p w14:paraId="19365476">
            <w:pPr>
              <w:widowControl/>
              <w:jc w:val="center"/>
              <w:rPr>
                <w:rFonts w:ascii="宋体" w:hAnsi="宋体" w:cs="宋体"/>
                <w:color w:val="000000"/>
                <w:kern w:val="0"/>
                <w:sz w:val="18"/>
                <w:szCs w:val="18"/>
              </w:rPr>
            </w:pPr>
            <w:r>
              <w:rPr>
                <w:rFonts w:hint="eastAsia" w:ascii="宋体" w:hAnsi="宋体" w:cs="宋体"/>
                <w:color w:val="000000"/>
                <w:kern w:val="0"/>
                <w:sz w:val="18"/>
                <w:szCs w:val="18"/>
              </w:rPr>
              <w:t>197.35</w:t>
            </w:r>
          </w:p>
        </w:tc>
        <w:tc>
          <w:tcPr>
            <w:tcW w:w="416" w:type="pct"/>
            <w:tcBorders>
              <w:top w:val="nil"/>
              <w:left w:val="nil"/>
              <w:bottom w:val="single" w:color="auto" w:sz="4" w:space="0"/>
              <w:right w:val="single" w:color="auto" w:sz="4" w:space="0"/>
            </w:tcBorders>
            <w:shd w:val="clear" w:color="auto" w:fill="auto"/>
            <w:vAlign w:val="center"/>
          </w:tcPr>
          <w:p w14:paraId="2E5237F4">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158DAE59">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7B73CF15">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677A3DEC">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96" w:type="pct"/>
            <w:tcBorders>
              <w:top w:val="nil"/>
              <w:left w:val="nil"/>
              <w:bottom w:val="single" w:color="auto" w:sz="4" w:space="0"/>
              <w:right w:val="single" w:color="auto" w:sz="4" w:space="0"/>
            </w:tcBorders>
            <w:shd w:val="clear" w:color="auto" w:fill="auto"/>
            <w:vAlign w:val="center"/>
          </w:tcPr>
          <w:p w14:paraId="7F451BDA">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r>
      <w:tr w14:paraId="50F973BB">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2BAEA21B">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736" w:type="pct"/>
            <w:tcBorders>
              <w:top w:val="nil"/>
              <w:left w:val="nil"/>
              <w:bottom w:val="single" w:color="auto" w:sz="4" w:space="0"/>
              <w:right w:val="single" w:color="auto" w:sz="4" w:space="0"/>
            </w:tcBorders>
            <w:shd w:val="clear" w:color="auto" w:fill="auto"/>
            <w:vAlign w:val="center"/>
          </w:tcPr>
          <w:p w14:paraId="13C1F08A">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96" w:type="pct"/>
            <w:tcBorders>
              <w:top w:val="nil"/>
              <w:left w:val="nil"/>
              <w:bottom w:val="single" w:color="auto" w:sz="4" w:space="0"/>
              <w:right w:val="single" w:color="auto" w:sz="4" w:space="0"/>
            </w:tcBorders>
            <w:shd w:val="clear" w:color="auto" w:fill="auto"/>
            <w:vAlign w:val="center"/>
          </w:tcPr>
          <w:p w14:paraId="0B450583">
            <w:pPr>
              <w:widowControl/>
              <w:jc w:val="center"/>
              <w:rPr>
                <w:rFonts w:ascii="宋体" w:hAnsi="宋体" w:cs="宋体"/>
                <w:color w:val="000000"/>
                <w:kern w:val="0"/>
                <w:sz w:val="18"/>
                <w:szCs w:val="18"/>
              </w:rPr>
            </w:pPr>
            <w:r>
              <w:rPr>
                <w:rFonts w:hint="eastAsia" w:ascii="宋体" w:hAnsi="宋体" w:cs="宋体"/>
                <w:color w:val="000000"/>
                <w:kern w:val="0"/>
                <w:sz w:val="18"/>
                <w:szCs w:val="18"/>
              </w:rPr>
              <w:t>18.95</w:t>
            </w:r>
          </w:p>
        </w:tc>
        <w:tc>
          <w:tcPr>
            <w:tcW w:w="358" w:type="pct"/>
            <w:tcBorders>
              <w:top w:val="nil"/>
              <w:left w:val="nil"/>
              <w:bottom w:val="single" w:color="auto" w:sz="4" w:space="0"/>
              <w:right w:val="single" w:color="auto" w:sz="4" w:space="0"/>
            </w:tcBorders>
            <w:shd w:val="clear" w:color="auto" w:fill="auto"/>
            <w:vAlign w:val="center"/>
          </w:tcPr>
          <w:p w14:paraId="3AB9519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50996AB4">
            <w:pPr>
              <w:widowControl/>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456" w:type="pct"/>
            <w:tcBorders>
              <w:top w:val="nil"/>
              <w:left w:val="nil"/>
              <w:bottom w:val="single" w:color="auto" w:sz="4" w:space="0"/>
              <w:right w:val="single" w:color="auto" w:sz="4" w:space="0"/>
            </w:tcBorders>
            <w:shd w:val="clear" w:color="auto" w:fill="auto"/>
            <w:vAlign w:val="center"/>
          </w:tcPr>
          <w:p w14:paraId="7B6E2648">
            <w:pPr>
              <w:widowControl/>
              <w:jc w:val="center"/>
              <w:rPr>
                <w:rFonts w:ascii="宋体" w:hAnsi="宋体" w:cs="宋体"/>
                <w:color w:val="000000"/>
                <w:kern w:val="0"/>
                <w:sz w:val="18"/>
                <w:szCs w:val="18"/>
              </w:rPr>
            </w:pPr>
            <w:r>
              <w:rPr>
                <w:rFonts w:hint="eastAsia" w:ascii="宋体" w:hAnsi="宋体" w:cs="宋体"/>
                <w:color w:val="000000"/>
                <w:kern w:val="0"/>
                <w:sz w:val="18"/>
                <w:szCs w:val="18"/>
              </w:rPr>
              <w:t>14.95</w:t>
            </w:r>
          </w:p>
        </w:tc>
        <w:tc>
          <w:tcPr>
            <w:tcW w:w="416" w:type="pct"/>
            <w:tcBorders>
              <w:top w:val="nil"/>
              <w:left w:val="nil"/>
              <w:bottom w:val="single" w:color="auto" w:sz="4" w:space="0"/>
              <w:right w:val="single" w:color="auto" w:sz="4" w:space="0"/>
            </w:tcBorders>
            <w:shd w:val="clear" w:color="auto" w:fill="auto"/>
            <w:vAlign w:val="center"/>
          </w:tcPr>
          <w:p w14:paraId="14297BC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E9BA9E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6AF37B2">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39E171C4">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73BC2210">
            <w:pPr>
              <w:widowControl/>
              <w:jc w:val="center"/>
              <w:rPr>
                <w:rFonts w:ascii="宋体" w:hAnsi="宋体" w:cs="宋体"/>
                <w:color w:val="000000"/>
                <w:kern w:val="0"/>
                <w:sz w:val="18"/>
                <w:szCs w:val="18"/>
              </w:rPr>
            </w:pPr>
          </w:p>
        </w:tc>
      </w:tr>
      <w:tr w14:paraId="472AA24A">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11CDD010">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36" w:type="pct"/>
            <w:tcBorders>
              <w:top w:val="nil"/>
              <w:left w:val="nil"/>
              <w:bottom w:val="single" w:color="auto" w:sz="4" w:space="0"/>
              <w:right w:val="single" w:color="auto" w:sz="4" w:space="0"/>
            </w:tcBorders>
            <w:shd w:val="clear" w:color="auto" w:fill="auto"/>
            <w:vAlign w:val="center"/>
          </w:tcPr>
          <w:p w14:paraId="47F628E4">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96" w:type="pct"/>
            <w:tcBorders>
              <w:top w:val="nil"/>
              <w:left w:val="nil"/>
              <w:bottom w:val="single" w:color="auto" w:sz="4" w:space="0"/>
              <w:right w:val="single" w:color="auto" w:sz="4" w:space="0"/>
            </w:tcBorders>
            <w:shd w:val="clear" w:color="auto" w:fill="auto"/>
            <w:vAlign w:val="center"/>
          </w:tcPr>
          <w:p w14:paraId="671A3282">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358" w:type="pct"/>
            <w:tcBorders>
              <w:top w:val="nil"/>
              <w:left w:val="nil"/>
              <w:bottom w:val="single" w:color="auto" w:sz="4" w:space="0"/>
              <w:right w:val="single" w:color="auto" w:sz="4" w:space="0"/>
            </w:tcBorders>
            <w:shd w:val="clear" w:color="auto" w:fill="auto"/>
            <w:vAlign w:val="center"/>
          </w:tcPr>
          <w:p w14:paraId="36A62CD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28CF8E7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0F77A6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76CF392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5B783F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4273D3B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6FCB889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0D10446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33075E7E">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78391C6D">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736" w:type="pct"/>
            <w:tcBorders>
              <w:top w:val="nil"/>
              <w:left w:val="nil"/>
              <w:bottom w:val="single" w:color="auto" w:sz="4" w:space="0"/>
              <w:right w:val="single" w:color="auto" w:sz="4" w:space="0"/>
            </w:tcBorders>
            <w:shd w:val="clear" w:color="auto" w:fill="auto"/>
            <w:vAlign w:val="center"/>
          </w:tcPr>
          <w:p w14:paraId="202C3DBE">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96" w:type="pct"/>
            <w:tcBorders>
              <w:top w:val="nil"/>
              <w:left w:val="nil"/>
              <w:bottom w:val="single" w:color="auto" w:sz="4" w:space="0"/>
              <w:right w:val="single" w:color="auto" w:sz="4" w:space="0"/>
            </w:tcBorders>
            <w:shd w:val="clear" w:color="auto" w:fill="auto"/>
            <w:vAlign w:val="center"/>
          </w:tcPr>
          <w:p w14:paraId="47A9AAC4">
            <w:pPr>
              <w:widowControl/>
              <w:jc w:val="center"/>
              <w:rPr>
                <w:rFonts w:ascii="宋体" w:hAnsi="宋体" w:cs="宋体"/>
                <w:color w:val="000000"/>
                <w:kern w:val="0"/>
                <w:sz w:val="18"/>
                <w:szCs w:val="18"/>
              </w:rPr>
            </w:pPr>
            <w:r>
              <w:rPr>
                <w:rFonts w:hint="eastAsia" w:ascii="宋体" w:hAnsi="宋体" w:cs="宋体"/>
                <w:color w:val="000000"/>
                <w:kern w:val="0"/>
                <w:sz w:val="18"/>
                <w:szCs w:val="18"/>
              </w:rPr>
              <w:t>8,827.35</w:t>
            </w:r>
          </w:p>
        </w:tc>
        <w:tc>
          <w:tcPr>
            <w:tcW w:w="358" w:type="pct"/>
            <w:tcBorders>
              <w:top w:val="nil"/>
              <w:left w:val="nil"/>
              <w:bottom w:val="single" w:color="auto" w:sz="4" w:space="0"/>
              <w:right w:val="single" w:color="auto" w:sz="4" w:space="0"/>
            </w:tcBorders>
            <w:shd w:val="clear" w:color="auto" w:fill="auto"/>
            <w:vAlign w:val="center"/>
          </w:tcPr>
          <w:p w14:paraId="1B78775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229F27F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41EAA5F">
            <w:pPr>
              <w:widowControl/>
              <w:jc w:val="center"/>
              <w:rPr>
                <w:rFonts w:ascii="宋体" w:hAnsi="宋体" w:cs="宋体"/>
                <w:color w:val="000000"/>
                <w:kern w:val="0"/>
                <w:sz w:val="18"/>
                <w:szCs w:val="18"/>
              </w:rPr>
            </w:pPr>
            <w:r>
              <w:rPr>
                <w:rFonts w:hint="eastAsia" w:ascii="宋体" w:hAnsi="宋体" w:cs="宋体"/>
                <w:color w:val="000000"/>
                <w:kern w:val="0"/>
                <w:sz w:val="18"/>
                <w:szCs w:val="18"/>
              </w:rPr>
              <w:t>182.40</w:t>
            </w:r>
          </w:p>
        </w:tc>
        <w:tc>
          <w:tcPr>
            <w:tcW w:w="416" w:type="pct"/>
            <w:tcBorders>
              <w:top w:val="nil"/>
              <w:left w:val="nil"/>
              <w:bottom w:val="single" w:color="auto" w:sz="4" w:space="0"/>
              <w:right w:val="single" w:color="auto" w:sz="4" w:space="0"/>
            </w:tcBorders>
            <w:shd w:val="clear" w:color="auto" w:fill="auto"/>
            <w:vAlign w:val="center"/>
          </w:tcPr>
          <w:p w14:paraId="44588761">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0F7F80F5">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7C27E47B">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7E3B2B8D">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96" w:type="pct"/>
            <w:tcBorders>
              <w:top w:val="nil"/>
              <w:left w:val="nil"/>
              <w:bottom w:val="single" w:color="auto" w:sz="4" w:space="0"/>
              <w:right w:val="single" w:color="auto" w:sz="4" w:space="0"/>
            </w:tcBorders>
            <w:shd w:val="clear" w:color="auto" w:fill="auto"/>
            <w:vAlign w:val="center"/>
          </w:tcPr>
          <w:p w14:paraId="0EC84A0C">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r>
      <w:tr w14:paraId="6D624301">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6E139CE4">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736" w:type="pct"/>
            <w:tcBorders>
              <w:top w:val="nil"/>
              <w:left w:val="nil"/>
              <w:bottom w:val="single" w:color="auto" w:sz="4" w:space="0"/>
              <w:right w:val="single" w:color="auto" w:sz="4" w:space="0"/>
            </w:tcBorders>
            <w:shd w:val="clear" w:color="auto" w:fill="auto"/>
            <w:vAlign w:val="center"/>
          </w:tcPr>
          <w:p w14:paraId="7854C0BC">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96" w:type="pct"/>
            <w:tcBorders>
              <w:top w:val="nil"/>
              <w:left w:val="nil"/>
              <w:bottom w:val="single" w:color="auto" w:sz="4" w:space="0"/>
              <w:right w:val="single" w:color="auto" w:sz="4" w:space="0"/>
            </w:tcBorders>
            <w:shd w:val="clear" w:color="auto" w:fill="auto"/>
            <w:vAlign w:val="center"/>
          </w:tcPr>
          <w:p w14:paraId="5532376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68AB59F3">
            <w:pPr>
              <w:widowControl/>
              <w:jc w:val="center"/>
              <w:rPr>
                <w:rFonts w:ascii="宋体" w:hAnsi="宋体" w:cs="宋体"/>
                <w:color w:val="000000"/>
                <w:kern w:val="0"/>
                <w:sz w:val="18"/>
                <w:szCs w:val="18"/>
              </w:rPr>
            </w:pPr>
          </w:p>
        </w:tc>
        <w:tc>
          <w:tcPr>
            <w:tcW w:w="416" w:type="pct"/>
            <w:tcBorders>
              <w:top w:val="nil"/>
              <w:left w:val="nil"/>
              <w:bottom w:val="single" w:color="auto" w:sz="4" w:space="0"/>
              <w:right w:val="single" w:color="auto" w:sz="4" w:space="0"/>
            </w:tcBorders>
            <w:shd w:val="clear" w:color="auto" w:fill="auto"/>
            <w:vAlign w:val="center"/>
          </w:tcPr>
          <w:p w14:paraId="2BC3AF7F">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4421B36D">
            <w:pPr>
              <w:widowControl/>
              <w:jc w:val="center"/>
              <w:rPr>
                <w:rFonts w:ascii="宋体" w:hAnsi="宋体" w:cs="宋体"/>
                <w:color w:val="000000"/>
                <w:kern w:val="0"/>
                <w:sz w:val="18"/>
                <w:szCs w:val="18"/>
              </w:rPr>
            </w:pPr>
          </w:p>
        </w:tc>
        <w:tc>
          <w:tcPr>
            <w:tcW w:w="416" w:type="pct"/>
            <w:tcBorders>
              <w:top w:val="nil"/>
              <w:left w:val="nil"/>
              <w:bottom w:val="single" w:color="auto" w:sz="4" w:space="0"/>
              <w:right w:val="single" w:color="auto" w:sz="4" w:space="0"/>
            </w:tcBorders>
            <w:shd w:val="clear" w:color="auto" w:fill="auto"/>
            <w:vAlign w:val="center"/>
          </w:tcPr>
          <w:p w14:paraId="7D2F8A32">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399DC4D7">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6D4EB5DE">
            <w:pPr>
              <w:widowControl/>
              <w:jc w:val="center"/>
              <w:rPr>
                <w:rFonts w:ascii="宋体" w:hAnsi="宋体" w:cs="宋体"/>
                <w:color w:val="000000"/>
                <w:kern w:val="0"/>
                <w:sz w:val="18"/>
                <w:szCs w:val="18"/>
              </w:rPr>
            </w:pPr>
          </w:p>
        </w:tc>
        <w:tc>
          <w:tcPr>
            <w:tcW w:w="456" w:type="pct"/>
            <w:tcBorders>
              <w:top w:val="nil"/>
              <w:left w:val="nil"/>
              <w:bottom w:val="single" w:color="auto" w:sz="4" w:space="0"/>
              <w:right w:val="single" w:color="auto" w:sz="4" w:space="0"/>
            </w:tcBorders>
            <w:shd w:val="clear" w:color="auto" w:fill="auto"/>
            <w:vAlign w:val="center"/>
          </w:tcPr>
          <w:p w14:paraId="6153EE40">
            <w:pPr>
              <w:widowControl/>
              <w:jc w:val="center"/>
              <w:rPr>
                <w:rFonts w:ascii="宋体" w:hAnsi="宋体" w:cs="宋体"/>
                <w:color w:val="000000"/>
                <w:kern w:val="0"/>
                <w:sz w:val="18"/>
                <w:szCs w:val="18"/>
              </w:rPr>
            </w:pPr>
          </w:p>
        </w:tc>
        <w:tc>
          <w:tcPr>
            <w:tcW w:w="496" w:type="pct"/>
            <w:tcBorders>
              <w:top w:val="nil"/>
              <w:left w:val="nil"/>
              <w:bottom w:val="single" w:color="auto" w:sz="4" w:space="0"/>
              <w:right w:val="single" w:color="auto" w:sz="4" w:space="0"/>
            </w:tcBorders>
            <w:shd w:val="clear" w:color="auto" w:fill="auto"/>
            <w:vAlign w:val="center"/>
          </w:tcPr>
          <w:p w14:paraId="1E529F30">
            <w:pPr>
              <w:widowControl/>
              <w:jc w:val="center"/>
              <w:rPr>
                <w:rFonts w:ascii="宋体" w:hAnsi="宋体" w:cs="宋体"/>
                <w:color w:val="000000"/>
                <w:kern w:val="0"/>
                <w:sz w:val="18"/>
                <w:szCs w:val="18"/>
              </w:rPr>
            </w:pPr>
          </w:p>
        </w:tc>
      </w:tr>
      <w:tr w14:paraId="426E38E2">
        <w:trPr>
          <w:trHeight w:val="54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05570972">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736" w:type="pct"/>
            <w:tcBorders>
              <w:top w:val="nil"/>
              <w:left w:val="nil"/>
              <w:bottom w:val="single" w:color="auto" w:sz="4" w:space="0"/>
              <w:right w:val="single" w:color="auto" w:sz="4" w:space="0"/>
            </w:tcBorders>
            <w:shd w:val="clear" w:color="auto" w:fill="auto"/>
            <w:vAlign w:val="center"/>
          </w:tcPr>
          <w:p w14:paraId="563B8F80">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96" w:type="pct"/>
            <w:tcBorders>
              <w:top w:val="nil"/>
              <w:left w:val="nil"/>
              <w:bottom w:val="single" w:color="auto" w:sz="4" w:space="0"/>
              <w:right w:val="single" w:color="auto" w:sz="4" w:space="0"/>
            </w:tcBorders>
            <w:shd w:val="clear" w:color="auto" w:fill="auto"/>
            <w:vAlign w:val="center"/>
          </w:tcPr>
          <w:p w14:paraId="18354C3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00F4257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49E6EF0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140EBCB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693E89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149B5C8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46449CE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5C39B7B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96" w:type="pct"/>
            <w:tcBorders>
              <w:top w:val="nil"/>
              <w:left w:val="nil"/>
              <w:bottom w:val="single" w:color="auto" w:sz="4" w:space="0"/>
              <w:right w:val="single" w:color="auto" w:sz="4" w:space="0"/>
            </w:tcBorders>
            <w:shd w:val="clear" w:color="auto" w:fill="auto"/>
            <w:vAlign w:val="center"/>
          </w:tcPr>
          <w:p w14:paraId="3E42B0F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4499ADE8">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42CA174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736" w:type="pct"/>
            <w:tcBorders>
              <w:top w:val="nil"/>
              <w:left w:val="nil"/>
              <w:bottom w:val="single" w:color="auto" w:sz="4" w:space="0"/>
              <w:right w:val="single" w:color="auto" w:sz="4" w:space="0"/>
            </w:tcBorders>
            <w:shd w:val="clear" w:color="auto" w:fill="auto"/>
            <w:vAlign w:val="center"/>
          </w:tcPr>
          <w:p w14:paraId="73B0002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496" w:type="pct"/>
            <w:tcBorders>
              <w:top w:val="nil"/>
              <w:left w:val="nil"/>
              <w:bottom w:val="single" w:color="auto" w:sz="4" w:space="0"/>
              <w:right w:val="single" w:color="auto" w:sz="4" w:space="0"/>
            </w:tcBorders>
            <w:shd w:val="clear" w:color="auto" w:fill="auto"/>
            <w:vAlign w:val="center"/>
          </w:tcPr>
          <w:p w14:paraId="5A505C74">
            <w:pPr>
              <w:widowControl/>
              <w:jc w:val="center"/>
              <w:rPr>
                <w:rFonts w:ascii="宋体" w:hAnsi="宋体" w:cs="宋体"/>
                <w:color w:val="000000"/>
                <w:kern w:val="0"/>
                <w:sz w:val="18"/>
                <w:szCs w:val="18"/>
              </w:rPr>
            </w:pPr>
            <w:r>
              <w:rPr>
                <w:rFonts w:hint="eastAsia" w:ascii="宋体" w:hAnsi="宋体" w:cs="宋体"/>
                <w:color w:val="000000"/>
                <w:kern w:val="0"/>
                <w:sz w:val="18"/>
                <w:szCs w:val="18"/>
              </w:rPr>
              <w:t>262,572.87</w:t>
            </w:r>
          </w:p>
        </w:tc>
        <w:tc>
          <w:tcPr>
            <w:tcW w:w="358" w:type="pct"/>
            <w:tcBorders>
              <w:top w:val="nil"/>
              <w:left w:val="nil"/>
              <w:bottom w:val="single" w:color="auto" w:sz="4" w:space="0"/>
              <w:right w:val="single" w:color="auto" w:sz="4" w:space="0"/>
            </w:tcBorders>
            <w:shd w:val="clear" w:color="auto" w:fill="auto"/>
            <w:vAlign w:val="center"/>
          </w:tcPr>
          <w:p w14:paraId="6253BE5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2B7BAB8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562C37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BDD72E6">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277ED750">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7FC90AF4">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7F83E72C">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96" w:type="pct"/>
            <w:tcBorders>
              <w:top w:val="nil"/>
              <w:left w:val="nil"/>
              <w:bottom w:val="single" w:color="auto" w:sz="4" w:space="0"/>
              <w:right w:val="single" w:color="auto" w:sz="4" w:space="0"/>
            </w:tcBorders>
            <w:shd w:val="clear" w:color="auto" w:fill="auto"/>
            <w:vAlign w:val="center"/>
          </w:tcPr>
          <w:p w14:paraId="0F483237">
            <w:pPr>
              <w:widowControl/>
              <w:jc w:val="center"/>
              <w:rPr>
                <w:rFonts w:ascii="宋体" w:hAnsi="宋体" w:cs="宋体"/>
                <w:color w:val="000000"/>
                <w:kern w:val="0"/>
                <w:sz w:val="18"/>
                <w:szCs w:val="18"/>
              </w:rPr>
            </w:pPr>
            <w:r>
              <w:rPr>
                <w:rFonts w:hint="eastAsia" w:ascii="宋体" w:hAnsi="宋体" w:cs="宋体"/>
                <w:color w:val="000000"/>
                <w:kern w:val="0"/>
                <w:sz w:val="18"/>
                <w:szCs w:val="18"/>
              </w:rPr>
              <w:t>293,331.57</w:t>
            </w:r>
          </w:p>
        </w:tc>
      </w:tr>
      <w:tr w14:paraId="5C6495A1">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7932575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736" w:type="pct"/>
            <w:tcBorders>
              <w:top w:val="nil"/>
              <w:left w:val="nil"/>
              <w:bottom w:val="single" w:color="auto" w:sz="4" w:space="0"/>
              <w:right w:val="single" w:color="auto" w:sz="4" w:space="0"/>
            </w:tcBorders>
            <w:shd w:val="clear" w:color="auto" w:fill="auto"/>
            <w:vAlign w:val="center"/>
          </w:tcPr>
          <w:p w14:paraId="54FEA3E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496" w:type="pct"/>
            <w:tcBorders>
              <w:top w:val="nil"/>
              <w:left w:val="nil"/>
              <w:bottom w:val="single" w:color="auto" w:sz="4" w:space="0"/>
              <w:right w:val="single" w:color="auto" w:sz="4" w:space="0"/>
            </w:tcBorders>
            <w:shd w:val="clear" w:color="auto" w:fill="auto"/>
            <w:vAlign w:val="center"/>
          </w:tcPr>
          <w:p w14:paraId="69A98C7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53C3DC3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1C57126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3313E2E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2DE85DB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1C08598A">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0E316028">
            <w:pPr>
              <w:widowControl/>
              <w:jc w:val="center"/>
              <w:rPr>
                <w:rFonts w:ascii="宋体" w:hAnsi="宋体" w:cs="宋体"/>
                <w:color w:val="000000"/>
                <w:kern w:val="0"/>
                <w:sz w:val="18"/>
                <w:szCs w:val="18"/>
              </w:rPr>
            </w:pPr>
            <w:r>
              <w:rPr>
                <w:rFonts w:hint="eastAsia" w:ascii="宋体" w:hAnsi="宋体" w:cs="宋体"/>
                <w:color w:val="000000"/>
                <w:kern w:val="0"/>
                <w:sz w:val="18"/>
                <w:szCs w:val="18"/>
              </w:rPr>
              <w:t>-1,672.50</w:t>
            </w:r>
          </w:p>
        </w:tc>
        <w:tc>
          <w:tcPr>
            <w:tcW w:w="456" w:type="pct"/>
            <w:tcBorders>
              <w:top w:val="nil"/>
              <w:left w:val="nil"/>
              <w:bottom w:val="single" w:color="auto" w:sz="4" w:space="0"/>
              <w:right w:val="single" w:color="auto" w:sz="4" w:space="0"/>
            </w:tcBorders>
            <w:shd w:val="clear" w:color="auto" w:fill="auto"/>
            <w:vAlign w:val="center"/>
          </w:tcPr>
          <w:p w14:paraId="26694F1C">
            <w:pPr>
              <w:widowControl/>
              <w:jc w:val="center"/>
              <w:rPr>
                <w:rFonts w:ascii="宋体" w:hAnsi="宋体" w:cs="宋体"/>
                <w:color w:val="000000"/>
                <w:kern w:val="0"/>
                <w:sz w:val="18"/>
                <w:szCs w:val="18"/>
              </w:rPr>
            </w:pPr>
            <w:r>
              <w:rPr>
                <w:rFonts w:hint="eastAsia" w:ascii="宋体" w:hAnsi="宋体" w:cs="宋体"/>
                <w:color w:val="000000"/>
                <w:kern w:val="0"/>
                <w:sz w:val="18"/>
                <w:szCs w:val="18"/>
              </w:rPr>
              <w:t>-2,508.75</w:t>
            </w:r>
          </w:p>
        </w:tc>
        <w:tc>
          <w:tcPr>
            <w:tcW w:w="496" w:type="pct"/>
            <w:tcBorders>
              <w:top w:val="nil"/>
              <w:left w:val="nil"/>
              <w:bottom w:val="single" w:color="auto" w:sz="4" w:space="0"/>
              <w:right w:val="single" w:color="auto" w:sz="4" w:space="0"/>
            </w:tcBorders>
            <w:shd w:val="clear" w:color="auto" w:fill="auto"/>
            <w:vAlign w:val="center"/>
          </w:tcPr>
          <w:p w14:paraId="24CF72E6">
            <w:pPr>
              <w:widowControl/>
              <w:jc w:val="center"/>
              <w:rPr>
                <w:rFonts w:ascii="宋体" w:hAnsi="宋体" w:cs="宋体"/>
                <w:color w:val="000000"/>
                <w:kern w:val="0"/>
                <w:sz w:val="18"/>
                <w:szCs w:val="18"/>
              </w:rPr>
            </w:pPr>
            <w:r>
              <w:rPr>
                <w:rFonts w:hint="eastAsia" w:ascii="宋体" w:hAnsi="宋体" w:cs="宋体"/>
                <w:color w:val="000000"/>
                <w:kern w:val="0"/>
                <w:sz w:val="18"/>
                <w:szCs w:val="18"/>
              </w:rPr>
              <w:t>-3,345.00</w:t>
            </w:r>
          </w:p>
        </w:tc>
      </w:tr>
      <w:tr w14:paraId="744CBC85">
        <w:trPr>
          <w:trHeight w:val="270" w:hRule="atLeast"/>
        </w:trPr>
        <w:tc>
          <w:tcPr>
            <w:tcW w:w="257" w:type="pct"/>
            <w:tcBorders>
              <w:top w:val="nil"/>
              <w:left w:val="single" w:color="auto" w:sz="4" w:space="0"/>
              <w:bottom w:val="single" w:color="auto" w:sz="4" w:space="0"/>
              <w:right w:val="single" w:color="auto" w:sz="4" w:space="0"/>
            </w:tcBorders>
            <w:shd w:val="clear" w:color="auto" w:fill="auto"/>
            <w:vAlign w:val="center"/>
          </w:tcPr>
          <w:p w14:paraId="7DC56F9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736" w:type="pct"/>
            <w:tcBorders>
              <w:top w:val="nil"/>
              <w:left w:val="nil"/>
              <w:bottom w:val="single" w:color="auto" w:sz="4" w:space="0"/>
              <w:right w:val="single" w:color="auto" w:sz="4" w:space="0"/>
            </w:tcBorders>
            <w:shd w:val="clear" w:color="auto" w:fill="auto"/>
            <w:vAlign w:val="center"/>
          </w:tcPr>
          <w:p w14:paraId="3CB3BC6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496" w:type="pct"/>
            <w:tcBorders>
              <w:top w:val="nil"/>
              <w:left w:val="nil"/>
              <w:bottom w:val="single" w:color="auto" w:sz="4" w:space="0"/>
              <w:right w:val="single" w:color="auto" w:sz="4" w:space="0"/>
            </w:tcBorders>
            <w:shd w:val="clear" w:color="auto" w:fill="auto"/>
            <w:vAlign w:val="center"/>
          </w:tcPr>
          <w:p w14:paraId="5121A16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58" w:type="pct"/>
            <w:tcBorders>
              <w:top w:val="nil"/>
              <w:left w:val="nil"/>
              <w:bottom w:val="single" w:color="auto" w:sz="4" w:space="0"/>
              <w:right w:val="single" w:color="auto" w:sz="4" w:space="0"/>
            </w:tcBorders>
            <w:shd w:val="clear" w:color="auto" w:fill="auto"/>
            <w:vAlign w:val="center"/>
          </w:tcPr>
          <w:p w14:paraId="2370D7A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495F22E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56" w:type="pct"/>
            <w:tcBorders>
              <w:top w:val="nil"/>
              <w:left w:val="nil"/>
              <w:bottom w:val="single" w:color="auto" w:sz="4" w:space="0"/>
              <w:right w:val="single" w:color="auto" w:sz="4" w:space="0"/>
            </w:tcBorders>
            <w:shd w:val="clear" w:color="auto" w:fill="auto"/>
            <w:vAlign w:val="center"/>
          </w:tcPr>
          <w:p w14:paraId="72E0D75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nil"/>
              <w:left w:val="nil"/>
              <w:bottom w:val="single" w:color="auto" w:sz="4" w:space="0"/>
              <w:right w:val="single" w:color="auto" w:sz="4" w:space="0"/>
            </w:tcBorders>
            <w:shd w:val="clear" w:color="auto" w:fill="auto"/>
            <w:vAlign w:val="center"/>
          </w:tcPr>
          <w:p w14:paraId="00BEB136">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456" w:type="pct"/>
            <w:tcBorders>
              <w:top w:val="nil"/>
              <w:left w:val="nil"/>
              <w:bottom w:val="single" w:color="auto" w:sz="4" w:space="0"/>
              <w:right w:val="single" w:color="auto" w:sz="4" w:space="0"/>
            </w:tcBorders>
            <w:shd w:val="clear" w:color="auto" w:fill="auto"/>
            <w:vAlign w:val="center"/>
          </w:tcPr>
          <w:p w14:paraId="36A042BA">
            <w:pPr>
              <w:widowControl/>
              <w:jc w:val="center"/>
              <w:rPr>
                <w:rFonts w:ascii="宋体" w:hAnsi="宋体" w:cs="宋体"/>
                <w:color w:val="000000"/>
                <w:kern w:val="0"/>
                <w:sz w:val="18"/>
                <w:szCs w:val="18"/>
              </w:rPr>
            </w:pPr>
            <w:r>
              <w:rPr>
                <w:rFonts w:hint="eastAsia" w:ascii="宋体" w:hAnsi="宋体" w:cs="宋体"/>
                <w:color w:val="000000"/>
                <w:kern w:val="0"/>
                <w:sz w:val="18"/>
                <w:szCs w:val="18"/>
              </w:rPr>
              <w:t>-1,672.50</w:t>
            </w:r>
          </w:p>
        </w:tc>
        <w:tc>
          <w:tcPr>
            <w:tcW w:w="456" w:type="pct"/>
            <w:tcBorders>
              <w:top w:val="nil"/>
              <w:left w:val="nil"/>
              <w:bottom w:val="single" w:color="auto" w:sz="4" w:space="0"/>
              <w:right w:val="single" w:color="auto" w:sz="4" w:space="0"/>
            </w:tcBorders>
            <w:shd w:val="clear" w:color="auto" w:fill="auto"/>
            <w:vAlign w:val="center"/>
          </w:tcPr>
          <w:p w14:paraId="3097D4C1">
            <w:pPr>
              <w:widowControl/>
              <w:jc w:val="center"/>
              <w:rPr>
                <w:rFonts w:ascii="宋体" w:hAnsi="宋体" w:cs="宋体"/>
                <w:color w:val="000000"/>
                <w:kern w:val="0"/>
                <w:sz w:val="18"/>
                <w:szCs w:val="18"/>
              </w:rPr>
            </w:pPr>
            <w:r>
              <w:rPr>
                <w:rFonts w:hint="eastAsia" w:ascii="宋体" w:hAnsi="宋体" w:cs="宋体"/>
                <w:color w:val="000000"/>
                <w:kern w:val="0"/>
                <w:sz w:val="18"/>
                <w:szCs w:val="18"/>
              </w:rPr>
              <w:t>-2,508.75</w:t>
            </w:r>
          </w:p>
        </w:tc>
        <w:tc>
          <w:tcPr>
            <w:tcW w:w="456" w:type="pct"/>
            <w:tcBorders>
              <w:top w:val="nil"/>
              <w:left w:val="nil"/>
              <w:bottom w:val="single" w:color="auto" w:sz="4" w:space="0"/>
              <w:right w:val="single" w:color="auto" w:sz="4" w:space="0"/>
            </w:tcBorders>
            <w:shd w:val="clear" w:color="auto" w:fill="auto"/>
            <w:vAlign w:val="center"/>
          </w:tcPr>
          <w:p w14:paraId="53D27D56">
            <w:pPr>
              <w:widowControl/>
              <w:jc w:val="center"/>
              <w:rPr>
                <w:rFonts w:ascii="宋体" w:hAnsi="宋体" w:cs="宋体"/>
                <w:color w:val="000000"/>
                <w:kern w:val="0"/>
                <w:sz w:val="18"/>
                <w:szCs w:val="18"/>
              </w:rPr>
            </w:pPr>
            <w:r>
              <w:rPr>
                <w:rFonts w:hint="eastAsia" w:ascii="宋体" w:hAnsi="宋体" w:cs="宋体"/>
                <w:color w:val="000000"/>
                <w:kern w:val="0"/>
                <w:sz w:val="18"/>
                <w:szCs w:val="18"/>
              </w:rPr>
              <w:t>-3,345.00</w:t>
            </w:r>
          </w:p>
        </w:tc>
        <w:tc>
          <w:tcPr>
            <w:tcW w:w="496" w:type="pct"/>
            <w:tcBorders>
              <w:top w:val="nil"/>
              <w:left w:val="nil"/>
              <w:bottom w:val="single" w:color="auto" w:sz="4" w:space="0"/>
              <w:right w:val="single" w:color="auto" w:sz="4" w:space="0"/>
            </w:tcBorders>
            <w:shd w:val="clear" w:color="auto" w:fill="auto"/>
            <w:vAlign w:val="center"/>
          </w:tcPr>
          <w:p w14:paraId="59CB3697">
            <w:pPr>
              <w:widowControl/>
              <w:jc w:val="center"/>
              <w:rPr>
                <w:rFonts w:ascii="宋体" w:hAnsi="宋体" w:cs="宋体"/>
                <w:color w:val="000000"/>
                <w:kern w:val="0"/>
                <w:sz w:val="18"/>
                <w:szCs w:val="18"/>
              </w:rPr>
            </w:pPr>
            <w:r>
              <w:rPr>
                <w:rFonts w:hint="eastAsia" w:ascii="宋体" w:hAnsi="宋体" w:cs="宋体"/>
                <w:color w:val="000000"/>
                <w:kern w:val="0"/>
                <w:sz w:val="18"/>
                <w:szCs w:val="18"/>
              </w:rPr>
              <w:t>289,986.57</w:t>
            </w:r>
          </w:p>
        </w:tc>
      </w:tr>
    </w:tbl>
    <w:p w14:paraId="70A333C6">
      <w:pPr>
        <w:pStyle w:val="20"/>
        <w:spacing w:beforeLines="5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5000" w:type="pct"/>
        <w:tblInd w:w="0" w:type="dxa"/>
        <w:tblLayout w:type="autofit"/>
        <w:tblCellMar>
          <w:top w:w="0" w:type="dxa"/>
          <w:left w:w="108" w:type="dxa"/>
          <w:bottom w:w="0" w:type="dxa"/>
          <w:right w:w="108" w:type="dxa"/>
        </w:tblCellMar>
      </w:tblPr>
      <w:tblGrid>
        <w:gridCol w:w="730"/>
        <w:gridCol w:w="2092"/>
        <w:gridCol w:w="1410"/>
        <w:gridCol w:w="1410"/>
        <w:gridCol w:w="1411"/>
        <w:gridCol w:w="1411"/>
        <w:gridCol w:w="1411"/>
        <w:gridCol w:w="1411"/>
        <w:gridCol w:w="1411"/>
        <w:gridCol w:w="1408"/>
      </w:tblGrid>
      <w:tr w14:paraId="22534659">
        <w:trPr>
          <w:trHeight w:val="405" w:hRule="atLeast"/>
          <w:tblHeader/>
        </w:trPr>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14:paraId="0D34768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42" w:type="pct"/>
            <w:tcBorders>
              <w:top w:val="single" w:color="auto" w:sz="4" w:space="0"/>
              <w:left w:val="nil"/>
              <w:bottom w:val="single" w:color="auto" w:sz="4" w:space="0"/>
              <w:right w:val="single" w:color="auto" w:sz="4" w:space="0"/>
            </w:tcBorders>
            <w:shd w:val="clear" w:color="auto" w:fill="auto"/>
            <w:vAlign w:val="center"/>
          </w:tcPr>
          <w:p w14:paraId="0F7080A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500" w:type="pct"/>
            <w:tcBorders>
              <w:top w:val="single" w:color="auto" w:sz="4" w:space="0"/>
              <w:left w:val="nil"/>
              <w:bottom w:val="single" w:color="auto" w:sz="4" w:space="0"/>
              <w:right w:val="single" w:color="auto" w:sz="4" w:space="0"/>
            </w:tcBorders>
            <w:shd w:val="clear" w:color="auto" w:fill="auto"/>
            <w:vAlign w:val="center"/>
          </w:tcPr>
          <w:p w14:paraId="6F56659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500" w:type="pct"/>
            <w:tcBorders>
              <w:top w:val="single" w:color="auto" w:sz="4" w:space="0"/>
              <w:left w:val="nil"/>
              <w:bottom w:val="single" w:color="auto" w:sz="4" w:space="0"/>
              <w:right w:val="single" w:color="auto" w:sz="4" w:space="0"/>
            </w:tcBorders>
            <w:shd w:val="clear" w:color="auto" w:fill="auto"/>
            <w:vAlign w:val="center"/>
          </w:tcPr>
          <w:p w14:paraId="1F50AF3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021D596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2031年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4D3A3E8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2032年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3426F9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2033年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215EBE9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2034年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58A2598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2035年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63BFD8E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2036年</w:t>
            </w:r>
          </w:p>
        </w:tc>
      </w:tr>
      <w:tr w14:paraId="1BD2DFDB">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7CEB785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742" w:type="pct"/>
            <w:tcBorders>
              <w:top w:val="nil"/>
              <w:left w:val="nil"/>
              <w:bottom w:val="single" w:color="auto" w:sz="4" w:space="0"/>
              <w:right w:val="single" w:color="auto" w:sz="4" w:space="0"/>
            </w:tcBorders>
            <w:shd w:val="clear" w:color="auto" w:fill="auto"/>
            <w:vAlign w:val="center"/>
          </w:tcPr>
          <w:p w14:paraId="05E2192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500" w:type="pct"/>
            <w:tcBorders>
              <w:top w:val="nil"/>
              <w:left w:val="nil"/>
              <w:bottom w:val="single" w:color="auto" w:sz="4" w:space="0"/>
              <w:right w:val="single" w:color="auto" w:sz="4" w:space="0"/>
            </w:tcBorders>
            <w:shd w:val="clear" w:color="auto" w:fill="auto"/>
            <w:vAlign w:val="center"/>
          </w:tcPr>
          <w:p w14:paraId="057CEEDF">
            <w:pPr>
              <w:widowControl/>
              <w:jc w:val="center"/>
              <w:rPr>
                <w:rFonts w:ascii="宋体" w:hAnsi="宋体" w:cs="宋体"/>
                <w:color w:val="000000"/>
                <w:kern w:val="0"/>
                <w:sz w:val="18"/>
                <w:szCs w:val="18"/>
              </w:rPr>
            </w:pPr>
            <w:r>
              <w:rPr>
                <w:rFonts w:hint="eastAsia" w:ascii="宋体" w:hAnsi="宋体" w:cs="宋体"/>
                <w:color w:val="000000"/>
                <w:kern w:val="0"/>
                <w:sz w:val="18"/>
                <w:szCs w:val="18"/>
              </w:rPr>
              <w:t>332,772.58</w:t>
            </w:r>
          </w:p>
        </w:tc>
        <w:tc>
          <w:tcPr>
            <w:tcW w:w="500" w:type="pct"/>
            <w:tcBorders>
              <w:top w:val="nil"/>
              <w:left w:val="nil"/>
              <w:bottom w:val="single" w:color="auto" w:sz="4" w:space="0"/>
              <w:right w:val="single" w:color="auto" w:sz="4" w:space="0"/>
            </w:tcBorders>
            <w:shd w:val="clear" w:color="auto" w:fill="auto"/>
            <w:vAlign w:val="center"/>
          </w:tcPr>
          <w:p w14:paraId="0BAF697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E783B2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D2637A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8826B5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B96AF1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7928F1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6538F9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1F13BBF3">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79792984">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pct"/>
            <w:tcBorders>
              <w:top w:val="nil"/>
              <w:left w:val="nil"/>
              <w:bottom w:val="single" w:color="auto" w:sz="4" w:space="0"/>
              <w:right w:val="single" w:color="auto" w:sz="4" w:space="0"/>
            </w:tcBorders>
            <w:shd w:val="clear" w:color="auto" w:fill="auto"/>
            <w:vAlign w:val="center"/>
          </w:tcPr>
          <w:p w14:paraId="0A185F9F">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500" w:type="pct"/>
            <w:tcBorders>
              <w:top w:val="nil"/>
              <w:left w:val="nil"/>
              <w:bottom w:val="single" w:color="auto" w:sz="4" w:space="0"/>
              <w:right w:val="single" w:color="auto" w:sz="4" w:space="0"/>
            </w:tcBorders>
            <w:shd w:val="clear" w:color="auto" w:fill="auto"/>
            <w:vAlign w:val="center"/>
          </w:tcPr>
          <w:p w14:paraId="32B8AB1F">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500" w:type="pct"/>
            <w:tcBorders>
              <w:top w:val="nil"/>
              <w:left w:val="nil"/>
              <w:bottom w:val="single" w:color="auto" w:sz="4" w:space="0"/>
              <w:right w:val="single" w:color="auto" w:sz="4" w:space="0"/>
            </w:tcBorders>
            <w:shd w:val="clear" w:color="auto" w:fill="auto"/>
            <w:vAlign w:val="center"/>
          </w:tcPr>
          <w:p w14:paraId="29162A9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0A427A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AD2CE2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967803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32AED4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D3D7F8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5A83BF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5A853D62">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77315E6">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42" w:type="pct"/>
            <w:tcBorders>
              <w:top w:val="nil"/>
              <w:left w:val="nil"/>
              <w:bottom w:val="single" w:color="auto" w:sz="4" w:space="0"/>
              <w:right w:val="single" w:color="auto" w:sz="4" w:space="0"/>
            </w:tcBorders>
            <w:shd w:val="clear" w:color="auto" w:fill="auto"/>
            <w:vAlign w:val="center"/>
          </w:tcPr>
          <w:p w14:paraId="46EB9B34">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500" w:type="pct"/>
            <w:tcBorders>
              <w:top w:val="nil"/>
              <w:left w:val="nil"/>
              <w:bottom w:val="single" w:color="auto" w:sz="4" w:space="0"/>
              <w:right w:val="single" w:color="auto" w:sz="4" w:space="0"/>
            </w:tcBorders>
            <w:shd w:val="clear" w:color="auto" w:fill="auto"/>
            <w:vAlign w:val="center"/>
          </w:tcPr>
          <w:p w14:paraId="101ED24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AC6CF3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B3FAF7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96491F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7C0C55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46C60C3">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7CAF30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E322E6B">
            <w:pPr>
              <w:widowControl/>
              <w:jc w:val="center"/>
              <w:rPr>
                <w:rFonts w:ascii="宋体" w:hAnsi="宋体" w:cs="宋体"/>
                <w:color w:val="000000"/>
                <w:kern w:val="0"/>
                <w:sz w:val="18"/>
                <w:szCs w:val="18"/>
              </w:rPr>
            </w:pPr>
          </w:p>
        </w:tc>
      </w:tr>
      <w:tr w14:paraId="642DD68B">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7556F40">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42" w:type="pct"/>
            <w:tcBorders>
              <w:top w:val="nil"/>
              <w:left w:val="nil"/>
              <w:bottom w:val="single" w:color="auto" w:sz="4" w:space="0"/>
              <w:right w:val="single" w:color="auto" w:sz="4" w:space="0"/>
            </w:tcBorders>
            <w:shd w:val="clear" w:color="auto" w:fill="auto"/>
            <w:vAlign w:val="center"/>
          </w:tcPr>
          <w:p w14:paraId="099E372F">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500" w:type="pct"/>
            <w:tcBorders>
              <w:top w:val="nil"/>
              <w:left w:val="nil"/>
              <w:bottom w:val="single" w:color="auto" w:sz="4" w:space="0"/>
              <w:right w:val="single" w:color="auto" w:sz="4" w:space="0"/>
            </w:tcBorders>
            <w:shd w:val="clear" w:color="auto" w:fill="auto"/>
            <w:vAlign w:val="center"/>
          </w:tcPr>
          <w:p w14:paraId="4562866E">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500" w:type="pct"/>
            <w:tcBorders>
              <w:top w:val="nil"/>
              <w:left w:val="nil"/>
              <w:bottom w:val="single" w:color="auto" w:sz="4" w:space="0"/>
              <w:right w:val="single" w:color="auto" w:sz="4" w:space="0"/>
            </w:tcBorders>
            <w:shd w:val="clear" w:color="auto" w:fill="auto"/>
            <w:noWrap/>
            <w:vAlign w:val="center"/>
          </w:tcPr>
          <w:p w14:paraId="27B17E87">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42D9C56D">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3D73DD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4830D33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1943F7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69680A5F">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70EF0E0A">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477E8C92">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3A53305F">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42" w:type="pct"/>
            <w:tcBorders>
              <w:top w:val="nil"/>
              <w:left w:val="nil"/>
              <w:bottom w:val="single" w:color="auto" w:sz="4" w:space="0"/>
              <w:right w:val="single" w:color="auto" w:sz="4" w:space="0"/>
            </w:tcBorders>
            <w:shd w:val="clear" w:color="auto" w:fill="auto"/>
            <w:vAlign w:val="center"/>
          </w:tcPr>
          <w:p w14:paraId="65B6533D">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500" w:type="pct"/>
            <w:tcBorders>
              <w:top w:val="nil"/>
              <w:left w:val="nil"/>
              <w:bottom w:val="single" w:color="auto" w:sz="4" w:space="0"/>
              <w:right w:val="single" w:color="auto" w:sz="4" w:space="0"/>
            </w:tcBorders>
            <w:shd w:val="clear" w:color="auto" w:fill="auto"/>
            <w:vAlign w:val="center"/>
          </w:tcPr>
          <w:p w14:paraId="2CE9B078">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vAlign w:val="center"/>
          </w:tcPr>
          <w:p w14:paraId="0BCA96E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015A51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91ECE6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39C9AE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700827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0DEB9A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E66AE2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741F17B3">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B355802">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742" w:type="pct"/>
            <w:tcBorders>
              <w:top w:val="nil"/>
              <w:left w:val="nil"/>
              <w:bottom w:val="single" w:color="auto" w:sz="4" w:space="0"/>
              <w:right w:val="single" w:color="auto" w:sz="4" w:space="0"/>
            </w:tcBorders>
            <w:shd w:val="clear" w:color="auto" w:fill="auto"/>
            <w:vAlign w:val="center"/>
          </w:tcPr>
          <w:p w14:paraId="4D5BCB6B">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500" w:type="pct"/>
            <w:tcBorders>
              <w:top w:val="nil"/>
              <w:left w:val="nil"/>
              <w:bottom w:val="single" w:color="auto" w:sz="4" w:space="0"/>
              <w:right w:val="single" w:color="auto" w:sz="4" w:space="0"/>
            </w:tcBorders>
            <w:shd w:val="clear" w:color="auto" w:fill="auto"/>
            <w:vAlign w:val="center"/>
          </w:tcPr>
          <w:p w14:paraId="132A004A">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vAlign w:val="center"/>
          </w:tcPr>
          <w:p w14:paraId="18382A8F">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8911C2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CC60447">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1A9438D">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EFBB8E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EACE40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B68BD5E">
            <w:pPr>
              <w:widowControl/>
              <w:jc w:val="center"/>
              <w:rPr>
                <w:rFonts w:ascii="宋体" w:hAnsi="宋体" w:cs="宋体"/>
                <w:color w:val="000000"/>
                <w:kern w:val="0"/>
                <w:sz w:val="18"/>
                <w:szCs w:val="18"/>
              </w:rPr>
            </w:pPr>
          </w:p>
        </w:tc>
      </w:tr>
      <w:tr w14:paraId="0F4F9AD5">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4A993210">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742" w:type="pct"/>
            <w:tcBorders>
              <w:top w:val="nil"/>
              <w:left w:val="nil"/>
              <w:bottom w:val="single" w:color="auto" w:sz="4" w:space="0"/>
              <w:right w:val="single" w:color="auto" w:sz="4" w:space="0"/>
            </w:tcBorders>
            <w:shd w:val="clear" w:color="auto" w:fill="auto"/>
            <w:vAlign w:val="center"/>
          </w:tcPr>
          <w:p w14:paraId="13794775">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500" w:type="pct"/>
            <w:tcBorders>
              <w:top w:val="nil"/>
              <w:left w:val="nil"/>
              <w:bottom w:val="single" w:color="auto" w:sz="4" w:space="0"/>
              <w:right w:val="single" w:color="auto" w:sz="4" w:space="0"/>
            </w:tcBorders>
            <w:shd w:val="clear" w:color="auto" w:fill="auto"/>
            <w:vAlign w:val="center"/>
          </w:tcPr>
          <w:p w14:paraId="6E201F3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B3CC781">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258789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E38735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7A48AC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071D92B">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AD51FF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148E671">
            <w:pPr>
              <w:widowControl/>
              <w:jc w:val="center"/>
              <w:rPr>
                <w:rFonts w:ascii="宋体" w:hAnsi="宋体" w:cs="宋体"/>
                <w:color w:val="000000"/>
                <w:kern w:val="0"/>
                <w:sz w:val="18"/>
                <w:szCs w:val="18"/>
              </w:rPr>
            </w:pPr>
          </w:p>
        </w:tc>
      </w:tr>
      <w:tr w14:paraId="5E227589">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637F9CD1">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42" w:type="pct"/>
            <w:tcBorders>
              <w:top w:val="nil"/>
              <w:left w:val="nil"/>
              <w:bottom w:val="single" w:color="auto" w:sz="4" w:space="0"/>
              <w:right w:val="single" w:color="auto" w:sz="4" w:space="0"/>
            </w:tcBorders>
            <w:shd w:val="clear" w:color="auto" w:fill="auto"/>
            <w:vAlign w:val="center"/>
          </w:tcPr>
          <w:p w14:paraId="54171430">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500" w:type="pct"/>
            <w:tcBorders>
              <w:top w:val="nil"/>
              <w:left w:val="nil"/>
              <w:bottom w:val="single" w:color="auto" w:sz="4" w:space="0"/>
              <w:right w:val="single" w:color="auto" w:sz="4" w:space="0"/>
            </w:tcBorders>
            <w:shd w:val="clear" w:color="auto" w:fill="auto"/>
            <w:vAlign w:val="center"/>
          </w:tcPr>
          <w:p w14:paraId="482201C0">
            <w:pPr>
              <w:widowControl/>
              <w:jc w:val="center"/>
              <w:rPr>
                <w:rFonts w:ascii="宋体" w:hAnsi="宋体" w:cs="宋体"/>
                <w:color w:val="000000"/>
                <w:kern w:val="0"/>
                <w:sz w:val="18"/>
                <w:szCs w:val="18"/>
              </w:rPr>
            </w:pPr>
            <w:r>
              <w:rPr>
                <w:rFonts w:hint="eastAsia" w:ascii="宋体" w:hAnsi="宋体" w:cs="宋体"/>
                <w:color w:val="000000"/>
                <w:kern w:val="0"/>
                <w:sz w:val="18"/>
                <w:szCs w:val="18"/>
              </w:rPr>
              <w:t>9,651.34</w:t>
            </w:r>
          </w:p>
        </w:tc>
        <w:tc>
          <w:tcPr>
            <w:tcW w:w="500" w:type="pct"/>
            <w:tcBorders>
              <w:top w:val="nil"/>
              <w:left w:val="nil"/>
              <w:bottom w:val="single" w:color="auto" w:sz="4" w:space="0"/>
              <w:right w:val="single" w:color="auto" w:sz="4" w:space="0"/>
            </w:tcBorders>
            <w:shd w:val="clear" w:color="auto" w:fill="auto"/>
            <w:vAlign w:val="center"/>
          </w:tcPr>
          <w:p w14:paraId="65B83CA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64008C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D217E23">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770CF3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74209E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8C8D08C">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4DA0882">
            <w:pPr>
              <w:widowControl/>
              <w:jc w:val="center"/>
              <w:rPr>
                <w:rFonts w:ascii="宋体" w:hAnsi="宋体" w:cs="宋体"/>
                <w:color w:val="000000"/>
                <w:kern w:val="0"/>
                <w:sz w:val="18"/>
                <w:szCs w:val="18"/>
              </w:rPr>
            </w:pPr>
          </w:p>
        </w:tc>
      </w:tr>
      <w:tr w14:paraId="42B857DC">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930C7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742" w:type="pct"/>
            <w:tcBorders>
              <w:top w:val="nil"/>
              <w:left w:val="nil"/>
              <w:bottom w:val="single" w:color="auto" w:sz="4" w:space="0"/>
              <w:right w:val="single" w:color="auto" w:sz="4" w:space="0"/>
            </w:tcBorders>
            <w:shd w:val="clear" w:color="auto" w:fill="auto"/>
            <w:vAlign w:val="center"/>
          </w:tcPr>
          <w:p w14:paraId="2987405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500" w:type="pct"/>
            <w:tcBorders>
              <w:top w:val="nil"/>
              <w:left w:val="nil"/>
              <w:bottom w:val="single" w:color="auto" w:sz="4" w:space="0"/>
              <w:right w:val="single" w:color="auto" w:sz="4" w:space="0"/>
            </w:tcBorders>
            <w:shd w:val="clear" w:color="auto" w:fill="auto"/>
            <w:vAlign w:val="center"/>
          </w:tcPr>
          <w:p w14:paraId="2DFB83A3">
            <w:pPr>
              <w:widowControl/>
              <w:jc w:val="center"/>
              <w:rPr>
                <w:rFonts w:ascii="宋体" w:hAnsi="宋体" w:cs="宋体"/>
                <w:color w:val="000000"/>
                <w:kern w:val="0"/>
                <w:sz w:val="18"/>
                <w:szCs w:val="18"/>
              </w:rPr>
            </w:pPr>
            <w:r>
              <w:rPr>
                <w:rFonts w:hint="eastAsia" w:ascii="宋体" w:hAnsi="宋体" w:cs="宋体"/>
                <w:color w:val="000000"/>
                <w:kern w:val="0"/>
                <w:sz w:val="18"/>
                <w:szCs w:val="18"/>
              </w:rPr>
              <w:t>70,199.71</w:t>
            </w:r>
          </w:p>
        </w:tc>
        <w:tc>
          <w:tcPr>
            <w:tcW w:w="500" w:type="pct"/>
            <w:tcBorders>
              <w:top w:val="nil"/>
              <w:left w:val="nil"/>
              <w:bottom w:val="single" w:color="auto" w:sz="4" w:space="0"/>
              <w:right w:val="single" w:color="auto" w:sz="4" w:space="0"/>
            </w:tcBorders>
            <w:shd w:val="clear" w:color="auto" w:fill="auto"/>
            <w:vAlign w:val="center"/>
          </w:tcPr>
          <w:p w14:paraId="3F02E222">
            <w:pPr>
              <w:widowControl/>
              <w:jc w:val="center"/>
              <w:rPr>
                <w:rFonts w:ascii="宋体" w:hAnsi="宋体" w:cs="宋体"/>
                <w:color w:val="000000"/>
                <w:kern w:val="0"/>
                <w:sz w:val="18"/>
                <w:szCs w:val="18"/>
              </w:rPr>
            </w:pPr>
            <w:r>
              <w:rPr>
                <w:rFonts w:hint="eastAsia" w:ascii="宋体" w:hAnsi="宋体" w:cs="宋体"/>
                <w:color w:val="000000"/>
                <w:kern w:val="0"/>
                <w:sz w:val="18"/>
                <w:szCs w:val="18"/>
              </w:rPr>
              <w:t>4,836.25</w:t>
            </w:r>
          </w:p>
        </w:tc>
        <w:tc>
          <w:tcPr>
            <w:tcW w:w="500" w:type="pct"/>
            <w:tcBorders>
              <w:top w:val="nil"/>
              <w:left w:val="nil"/>
              <w:bottom w:val="single" w:color="auto" w:sz="4" w:space="0"/>
              <w:right w:val="single" w:color="auto" w:sz="4" w:space="0"/>
            </w:tcBorders>
            <w:shd w:val="clear" w:color="auto" w:fill="auto"/>
            <w:vAlign w:val="center"/>
          </w:tcPr>
          <w:p w14:paraId="70BDF885">
            <w:pPr>
              <w:widowControl/>
              <w:jc w:val="center"/>
              <w:rPr>
                <w:rFonts w:ascii="宋体" w:hAnsi="宋体" w:cs="宋体"/>
                <w:color w:val="000000"/>
                <w:kern w:val="0"/>
                <w:sz w:val="18"/>
                <w:szCs w:val="18"/>
              </w:rPr>
            </w:pPr>
            <w:r>
              <w:rPr>
                <w:rFonts w:hint="eastAsia" w:ascii="宋体" w:hAnsi="宋体" w:cs="宋体"/>
                <w:color w:val="000000"/>
                <w:kern w:val="0"/>
                <w:sz w:val="18"/>
                <w:szCs w:val="18"/>
              </w:rPr>
              <w:t>15,674.65</w:t>
            </w:r>
          </w:p>
        </w:tc>
        <w:tc>
          <w:tcPr>
            <w:tcW w:w="500" w:type="pct"/>
            <w:tcBorders>
              <w:top w:val="nil"/>
              <w:left w:val="nil"/>
              <w:bottom w:val="single" w:color="auto" w:sz="4" w:space="0"/>
              <w:right w:val="single" w:color="auto" w:sz="4" w:space="0"/>
            </w:tcBorders>
            <w:shd w:val="clear" w:color="auto" w:fill="auto"/>
            <w:vAlign w:val="center"/>
          </w:tcPr>
          <w:p w14:paraId="0DA36C8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34EB102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1C3007E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312E135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3528EC88">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09C9DBBB">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3FB134C6">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pct"/>
            <w:tcBorders>
              <w:top w:val="nil"/>
              <w:left w:val="nil"/>
              <w:bottom w:val="single" w:color="auto" w:sz="4" w:space="0"/>
              <w:right w:val="single" w:color="auto" w:sz="4" w:space="0"/>
            </w:tcBorders>
            <w:shd w:val="clear" w:color="auto" w:fill="auto"/>
            <w:vAlign w:val="center"/>
          </w:tcPr>
          <w:p w14:paraId="46E2A458">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500" w:type="pct"/>
            <w:tcBorders>
              <w:top w:val="nil"/>
              <w:left w:val="nil"/>
              <w:bottom w:val="single" w:color="auto" w:sz="4" w:space="0"/>
              <w:right w:val="single" w:color="auto" w:sz="4" w:space="0"/>
            </w:tcBorders>
            <w:shd w:val="clear" w:color="auto" w:fill="auto"/>
            <w:vAlign w:val="center"/>
          </w:tcPr>
          <w:p w14:paraId="0A62837F">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500" w:type="pct"/>
            <w:tcBorders>
              <w:top w:val="nil"/>
              <w:left w:val="nil"/>
              <w:bottom w:val="single" w:color="auto" w:sz="4" w:space="0"/>
              <w:right w:val="single" w:color="auto" w:sz="4" w:space="0"/>
            </w:tcBorders>
            <w:shd w:val="clear" w:color="auto" w:fill="auto"/>
            <w:vAlign w:val="center"/>
          </w:tcPr>
          <w:p w14:paraId="1437E38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27D6AA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0A1279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589E16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88F29C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7AAE04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6C26CE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55841247">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E1EA5A3">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42" w:type="pct"/>
            <w:tcBorders>
              <w:top w:val="nil"/>
              <w:left w:val="nil"/>
              <w:bottom w:val="single" w:color="auto" w:sz="4" w:space="0"/>
              <w:right w:val="single" w:color="auto" w:sz="4" w:space="0"/>
            </w:tcBorders>
            <w:shd w:val="clear" w:color="auto" w:fill="auto"/>
            <w:vAlign w:val="center"/>
          </w:tcPr>
          <w:p w14:paraId="51BD60CC">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500" w:type="pct"/>
            <w:tcBorders>
              <w:top w:val="nil"/>
              <w:left w:val="nil"/>
              <w:bottom w:val="single" w:color="auto" w:sz="4" w:space="0"/>
              <w:right w:val="single" w:color="auto" w:sz="4" w:space="0"/>
            </w:tcBorders>
            <w:shd w:val="clear" w:color="auto" w:fill="auto"/>
            <w:vAlign w:val="center"/>
          </w:tcPr>
          <w:p w14:paraId="01BF7843">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500" w:type="pct"/>
            <w:tcBorders>
              <w:top w:val="nil"/>
              <w:left w:val="nil"/>
              <w:bottom w:val="single" w:color="auto" w:sz="4" w:space="0"/>
              <w:right w:val="single" w:color="auto" w:sz="4" w:space="0"/>
            </w:tcBorders>
            <w:shd w:val="clear" w:color="auto" w:fill="auto"/>
            <w:noWrap/>
            <w:vAlign w:val="center"/>
          </w:tcPr>
          <w:p w14:paraId="7722C7B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206BD3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04D1384B">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49C22B22">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3D37D10E">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61BBACF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6425254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53D90AD3">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ADC5F33">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42" w:type="pct"/>
            <w:tcBorders>
              <w:top w:val="nil"/>
              <w:left w:val="nil"/>
              <w:bottom w:val="single" w:color="auto" w:sz="4" w:space="0"/>
              <w:right w:val="single" w:color="auto" w:sz="4" w:space="0"/>
            </w:tcBorders>
            <w:shd w:val="clear" w:color="auto" w:fill="auto"/>
            <w:vAlign w:val="center"/>
          </w:tcPr>
          <w:p w14:paraId="4423D797">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500" w:type="pct"/>
            <w:tcBorders>
              <w:top w:val="nil"/>
              <w:left w:val="nil"/>
              <w:bottom w:val="single" w:color="auto" w:sz="4" w:space="0"/>
              <w:right w:val="single" w:color="auto" w:sz="4" w:space="0"/>
            </w:tcBorders>
            <w:shd w:val="clear" w:color="auto" w:fill="auto"/>
            <w:vAlign w:val="center"/>
          </w:tcPr>
          <w:p w14:paraId="5148035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35B7CCB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62962FD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4920756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5C75589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4A45EDD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0ECFEC3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180CF71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356A087A">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41E6037">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42" w:type="pct"/>
            <w:tcBorders>
              <w:top w:val="nil"/>
              <w:left w:val="nil"/>
              <w:bottom w:val="single" w:color="auto" w:sz="4" w:space="0"/>
              <w:right w:val="single" w:color="auto" w:sz="4" w:space="0"/>
            </w:tcBorders>
            <w:shd w:val="clear" w:color="auto" w:fill="auto"/>
            <w:vAlign w:val="center"/>
          </w:tcPr>
          <w:p w14:paraId="4E7E0FC7">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500" w:type="pct"/>
            <w:tcBorders>
              <w:top w:val="nil"/>
              <w:left w:val="nil"/>
              <w:bottom w:val="single" w:color="auto" w:sz="4" w:space="0"/>
              <w:right w:val="single" w:color="auto" w:sz="4" w:space="0"/>
            </w:tcBorders>
            <w:shd w:val="clear" w:color="auto" w:fill="auto"/>
            <w:vAlign w:val="center"/>
          </w:tcPr>
          <w:p w14:paraId="4C84D9BA">
            <w:pPr>
              <w:widowControl/>
              <w:jc w:val="center"/>
              <w:rPr>
                <w:rFonts w:ascii="宋体" w:hAnsi="宋体" w:cs="宋体"/>
                <w:color w:val="000000"/>
                <w:kern w:val="0"/>
                <w:sz w:val="18"/>
                <w:szCs w:val="18"/>
              </w:rPr>
            </w:pPr>
            <w:r>
              <w:rPr>
                <w:rFonts w:hint="eastAsia" w:ascii="宋体" w:hAnsi="宋体" w:cs="宋体"/>
                <w:color w:val="000000"/>
                <w:kern w:val="0"/>
                <w:sz w:val="18"/>
                <w:szCs w:val="18"/>
              </w:rPr>
              <w:t>32,399.99</w:t>
            </w:r>
          </w:p>
        </w:tc>
        <w:tc>
          <w:tcPr>
            <w:tcW w:w="500" w:type="pct"/>
            <w:tcBorders>
              <w:top w:val="nil"/>
              <w:left w:val="nil"/>
              <w:bottom w:val="single" w:color="auto" w:sz="4" w:space="0"/>
              <w:right w:val="single" w:color="auto" w:sz="4" w:space="0"/>
            </w:tcBorders>
            <w:shd w:val="clear" w:color="auto" w:fill="auto"/>
            <w:vAlign w:val="center"/>
          </w:tcPr>
          <w:p w14:paraId="3C2BA4EA">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A68FBDE">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D209DD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CF07D9E">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493E1F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D290943">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DC63D4C">
            <w:pPr>
              <w:widowControl/>
              <w:jc w:val="center"/>
              <w:rPr>
                <w:rFonts w:ascii="宋体" w:hAnsi="宋体" w:cs="宋体"/>
                <w:color w:val="000000"/>
                <w:kern w:val="0"/>
                <w:sz w:val="18"/>
                <w:szCs w:val="18"/>
              </w:rPr>
            </w:pPr>
          </w:p>
        </w:tc>
      </w:tr>
      <w:tr w14:paraId="17C9C798">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1DAF5AE">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42" w:type="pct"/>
            <w:tcBorders>
              <w:top w:val="nil"/>
              <w:left w:val="nil"/>
              <w:bottom w:val="single" w:color="auto" w:sz="4" w:space="0"/>
              <w:right w:val="single" w:color="auto" w:sz="4" w:space="0"/>
            </w:tcBorders>
            <w:shd w:val="clear" w:color="auto" w:fill="auto"/>
            <w:vAlign w:val="center"/>
          </w:tcPr>
          <w:p w14:paraId="716A76EB">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500" w:type="pct"/>
            <w:tcBorders>
              <w:top w:val="nil"/>
              <w:left w:val="nil"/>
              <w:bottom w:val="single" w:color="auto" w:sz="4" w:space="0"/>
              <w:right w:val="single" w:color="auto" w:sz="4" w:space="0"/>
            </w:tcBorders>
            <w:shd w:val="clear" w:color="auto" w:fill="auto"/>
            <w:vAlign w:val="center"/>
          </w:tcPr>
          <w:p w14:paraId="326C52FD">
            <w:pPr>
              <w:widowControl/>
              <w:jc w:val="center"/>
              <w:rPr>
                <w:rFonts w:ascii="宋体" w:hAnsi="宋体" w:cs="宋体"/>
                <w:color w:val="000000"/>
                <w:kern w:val="0"/>
                <w:sz w:val="18"/>
                <w:szCs w:val="18"/>
              </w:rPr>
            </w:pPr>
            <w:r>
              <w:rPr>
                <w:rFonts w:hint="eastAsia" w:ascii="宋体" w:hAnsi="宋体" w:cs="宋体"/>
                <w:color w:val="000000"/>
                <w:kern w:val="0"/>
                <w:sz w:val="18"/>
                <w:szCs w:val="18"/>
              </w:rPr>
              <w:t>31,796.30</w:t>
            </w:r>
          </w:p>
        </w:tc>
        <w:tc>
          <w:tcPr>
            <w:tcW w:w="500" w:type="pct"/>
            <w:tcBorders>
              <w:top w:val="nil"/>
              <w:left w:val="nil"/>
              <w:bottom w:val="single" w:color="auto" w:sz="4" w:space="0"/>
              <w:right w:val="single" w:color="auto" w:sz="4" w:space="0"/>
            </w:tcBorders>
            <w:shd w:val="clear" w:color="auto" w:fill="auto"/>
            <w:vAlign w:val="center"/>
          </w:tcPr>
          <w:p w14:paraId="3CD3E82F">
            <w:pPr>
              <w:widowControl/>
              <w:jc w:val="center"/>
              <w:rPr>
                <w:rFonts w:ascii="宋体" w:hAnsi="宋体" w:cs="宋体"/>
                <w:color w:val="000000"/>
                <w:kern w:val="0"/>
                <w:sz w:val="18"/>
                <w:szCs w:val="18"/>
              </w:rPr>
            </w:pPr>
            <w:r>
              <w:rPr>
                <w:rFonts w:hint="eastAsia" w:ascii="宋体" w:hAnsi="宋体" w:cs="宋体"/>
                <w:color w:val="000000"/>
                <w:kern w:val="0"/>
                <w:sz w:val="18"/>
                <w:szCs w:val="18"/>
              </w:rPr>
              <w:t>4,836.25</w:t>
            </w:r>
          </w:p>
        </w:tc>
        <w:tc>
          <w:tcPr>
            <w:tcW w:w="500" w:type="pct"/>
            <w:tcBorders>
              <w:top w:val="nil"/>
              <w:left w:val="nil"/>
              <w:bottom w:val="single" w:color="auto" w:sz="4" w:space="0"/>
              <w:right w:val="single" w:color="auto" w:sz="4" w:space="0"/>
            </w:tcBorders>
            <w:shd w:val="clear" w:color="auto" w:fill="auto"/>
            <w:vAlign w:val="center"/>
          </w:tcPr>
          <w:p w14:paraId="3D1D0A64">
            <w:pPr>
              <w:widowControl/>
              <w:jc w:val="center"/>
              <w:rPr>
                <w:rFonts w:ascii="宋体" w:hAnsi="宋体" w:cs="宋体"/>
                <w:color w:val="000000"/>
                <w:kern w:val="0"/>
                <w:sz w:val="18"/>
                <w:szCs w:val="18"/>
              </w:rPr>
            </w:pPr>
            <w:r>
              <w:rPr>
                <w:rFonts w:hint="eastAsia" w:ascii="宋体" w:hAnsi="宋体" w:cs="宋体"/>
                <w:color w:val="000000"/>
                <w:kern w:val="0"/>
                <w:sz w:val="18"/>
                <w:szCs w:val="18"/>
              </w:rPr>
              <w:t>15,674.65</w:t>
            </w:r>
          </w:p>
        </w:tc>
        <w:tc>
          <w:tcPr>
            <w:tcW w:w="500" w:type="pct"/>
            <w:tcBorders>
              <w:top w:val="nil"/>
              <w:left w:val="nil"/>
              <w:bottom w:val="single" w:color="auto" w:sz="4" w:space="0"/>
              <w:right w:val="single" w:color="auto" w:sz="4" w:space="0"/>
            </w:tcBorders>
            <w:shd w:val="clear" w:color="auto" w:fill="auto"/>
            <w:vAlign w:val="center"/>
          </w:tcPr>
          <w:p w14:paraId="4D2183F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68092A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8CFB90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180C7A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2F6EED9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438E1FC3">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370CADF5">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742" w:type="pct"/>
            <w:tcBorders>
              <w:top w:val="nil"/>
              <w:left w:val="nil"/>
              <w:bottom w:val="single" w:color="auto" w:sz="4" w:space="0"/>
              <w:right w:val="single" w:color="auto" w:sz="4" w:space="0"/>
            </w:tcBorders>
            <w:shd w:val="clear" w:color="auto" w:fill="auto"/>
            <w:vAlign w:val="center"/>
          </w:tcPr>
          <w:p w14:paraId="7EFDF913">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500" w:type="pct"/>
            <w:tcBorders>
              <w:top w:val="nil"/>
              <w:left w:val="nil"/>
              <w:bottom w:val="single" w:color="auto" w:sz="4" w:space="0"/>
              <w:right w:val="single" w:color="auto" w:sz="4" w:space="0"/>
            </w:tcBorders>
            <w:shd w:val="clear" w:color="auto" w:fill="auto"/>
            <w:vAlign w:val="center"/>
          </w:tcPr>
          <w:p w14:paraId="0674242C">
            <w:pPr>
              <w:widowControl/>
              <w:jc w:val="center"/>
              <w:rPr>
                <w:rFonts w:ascii="宋体" w:hAnsi="宋体" w:cs="宋体"/>
                <w:color w:val="000000"/>
                <w:kern w:val="0"/>
                <w:sz w:val="18"/>
                <w:szCs w:val="18"/>
              </w:rPr>
            </w:pPr>
            <w:r>
              <w:rPr>
                <w:rFonts w:hint="eastAsia" w:ascii="宋体" w:hAnsi="宋体" w:cs="宋体"/>
                <w:color w:val="000000"/>
                <w:kern w:val="0"/>
                <w:sz w:val="18"/>
                <w:szCs w:val="18"/>
              </w:rPr>
              <w:t>18.95</w:t>
            </w:r>
          </w:p>
        </w:tc>
        <w:tc>
          <w:tcPr>
            <w:tcW w:w="500" w:type="pct"/>
            <w:tcBorders>
              <w:top w:val="nil"/>
              <w:left w:val="nil"/>
              <w:bottom w:val="single" w:color="auto" w:sz="4" w:space="0"/>
              <w:right w:val="single" w:color="auto" w:sz="4" w:space="0"/>
            </w:tcBorders>
            <w:shd w:val="clear" w:color="auto" w:fill="auto"/>
            <w:vAlign w:val="center"/>
          </w:tcPr>
          <w:p w14:paraId="5A9382F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C74166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A3D3B9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730258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1D61A31">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0A3B19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E129277">
            <w:pPr>
              <w:widowControl/>
              <w:jc w:val="center"/>
              <w:rPr>
                <w:rFonts w:ascii="宋体" w:hAnsi="宋体" w:cs="宋体"/>
                <w:color w:val="000000"/>
                <w:kern w:val="0"/>
                <w:sz w:val="18"/>
                <w:szCs w:val="18"/>
              </w:rPr>
            </w:pPr>
          </w:p>
        </w:tc>
      </w:tr>
      <w:tr w14:paraId="46574912">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698ACB55">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42" w:type="pct"/>
            <w:tcBorders>
              <w:top w:val="nil"/>
              <w:left w:val="nil"/>
              <w:bottom w:val="single" w:color="auto" w:sz="4" w:space="0"/>
              <w:right w:val="single" w:color="auto" w:sz="4" w:space="0"/>
            </w:tcBorders>
            <w:shd w:val="clear" w:color="auto" w:fill="auto"/>
            <w:vAlign w:val="center"/>
          </w:tcPr>
          <w:p w14:paraId="75B9316A">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500" w:type="pct"/>
            <w:tcBorders>
              <w:top w:val="nil"/>
              <w:left w:val="nil"/>
              <w:bottom w:val="single" w:color="auto" w:sz="4" w:space="0"/>
              <w:right w:val="single" w:color="auto" w:sz="4" w:space="0"/>
            </w:tcBorders>
            <w:shd w:val="clear" w:color="auto" w:fill="auto"/>
            <w:vAlign w:val="center"/>
          </w:tcPr>
          <w:p w14:paraId="3E0E3664">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vAlign w:val="center"/>
          </w:tcPr>
          <w:p w14:paraId="63B14195">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500" w:type="pct"/>
            <w:tcBorders>
              <w:top w:val="nil"/>
              <w:left w:val="nil"/>
              <w:bottom w:val="single" w:color="auto" w:sz="4" w:space="0"/>
              <w:right w:val="single" w:color="auto" w:sz="4" w:space="0"/>
            </w:tcBorders>
            <w:shd w:val="clear" w:color="auto" w:fill="auto"/>
            <w:vAlign w:val="center"/>
          </w:tcPr>
          <w:p w14:paraId="395691E2">
            <w:pPr>
              <w:widowControl/>
              <w:jc w:val="center"/>
              <w:rPr>
                <w:rFonts w:ascii="宋体" w:hAnsi="宋体" w:cs="宋体"/>
                <w:color w:val="000000"/>
                <w:kern w:val="0"/>
                <w:sz w:val="18"/>
                <w:szCs w:val="18"/>
              </w:rPr>
            </w:pPr>
            <w:r>
              <w:rPr>
                <w:rFonts w:hint="eastAsia" w:ascii="宋体" w:hAnsi="宋体" w:cs="宋体"/>
                <w:color w:val="000000"/>
                <w:kern w:val="0"/>
                <w:sz w:val="18"/>
                <w:szCs w:val="18"/>
              </w:rPr>
              <w:t>14,950.00</w:t>
            </w:r>
          </w:p>
        </w:tc>
        <w:tc>
          <w:tcPr>
            <w:tcW w:w="500" w:type="pct"/>
            <w:tcBorders>
              <w:top w:val="nil"/>
              <w:left w:val="nil"/>
              <w:bottom w:val="single" w:color="auto" w:sz="4" w:space="0"/>
              <w:right w:val="single" w:color="auto" w:sz="4" w:space="0"/>
            </w:tcBorders>
            <w:shd w:val="clear" w:color="auto" w:fill="auto"/>
            <w:vAlign w:val="center"/>
          </w:tcPr>
          <w:p w14:paraId="6870C93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6B9030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EA8E4A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37A4D62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38BE4F5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12A1B77D">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4A826C48">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742" w:type="pct"/>
            <w:tcBorders>
              <w:top w:val="nil"/>
              <w:left w:val="nil"/>
              <w:bottom w:val="single" w:color="auto" w:sz="4" w:space="0"/>
              <w:right w:val="single" w:color="auto" w:sz="4" w:space="0"/>
            </w:tcBorders>
            <w:shd w:val="clear" w:color="auto" w:fill="auto"/>
            <w:vAlign w:val="center"/>
          </w:tcPr>
          <w:p w14:paraId="7C41E59C">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500" w:type="pct"/>
            <w:tcBorders>
              <w:top w:val="nil"/>
              <w:left w:val="nil"/>
              <w:bottom w:val="single" w:color="auto" w:sz="4" w:space="0"/>
              <w:right w:val="single" w:color="auto" w:sz="4" w:space="0"/>
            </w:tcBorders>
            <w:shd w:val="clear" w:color="auto" w:fill="auto"/>
            <w:vAlign w:val="center"/>
          </w:tcPr>
          <w:p w14:paraId="6C8761B8">
            <w:pPr>
              <w:widowControl/>
              <w:jc w:val="center"/>
              <w:rPr>
                <w:rFonts w:ascii="宋体" w:hAnsi="宋体" w:cs="宋体"/>
                <w:color w:val="000000"/>
                <w:kern w:val="0"/>
                <w:sz w:val="18"/>
                <w:szCs w:val="18"/>
              </w:rPr>
            </w:pPr>
            <w:r>
              <w:rPr>
                <w:rFonts w:hint="eastAsia" w:ascii="宋体" w:hAnsi="宋体" w:cs="宋体"/>
                <w:color w:val="000000"/>
                <w:kern w:val="0"/>
                <w:sz w:val="18"/>
                <w:szCs w:val="18"/>
              </w:rPr>
              <w:t>8,827.35</w:t>
            </w:r>
          </w:p>
        </w:tc>
        <w:tc>
          <w:tcPr>
            <w:tcW w:w="500" w:type="pct"/>
            <w:tcBorders>
              <w:top w:val="nil"/>
              <w:left w:val="nil"/>
              <w:bottom w:val="single" w:color="auto" w:sz="4" w:space="0"/>
              <w:right w:val="single" w:color="auto" w:sz="4" w:space="0"/>
            </w:tcBorders>
            <w:shd w:val="clear" w:color="auto" w:fill="auto"/>
            <w:noWrap/>
            <w:vAlign w:val="center"/>
          </w:tcPr>
          <w:p w14:paraId="73AC954E">
            <w:pPr>
              <w:widowControl/>
              <w:jc w:val="center"/>
              <w:rPr>
                <w:rFonts w:ascii="宋体" w:hAnsi="宋体" w:cs="宋体"/>
                <w:color w:val="000000"/>
                <w:kern w:val="0"/>
                <w:sz w:val="18"/>
                <w:szCs w:val="18"/>
              </w:rPr>
            </w:pPr>
            <w:r>
              <w:rPr>
                <w:rFonts w:hint="eastAsia" w:ascii="宋体" w:hAnsi="宋体" w:cs="宋体"/>
                <w:color w:val="000000"/>
                <w:kern w:val="0"/>
                <w:sz w:val="18"/>
                <w:szCs w:val="18"/>
              </w:rPr>
              <w:t>836.25</w:t>
            </w:r>
          </w:p>
        </w:tc>
        <w:tc>
          <w:tcPr>
            <w:tcW w:w="500" w:type="pct"/>
            <w:tcBorders>
              <w:top w:val="nil"/>
              <w:left w:val="nil"/>
              <w:bottom w:val="single" w:color="auto" w:sz="4" w:space="0"/>
              <w:right w:val="single" w:color="auto" w:sz="4" w:space="0"/>
            </w:tcBorders>
            <w:shd w:val="clear" w:color="auto" w:fill="auto"/>
            <w:noWrap/>
            <w:vAlign w:val="center"/>
          </w:tcPr>
          <w:p w14:paraId="5500D438">
            <w:pPr>
              <w:widowControl/>
              <w:jc w:val="center"/>
              <w:rPr>
                <w:rFonts w:ascii="宋体" w:hAnsi="宋体" w:cs="宋体"/>
                <w:color w:val="000000"/>
                <w:kern w:val="0"/>
                <w:sz w:val="18"/>
                <w:szCs w:val="18"/>
              </w:rPr>
            </w:pPr>
            <w:r>
              <w:rPr>
                <w:rFonts w:hint="eastAsia" w:ascii="宋体" w:hAnsi="宋体" w:cs="宋体"/>
                <w:color w:val="000000"/>
                <w:kern w:val="0"/>
                <w:sz w:val="18"/>
                <w:szCs w:val="18"/>
              </w:rPr>
              <w:t>724.65</w:t>
            </w:r>
          </w:p>
        </w:tc>
        <w:tc>
          <w:tcPr>
            <w:tcW w:w="500" w:type="pct"/>
            <w:tcBorders>
              <w:top w:val="nil"/>
              <w:left w:val="nil"/>
              <w:bottom w:val="single" w:color="auto" w:sz="4" w:space="0"/>
              <w:right w:val="single" w:color="auto" w:sz="4" w:space="0"/>
            </w:tcBorders>
            <w:shd w:val="clear" w:color="auto" w:fill="auto"/>
            <w:noWrap/>
            <w:vAlign w:val="center"/>
          </w:tcPr>
          <w:p w14:paraId="155D0B3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770369C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0E0C8225">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5BA6A6A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78B4AE1A">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03DA16A5">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616B702B">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742" w:type="pct"/>
            <w:tcBorders>
              <w:top w:val="nil"/>
              <w:left w:val="nil"/>
              <w:bottom w:val="single" w:color="auto" w:sz="4" w:space="0"/>
              <w:right w:val="single" w:color="auto" w:sz="4" w:space="0"/>
            </w:tcBorders>
            <w:shd w:val="clear" w:color="auto" w:fill="auto"/>
            <w:vAlign w:val="center"/>
          </w:tcPr>
          <w:p w14:paraId="591F8008">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500" w:type="pct"/>
            <w:tcBorders>
              <w:top w:val="nil"/>
              <w:left w:val="nil"/>
              <w:bottom w:val="single" w:color="auto" w:sz="4" w:space="0"/>
              <w:right w:val="single" w:color="auto" w:sz="4" w:space="0"/>
            </w:tcBorders>
            <w:shd w:val="clear" w:color="auto" w:fill="auto"/>
            <w:vAlign w:val="center"/>
          </w:tcPr>
          <w:p w14:paraId="2228AFC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8BDE37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D15858E">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0909E9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080977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EBD21D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2330947">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727E188">
            <w:pPr>
              <w:widowControl/>
              <w:jc w:val="center"/>
              <w:rPr>
                <w:rFonts w:ascii="宋体" w:hAnsi="宋体" w:cs="宋体"/>
                <w:color w:val="000000"/>
                <w:kern w:val="0"/>
                <w:sz w:val="18"/>
                <w:szCs w:val="18"/>
              </w:rPr>
            </w:pPr>
          </w:p>
        </w:tc>
      </w:tr>
      <w:tr w14:paraId="6C1D864E">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670706E1">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742" w:type="pct"/>
            <w:tcBorders>
              <w:top w:val="nil"/>
              <w:left w:val="nil"/>
              <w:bottom w:val="single" w:color="auto" w:sz="4" w:space="0"/>
              <w:right w:val="single" w:color="auto" w:sz="4" w:space="0"/>
            </w:tcBorders>
            <w:shd w:val="clear" w:color="auto" w:fill="auto"/>
            <w:vAlign w:val="center"/>
          </w:tcPr>
          <w:p w14:paraId="31111006">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500" w:type="pct"/>
            <w:tcBorders>
              <w:top w:val="nil"/>
              <w:left w:val="nil"/>
              <w:bottom w:val="single" w:color="auto" w:sz="4" w:space="0"/>
              <w:right w:val="single" w:color="auto" w:sz="4" w:space="0"/>
            </w:tcBorders>
            <w:shd w:val="clear" w:color="auto" w:fill="auto"/>
            <w:vAlign w:val="center"/>
          </w:tcPr>
          <w:p w14:paraId="702FAA4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A02AA4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90B6A2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A6120D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2F8FE8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4691C3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0B436E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88A827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18DCFC12">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E37CBA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742" w:type="pct"/>
            <w:tcBorders>
              <w:top w:val="nil"/>
              <w:left w:val="nil"/>
              <w:bottom w:val="single" w:color="auto" w:sz="4" w:space="0"/>
              <w:right w:val="single" w:color="auto" w:sz="4" w:space="0"/>
            </w:tcBorders>
            <w:shd w:val="clear" w:color="auto" w:fill="auto"/>
            <w:vAlign w:val="center"/>
          </w:tcPr>
          <w:p w14:paraId="17503BA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500" w:type="pct"/>
            <w:tcBorders>
              <w:top w:val="nil"/>
              <w:left w:val="nil"/>
              <w:bottom w:val="single" w:color="auto" w:sz="4" w:space="0"/>
              <w:right w:val="single" w:color="auto" w:sz="4" w:space="0"/>
            </w:tcBorders>
            <w:shd w:val="clear" w:color="auto" w:fill="auto"/>
            <w:vAlign w:val="center"/>
          </w:tcPr>
          <w:p w14:paraId="29372961">
            <w:pPr>
              <w:widowControl/>
              <w:jc w:val="center"/>
              <w:rPr>
                <w:rFonts w:ascii="宋体" w:hAnsi="宋体" w:cs="宋体"/>
                <w:color w:val="000000"/>
                <w:kern w:val="0"/>
                <w:sz w:val="18"/>
                <w:szCs w:val="18"/>
              </w:rPr>
            </w:pPr>
            <w:r>
              <w:rPr>
                <w:rFonts w:hint="eastAsia" w:ascii="宋体" w:hAnsi="宋体" w:cs="宋体"/>
                <w:color w:val="000000"/>
                <w:kern w:val="0"/>
                <w:sz w:val="18"/>
                <w:szCs w:val="18"/>
              </w:rPr>
              <w:t>262,572.87</w:t>
            </w:r>
          </w:p>
        </w:tc>
        <w:tc>
          <w:tcPr>
            <w:tcW w:w="500" w:type="pct"/>
            <w:tcBorders>
              <w:top w:val="nil"/>
              <w:left w:val="nil"/>
              <w:bottom w:val="single" w:color="auto" w:sz="4" w:space="0"/>
              <w:right w:val="single" w:color="auto" w:sz="4" w:space="0"/>
            </w:tcBorders>
            <w:shd w:val="clear" w:color="auto" w:fill="auto"/>
            <w:vAlign w:val="center"/>
          </w:tcPr>
          <w:p w14:paraId="03ADFAEE">
            <w:pPr>
              <w:widowControl/>
              <w:jc w:val="center"/>
              <w:rPr>
                <w:rFonts w:ascii="宋体" w:hAnsi="宋体" w:cs="宋体"/>
                <w:color w:val="000000"/>
                <w:kern w:val="0"/>
                <w:sz w:val="18"/>
                <w:szCs w:val="18"/>
              </w:rPr>
            </w:pPr>
            <w:r>
              <w:rPr>
                <w:rFonts w:hint="eastAsia" w:ascii="宋体" w:hAnsi="宋体" w:cs="宋体"/>
                <w:color w:val="000000"/>
                <w:kern w:val="0"/>
                <w:sz w:val="18"/>
                <w:szCs w:val="18"/>
              </w:rPr>
              <w:t>-4,836.25</w:t>
            </w:r>
          </w:p>
        </w:tc>
        <w:tc>
          <w:tcPr>
            <w:tcW w:w="500" w:type="pct"/>
            <w:tcBorders>
              <w:top w:val="nil"/>
              <w:left w:val="nil"/>
              <w:bottom w:val="single" w:color="auto" w:sz="4" w:space="0"/>
              <w:right w:val="single" w:color="auto" w:sz="4" w:space="0"/>
            </w:tcBorders>
            <w:shd w:val="clear" w:color="auto" w:fill="auto"/>
            <w:vAlign w:val="center"/>
          </w:tcPr>
          <w:p w14:paraId="3C92918B">
            <w:pPr>
              <w:widowControl/>
              <w:jc w:val="center"/>
              <w:rPr>
                <w:rFonts w:ascii="宋体" w:hAnsi="宋体" w:cs="宋体"/>
                <w:color w:val="000000"/>
                <w:kern w:val="0"/>
                <w:sz w:val="18"/>
                <w:szCs w:val="18"/>
              </w:rPr>
            </w:pPr>
            <w:r>
              <w:rPr>
                <w:rFonts w:hint="eastAsia" w:ascii="宋体" w:hAnsi="宋体" w:cs="宋体"/>
                <w:color w:val="000000"/>
                <w:kern w:val="0"/>
                <w:sz w:val="18"/>
                <w:szCs w:val="18"/>
              </w:rPr>
              <w:t>-15,674.65</w:t>
            </w:r>
          </w:p>
        </w:tc>
        <w:tc>
          <w:tcPr>
            <w:tcW w:w="500" w:type="pct"/>
            <w:tcBorders>
              <w:top w:val="nil"/>
              <w:left w:val="nil"/>
              <w:bottom w:val="single" w:color="auto" w:sz="4" w:space="0"/>
              <w:right w:val="single" w:color="auto" w:sz="4" w:space="0"/>
            </w:tcBorders>
            <w:shd w:val="clear" w:color="auto" w:fill="auto"/>
            <w:vAlign w:val="center"/>
          </w:tcPr>
          <w:p w14:paraId="466BB78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AE111B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2CC31ABE">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682B514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8079AC4">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773DDFCE">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3A7FC9F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742" w:type="pct"/>
            <w:tcBorders>
              <w:top w:val="nil"/>
              <w:left w:val="nil"/>
              <w:bottom w:val="single" w:color="auto" w:sz="4" w:space="0"/>
              <w:right w:val="single" w:color="auto" w:sz="4" w:space="0"/>
            </w:tcBorders>
            <w:shd w:val="clear" w:color="auto" w:fill="auto"/>
            <w:vAlign w:val="center"/>
          </w:tcPr>
          <w:p w14:paraId="7CBCB5E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500" w:type="pct"/>
            <w:tcBorders>
              <w:top w:val="nil"/>
              <w:left w:val="nil"/>
              <w:bottom w:val="single" w:color="auto" w:sz="4" w:space="0"/>
              <w:right w:val="single" w:color="auto" w:sz="4" w:space="0"/>
            </w:tcBorders>
            <w:shd w:val="clear" w:color="auto" w:fill="auto"/>
            <w:vAlign w:val="center"/>
          </w:tcPr>
          <w:p w14:paraId="6CB7B21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2A69E4F">
            <w:pPr>
              <w:widowControl/>
              <w:jc w:val="center"/>
              <w:rPr>
                <w:rFonts w:ascii="宋体" w:hAnsi="宋体" w:cs="宋体"/>
                <w:color w:val="000000"/>
                <w:kern w:val="0"/>
                <w:sz w:val="18"/>
                <w:szCs w:val="18"/>
              </w:rPr>
            </w:pPr>
            <w:r>
              <w:rPr>
                <w:rFonts w:hint="eastAsia" w:ascii="宋体" w:hAnsi="宋体" w:cs="宋体"/>
                <w:color w:val="000000"/>
                <w:kern w:val="0"/>
                <w:sz w:val="18"/>
                <w:szCs w:val="18"/>
              </w:rPr>
              <w:t>289,986.57</w:t>
            </w:r>
          </w:p>
        </w:tc>
        <w:tc>
          <w:tcPr>
            <w:tcW w:w="500" w:type="pct"/>
            <w:tcBorders>
              <w:top w:val="nil"/>
              <w:left w:val="nil"/>
              <w:bottom w:val="single" w:color="auto" w:sz="4" w:space="0"/>
              <w:right w:val="single" w:color="auto" w:sz="4" w:space="0"/>
            </w:tcBorders>
            <w:shd w:val="clear" w:color="auto" w:fill="auto"/>
            <w:vAlign w:val="center"/>
          </w:tcPr>
          <w:p w14:paraId="5B841531">
            <w:pPr>
              <w:widowControl/>
              <w:jc w:val="center"/>
              <w:rPr>
                <w:rFonts w:ascii="宋体" w:hAnsi="宋体" w:cs="宋体"/>
                <w:color w:val="000000"/>
                <w:kern w:val="0"/>
                <w:sz w:val="18"/>
                <w:szCs w:val="18"/>
              </w:rPr>
            </w:pPr>
            <w:r>
              <w:rPr>
                <w:rFonts w:hint="eastAsia" w:ascii="宋体" w:hAnsi="宋体" w:cs="宋体"/>
                <w:color w:val="000000"/>
                <w:kern w:val="0"/>
                <w:sz w:val="18"/>
                <w:szCs w:val="18"/>
              </w:rPr>
              <w:t>285,150.32</w:t>
            </w:r>
          </w:p>
        </w:tc>
        <w:tc>
          <w:tcPr>
            <w:tcW w:w="500" w:type="pct"/>
            <w:tcBorders>
              <w:top w:val="nil"/>
              <w:left w:val="nil"/>
              <w:bottom w:val="single" w:color="auto" w:sz="4" w:space="0"/>
              <w:right w:val="single" w:color="auto" w:sz="4" w:space="0"/>
            </w:tcBorders>
            <w:shd w:val="clear" w:color="auto" w:fill="auto"/>
            <w:vAlign w:val="center"/>
          </w:tcPr>
          <w:p w14:paraId="16A2599F">
            <w:pPr>
              <w:widowControl/>
              <w:jc w:val="center"/>
              <w:rPr>
                <w:rFonts w:ascii="宋体" w:hAnsi="宋体" w:cs="宋体"/>
                <w:color w:val="000000"/>
                <w:kern w:val="0"/>
                <w:sz w:val="18"/>
                <w:szCs w:val="18"/>
              </w:rPr>
            </w:pPr>
            <w:r>
              <w:rPr>
                <w:rFonts w:hint="eastAsia" w:ascii="宋体" w:hAnsi="宋体" w:cs="宋体"/>
                <w:color w:val="000000"/>
                <w:kern w:val="0"/>
                <w:sz w:val="18"/>
                <w:szCs w:val="18"/>
              </w:rPr>
              <w:t>269,475.67</w:t>
            </w:r>
          </w:p>
        </w:tc>
        <w:tc>
          <w:tcPr>
            <w:tcW w:w="500" w:type="pct"/>
            <w:tcBorders>
              <w:top w:val="nil"/>
              <w:left w:val="nil"/>
              <w:bottom w:val="single" w:color="auto" w:sz="4" w:space="0"/>
              <w:right w:val="single" w:color="auto" w:sz="4" w:space="0"/>
            </w:tcBorders>
            <w:shd w:val="clear" w:color="auto" w:fill="auto"/>
            <w:vAlign w:val="center"/>
          </w:tcPr>
          <w:p w14:paraId="728F1A3F">
            <w:pPr>
              <w:widowControl/>
              <w:jc w:val="center"/>
              <w:rPr>
                <w:rFonts w:ascii="宋体" w:hAnsi="宋体" w:cs="宋体"/>
                <w:color w:val="000000"/>
                <w:kern w:val="0"/>
                <w:sz w:val="18"/>
                <w:szCs w:val="18"/>
              </w:rPr>
            </w:pPr>
            <w:r>
              <w:rPr>
                <w:rFonts w:hint="eastAsia" w:ascii="宋体" w:hAnsi="宋体" w:cs="宋体"/>
                <w:color w:val="000000"/>
                <w:kern w:val="0"/>
                <w:sz w:val="18"/>
                <w:szCs w:val="18"/>
              </w:rPr>
              <w:t>269,334.07</w:t>
            </w:r>
          </w:p>
        </w:tc>
        <w:tc>
          <w:tcPr>
            <w:tcW w:w="500" w:type="pct"/>
            <w:tcBorders>
              <w:top w:val="nil"/>
              <w:left w:val="nil"/>
              <w:bottom w:val="single" w:color="auto" w:sz="4" w:space="0"/>
              <w:right w:val="single" w:color="auto" w:sz="4" w:space="0"/>
            </w:tcBorders>
            <w:shd w:val="clear" w:color="auto" w:fill="auto"/>
            <w:vAlign w:val="center"/>
          </w:tcPr>
          <w:p w14:paraId="20D7B62E">
            <w:pPr>
              <w:widowControl/>
              <w:jc w:val="center"/>
              <w:rPr>
                <w:rFonts w:ascii="宋体" w:hAnsi="宋体" w:cs="宋体"/>
                <w:color w:val="000000"/>
                <w:kern w:val="0"/>
                <w:sz w:val="18"/>
                <w:szCs w:val="18"/>
              </w:rPr>
            </w:pPr>
            <w:r>
              <w:rPr>
                <w:rFonts w:hint="eastAsia" w:ascii="宋体" w:hAnsi="宋体" w:cs="宋体"/>
                <w:color w:val="000000"/>
                <w:kern w:val="0"/>
                <w:sz w:val="18"/>
                <w:szCs w:val="18"/>
              </w:rPr>
              <w:t>269,192.47</w:t>
            </w:r>
          </w:p>
        </w:tc>
        <w:tc>
          <w:tcPr>
            <w:tcW w:w="500" w:type="pct"/>
            <w:tcBorders>
              <w:top w:val="nil"/>
              <w:left w:val="nil"/>
              <w:bottom w:val="single" w:color="auto" w:sz="4" w:space="0"/>
              <w:right w:val="single" w:color="auto" w:sz="4" w:space="0"/>
            </w:tcBorders>
            <w:shd w:val="clear" w:color="auto" w:fill="auto"/>
            <w:vAlign w:val="center"/>
          </w:tcPr>
          <w:p w14:paraId="61A91AE8">
            <w:pPr>
              <w:widowControl/>
              <w:jc w:val="center"/>
              <w:rPr>
                <w:rFonts w:ascii="宋体" w:hAnsi="宋体" w:cs="宋体"/>
                <w:color w:val="000000"/>
                <w:kern w:val="0"/>
                <w:sz w:val="18"/>
                <w:szCs w:val="18"/>
              </w:rPr>
            </w:pPr>
            <w:r>
              <w:rPr>
                <w:rFonts w:hint="eastAsia" w:ascii="宋体" w:hAnsi="宋体" w:cs="宋体"/>
                <w:color w:val="000000"/>
                <w:kern w:val="0"/>
                <w:sz w:val="18"/>
                <w:szCs w:val="18"/>
              </w:rPr>
              <w:t>269,050.87</w:t>
            </w:r>
          </w:p>
        </w:tc>
        <w:tc>
          <w:tcPr>
            <w:tcW w:w="500" w:type="pct"/>
            <w:tcBorders>
              <w:top w:val="nil"/>
              <w:left w:val="nil"/>
              <w:bottom w:val="single" w:color="auto" w:sz="4" w:space="0"/>
              <w:right w:val="single" w:color="auto" w:sz="4" w:space="0"/>
            </w:tcBorders>
            <w:shd w:val="clear" w:color="auto" w:fill="auto"/>
            <w:vAlign w:val="center"/>
          </w:tcPr>
          <w:p w14:paraId="3BDF986B">
            <w:pPr>
              <w:widowControl/>
              <w:jc w:val="center"/>
              <w:rPr>
                <w:rFonts w:ascii="宋体" w:hAnsi="宋体" w:cs="宋体"/>
                <w:color w:val="000000"/>
                <w:kern w:val="0"/>
                <w:sz w:val="18"/>
                <w:szCs w:val="18"/>
              </w:rPr>
            </w:pPr>
            <w:r>
              <w:rPr>
                <w:rFonts w:hint="eastAsia" w:ascii="宋体" w:hAnsi="宋体" w:cs="宋体"/>
                <w:color w:val="000000"/>
                <w:kern w:val="0"/>
                <w:sz w:val="18"/>
                <w:szCs w:val="18"/>
              </w:rPr>
              <w:t>268,909.27</w:t>
            </w:r>
          </w:p>
        </w:tc>
      </w:tr>
      <w:tr w14:paraId="258FDBF3">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64C93E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742" w:type="pct"/>
            <w:tcBorders>
              <w:top w:val="nil"/>
              <w:left w:val="nil"/>
              <w:bottom w:val="single" w:color="auto" w:sz="4" w:space="0"/>
              <w:right w:val="single" w:color="auto" w:sz="4" w:space="0"/>
            </w:tcBorders>
            <w:shd w:val="clear" w:color="auto" w:fill="auto"/>
            <w:vAlign w:val="center"/>
          </w:tcPr>
          <w:p w14:paraId="64088E7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500" w:type="pct"/>
            <w:tcBorders>
              <w:top w:val="nil"/>
              <w:left w:val="nil"/>
              <w:bottom w:val="single" w:color="auto" w:sz="4" w:space="0"/>
              <w:right w:val="single" w:color="auto" w:sz="4" w:space="0"/>
            </w:tcBorders>
            <w:shd w:val="clear" w:color="auto" w:fill="auto"/>
            <w:vAlign w:val="center"/>
          </w:tcPr>
          <w:p w14:paraId="68932CE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55E7D0D">
            <w:pPr>
              <w:widowControl/>
              <w:jc w:val="center"/>
              <w:rPr>
                <w:rFonts w:ascii="宋体" w:hAnsi="宋体" w:cs="宋体"/>
                <w:color w:val="000000"/>
                <w:kern w:val="0"/>
                <w:sz w:val="18"/>
                <w:szCs w:val="18"/>
              </w:rPr>
            </w:pPr>
            <w:r>
              <w:rPr>
                <w:rFonts w:hint="eastAsia" w:ascii="宋体" w:hAnsi="宋体" w:cs="宋体"/>
                <w:color w:val="000000"/>
                <w:kern w:val="0"/>
                <w:sz w:val="18"/>
                <w:szCs w:val="18"/>
              </w:rPr>
              <w:t>285,150.32</w:t>
            </w:r>
          </w:p>
        </w:tc>
        <w:tc>
          <w:tcPr>
            <w:tcW w:w="500" w:type="pct"/>
            <w:tcBorders>
              <w:top w:val="nil"/>
              <w:left w:val="nil"/>
              <w:bottom w:val="single" w:color="auto" w:sz="4" w:space="0"/>
              <w:right w:val="single" w:color="auto" w:sz="4" w:space="0"/>
            </w:tcBorders>
            <w:shd w:val="clear" w:color="auto" w:fill="auto"/>
            <w:vAlign w:val="center"/>
          </w:tcPr>
          <w:p w14:paraId="67E185BF">
            <w:pPr>
              <w:widowControl/>
              <w:jc w:val="center"/>
              <w:rPr>
                <w:rFonts w:ascii="宋体" w:hAnsi="宋体" w:cs="宋体"/>
                <w:color w:val="000000"/>
                <w:kern w:val="0"/>
                <w:sz w:val="18"/>
                <w:szCs w:val="18"/>
              </w:rPr>
            </w:pPr>
            <w:r>
              <w:rPr>
                <w:rFonts w:hint="eastAsia" w:ascii="宋体" w:hAnsi="宋体" w:cs="宋体"/>
                <w:color w:val="000000"/>
                <w:kern w:val="0"/>
                <w:sz w:val="18"/>
                <w:szCs w:val="18"/>
              </w:rPr>
              <w:t>269,475.67</w:t>
            </w:r>
          </w:p>
        </w:tc>
        <w:tc>
          <w:tcPr>
            <w:tcW w:w="500" w:type="pct"/>
            <w:tcBorders>
              <w:top w:val="nil"/>
              <w:left w:val="nil"/>
              <w:bottom w:val="single" w:color="auto" w:sz="4" w:space="0"/>
              <w:right w:val="single" w:color="auto" w:sz="4" w:space="0"/>
            </w:tcBorders>
            <w:shd w:val="clear" w:color="auto" w:fill="auto"/>
            <w:vAlign w:val="center"/>
          </w:tcPr>
          <w:p w14:paraId="4133EC76">
            <w:pPr>
              <w:widowControl/>
              <w:jc w:val="center"/>
              <w:rPr>
                <w:rFonts w:ascii="宋体" w:hAnsi="宋体" w:cs="宋体"/>
                <w:color w:val="000000"/>
                <w:kern w:val="0"/>
                <w:sz w:val="18"/>
                <w:szCs w:val="18"/>
              </w:rPr>
            </w:pPr>
            <w:r>
              <w:rPr>
                <w:rFonts w:hint="eastAsia" w:ascii="宋体" w:hAnsi="宋体" w:cs="宋体"/>
                <w:color w:val="000000"/>
                <w:kern w:val="0"/>
                <w:sz w:val="18"/>
                <w:szCs w:val="18"/>
              </w:rPr>
              <w:t>269,334.07</w:t>
            </w:r>
          </w:p>
        </w:tc>
        <w:tc>
          <w:tcPr>
            <w:tcW w:w="500" w:type="pct"/>
            <w:tcBorders>
              <w:top w:val="nil"/>
              <w:left w:val="nil"/>
              <w:bottom w:val="single" w:color="auto" w:sz="4" w:space="0"/>
              <w:right w:val="single" w:color="auto" w:sz="4" w:space="0"/>
            </w:tcBorders>
            <w:shd w:val="clear" w:color="auto" w:fill="auto"/>
            <w:vAlign w:val="center"/>
          </w:tcPr>
          <w:p w14:paraId="67ABF98B">
            <w:pPr>
              <w:widowControl/>
              <w:jc w:val="center"/>
              <w:rPr>
                <w:rFonts w:ascii="宋体" w:hAnsi="宋体" w:cs="宋体"/>
                <w:color w:val="000000"/>
                <w:kern w:val="0"/>
                <w:sz w:val="18"/>
                <w:szCs w:val="18"/>
              </w:rPr>
            </w:pPr>
            <w:r>
              <w:rPr>
                <w:rFonts w:hint="eastAsia" w:ascii="宋体" w:hAnsi="宋体" w:cs="宋体"/>
                <w:color w:val="000000"/>
                <w:kern w:val="0"/>
                <w:sz w:val="18"/>
                <w:szCs w:val="18"/>
              </w:rPr>
              <w:t>269,192.47</w:t>
            </w:r>
          </w:p>
        </w:tc>
        <w:tc>
          <w:tcPr>
            <w:tcW w:w="500" w:type="pct"/>
            <w:tcBorders>
              <w:top w:val="nil"/>
              <w:left w:val="nil"/>
              <w:bottom w:val="single" w:color="auto" w:sz="4" w:space="0"/>
              <w:right w:val="single" w:color="auto" w:sz="4" w:space="0"/>
            </w:tcBorders>
            <w:shd w:val="clear" w:color="auto" w:fill="auto"/>
            <w:vAlign w:val="center"/>
          </w:tcPr>
          <w:p w14:paraId="26613B18">
            <w:pPr>
              <w:widowControl/>
              <w:jc w:val="center"/>
              <w:rPr>
                <w:rFonts w:ascii="宋体" w:hAnsi="宋体" w:cs="宋体"/>
                <w:color w:val="000000"/>
                <w:kern w:val="0"/>
                <w:sz w:val="18"/>
                <w:szCs w:val="18"/>
              </w:rPr>
            </w:pPr>
            <w:r>
              <w:rPr>
                <w:rFonts w:hint="eastAsia" w:ascii="宋体" w:hAnsi="宋体" w:cs="宋体"/>
                <w:color w:val="000000"/>
                <w:kern w:val="0"/>
                <w:sz w:val="18"/>
                <w:szCs w:val="18"/>
              </w:rPr>
              <w:t>269,050.87</w:t>
            </w:r>
          </w:p>
        </w:tc>
        <w:tc>
          <w:tcPr>
            <w:tcW w:w="500" w:type="pct"/>
            <w:tcBorders>
              <w:top w:val="nil"/>
              <w:left w:val="nil"/>
              <w:bottom w:val="single" w:color="auto" w:sz="4" w:space="0"/>
              <w:right w:val="single" w:color="auto" w:sz="4" w:space="0"/>
            </w:tcBorders>
            <w:shd w:val="clear" w:color="auto" w:fill="auto"/>
            <w:vAlign w:val="center"/>
          </w:tcPr>
          <w:p w14:paraId="377C29E6">
            <w:pPr>
              <w:widowControl/>
              <w:jc w:val="center"/>
              <w:rPr>
                <w:rFonts w:ascii="宋体" w:hAnsi="宋体" w:cs="宋体"/>
                <w:color w:val="000000"/>
                <w:kern w:val="0"/>
                <w:sz w:val="18"/>
                <w:szCs w:val="18"/>
              </w:rPr>
            </w:pPr>
            <w:r>
              <w:rPr>
                <w:rFonts w:hint="eastAsia" w:ascii="宋体" w:hAnsi="宋体" w:cs="宋体"/>
                <w:color w:val="000000"/>
                <w:kern w:val="0"/>
                <w:sz w:val="18"/>
                <w:szCs w:val="18"/>
              </w:rPr>
              <w:t>268,909.27</w:t>
            </w:r>
          </w:p>
        </w:tc>
        <w:tc>
          <w:tcPr>
            <w:tcW w:w="500" w:type="pct"/>
            <w:tcBorders>
              <w:top w:val="nil"/>
              <w:left w:val="nil"/>
              <w:bottom w:val="single" w:color="auto" w:sz="4" w:space="0"/>
              <w:right w:val="single" w:color="auto" w:sz="4" w:space="0"/>
            </w:tcBorders>
            <w:shd w:val="clear" w:color="auto" w:fill="auto"/>
            <w:vAlign w:val="center"/>
          </w:tcPr>
          <w:p w14:paraId="76ED41D6">
            <w:pPr>
              <w:widowControl/>
              <w:jc w:val="center"/>
              <w:rPr>
                <w:rFonts w:ascii="宋体" w:hAnsi="宋体" w:cs="宋体"/>
                <w:color w:val="000000"/>
                <w:kern w:val="0"/>
                <w:sz w:val="18"/>
                <w:szCs w:val="18"/>
              </w:rPr>
            </w:pPr>
            <w:r>
              <w:rPr>
                <w:rFonts w:hint="eastAsia" w:ascii="宋体" w:hAnsi="宋体" w:cs="宋体"/>
                <w:color w:val="000000"/>
                <w:kern w:val="0"/>
                <w:sz w:val="18"/>
                <w:szCs w:val="18"/>
              </w:rPr>
              <w:t>268,767.67</w:t>
            </w:r>
          </w:p>
        </w:tc>
      </w:tr>
    </w:tbl>
    <w:p w14:paraId="3F9392EF">
      <w:pPr>
        <w:pStyle w:val="20"/>
        <w:spacing w:beforeLines="5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5000" w:type="pct"/>
        <w:tblInd w:w="0" w:type="dxa"/>
        <w:tblLayout w:type="autofit"/>
        <w:tblCellMar>
          <w:top w:w="0" w:type="dxa"/>
          <w:left w:w="108" w:type="dxa"/>
          <w:bottom w:w="0" w:type="dxa"/>
          <w:right w:w="108" w:type="dxa"/>
        </w:tblCellMar>
      </w:tblPr>
      <w:tblGrid>
        <w:gridCol w:w="730"/>
        <w:gridCol w:w="2092"/>
        <w:gridCol w:w="1410"/>
        <w:gridCol w:w="1410"/>
        <w:gridCol w:w="1411"/>
        <w:gridCol w:w="1411"/>
        <w:gridCol w:w="1411"/>
        <w:gridCol w:w="1411"/>
        <w:gridCol w:w="1411"/>
        <w:gridCol w:w="1408"/>
      </w:tblGrid>
      <w:tr w14:paraId="3668EDFA">
        <w:trPr>
          <w:trHeight w:val="405" w:hRule="atLeast"/>
          <w:tblHeader/>
        </w:trPr>
        <w:tc>
          <w:tcPr>
            <w:tcW w:w="259" w:type="pct"/>
            <w:tcBorders>
              <w:top w:val="single" w:color="auto" w:sz="4" w:space="0"/>
              <w:left w:val="single" w:color="auto" w:sz="4" w:space="0"/>
              <w:bottom w:val="single" w:color="auto" w:sz="4" w:space="0"/>
              <w:right w:val="single" w:color="auto" w:sz="4" w:space="0"/>
            </w:tcBorders>
            <w:shd w:val="clear" w:color="auto" w:fill="auto"/>
            <w:vAlign w:val="center"/>
          </w:tcPr>
          <w:p w14:paraId="4DC41D8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42" w:type="pct"/>
            <w:tcBorders>
              <w:top w:val="single" w:color="auto" w:sz="4" w:space="0"/>
              <w:left w:val="nil"/>
              <w:bottom w:val="single" w:color="auto" w:sz="4" w:space="0"/>
              <w:right w:val="single" w:color="auto" w:sz="4" w:space="0"/>
            </w:tcBorders>
            <w:shd w:val="clear" w:color="auto" w:fill="auto"/>
            <w:vAlign w:val="center"/>
          </w:tcPr>
          <w:p w14:paraId="6F1FF48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500" w:type="pct"/>
            <w:tcBorders>
              <w:top w:val="single" w:color="auto" w:sz="4" w:space="0"/>
              <w:left w:val="nil"/>
              <w:bottom w:val="single" w:color="auto" w:sz="4" w:space="0"/>
              <w:right w:val="single" w:color="auto" w:sz="4" w:space="0"/>
            </w:tcBorders>
            <w:shd w:val="clear" w:color="auto" w:fill="auto"/>
            <w:vAlign w:val="center"/>
          </w:tcPr>
          <w:p w14:paraId="635876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500" w:type="pct"/>
            <w:tcBorders>
              <w:top w:val="single" w:color="auto" w:sz="4" w:space="0"/>
              <w:left w:val="nil"/>
              <w:bottom w:val="single" w:color="auto" w:sz="4" w:space="0"/>
              <w:right w:val="single" w:color="auto" w:sz="4" w:space="0"/>
            </w:tcBorders>
            <w:shd w:val="clear" w:color="auto" w:fill="auto"/>
            <w:vAlign w:val="center"/>
          </w:tcPr>
          <w:p w14:paraId="08F4C83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2037年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2523205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2038年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7D60E7B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2039年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6837ECE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2040年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0CF192B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2041年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4F4910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2042年</w:t>
            </w:r>
          </w:p>
        </w:tc>
        <w:tc>
          <w:tcPr>
            <w:tcW w:w="500" w:type="pct"/>
            <w:tcBorders>
              <w:top w:val="single" w:color="auto" w:sz="4" w:space="0"/>
              <w:left w:val="nil"/>
              <w:bottom w:val="single" w:color="auto" w:sz="4" w:space="0"/>
              <w:right w:val="single" w:color="auto" w:sz="4" w:space="0"/>
            </w:tcBorders>
            <w:shd w:val="clear" w:color="auto" w:fill="auto"/>
            <w:vAlign w:val="center"/>
          </w:tcPr>
          <w:p w14:paraId="727FC4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2043年</w:t>
            </w:r>
          </w:p>
        </w:tc>
      </w:tr>
      <w:tr w14:paraId="37698F12">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6B8D5A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742" w:type="pct"/>
            <w:tcBorders>
              <w:top w:val="nil"/>
              <w:left w:val="nil"/>
              <w:bottom w:val="single" w:color="auto" w:sz="4" w:space="0"/>
              <w:right w:val="single" w:color="auto" w:sz="4" w:space="0"/>
            </w:tcBorders>
            <w:shd w:val="clear" w:color="auto" w:fill="auto"/>
            <w:vAlign w:val="center"/>
          </w:tcPr>
          <w:p w14:paraId="643BD19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500" w:type="pct"/>
            <w:tcBorders>
              <w:top w:val="nil"/>
              <w:left w:val="nil"/>
              <w:bottom w:val="single" w:color="auto" w:sz="4" w:space="0"/>
              <w:right w:val="single" w:color="auto" w:sz="4" w:space="0"/>
            </w:tcBorders>
            <w:shd w:val="clear" w:color="auto" w:fill="auto"/>
            <w:vAlign w:val="center"/>
          </w:tcPr>
          <w:p w14:paraId="376624FD">
            <w:pPr>
              <w:widowControl/>
              <w:jc w:val="center"/>
              <w:rPr>
                <w:rFonts w:ascii="宋体" w:hAnsi="宋体" w:cs="宋体"/>
                <w:color w:val="000000"/>
                <w:kern w:val="0"/>
                <w:sz w:val="18"/>
                <w:szCs w:val="18"/>
              </w:rPr>
            </w:pPr>
            <w:r>
              <w:rPr>
                <w:rFonts w:hint="eastAsia" w:ascii="宋体" w:hAnsi="宋体" w:cs="宋体"/>
                <w:color w:val="000000"/>
                <w:kern w:val="0"/>
                <w:sz w:val="18"/>
                <w:szCs w:val="18"/>
              </w:rPr>
              <w:t>332,772.58</w:t>
            </w:r>
          </w:p>
        </w:tc>
        <w:tc>
          <w:tcPr>
            <w:tcW w:w="500" w:type="pct"/>
            <w:tcBorders>
              <w:top w:val="nil"/>
              <w:left w:val="nil"/>
              <w:bottom w:val="single" w:color="auto" w:sz="4" w:space="0"/>
              <w:right w:val="single" w:color="auto" w:sz="4" w:space="0"/>
            </w:tcBorders>
            <w:shd w:val="clear" w:color="auto" w:fill="auto"/>
            <w:vAlign w:val="center"/>
          </w:tcPr>
          <w:p w14:paraId="49ACB55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E88396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C68A9D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90EAC9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04D039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22FD2B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78D312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60902735">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F5690FC">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pct"/>
            <w:tcBorders>
              <w:top w:val="nil"/>
              <w:left w:val="nil"/>
              <w:bottom w:val="single" w:color="auto" w:sz="4" w:space="0"/>
              <w:right w:val="single" w:color="auto" w:sz="4" w:space="0"/>
            </w:tcBorders>
            <w:shd w:val="clear" w:color="auto" w:fill="auto"/>
            <w:vAlign w:val="center"/>
          </w:tcPr>
          <w:p w14:paraId="50B94276">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500" w:type="pct"/>
            <w:tcBorders>
              <w:top w:val="nil"/>
              <w:left w:val="nil"/>
              <w:bottom w:val="single" w:color="auto" w:sz="4" w:space="0"/>
              <w:right w:val="single" w:color="auto" w:sz="4" w:space="0"/>
            </w:tcBorders>
            <w:shd w:val="clear" w:color="auto" w:fill="auto"/>
            <w:vAlign w:val="center"/>
          </w:tcPr>
          <w:p w14:paraId="2360821B">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500" w:type="pct"/>
            <w:tcBorders>
              <w:top w:val="nil"/>
              <w:left w:val="nil"/>
              <w:bottom w:val="single" w:color="auto" w:sz="4" w:space="0"/>
              <w:right w:val="single" w:color="auto" w:sz="4" w:space="0"/>
            </w:tcBorders>
            <w:shd w:val="clear" w:color="auto" w:fill="auto"/>
            <w:vAlign w:val="center"/>
          </w:tcPr>
          <w:p w14:paraId="3C7B11F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EC9B5F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7239BB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1C5BEC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D930D1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6B778C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899AF1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A770986">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4651A4B">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42" w:type="pct"/>
            <w:tcBorders>
              <w:top w:val="nil"/>
              <w:left w:val="nil"/>
              <w:bottom w:val="single" w:color="auto" w:sz="4" w:space="0"/>
              <w:right w:val="single" w:color="auto" w:sz="4" w:space="0"/>
            </w:tcBorders>
            <w:shd w:val="clear" w:color="auto" w:fill="auto"/>
            <w:vAlign w:val="center"/>
          </w:tcPr>
          <w:p w14:paraId="71F1CCB1">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500" w:type="pct"/>
            <w:tcBorders>
              <w:top w:val="nil"/>
              <w:left w:val="nil"/>
              <w:bottom w:val="single" w:color="auto" w:sz="4" w:space="0"/>
              <w:right w:val="single" w:color="auto" w:sz="4" w:space="0"/>
            </w:tcBorders>
            <w:shd w:val="clear" w:color="auto" w:fill="auto"/>
            <w:vAlign w:val="center"/>
          </w:tcPr>
          <w:p w14:paraId="60BCBEB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C00173A">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62ED07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558E251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25BF3CA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6AEF9CEC">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19619E3F">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4F4AE58B">
            <w:pPr>
              <w:widowControl/>
              <w:jc w:val="center"/>
              <w:rPr>
                <w:rFonts w:ascii="宋体" w:hAnsi="宋体" w:cs="宋体"/>
                <w:color w:val="000000"/>
                <w:kern w:val="0"/>
                <w:sz w:val="18"/>
                <w:szCs w:val="18"/>
              </w:rPr>
            </w:pPr>
          </w:p>
        </w:tc>
      </w:tr>
      <w:tr w14:paraId="54930A6C">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7CEFB1AA">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42" w:type="pct"/>
            <w:tcBorders>
              <w:top w:val="nil"/>
              <w:left w:val="nil"/>
              <w:bottom w:val="single" w:color="auto" w:sz="4" w:space="0"/>
              <w:right w:val="single" w:color="auto" w:sz="4" w:space="0"/>
            </w:tcBorders>
            <w:shd w:val="clear" w:color="auto" w:fill="auto"/>
            <w:vAlign w:val="center"/>
          </w:tcPr>
          <w:p w14:paraId="3030BD32">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500" w:type="pct"/>
            <w:tcBorders>
              <w:top w:val="nil"/>
              <w:left w:val="nil"/>
              <w:bottom w:val="single" w:color="auto" w:sz="4" w:space="0"/>
              <w:right w:val="single" w:color="auto" w:sz="4" w:space="0"/>
            </w:tcBorders>
            <w:shd w:val="clear" w:color="auto" w:fill="auto"/>
            <w:vAlign w:val="center"/>
          </w:tcPr>
          <w:p w14:paraId="48E0C6C9">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500" w:type="pct"/>
            <w:tcBorders>
              <w:top w:val="nil"/>
              <w:left w:val="nil"/>
              <w:bottom w:val="single" w:color="auto" w:sz="4" w:space="0"/>
              <w:right w:val="single" w:color="auto" w:sz="4" w:space="0"/>
            </w:tcBorders>
            <w:shd w:val="clear" w:color="auto" w:fill="auto"/>
            <w:noWrap/>
            <w:vAlign w:val="center"/>
          </w:tcPr>
          <w:p w14:paraId="4FBF14B2">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C0343A6">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6FB988F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70980B4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01DEF8B7">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12B5AA1B">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4E8CD6A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712425D6">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A89323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42" w:type="pct"/>
            <w:tcBorders>
              <w:top w:val="nil"/>
              <w:left w:val="nil"/>
              <w:bottom w:val="single" w:color="auto" w:sz="4" w:space="0"/>
              <w:right w:val="single" w:color="auto" w:sz="4" w:space="0"/>
            </w:tcBorders>
            <w:shd w:val="clear" w:color="auto" w:fill="auto"/>
            <w:vAlign w:val="center"/>
          </w:tcPr>
          <w:p w14:paraId="716A161D">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500" w:type="pct"/>
            <w:tcBorders>
              <w:top w:val="nil"/>
              <w:left w:val="nil"/>
              <w:bottom w:val="single" w:color="auto" w:sz="4" w:space="0"/>
              <w:right w:val="single" w:color="auto" w:sz="4" w:space="0"/>
            </w:tcBorders>
            <w:shd w:val="clear" w:color="auto" w:fill="auto"/>
            <w:vAlign w:val="center"/>
          </w:tcPr>
          <w:p w14:paraId="074FB961">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vAlign w:val="center"/>
          </w:tcPr>
          <w:p w14:paraId="5DF2854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985410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4183C8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349700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DA69F5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E5E3EF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3E1196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4E563D6">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3E5D1072">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742" w:type="pct"/>
            <w:tcBorders>
              <w:top w:val="nil"/>
              <w:left w:val="nil"/>
              <w:bottom w:val="single" w:color="auto" w:sz="4" w:space="0"/>
              <w:right w:val="single" w:color="auto" w:sz="4" w:space="0"/>
            </w:tcBorders>
            <w:shd w:val="clear" w:color="auto" w:fill="auto"/>
            <w:vAlign w:val="center"/>
          </w:tcPr>
          <w:p w14:paraId="387E95E9">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500" w:type="pct"/>
            <w:tcBorders>
              <w:top w:val="nil"/>
              <w:left w:val="nil"/>
              <w:bottom w:val="single" w:color="auto" w:sz="4" w:space="0"/>
              <w:right w:val="single" w:color="auto" w:sz="4" w:space="0"/>
            </w:tcBorders>
            <w:shd w:val="clear" w:color="auto" w:fill="auto"/>
            <w:vAlign w:val="center"/>
          </w:tcPr>
          <w:p w14:paraId="660A9A80">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vAlign w:val="center"/>
          </w:tcPr>
          <w:p w14:paraId="12DD645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87295B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429356DB">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63E223E">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6C1FEBF">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6C8E70D">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DACB13B">
            <w:pPr>
              <w:widowControl/>
              <w:jc w:val="center"/>
              <w:rPr>
                <w:rFonts w:ascii="宋体" w:hAnsi="宋体" w:cs="宋体"/>
                <w:color w:val="000000"/>
                <w:kern w:val="0"/>
                <w:sz w:val="18"/>
                <w:szCs w:val="18"/>
              </w:rPr>
            </w:pPr>
          </w:p>
        </w:tc>
      </w:tr>
      <w:tr w14:paraId="2AB51766">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6AB2ECC0">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742" w:type="pct"/>
            <w:tcBorders>
              <w:top w:val="nil"/>
              <w:left w:val="nil"/>
              <w:bottom w:val="single" w:color="auto" w:sz="4" w:space="0"/>
              <w:right w:val="single" w:color="auto" w:sz="4" w:space="0"/>
            </w:tcBorders>
            <w:shd w:val="clear" w:color="auto" w:fill="auto"/>
            <w:vAlign w:val="center"/>
          </w:tcPr>
          <w:p w14:paraId="34587C85">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500" w:type="pct"/>
            <w:tcBorders>
              <w:top w:val="nil"/>
              <w:left w:val="nil"/>
              <w:bottom w:val="single" w:color="auto" w:sz="4" w:space="0"/>
              <w:right w:val="single" w:color="auto" w:sz="4" w:space="0"/>
            </w:tcBorders>
            <w:shd w:val="clear" w:color="auto" w:fill="auto"/>
            <w:vAlign w:val="center"/>
          </w:tcPr>
          <w:p w14:paraId="4140735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2390D68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B7E01E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E521E2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CFC61F7">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3811B92">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4CF0526">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2C6CC11">
            <w:pPr>
              <w:widowControl/>
              <w:jc w:val="center"/>
              <w:rPr>
                <w:rFonts w:ascii="宋体" w:hAnsi="宋体" w:cs="宋体"/>
                <w:color w:val="000000"/>
                <w:kern w:val="0"/>
                <w:sz w:val="18"/>
                <w:szCs w:val="18"/>
              </w:rPr>
            </w:pPr>
          </w:p>
        </w:tc>
      </w:tr>
      <w:tr w14:paraId="65361697">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49D95722">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42" w:type="pct"/>
            <w:tcBorders>
              <w:top w:val="nil"/>
              <w:left w:val="nil"/>
              <w:bottom w:val="single" w:color="auto" w:sz="4" w:space="0"/>
              <w:right w:val="single" w:color="auto" w:sz="4" w:space="0"/>
            </w:tcBorders>
            <w:shd w:val="clear" w:color="auto" w:fill="auto"/>
            <w:vAlign w:val="center"/>
          </w:tcPr>
          <w:p w14:paraId="4FB3D167">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500" w:type="pct"/>
            <w:tcBorders>
              <w:top w:val="nil"/>
              <w:left w:val="nil"/>
              <w:bottom w:val="single" w:color="auto" w:sz="4" w:space="0"/>
              <w:right w:val="single" w:color="auto" w:sz="4" w:space="0"/>
            </w:tcBorders>
            <w:shd w:val="clear" w:color="auto" w:fill="auto"/>
            <w:vAlign w:val="center"/>
          </w:tcPr>
          <w:p w14:paraId="6F739350">
            <w:pPr>
              <w:widowControl/>
              <w:jc w:val="center"/>
              <w:rPr>
                <w:rFonts w:ascii="宋体" w:hAnsi="宋体" w:cs="宋体"/>
                <w:color w:val="000000"/>
                <w:kern w:val="0"/>
                <w:sz w:val="18"/>
                <w:szCs w:val="18"/>
              </w:rPr>
            </w:pPr>
            <w:r>
              <w:rPr>
                <w:rFonts w:hint="eastAsia" w:ascii="宋体" w:hAnsi="宋体" w:cs="宋体"/>
                <w:color w:val="000000"/>
                <w:kern w:val="0"/>
                <w:sz w:val="18"/>
                <w:szCs w:val="18"/>
              </w:rPr>
              <w:t>9,651.34</w:t>
            </w:r>
          </w:p>
        </w:tc>
        <w:tc>
          <w:tcPr>
            <w:tcW w:w="500" w:type="pct"/>
            <w:tcBorders>
              <w:top w:val="nil"/>
              <w:left w:val="nil"/>
              <w:bottom w:val="single" w:color="auto" w:sz="4" w:space="0"/>
              <w:right w:val="single" w:color="auto" w:sz="4" w:space="0"/>
            </w:tcBorders>
            <w:shd w:val="clear" w:color="auto" w:fill="auto"/>
            <w:vAlign w:val="center"/>
          </w:tcPr>
          <w:p w14:paraId="57E1A9D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EC014C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48B07FB">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5591E013">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7F4F86F1">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01803673">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E88B91E">
            <w:pPr>
              <w:widowControl/>
              <w:jc w:val="center"/>
              <w:rPr>
                <w:rFonts w:ascii="宋体" w:hAnsi="宋体" w:cs="宋体"/>
                <w:color w:val="000000"/>
                <w:kern w:val="0"/>
                <w:sz w:val="18"/>
                <w:szCs w:val="18"/>
              </w:rPr>
            </w:pPr>
          </w:p>
        </w:tc>
      </w:tr>
      <w:tr w14:paraId="52EADF6C">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78152CE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742" w:type="pct"/>
            <w:tcBorders>
              <w:top w:val="nil"/>
              <w:left w:val="nil"/>
              <w:bottom w:val="single" w:color="auto" w:sz="4" w:space="0"/>
              <w:right w:val="single" w:color="auto" w:sz="4" w:space="0"/>
            </w:tcBorders>
            <w:shd w:val="clear" w:color="auto" w:fill="auto"/>
            <w:vAlign w:val="center"/>
          </w:tcPr>
          <w:p w14:paraId="4B835E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500" w:type="pct"/>
            <w:tcBorders>
              <w:top w:val="nil"/>
              <w:left w:val="nil"/>
              <w:bottom w:val="single" w:color="auto" w:sz="4" w:space="0"/>
              <w:right w:val="single" w:color="auto" w:sz="4" w:space="0"/>
            </w:tcBorders>
            <w:shd w:val="clear" w:color="auto" w:fill="auto"/>
            <w:vAlign w:val="center"/>
          </w:tcPr>
          <w:p w14:paraId="03BF0FE3">
            <w:pPr>
              <w:widowControl/>
              <w:jc w:val="center"/>
              <w:rPr>
                <w:rFonts w:ascii="宋体" w:hAnsi="宋体" w:cs="宋体"/>
                <w:color w:val="000000"/>
                <w:kern w:val="0"/>
                <w:sz w:val="18"/>
                <w:szCs w:val="18"/>
              </w:rPr>
            </w:pPr>
            <w:r>
              <w:rPr>
                <w:rFonts w:hint="eastAsia" w:ascii="宋体" w:hAnsi="宋体" w:cs="宋体"/>
                <w:color w:val="000000"/>
                <w:kern w:val="0"/>
                <w:sz w:val="18"/>
                <w:szCs w:val="18"/>
              </w:rPr>
              <w:t>70,199.71</w:t>
            </w:r>
          </w:p>
        </w:tc>
        <w:tc>
          <w:tcPr>
            <w:tcW w:w="500" w:type="pct"/>
            <w:tcBorders>
              <w:top w:val="nil"/>
              <w:left w:val="nil"/>
              <w:bottom w:val="single" w:color="auto" w:sz="4" w:space="0"/>
              <w:right w:val="single" w:color="auto" w:sz="4" w:space="0"/>
            </w:tcBorders>
            <w:shd w:val="clear" w:color="auto" w:fill="auto"/>
            <w:vAlign w:val="center"/>
          </w:tcPr>
          <w:p w14:paraId="2B6AD9A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1476874D">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D8F2CB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1556DF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37BDC97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45BD41B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04C5F05">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48403DD6">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D92AB6A">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42" w:type="pct"/>
            <w:tcBorders>
              <w:top w:val="nil"/>
              <w:left w:val="nil"/>
              <w:bottom w:val="single" w:color="auto" w:sz="4" w:space="0"/>
              <w:right w:val="single" w:color="auto" w:sz="4" w:space="0"/>
            </w:tcBorders>
            <w:shd w:val="clear" w:color="auto" w:fill="auto"/>
            <w:vAlign w:val="center"/>
          </w:tcPr>
          <w:p w14:paraId="2C4F4E0E">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500" w:type="pct"/>
            <w:tcBorders>
              <w:top w:val="nil"/>
              <w:left w:val="nil"/>
              <w:bottom w:val="single" w:color="auto" w:sz="4" w:space="0"/>
              <w:right w:val="single" w:color="auto" w:sz="4" w:space="0"/>
            </w:tcBorders>
            <w:shd w:val="clear" w:color="auto" w:fill="auto"/>
            <w:vAlign w:val="center"/>
          </w:tcPr>
          <w:p w14:paraId="0DC636FB">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500" w:type="pct"/>
            <w:tcBorders>
              <w:top w:val="nil"/>
              <w:left w:val="nil"/>
              <w:bottom w:val="single" w:color="auto" w:sz="4" w:space="0"/>
              <w:right w:val="single" w:color="auto" w:sz="4" w:space="0"/>
            </w:tcBorders>
            <w:shd w:val="clear" w:color="auto" w:fill="auto"/>
            <w:vAlign w:val="center"/>
          </w:tcPr>
          <w:p w14:paraId="2290C71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4BF914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B857AD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1715B1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700D5C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51C4D5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009F475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73ADF606">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0417382">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42" w:type="pct"/>
            <w:tcBorders>
              <w:top w:val="nil"/>
              <w:left w:val="nil"/>
              <w:bottom w:val="single" w:color="auto" w:sz="4" w:space="0"/>
              <w:right w:val="single" w:color="auto" w:sz="4" w:space="0"/>
            </w:tcBorders>
            <w:shd w:val="clear" w:color="auto" w:fill="auto"/>
            <w:vAlign w:val="center"/>
          </w:tcPr>
          <w:p w14:paraId="561F9C92">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500" w:type="pct"/>
            <w:tcBorders>
              <w:top w:val="nil"/>
              <w:left w:val="nil"/>
              <w:bottom w:val="single" w:color="auto" w:sz="4" w:space="0"/>
              <w:right w:val="single" w:color="auto" w:sz="4" w:space="0"/>
            </w:tcBorders>
            <w:shd w:val="clear" w:color="auto" w:fill="auto"/>
            <w:vAlign w:val="center"/>
          </w:tcPr>
          <w:p w14:paraId="3D73F57B">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500" w:type="pct"/>
            <w:tcBorders>
              <w:top w:val="nil"/>
              <w:left w:val="nil"/>
              <w:bottom w:val="single" w:color="auto" w:sz="4" w:space="0"/>
              <w:right w:val="single" w:color="auto" w:sz="4" w:space="0"/>
            </w:tcBorders>
            <w:shd w:val="clear" w:color="auto" w:fill="auto"/>
            <w:noWrap/>
            <w:vAlign w:val="center"/>
          </w:tcPr>
          <w:p w14:paraId="7CE351D9">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342EED1B">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09C16F61">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AC24149">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4196259">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5475529F">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500" w:type="pct"/>
            <w:tcBorders>
              <w:top w:val="nil"/>
              <w:left w:val="nil"/>
              <w:bottom w:val="single" w:color="auto" w:sz="4" w:space="0"/>
              <w:right w:val="single" w:color="auto" w:sz="4" w:space="0"/>
            </w:tcBorders>
            <w:shd w:val="clear" w:color="auto" w:fill="auto"/>
            <w:noWrap/>
            <w:vAlign w:val="center"/>
          </w:tcPr>
          <w:p w14:paraId="60CEEDE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1EDC14EA">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512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42" w:type="pct"/>
            <w:tcBorders>
              <w:top w:val="nil"/>
              <w:left w:val="nil"/>
              <w:bottom w:val="single" w:color="auto" w:sz="4" w:space="0"/>
              <w:right w:val="single" w:color="auto" w:sz="4" w:space="0"/>
            </w:tcBorders>
            <w:shd w:val="clear" w:color="auto" w:fill="auto"/>
            <w:vAlign w:val="center"/>
          </w:tcPr>
          <w:p w14:paraId="04C285DB">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500" w:type="pct"/>
            <w:tcBorders>
              <w:top w:val="nil"/>
              <w:left w:val="nil"/>
              <w:bottom w:val="single" w:color="auto" w:sz="4" w:space="0"/>
              <w:right w:val="single" w:color="auto" w:sz="4" w:space="0"/>
            </w:tcBorders>
            <w:shd w:val="clear" w:color="auto" w:fill="auto"/>
            <w:vAlign w:val="center"/>
          </w:tcPr>
          <w:p w14:paraId="1D3BE44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399D26B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4E99F9F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776E747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0762AF7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5D55956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13C90B0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2EB5953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CCC4D0B">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6BD5534">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42" w:type="pct"/>
            <w:tcBorders>
              <w:top w:val="nil"/>
              <w:left w:val="nil"/>
              <w:bottom w:val="single" w:color="auto" w:sz="4" w:space="0"/>
              <w:right w:val="single" w:color="auto" w:sz="4" w:space="0"/>
            </w:tcBorders>
            <w:shd w:val="clear" w:color="auto" w:fill="auto"/>
            <w:vAlign w:val="center"/>
          </w:tcPr>
          <w:p w14:paraId="538A6024">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500" w:type="pct"/>
            <w:tcBorders>
              <w:top w:val="nil"/>
              <w:left w:val="nil"/>
              <w:bottom w:val="single" w:color="auto" w:sz="4" w:space="0"/>
              <w:right w:val="single" w:color="auto" w:sz="4" w:space="0"/>
            </w:tcBorders>
            <w:shd w:val="clear" w:color="auto" w:fill="auto"/>
            <w:vAlign w:val="center"/>
          </w:tcPr>
          <w:p w14:paraId="45AFF34F">
            <w:pPr>
              <w:widowControl/>
              <w:jc w:val="center"/>
              <w:rPr>
                <w:rFonts w:ascii="宋体" w:hAnsi="宋体" w:cs="宋体"/>
                <w:color w:val="000000"/>
                <w:kern w:val="0"/>
                <w:sz w:val="18"/>
                <w:szCs w:val="18"/>
              </w:rPr>
            </w:pPr>
            <w:r>
              <w:rPr>
                <w:rFonts w:hint="eastAsia" w:ascii="宋体" w:hAnsi="宋体" w:cs="宋体"/>
                <w:color w:val="000000"/>
                <w:kern w:val="0"/>
                <w:sz w:val="18"/>
                <w:szCs w:val="18"/>
              </w:rPr>
              <w:t>32,399.99</w:t>
            </w:r>
          </w:p>
        </w:tc>
        <w:tc>
          <w:tcPr>
            <w:tcW w:w="500" w:type="pct"/>
            <w:tcBorders>
              <w:top w:val="nil"/>
              <w:left w:val="nil"/>
              <w:bottom w:val="single" w:color="auto" w:sz="4" w:space="0"/>
              <w:right w:val="single" w:color="auto" w:sz="4" w:space="0"/>
            </w:tcBorders>
            <w:shd w:val="clear" w:color="auto" w:fill="auto"/>
            <w:vAlign w:val="center"/>
          </w:tcPr>
          <w:p w14:paraId="39323F77">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3B31A3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7DFFE6E">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DE5913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6EFCD86D">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35849DDC">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18821755">
            <w:pPr>
              <w:widowControl/>
              <w:jc w:val="center"/>
              <w:rPr>
                <w:rFonts w:ascii="宋体" w:hAnsi="宋体" w:cs="宋体"/>
                <w:color w:val="000000"/>
                <w:kern w:val="0"/>
                <w:sz w:val="18"/>
                <w:szCs w:val="18"/>
              </w:rPr>
            </w:pPr>
          </w:p>
        </w:tc>
      </w:tr>
      <w:tr w14:paraId="26D3AD31">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FB2D4E5">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42" w:type="pct"/>
            <w:tcBorders>
              <w:top w:val="nil"/>
              <w:left w:val="nil"/>
              <w:bottom w:val="single" w:color="auto" w:sz="4" w:space="0"/>
              <w:right w:val="single" w:color="auto" w:sz="4" w:space="0"/>
            </w:tcBorders>
            <w:shd w:val="clear" w:color="auto" w:fill="auto"/>
            <w:vAlign w:val="center"/>
          </w:tcPr>
          <w:p w14:paraId="4CA350A2">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500" w:type="pct"/>
            <w:tcBorders>
              <w:top w:val="nil"/>
              <w:left w:val="nil"/>
              <w:bottom w:val="single" w:color="auto" w:sz="4" w:space="0"/>
              <w:right w:val="single" w:color="auto" w:sz="4" w:space="0"/>
            </w:tcBorders>
            <w:shd w:val="clear" w:color="auto" w:fill="auto"/>
            <w:vAlign w:val="center"/>
          </w:tcPr>
          <w:p w14:paraId="44D8532A">
            <w:pPr>
              <w:widowControl/>
              <w:jc w:val="center"/>
              <w:rPr>
                <w:rFonts w:ascii="宋体" w:hAnsi="宋体" w:cs="宋体"/>
                <w:color w:val="000000"/>
                <w:kern w:val="0"/>
                <w:sz w:val="18"/>
                <w:szCs w:val="18"/>
              </w:rPr>
            </w:pPr>
            <w:r>
              <w:rPr>
                <w:rFonts w:hint="eastAsia" w:ascii="宋体" w:hAnsi="宋体" w:cs="宋体"/>
                <w:color w:val="000000"/>
                <w:kern w:val="0"/>
                <w:sz w:val="18"/>
                <w:szCs w:val="18"/>
              </w:rPr>
              <w:t>31,796.30</w:t>
            </w:r>
          </w:p>
        </w:tc>
        <w:tc>
          <w:tcPr>
            <w:tcW w:w="500" w:type="pct"/>
            <w:tcBorders>
              <w:top w:val="nil"/>
              <w:left w:val="nil"/>
              <w:bottom w:val="single" w:color="auto" w:sz="4" w:space="0"/>
              <w:right w:val="single" w:color="auto" w:sz="4" w:space="0"/>
            </w:tcBorders>
            <w:shd w:val="clear" w:color="auto" w:fill="auto"/>
            <w:vAlign w:val="center"/>
          </w:tcPr>
          <w:p w14:paraId="298F8E8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36ABFFD">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4341D36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5900A7D">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F803FF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0B67A29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1961623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046A2C17">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7E91B4D3">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742" w:type="pct"/>
            <w:tcBorders>
              <w:top w:val="nil"/>
              <w:left w:val="nil"/>
              <w:bottom w:val="single" w:color="auto" w:sz="4" w:space="0"/>
              <w:right w:val="single" w:color="auto" w:sz="4" w:space="0"/>
            </w:tcBorders>
            <w:shd w:val="clear" w:color="auto" w:fill="auto"/>
            <w:vAlign w:val="center"/>
          </w:tcPr>
          <w:p w14:paraId="3A1E6FE3">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500" w:type="pct"/>
            <w:tcBorders>
              <w:top w:val="nil"/>
              <w:left w:val="nil"/>
              <w:bottom w:val="single" w:color="auto" w:sz="4" w:space="0"/>
              <w:right w:val="single" w:color="auto" w:sz="4" w:space="0"/>
            </w:tcBorders>
            <w:shd w:val="clear" w:color="auto" w:fill="auto"/>
            <w:vAlign w:val="center"/>
          </w:tcPr>
          <w:p w14:paraId="7A0E93EA">
            <w:pPr>
              <w:widowControl/>
              <w:jc w:val="center"/>
              <w:rPr>
                <w:rFonts w:ascii="宋体" w:hAnsi="宋体" w:cs="宋体"/>
                <w:color w:val="000000"/>
                <w:kern w:val="0"/>
                <w:sz w:val="18"/>
                <w:szCs w:val="18"/>
              </w:rPr>
            </w:pPr>
            <w:r>
              <w:rPr>
                <w:rFonts w:hint="eastAsia" w:ascii="宋体" w:hAnsi="宋体" w:cs="宋体"/>
                <w:color w:val="000000"/>
                <w:kern w:val="0"/>
                <w:sz w:val="18"/>
                <w:szCs w:val="18"/>
              </w:rPr>
              <w:t>18.95</w:t>
            </w:r>
          </w:p>
        </w:tc>
        <w:tc>
          <w:tcPr>
            <w:tcW w:w="500" w:type="pct"/>
            <w:tcBorders>
              <w:top w:val="nil"/>
              <w:left w:val="nil"/>
              <w:bottom w:val="single" w:color="auto" w:sz="4" w:space="0"/>
              <w:right w:val="single" w:color="auto" w:sz="4" w:space="0"/>
            </w:tcBorders>
            <w:shd w:val="clear" w:color="auto" w:fill="auto"/>
            <w:vAlign w:val="center"/>
          </w:tcPr>
          <w:p w14:paraId="31DEAF50">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3682738">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03DEEA9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0E3D5F1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685F5359">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23F1C034">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79438C02">
            <w:pPr>
              <w:widowControl/>
              <w:jc w:val="center"/>
              <w:rPr>
                <w:rFonts w:ascii="宋体" w:hAnsi="宋体" w:cs="宋体"/>
                <w:color w:val="000000"/>
                <w:kern w:val="0"/>
                <w:sz w:val="18"/>
                <w:szCs w:val="18"/>
              </w:rPr>
            </w:pPr>
          </w:p>
        </w:tc>
      </w:tr>
      <w:tr w14:paraId="6EA7355C">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2FECAC31">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42" w:type="pct"/>
            <w:tcBorders>
              <w:top w:val="nil"/>
              <w:left w:val="nil"/>
              <w:bottom w:val="single" w:color="auto" w:sz="4" w:space="0"/>
              <w:right w:val="single" w:color="auto" w:sz="4" w:space="0"/>
            </w:tcBorders>
            <w:shd w:val="clear" w:color="auto" w:fill="auto"/>
            <w:vAlign w:val="center"/>
          </w:tcPr>
          <w:p w14:paraId="29F02147">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500" w:type="pct"/>
            <w:tcBorders>
              <w:top w:val="nil"/>
              <w:left w:val="nil"/>
              <w:bottom w:val="single" w:color="auto" w:sz="4" w:space="0"/>
              <w:right w:val="single" w:color="auto" w:sz="4" w:space="0"/>
            </w:tcBorders>
            <w:shd w:val="clear" w:color="auto" w:fill="auto"/>
            <w:vAlign w:val="center"/>
          </w:tcPr>
          <w:p w14:paraId="51AC9615">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500" w:type="pct"/>
            <w:tcBorders>
              <w:top w:val="nil"/>
              <w:left w:val="nil"/>
              <w:bottom w:val="single" w:color="auto" w:sz="4" w:space="0"/>
              <w:right w:val="single" w:color="auto" w:sz="4" w:space="0"/>
            </w:tcBorders>
            <w:shd w:val="clear" w:color="auto" w:fill="auto"/>
            <w:noWrap/>
            <w:vAlign w:val="center"/>
          </w:tcPr>
          <w:p w14:paraId="0AA3DD4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002A407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1A7AFA4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1449C8E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48309D8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408609D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34F9A1D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345E278B">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7A8E1D2">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742" w:type="pct"/>
            <w:tcBorders>
              <w:top w:val="nil"/>
              <w:left w:val="nil"/>
              <w:bottom w:val="single" w:color="auto" w:sz="4" w:space="0"/>
              <w:right w:val="single" w:color="auto" w:sz="4" w:space="0"/>
            </w:tcBorders>
            <w:shd w:val="clear" w:color="auto" w:fill="auto"/>
            <w:vAlign w:val="center"/>
          </w:tcPr>
          <w:p w14:paraId="3108274A">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500" w:type="pct"/>
            <w:tcBorders>
              <w:top w:val="nil"/>
              <w:left w:val="nil"/>
              <w:bottom w:val="single" w:color="auto" w:sz="4" w:space="0"/>
              <w:right w:val="single" w:color="auto" w:sz="4" w:space="0"/>
            </w:tcBorders>
            <w:shd w:val="clear" w:color="auto" w:fill="auto"/>
            <w:vAlign w:val="center"/>
          </w:tcPr>
          <w:p w14:paraId="41E6F525">
            <w:pPr>
              <w:widowControl/>
              <w:jc w:val="center"/>
              <w:rPr>
                <w:rFonts w:ascii="宋体" w:hAnsi="宋体" w:cs="宋体"/>
                <w:color w:val="000000"/>
                <w:kern w:val="0"/>
                <w:sz w:val="18"/>
                <w:szCs w:val="18"/>
              </w:rPr>
            </w:pPr>
            <w:r>
              <w:rPr>
                <w:rFonts w:hint="eastAsia" w:ascii="宋体" w:hAnsi="宋体" w:cs="宋体"/>
                <w:color w:val="000000"/>
                <w:kern w:val="0"/>
                <w:sz w:val="18"/>
                <w:szCs w:val="18"/>
              </w:rPr>
              <w:t>8,827.35</w:t>
            </w:r>
          </w:p>
        </w:tc>
        <w:tc>
          <w:tcPr>
            <w:tcW w:w="500" w:type="pct"/>
            <w:tcBorders>
              <w:top w:val="nil"/>
              <w:left w:val="nil"/>
              <w:bottom w:val="single" w:color="auto" w:sz="4" w:space="0"/>
              <w:right w:val="single" w:color="auto" w:sz="4" w:space="0"/>
            </w:tcBorders>
            <w:shd w:val="clear" w:color="auto" w:fill="auto"/>
            <w:noWrap/>
            <w:vAlign w:val="center"/>
          </w:tcPr>
          <w:p w14:paraId="1AD8FA4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3D707C1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06E02388">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5B6DADF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5817278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60BBFDF6">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noWrap/>
            <w:vAlign w:val="center"/>
          </w:tcPr>
          <w:p w14:paraId="3978893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4F5DEFCC">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58B596A">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742" w:type="pct"/>
            <w:tcBorders>
              <w:top w:val="nil"/>
              <w:left w:val="nil"/>
              <w:bottom w:val="single" w:color="auto" w:sz="4" w:space="0"/>
              <w:right w:val="single" w:color="auto" w:sz="4" w:space="0"/>
            </w:tcBorders>
            <w:shd w:val="clear" w:color="auto" w:fill="auto"/>
            <w:vAlign w:val="center"/>
          </w:tcPr>
          <w:p w14:paraId="27CD3CC4">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500" w:type="pct"/>
            <w:tcBorders>
              <w:top w:val="nil"/>
              <w:left w:val="nil"/>
              <w:bottom w:val="single" w:color="auto" w:sz="4" w:space="0"/>
              <w:right w:val="single" w:color="auto" w:sz="4" w:space="0"/>
            </w:tcBorders>
            <w:shd w:val="clear" w:color="auto" w:fill="auto"/>
            <w:vAlign w:val="center"/>
          </w:tcPr>
          <w:p w14:paraId="65F41BB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3C6AC5FD">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vAlign w:val="center"/>
          </w:tcPr>
          <w:p w14:paraId="21324D1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6DF6400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noWrap/>
            <w:vAlign w:val="center"/>
          </w:tcPr>
          <w:p w14:paraId="6ACD522D">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5757E5E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3446A465">
            <w:pPr>
              <w:widowControl/>
              <w:jc w:val="center"/>
              <w:rPr>
                <w:rFonts w:ascii="宋体" w:hAnsi="宋体" w:cs="宋体"/>
                <w:color w:val="000000"/>
                <w:kern w:val="0"/>
                <w:sz w:val="18"/>
                <w:szCs w:val="18"/>
              </w:rPr>
            </w:pPr>
          </w:p>
        </w:tc>
        <w:tc>
          <w:tcPr>
            <w:tcW w:w="500" w:type="pct"/>
            <w:tcBorders>
              <w:top w:val="nil"/>
              <w:left w:val="nil"/>
              <w:bottom w:val="single" w:color="auto" w:sz="4" w:space="0"/>
              <w:right w:val="single" w:color="auto" w:sz="4" w:space="0"/>
            </w:tcBorders>
            <w:shd w:val="clear" w:color="auto" w:fill="auto"/>
            <w:noWrap/>
            <w:vAlign w:val="center"/>
          </w:tcPr>
          <w:p w14:paraId="239E062E">
            <w:pPr>
              <w:widowControl/>
              <w:jc w:val="center"/>
              <w:rPr>
                <w:rFonts w:ascii="宋体" w:hAnsi="宋体" w:cs="宋体"/>
                <w:color w:val="000000"/>
                <w:kern w:val="0"/>
                <w:sz w:val="18"/>
                <w:szCs w:val="18"/>
              </w:rPr>
            </w:pPr>
          </w:p>
        </w:tc>
      </w:tr>
      <w:tr w14:paraId="3C1FD762">
        <w:trPr>
          <w:trHeight w:val="54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4C183F6C">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742" w:type="pct"/>
            <w:tcBorders>
              <w:top w:val="nil"/>
              <w:left w:val="nil"/>
              <w:bottom w:val="single" w:color="auto" w:sz="4" w:space="0"/>
              <w:right w:val="single" w:color="auto" w:sz="4" w:space="0"/>
            </w:tcBorders>
            <w:shd w:val="clear" w:color="auto" w:fill="auto"/>
            <w:vAlign w:val="center"/>
          </w:tcPr>
          <w:p w14:paraId="6430C9FC">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500" w:type="pct"/>
            <w:tcBorders>
              <w:top w:val="nil"/>
              <w:left w:val="nil"/>
              <w:bottom w:val="single" w:color="auto" w:sz="4" w:space="0"/>
              <w:right w:val="single" w:color="auto" w:sz="4" w:space="0"/>
            </w:tcBorders>
            <w:shd w:val="clear" w:color="auto" w:fill="auto"/>
            <w:vAlign w:val="center"/>
          </w:tcPr>
          <w:p w14:paraId="4C03FEF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F3B2E3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1698269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140FAD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331768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6163DA1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4176E7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4C75554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6A5C0922">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4ECBC1E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742" w:type="pct"/>
            <w:tcBorders>
              <w:top w:val="nil"/>
              <w:left w:val="nil"/>
              <w:bottom w:val="single" w:color="auto" w:sz="4" w:space="0"/>
              <w:right w:val="single" w:color="auto" w:sz="4" w:space="0"/>
            </w:tcBorders>
            <w:shd w:val="clear" w:color="auto" w:fill="auto"/>
            <w:vAlign w:val="center"/>
          </w:tcPr>
          <w:p w14:paraId="51D0C24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500" w:type="pct"/>
            <w:tcBorders>
              <w:top w:val="nil"/>
              <w:left w:val="nil"/>
              <w:bottom w:val="single" w:color="auto" w:sz="4" w:space="0"/>
              <w:right w:val="single" w:color="auto" w:sz="4" w:space="0"/>
            </w:tcBorders>
            <w:shd w:val="clear" w:color="auto" w:fill="auto"/>
            <w:vAlign w:val="center"/>
          </w:tcPr>
          <w:p w14:paraId="7248C772">
            <w:pPr>
              <w:widowControl/>
              <w:jc w:val="center"/>
              <w:rPr>
                <w:rFonts w:ascii="宋体" w:hAnsi="宋体" w:cs="宋体"/>
                <w:color w:val="000000"/>
                <w:kern w:val="0"/>
                <w:sz w:val="18"/>
                <w:szCs w:val="18"/>
              </w:rPr>
            </w:pPr>
            <w:r>
              <w:rPr>
                <w:rFonts w:hint="eastAsia" w:ascii="宋体" w:hAnsi="宋体" w:cs="宋体"/>
                <w:color w:val="000000"/>
                <w:kern w:val="0"/>
                <w:sz w:val="18"/>
                <w:szCs w:val="18"/>
              </w:rPr>
              <w:t>262,572.87</w:t>
            </w:r>
          </w:p>
        </w:tc>
        <w:tc>
          <w:tcPr>
            <w:tcW w:w="500" w:type="pct"/>
            <w:tcBorders>
              <w:top w:val="nil"/>
              <w:left w:val="nil"/>
              <w:bottom w:val="single" w:color="auto" w:sz="4" w:space="0"/>
              <w:right w:val="single" w:color="auto" w:sz="4" w:space="0"/>
            </w:tcBorders>
            <w:shd w:val="clear" w:color="auto" w:fill="auto"/>
            <w:vAlign w:val="center"/>
          </w:tcPr>
          <w:p w14:paraId="4199A70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3ACA85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1612AD64">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5431F8D9">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184B3DF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25DF60A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500" w:type="pct"/>
            <w:tcBorders>
              <w:top w:val="nil"/>
              <w:left w:val="nil"/>
              <w:bottom w:val="single" w:color="auto" w:sz="4" w:space="0"/>
              <w:right w:val="single" w:color="auto" w:sz="4" w:space="0"/>
            </w:tcBorders>
            <w:shd w:val="clear" w:color="auto" w:fill="auto"/>
            <w:vAlign w:val="center"/>
          </w:tcPr>
          <w:p w14:paraId="7CDE82F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r>
      <w:tr w14:paraId="625C7FE7">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14BB47F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742" w:type="pct"/>
            <w:tcBorders>
              <w:top w:val="nil"/>
              <w:left w:val="nil"/>
              <w:bottom w:val="single" w:color="auto" w:sz="4" w:space="0"/>
              <w:right w:val="single" w:color="auto" w:sz="4" w:space="0"/>
            </w:tcBorders>
            <w:shd w:val="clear" w:color="auto" w:fill="auto"/>
            <w:vAlign w:val="center"/>
          </w:tcPr>
          <w:p w14:paraId="39FA514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500" w:type="pct"/>
            <w:tcBorders>
              <w:top w:val="nil"/>
              <w:left w:val="nil"/>
              <w:bottom w:val="single" w:color="auto" w:sz="4" w:space="0"/>
              <w:right w:val="single" w:color="auto" w:sz="4" w:space="0"/>
            </w:tcBorders>
            <w:shd w:val="clear" w:color="auto" w:fill="auto"/>
            <w:vAlign w:val="center"/>
          </w:tcPr>
          <w:p w14:paraId="3839CB5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7DF6CA92">
            <w:pPr>
              <w:widowControl/>
              <w:jc w:val="center"/>
              <w:rPr>
                <w:rFonts w:ascii="宋体" w:hAnsi="宋体" w:cs="宋体"/>
                <w:color w:val="000000"/>
                <w:kern w:val="0"/>
                <w:sz w:val="18"/>
                <w:szCs w:val="18"/>
              </w:rPr>
            </w:pPr>
            <w:r>
              <w:rPr>
                <w:rFonts w:hint="eastAsia" w:ascii="宋体" w:hAnsi="宋体" w:cs="宋体"/>
                <w:color w:val="000000"/>
                <w:kern w:val="0"/>
                <w:sz w:val="18"/>
                <w:szCs w:val="18"/>
              </w:rPr>
              <w:t>268,767.67</w:t>
            </w:r>
          </w:p>
        </w:tc>
        <w:tc>
          <w:tcPr>
            <w:tcW w:w="500" w:type="pct"/>
            <w:tcBorders>
              <w:top w:val="nil"/>
              <w:left w:val="nil"/>
              <w:bottom w:val="single" w:color="auto" w:sz="4" w:space="0"/>
              <w:right w:val="single" w:color="auto" w:sz="4" w:space="0"/>
            </w:tcBorders>
            <w:shd w:val="clear" w:color="auto" w:fill="auto"/>
            <w:vAlign w:val="center"/>
          </w:tcPr>
          <w:p w14:paraId="57870A2C">
            <w:pPr>
              <w:widowControl/>
              <w:jc w:val="center"/>
              <w:rPr>
                <w:rFonts w:ascii="宋体" w:hAnsi="宋体" w:cs="宋体"/>
                <w:color w:val="000000"/>
                <w:kern w:val="0"/>
                <w:sz w:val="18"/>
                <w:szCs w:val="18"/>
              </w:rPr>
            </w:pPr>
            <w:r>
              <w:rPr>
                <w:rFonts w:hint="eastAsia" w:ascii="宋体" w:hAnsi="宋体" w:cs="宋体"/>
                <w:color w:val="000000"/>
                <w:kern w:val="0"/>
                <w:sz w:val="18"/>
                <w:szCs w:val="18"/>
              </w:rPr>
              <w:t>268,626.07</w:t>
            </w:r>
          </w:p>
        </w:tc>
        <w:tc>
          <w:tcPr>
            <w:tcW w:w="500" w:type="pct"/>
            <w:tcBorders>
              <w:top w:val="nil"/>
              <w:left w:val="nil"/>
              <w:bottom w:val="single" w:color="auto" w:sz="4" w:space="0"/>
              <w:right w:val="single" w:color="auto" w:sz="4" w:space="0"/>
            </w:tcBorders>
            <w:shd w:val="clear" w:color="auto" w:fill="auto"/>
            <w:vAlign w:val="center"/>
          </w:tcPr>
          <w:p w14:paraId="31167851">
            <w:pPr>
              <w:widowControl/>
              <w:jc w:val="center"/>
              <w:rPr>
                <w:rFonts w:ascii="宋体" w:hAnsi="宋体" w:cs="宋体"/>
                <w:color w:val="000000"/>
                <w:kern w:val="0"/>
                <w:sz w:val="18"/>
                <w:szCs w:val="18"/>
              </w:rPr>
            </w:pPr>
            <w:r>
              <w:rPr>
                <w:rFonts w:hint="eastAsia" w:ascii="宋体" w:hAnsi="宋体" w:cs="宋体"/>
                <w:color w:val="000000"/>
                <w:kern w:val="0"/>
                <w:sz w:val="18"/>
                <w:szCs w:val="18"/>
              </w:rPr>
              <w:t>268,484.47</w:t>
            </w:r>
          </w:p>
        </w:tc>
        <w:tc>
          <w:tcPr>
            <w:tcW w:w="500" w:type="pct"/>
            <w:tcBorders>
              <w:top w:val="nil"/>
              <w:left w:val="nil"/>
              <w:bottom w:val="single" w:color="auto" w:sz="4" w:space="0"/>
              <w:right w:val="single" w:color="auto" w:sz="4" w:space="0"/>
            </w:tcBorders>
            <w:shd w:val="clear" w:color="auto" w:fill="auto"/>
            <w:vAlign w:val="center"/>
          </w:tcPr>
          <w:p w14:paraId="07257089">
            <w:pPr>
              <w:widowControl/>
              <w:jc w:val="center"/>
              <w:rPr>
                <w:rFonts w:ascii="宋体" w:hAnsi="宋体" w:cs="宋体"/>
                <w:color w:val="000000"/>
                <w:kern w:val="0"/>
                <w:sz w:val="18"/>
                <w:szCs w:val="18"/>
              </w:rPr>
            </w:pPr>
            <w:r>
              <w:rPr>
                <w:rFonts w:hint="eastAsia" w:ascii="宋体" w:hAnsi="宋体" w:cs="宋体"/>
                <w:color w:val="000000"/>
                <w:kern w:val="0"/>
                <w:sz w:val="18"/>
                <w:szCs w:val="18"/>
              </w:rPr>
              <w:t>268,342.87</w:t>
            </w:r>
          </w:p>
        </w:tc>
        <w:tc>
          <w:tcPr>
            <w:tcW w:w="500" w:type="pct"/>
            <w:tcBorders>
              <w:top w:val="nil"/>
              <w:left w:val="nil"/>
              <w:bottom w:val="single" w:color="auto" w:sz="4" w:space="0"/>
              <w:right w:val="single" w:color="auto" w:sz="4" w:space="0"/>
            </w:tcBorders>
            <w:shd w:val="clear" w:color="auto" w:fill="auto"/>
            <w:vAlign w:val="center"/>
          </w:tcPr>
          <w:p w14:paraId="5863C126">
            <w:pPr>
              <w:widowControl/>
              <w:jc w:val="center"/>
              <w:rPr>
                <w:rFonts w:ascii="宋体" w:hAnsi="宋体" w:cs="宋体"/>
                <w:color w:val="000000"/>
                <w:kern w:val="0"/>
                <w:sz w:val="18"/>
                <w:szCs w:val="18"/>
              </w:rPr>
            </w:pPr>
            <w:r>
              <w:rPr>
                <w:rFonts w:hint="eastAsia" w:ascii="宋体" w:hAnsi="宋体" w:cs="宋体"/>
                <w:color w:val="000000"/>
                <w:kern w:val="0"/>
                <w:sz w:val="18"/>
                <w:szCs w:val="18"/>
              </w:rPr>
              <w:t>268,201.27</w:t>
            </w:r>
          </w:p>
        </w:tc>
        <w:tc>
          <w:tcPr>
            <w:tcW w:w="500" w:type="pct"/>
            <w:tcBorders>
              <w:top w:val="nil"/>
              <w:left w:val="nil"/>
              <w:bottom w:val="single" w:color="auto" w:sz="4" w:space="0"/>
              <w:right w:val="single" w:color="auto" w:sz="4" w:space="0"/>
            </w:tcBorders>
            <w:shd w:val="clear" w:color="auto" w:fill="auto"/>
            <w:vAlign w:val="center"/>
          </w:tcPr>
          <w:p w14:paraId="26141577">
            <w:pPr>
              <w:widowControl/>
              <w:jc w:val="center"/>
              <w:rPr>
                <w:rFonts w:ascii="宋体" w:hAnsi="宋体" w:cs="宋体"/>
                <w:color w:val="000000"/>
                <w:kern w:val="0"/>
                <w:sz w:val="18"/>
                <w:szCs w:val="18"/>
              </w:rPr>
            </w:pPr>
            <w:r>
              <w:rPr>
                <w:rFonts w:hint="eastAsia" w:ascii="宋体" w:hAnsi="宋体" w:cs="宋体"/>
                <w:color w:val="000000"/>
                <w:kern w:val="0"/>
                <w:sz w:val="18"/>
                <w:szCs w:val="18"/>
              </w:rPr>
              <w:t>268,059.67</w:t>
            </w:r>
          </w:p>
        </w:tc>
        <w:tc>
          <w:tcPr>
            <w:tcW w:w="500" w:type="pct"/>
            <w:tcBorders>
              <w:top w:val="nil"/>
              <w:left w:val="nil"/>
              <w:bottom w:val="single" w:color="auto" w:sz="4" w:space="0"/>
              <w:right w:val="single" w:color="auto" w:sz="4" w:space="0"/>
            </w:tcBorders>
            <w:shd w:val="clear" w:color="auto" w:fill="auto"/>
            <w:vAlign w:val="center"/>
          </w:tcPr>
          <w:p w14:paraId="39005870">
            <w:pPr>
              <w:widowControl/>
              <w:jc w:val="center"/>
              <w:rPr>
                <w:rFonts w:ascii="宋体" w:hAnsi="宋体" w:cs="宋体"/>
                <w:color w:val="000000"/>
                <w:kern w:val="0"/>
                <w:sz w:val="18"/>
                <w:szCs w:val="18"/>
              </w:rPr>
            </w:pPr>
            <w:r>
              <w:rPr>
                <w:rFonts w:hint="eastAsia" w:ascii="宋体" w:hAnsi="宋体" w:cs="宋体"/>
                <w:color w:val="000000"/>
                <w:kern w:val="0"/>
                <w:sz w:val="18"/>
                <w:szCs w:val="18"/>
              </w:rPr>
              <w:t>267,918.07</w:t>
            </w:r>
          </w:p>
        </w:tc>
      </w:tr>
      <w:tr w14:paraId="2466E27C">
        <w:trPr>
          <w:trHeight w:val="270" w:hRule="atLeast"/>
        </w:trPr>
        <w:tc>
          <w:tcPr>
            <w:tcW w:w="259" w:type="pct"/>
            <w:tcBorders>
              <w:top w:val="nil"/>
              <w:left w:val="single" w:color="auto" w:sz="4" w:space="0"/>
              <w:bottom w:val="single" w:color="auto" w:sz="4" w:space="0"/>
              <w:right w:val="single" w:color="auto" w:sz="4" w:space="0"/>
            </w:tcBorders>
            <w:shd w:val="clear" w:color="auto" w:fill="auto"/>
            <w:vAlign w:val="center"/>
          </w:tcPr>
          <w:p w14:paraId="00FBD6B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742" w:type="pct"/>
            <w:tcBorders>
              <w:top w:val="nil"/>
              <w:left w:val="nil"/>
              <w:bottom w:val="single" w:color="auto" w:sz="4" w:space="0"/>
              <w:right w:val="single" w:color="auto" w:sz="4" w:space="0"/>
            </w:tcBorders>
            <w:shd w:val="clear" w:color="auto" w:fill="auto"/>
            <w:vAlign w:val="center"/>
          </w:tcPr>
          <w:p w14:paraId="37E6F87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500" w:type="pct"/>
            <w:tcBorders>
              <w:top w:val="nil"/>
              <w:left w:val="nil"/>
              <w:bottom w:val="single" w:color="auto" w:sz="4" w:space="0"/>
              <w:right w:val="single" w:color="auto" w:sz="4" w:space="0"/>
            </w:tcBorders>
            <w:shd w:val="clear" w:color="auto" w:fill="auto"/>
            <w:vAlign w:val="center"/>
          </w:tcPr>
          <w:p w14:paraId="1968AFA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500" w:type="pct"/>
            <w:tcBorders>
              <w:top w:val="nil"/>
              <w:left w:val="nil"/>
              <w:bottom w:val="single" w:color="auto" w:sz="4" w:space="0"/>
              <w:right w:val="single" w:color="auto" w:sz="4" w:space="0"/>
            </w:tcBorders>
            <w:shd w:val="clear" w:color="auto" w:fill="auto"/>
            <w:vAlign w:val="center"/>
          </w:tcPr>
          <w:p w14:paraId="59C7FA0B">
            <w:pPr>
              <w:widowControl/>
              <w:jc w:val="center"/>
              <w:rPr>
                <w:rFonts w:ascii="宋体" w:hAnsi="宋体" w:cs="宋体"/>
                <w:color w:val="000000"/>
                <w:kern w:val="0"/>
                <w:sz w:val="18"/>
                <w:szCs w:val="18"/>
              </w:rPr>
            </w:pPr>
            <w:r>
              <w:rPr>
                <w:rFonts w:hint="eastAsia" w:ascii="宋体" w:hAnsi="宋体" w:cs="宋体"/>
                <w:color w:val="000000"/>
                <w:kern w:val="0"/>
                <w:sz w:val="18"/>
                <w:szCs w:val="18"/>
              </w:rPr>
              <w:t>268,626.07</w:t>
            </w:r>
          </w:p>
        </w:tc>
        <w:tc>
          <w:tcPr>
            <w:tcW w:w="500" w:type="pct"/>
            <w:tcBorders>
              <w:top w:val="nil"/>
              <w:left w:val="nil"/>
              <w:bottom w:val="single" w:color="auto" w:sz="4" w:space="0"/>
              <w:right w:val="single" w:color="auto" w:sz="4" w:space="0"/>
            </w:tcBorders>
            <w:shd w:val="clear" w:color="auto" w:fill="auto"/>
            <w:vAlign w:val="center"/>
          </w:tcPr>
          <w:p w14:paraId="458E166D">
            <w:pPr>
              <w:widowControl/>
              <w:jc w:val="center"/>
              <w:rPr>
                <w:rFonts w:ascii="宋体" w:hAnsi="宋体" w:cs="宋体"/>
                <w:color w:val="000000"/>
                <w:kern w:val="0"/>
                <w:sz w:val="18"/>
                <w:szCs w:val="18"/>
              </w:rPr>
            </w:pPr>
            <w:r>
              <w:rPr>
                <w:rFonts w:hint="eastAsia" w:ascii="宋体" w:hAnsi="宋体" w:cs="宋体"/>
                <w:color w:val="000000"/>
                <w:kern w:val="0"/>
                <w:sz w:val="18"/>
                <w:szCs w:val="18"/>
              </w:rPr>
              <w:t>268,484.47</w:t>
            </w:r>
          </w:p>
        </w:tc>
        <w:tc>
          <w:tcPr>
            <w:tcW w:w="500" w:type="pct"/>
            <w:tcBorders>
              <w:top w:val="nil"/>
              <w:left w:val="nil"/>
              <w:bottom w:val="single" w:color="auto" w:sz="4" w:space="0"/>
              <w:right w:val="single" w:color="auto" w:sz="4" w:space="0"/>
            </w:tcBorders>
            <w:shd w:val="clear" w:color="auto" w:fill="auto"/>
            <w:vAlign w:val="center"/>
          </w:tcPr>
          <w:p w14:paraId="0C3EFC9D">
            <w:pPr>
              <w:widowControl/>
              <w:jc w:val="center"/>
              <w:rPr>
                <w:rFonts w:ascii="宋体" w:hAnsi="宋体" w:cs="宋体"/>
                <w:color w:val="000000"/>
                <w:kern w:val="0"/>
                <w:sz w:val="18"/>
                <w:szCs w:val="18"/>
              </w:rPr>
            </w:pPr>
            <w:r>
              <w:rPr>
                <w:rFonts w:hint="eastAsia" w:ascii="宋体" w:hAnsi="宋体" w:cs="宋体"/>
                <w:color w:val="000000"/>
                <w:kern w:val="0"/>
                <w:sz w:val="18"/>
                <w:szCs w:val="18"/>
              </w:rPr>
              <w:t>268,342.87</w:t>
            </w:r>
          </w:p>
        </w:tc>
        <w:tc>
          <w:tcPr>
            <w:tcW w:w="500" w:type="pct"/>
            <w:tcBorders>
              <w:top w:val="nil"/>
              <w:left w:val="nil"/>
              <w:bottom w:val="single" w:color="auto" w:sz="4" w:space="0"/>
              <w:right w:val="single" w:color="auto" w:sz="4" w:space="0"/>
            </w:tcBorders>
            <w:shd w:val="clear" w:color="auto" w:fill="auto"/>
            <w:vAlign w:val="center"/>
          </w:tcPr>
          <w:p w14:paraId="2C5DB69D">
            <w:pPr>
              <w:widowControl/>
              <w:jc w:val="center"/>
              <w:rPr>
                <w:rFonts w:ascii="宋体" w:hAnsi="宋体" w:cs="宋体"/>
                <w:color w:val="000000"/>
                <w:kern w:val="0"/>
                <w:sz w:val="18"/>
                <w:szCs w:val="18"/>
              </w:rPr>
            </w:pPr>
            <w:r>
              <w:rPr>
                <w:rFonts w:hint="eastAsia" w:ascii="宋体" w:hAnsi="宋体" w:cs="宋体"/>
                <w:color w:val="000000"/>
                <w:kern w:val="0"/>
                <w:sz w:val="18"/>
                <w:szCs w:val="18"/>
              </w:rPr>
              <w:t>268,201.27</w:t>
            </w:r>
          </w:p>
        </w:tc>
        <w:tc>
          <w:tcPr>
            <w:tcW w:w="500" w:type="pct"/>
            <w:tcBorders>
              <w:top w:val="nil"/>
              <w:left w:val="nil"/>
              <w:bottom w:val="single" w:color="auto" w:sz="4" w:space="0"/>
              <w:right w:val="single" w:color="auto" w:sz="4" w:space="0"/>
            </w:tcBorders>
            <w:shd w:val="clear" w:color="auto" w:fill="auto"/>
            <w:vAlign w:val="center"/>
          </w:tcPr>
          <w:p w14:paraId="452A047F">
            <w:pPr>
              <w:widowControl/>
              <w:jc w:val="center"/>
              <w:rPr>
                <w:rFonts w:ascii="宋体" w:hAnsi="宋体" w:cs="宋体"/>
                <w:color w:val="000000"/>
                <w:kern w:val="0"/>
                <w:sz w:val="18"/>
                <w:szCs w:val="18"/>
              </w:rPr>
            </w:pPr>
            <w:r>
              <w:rPr>
                <w:rFonts w:hint="eastAsia" w:ascii="宋体" w:hAnsi="宋体" w:cs="宋体"/>
                <w:color w:val="000000"/>
                <w:kern w:val="0"/>
                <w:sz w:val="18"/>
                <w:szCs w:val="18"/>
              </w:rPr>
              <w:t>268,059.67</w:t>
            </w:r>
          </w:p>
        </w:tc>
        <w:tc>
          <w:tcPr>
            <w:tcW w:w="500" w:type="pct"/>
            <w:tcBorders>
              <w:top w:val="nil"/>
              <w:left w:val="nil"/>
              <w:bottom w:val="single" w:color="auto" w:sz="4" w:space="0"/>
              <w:right w:val="single" w:color="auto" w:sz="4" w:space="0"/>
            </w:tcBorders>
            <w:shd w:val="clear" w:color="auto" w:fill="auto"/>
            <w:vAlign w:val="center"/>
          </w:tcPr>
          <w:p w14:paraId="249DF226">
            <w:pPr>
              <w:widowControl/>
              <w:jc w:val="center"/>
              <w:rPr>
                <w:rFonts w:ascii="宋体" w:hAnsi="宋体" w:cs="宋体"/>
                <w:color w:val="000000"/>
                <w:kern w:val="0"/>
                <w:sz w:val="18"/>
                <w:szCs w:val="18"/>
              </w:rPr>
            </w:pPr>
            <w:r>
              <w:rPr>
                <w:rFonts w:hint="eastAsia" w:ascii="宋体" w:hAnsi="宋体" w:cs="宋体"/>
                <w:color w:val="000000"/>
                <w:kern w:val="0"/>
                <w:sz w:val="18"/>
                <w:szCs w:val="18"/>
              </w:rPr>
              <w:t>267,918.07</w:t>
            </w:r>
          </w:p>
        </w:tc>
        <w:tc>
          <w:tcPr>
            <w:tcW w:w="500" w:type="pct"/>
            <w:tcBorders>
              <w:top w:val="nil"/>
              <w:left w:val="nil"/>
              <w:bottom w:val="single" w:color="auto" w:sz="4" w:space="0"/>
              <w:right w:val="single" w:color="auto" w:sz="4" w:space="0"/>
            </w:tcBorders>
            <w:shd w:val="clear" w:color="auto" w:fill="auto"/>
            <w:vAlign w:val="center"/>
          </w:tcPr>
          <w:p w14:paraId="4CC39116">
            <w:pPr>
              <w:widowControl/>
              <w:jc w:val="center"/>
              <w:rPr>
                <w:rFonts w:ascii="宋体" w:hAnsi="宋体" w:cs="宋体"/>
                <w:color w:val="000000"/>
                <w:kern w:val="0"/>
                <w:sz w:val="18"/>
                <w:szCs w:val="18"/>
              </w:rPr>
            </w:pPr>
            <w:r>
              <w:rPr>
                <w:rFonts w:hint="eastAsia" w:ascii="宋体" w:hAnsi="宋体" w:cs="宋体"/>
                <w:color w:val="000000"/>
                <w:kern w:val="0"/>
                <w:sz w:val="18"/>
                <w:szCs w:val="18"/>
              </w:rPr>
              <w:t>267,776.47</w:t>
            </w:r>
          </w:p>
        </w:tc>
      </w:tr>
    </w:tbl>
    <w:p w14:paraId="289ABF33">
      <w:pPr>
        <w:pStyle w:val="20"/>
        <w:spacing w:beforeLines="5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续上表：</w:t>
      </w:r>
    </w:p>
    <w:tbl>
      <w:tblPr>
        <w:tblStyle w:val="24"/>
        <w:tblW w:w="5000" w:type="pct"/>
        <w:tblInd w:w="0" w:type="dxa"/>
        <w:tblLayout w:type="autofit"/>
        <w:tblCellMar>
          <w:top w:w="0" w:type="dxa"/>
          <w:left w:w="108" w:type="dxa"/>
          <w:bottom w:w="0" w:type="dxa"/>
          <w:right w:w="108" w:type="dxa"/>
        </w:tblCellMar>
      </w:tblPr>
      <w:tblGrid>
        <w:gridCol w:w="609"/>
        <w:gridCol w:w="1743"/>
        <w:gridCol w:w="1176"/>
        <w:gridCol w:w="1176"/>
        <w:gridCol w:w="1176"/>
        <w:gridCol w:w="1176"/>
        <w:gridCol w:w="1176"/>
        <w:gridCol w:w="1176"/>
        <w:gridCol w:w="1177"/>
        <w:gridCol w:w="1177"/>
        <w:gridCol w:w="1177"/>
        <w:gridCol w:w="1166"/>
      </w:tblGrid>
      <w:tr w14:paraId="1B9ED04B">
        <w:trPr>
          <w:trHeight w:val="405" w:hRule="atLeast"/>
          <w:tblHeader/>
        </w:trPr>
        <w:tc>
          <w:tcPr>
            <w:tcW w:w="216" w:type="pct"/>
            <w:tcBorders>
              <w:top w:val="single" w:color="auto" w:sz="4" w:space="0"/>
              <w:left w:val="single" w:color="auto" w:sz="4" w:space="0"/>
              <w:bottom w:val="single" w:color="auto" w:sz="4" w:space="0"/>
              <w:right w:val="single" w:color="auto" w:sz="4" w:space="0"/>
            </w:tcBorders>
            <w:shd w:val="clear" w:color="auto" w:fill="auto"/>
            <w:vAlign w:val="center"/>
          </w:tcPr>
          <w:p w14:paraId="4E265DE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18" w:type="pct"/>
            <w:tcBorders>
              <w:top w:val="single" w:color="auto" w:sz="4" w:space="0"/>
              <w:left w:val="nil"/>
              <w:bottom w:val="single" w:color="auto" w:sz="4" w:space="0"/>
              <w:right w:val="single" w:color="auto" w:sz="4" w:space="0"/>
            </w:tcBorders>
            <w:shd w:val="clear" w:color="auto" w:fill="auto"/>
            <w:vAlign w:val="center"/>
          </w:tcPr>
          <w:p w14:paraId="1F2392E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17" w:type="pct"/>
            <w:tcBorders>
              <w:top w:val="single" w:color="auto" w:sz="4" w:space="0"/>
              <w:left w:val="nil"/>
              <w:bottom w:val="single" w:color="auto" w:sz="4" w:space="0"/>
              <w:right w:val="single" w:color="auto" w:sz="4" w:space="0"/>
            </w:tcBorders>
            <w:shd w:val="clear" w:color="auto" w:fill="auto"/>
            <w:vAlign w:val="center"/>
          </w:tcPr>
          <w:p w14:paraId="4A1C921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417" w:type="pct"/>
            <w:tcBorders>
              <w:top w:val="single" w:color="auto" w:sz="4" w:space="0"/>
              <w:left w:val="nil"/>
              <w:bottom w:val="single" w:color="auto" w:sz="4" w:space="0"/>
              <w:right w:val="single" w:color="auto" w:sz="4" w:space="0"/>
            </w:tcBorders>
            <w:shd w:val="clear" w:color="auto" w:fill="auto"/>
            <w:vAlign w:val="center"/>
          </w:tcPr>
          <w:p w14:paraId="1C54B6B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2044年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2046B17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2045年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7E59D0D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2046年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7D4D740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2047年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7DA0C5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2048年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6AF82C5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2049年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7A5E44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2050年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6A69851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2051年</w:t>
            </w:r>
          </w:p>
        </w:tc>
        <w:tc>
          <w:tcPr>
            <w:tcW w:w="417" w:type="pct"/>
            <w:tcBorders>
              <w:top w:val="single" w:color="auto" w:sz="4" w:space="0"/>
              <w:left w:val="nil"/>
              <w:bottom w:val="single" w:color="auto" w:sz="4" w:space="0"/>
              <w:right w:val="single" w:color="auto" w:sz="4" w:space="0"/>
            </w:tcBorders>
            <w:shd w:val="clear" w:color="auto" w:fill="auto"/>
            <w:vAlign w:val="center"/>
          </w:tcPr>
          <w:p w14:paraId="1C2AE3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2052年</w:t>
            </w:r>
          </w:p>
        </w:tc>
      </w:tr>
      <w:tr w14:paraId="756D0009">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1E5DB2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618" w:type="pct"/>
            <w:tcBorders>
              <w:top w:val="nil"/>
              <w:left w:val="nil"/>
              <w:bottom w:val="single" w:color="auto" w:sz="4" w:space="0"/>
              <w:right w:val="single" w:color="auto" w:sz="4" w:space="0"/>
            </w:tcBorders>
            <w:shd w:val="clear" w:color="auto" w:fill="auto"/>
            <w:vAlign w:val="center"/>
          </w:tcPr>
          <w:p w14:paraId="45C7DD1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417" w:type="pct"/>
            <w:tcBorders>
              <w:top w:val="nil"/>
              <w:left w:val="nil"/>
              <w:bottom w:val="single" w:color="auto" w:sz="4" w:space="0"/>
              <w:right w:val="single" w:color="auto" w:sz="4" w:space="0"/>
            </w:tcBorders>
            <w:shd w:val="clear" w:color="auto" w:fill="auto"/>
            <w:vAlign w:val="center"/>
          </w:tcPr>
          <w:p w14:paraId="2E74AA1C">
            <w:pPr>
              <w:widowControl/>
              <w:jc w:val="center"/>
              <w:rPr>
                <w:rFonts w:ascii="宋体" w:hAnsi="宋体" w:cs="宋体"/>
                <w:color w:val="000000"/>
                <w:kern w:val="0"/>
                <w:sz w:val="18"/>
                <w:szCs w:val="18"/>
              </w:rPr>
            </w:pPr>
            <w:r>
              <w:rPr>
                <w:rFonts w:hint="eastAsia" w:ascii="宋体" w:hAnsi="宋体" w:cs="宋体"/>
                <w:color w:val="000000"/>
                <w:kern w:val="0"/>
                <w:sz w:val="18"/>
                <w:szCs w:val="18"/>
              </w:rPr>
              <w:t>332,772.58</w:t>
            </w:r>
          </w:p>
        </w:tc>
        <w:tc>
          <w:tcPr>
            <w:tcW w:w="417" w:type="pct"/>
            <w:tcBorders>
              <w:top w:val="nil"/>
              <w:left w:val="nil"/>
              <w:bottom w:val="single" w:color="auto" w:sz="4" w:space="0"/>
              <w:right w:val="single" w:color="auto" w:sz="4" w:space="0"/>
            </w:tcBorders>
            <w:shd w:val="clear" w:color="auto" w:fill="auto"/>
            <w:vAlign w:val="center"/>
          </w:tcPr>
          <w:p w14:paraId="24C6488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22EA3F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171766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4668A1C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4EDEE6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0CD1E1F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1F8BAFD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A8EC29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2C602B6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3E8CED3D">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239C1169">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18" w:type="pct"/>
            <w:tcBorders>
              <w:top w:val="nil"/>
              <w:left w:val="nil"/>
              <w:bottom w:val="single" w:color="auto" w:sz="4" w:space="0"/>
              <w:right w:val="single" w:color="auto" w:sz="4" w:space="0"/>
            </w:tcBorders>
            <w:shd w:val="clear" w:color="auto" w:fill="auto"/>
            <w:vAlign w:val="center"/>
          </w:tcPr>
          <w:p w14:paraId="4D499624">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17" w:type="pct"/>
            <w:tcBorders>
              <w:top w:val="nil"/>
              <w:left w:val="nil"/>
              <w:bottom w:val="single" w:color="auto" w:sz="4" w:space="0"/>
              <w:right w:val="single" w:color="auto" w:sz="4" w:space="0"/>
            </w:tcBorders>
            <w:shd w:val="clear" w:color="auto" w:fill="auto"/>
            <w:vAlign w:val="center"/>
          </w:tcPr>
          <w:p w14:paraId="304D60F6">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417" w:type="pct"/>
            <w:tcBorders>
              <w:top w:val="nil"/>
              <w:left w:val="nil"/>
              <w:bottom w:val="single" w:color="auto" w:sz="4" w:space="0"/>
              <w:right w:val="single" w:color="auto" w:sz="4" w:space="0"/>
            </w:tcBorders>
            <w:shd w:val="clear" w:color="auto" w:fill="auto"/>
            <w:vAlign w:val="center"/>
          </w:tcPr>
          <w:p w14:paraId="30AA48D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28758A6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32BAF7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CE87C9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5DA6C3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4D7B70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6FC17B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8E3365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76400A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152B454">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6DBA5839">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18" w:type="pct"/>
            <w:tcBorders>
              <w:top w:val="nil"/>
              <w:left w:val="nil"/>
              <w:bottom w:val="single" w:color="auto" w:sz="4" w:space="0"/>
              <w:right w:val="single" w:color="auto" w:sz="4" w:space="0"/>
            </w:tcBorders>
            <w:shd w:val="clear" w:color="auto" w:fill="auto"/>
            <w:vAlign w:val="center"/>
          </w:tcPr>
          <w:p w14:paraId="3F4F21D4">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17" w:type="pct"/>
            <w:tcBorders>
              <w:top w:val="nil"/>
              <w:left w:val="nil"/>
              <w:bottom w:val="single" w:color="auto" w:sz="4" w:space="0"/>
              <w:right w:val="single" w:color="auto" w:sz="4" w:space="0"/>
            </w:tcBorders>
            <w:shd w:val="clear" w:color="auto" w:fill="auto"/>
            <w:vAlign w:val="center"/>
          </w:tcPr>
          <w:p w14:paraId="651549C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1D5606A">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17E7584">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77C326AF">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2582EEA0">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F744D7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5A8270E1">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1D2B2CE2">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71F3F747">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1E6A4F11">
            <w:pPr>
              <w:widowControl/>
              <w:jc w:val="center"/>
              <w:rPr>
                <w:rFonts w:ascii="宋体" w:hAnsi="宋体" w:cs="宋体"/>
                <w:color w:val="000000"/>
                <w:kern w:val="0"/>
                <w:sz w:val="18"/>
                <w:szCs w:val="18"/>
              </w:rPr>
            </w:pPr>
          </w:p>
        </w:tc>
      </w:tr>
      <w:tr w14:paraId="6A4B7CF0">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20A64255">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18" w:type="pct"/>
            <w:tcBorders>
              <w:top w:val="nil"/>
              <w:left w:val="nil"/>
              <w:bottom w:val="single" w:color="auto" w:sz="4" w:space="0"/>
              <w:right w:val="single" w:color="auto" w:sz="4" w:space="0"/>
            </w:tcBorders>
            <w:shd w:val="clear" w:color="auto" w:fill="auto"/>
            <w:vAlign w:val="center"/>
          </w:tcPr>
          <w:p w14:paraId="1A39DF69">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17" w:type="pct"/>
            <w:tcBorders>
              <w:top w:val="nil"/>
              <w:left w:val="nil"/>
              <w:bottom w:val="single" w:color="auto" w:sz="4" w:space="0"/>
              <w:right w:val="single" w:color="auto" w:sz="4" w:space="0"/>
            </w:tcBorders>
            <w:shd w:val="clear" w:color="auto" w:fill="auto"/>
            <w:vAlign w:val="center"/>
          </w:tcPr>
          <w:p w14:paraId="0332BB54">
            <w:pPr>
              <w:widowControl/>
              <w:jc w:val="center"/>
              <w:rPr>
                <w:rFonts w:ascii="宋体" w:hAnsi="宋体" w:cs="宋体"/>
                <w:color w:val="000000"/>
                <w:kern w:val="0"/>
                <w:sz w:val="18"/>
                <w:szCs w:val="18"/>
              </w:rPr>
            </w:pPr>
            <w:r>
              <w:rPr>
                <w:rFonts w:hint="eastAsia" w:ascii="宋体" w:hAnsi="宋体" w:cs="宋体"/>
                <w:color w:val="000000"/>
                <w:kern w:val="0"/>
                <w:sz w:val="18"/>
                <w:szCs w:val="18"/>
              </w:rPr>
              <w:t>300,171.24</w:t>
            </w:r>
          </w:p>
        </w:tc>
        <w:tc>
          <w:tcPr>
            <w:tcW w:w="417" w:type="pct"/>
            <w:tcBorders>
              <w:top w:val="nil"/>
              <w:left w:val="nil"/>
              <w:bottom w:val="single" w:color="auto" w:sz="4" w:space="0"/>
              <w:right w:val="single" w:color="auto" w:sz="4" w:space="0"/>
            </w:tcBorders>
            <w:shd w:val="clear" w:color="auto" w:fill="auto"/>
            <w:noWrap/>
            <w:vAlign w:val="center"/>
          </w:tcPr>
          <w:p w14:paraId="59783912">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6749314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181E8A8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3E91030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01309EF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7199B83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5636FE7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5B4631C6">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4935877F">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1AB9BDE6">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71D3AC5D">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18" w:type="pct"/>
            <w:tcBorders>
              <w:top w:val="nil"/>
              <w:left w:val="nil"/>
              <w:bottom w:val="single" w:color="auto" w:sz="4" w:space="0"/>
              <w:right w:val="single" w:color="auto" w:sz="4" w:space="0"/>
            </w:tcBorders>
            <w:shd w:val="clear" w:color="auto" w:fill="auto"/>
            <w:vAlign w:val="center"/>
          </w:tcPr>
          <w:p w14:paraId="129E096A">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17" w:type="pct"/>
            <w:tcBorders>
              <w:top w:val="nil"/>
              <w:left w:val="nil"/>
              <w:bottom w:val="single" w:color="auto" w:sz="4" w:space="0"/>
              <w:right w:val="single" w:color="auto" w:sz="4" w:space="0"/>
            </w:tcBorders>
            <w:shd w:val="clear" w:color="auto" w:fill="auto"/>
            <w:vAlign w:val="center"/>
          </w:tcPr>
          <w:p w14:paraId="79F7920B">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417" w:type="pct"/>
            <w:tcBorders>
              <w:top w:val="nil"/>
              <w:left w:val="nil"/>
              <w:bottom w:val="single" w:color="auto" w:sz="4" w:space="0"/>
              <w:right w:val="single" w:color="auto" w:sz="4" w:space="0"/>
            </w:tcBorders>
            <w:shd w:val="clear" w:color="auto" w:fill="auto"/>
            <w:vAlign w:val="center"/>
          </w:tcPr>
          <w:p w14:paraId="1098376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2792D31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1582492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823A4E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13309B1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8334F9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0E190F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C1BB03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C16C3C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74B14DF8">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6AF84FBB">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18" w:type="pct"/>
            <w:tcBorders>
              <w:top w:val="nil"/>
              <w:left w:val="nil"/>
              <w:bottom w:val="single" w:color="auto" w:sz="4" w:space="0"/>
              <w:right w:val="single" w:color="auto" w:sz="4" w:space="0"/>
            </w:tcBorders>
            <w:shd w:val="clear" w:color="auto" w:fill="auto"/>
            <w:vAlign w:val="center"/>
          </w:tcPr>
          <w:p w14:paraId="3EA17726">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17" w:type="pct"/>
            <w:tcBorders>
              <w:top w:val="nil"/>
              <w:left w:val="nil"/>
              <w:bottom w:val="single" w:color="auto" w:sz="4" w:space="0"/>
              <w:right w:val="single" w:color="auto" w:sz="4" w:space="0"/>
            </w:tcBorders>
            <w:shd w:val="clear" w:color="auto" w:fill="auto"/>
            <w:vAlign w:val="center"/>
          </w:tcPr>
          <w:p w14:paraId="74097B07">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417" w:type="pct"/>
            <w:tcBorders>
              <w:top w:val="nil"/>
              <w:left w:val="nil"/>
              <w:bottom w:val="single" w:color="auto" w:sz="4" w:space="0"/>
              <w:right w:val="single" w:color="auto" w:sz="4" w:space="0"/>
            </w:tcBorders>
            <w:shd w:val="clear" w:color="auto" w:fill="auto"/>
            <w:vAlign w:val="center"/>
          </w:tcPr>
          <w:p w14:paraId="55D3DE7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27829E4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543FC9E7">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46D81161">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0F8160D5">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70D8746F">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4124D0A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71B0C007">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091D9FC6">
            <w:pPr>
              <w:widowControl/>
              <w:jc w:val="center"/>
              <w:rPr>
                <w:rFonts w:ascii="宋体" w:hAnsi="宋体" w:cs="宋体"/>
                <w:color w:val="000000"/>
                <w:kern w:val="0"/>
                <w:sz w:val="18"/>
                <w:szCs w:val="18"/>
              </w:rPr>
            </w:pPr>
          </w:p>
        </w:tc>
      </w:tr>
      <w:tr w14:paraId="61AF9731">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54A7CB94">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18" w:type="pct"/>
            <w:tcBorders>
              <w:top w:val="nil"/>
              <w:left w:val="nil"/>
              <w:bottom w:val="single" w:color="auto" w:sz="4" w:space="0"/>
              <w:right w:val="single" w:color="auto" w:sz="4" w:space="0"/>
            </w:tcBorders>
            <w:shd w:val="clear" w:color="auto" w:fill="auto"/>
            <w:vAlign w:val="center"/>
          </w:tcPr>
          <w:p w14:paraId="53BD1CB0">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17" w:type="pct"/>
            <w:tcBorders>
              <w:top w:val="nil"/>
              <w:left w:val="nil"/>
              <w:bottom w:val="single" w:color="auto" w:sz="4" w:space="0"/>
              <w:right w:val="single" w:color="auto" w:sz="4" w:space="0"/>
            </w:tcBorders>
            <w:shd w:val="clear" w:color="auto" w:fill="auto"/>
            <w:vAlign w:val="center"/>
          </w:tcPr>
          <w:p w14:paraId="18B82EB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D483BF7">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39E13754">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197478F4">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3DDF609A">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5ED26A6B">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772B4DE6">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4B9AFD24">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4D6A782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2322C1C">
            <w:pPr>
              <w:widowControl/>
              <w:jc w:val="center"/>
              <w:rPr>
                <w:rFonts w:ascii="宋体" w:hAnsi="宋体" w:cs="宋体"/>
                <w:color w:val="000000"/>
                <w:kern w:val="0"/>
                <w:sz w:val="18"/>
                <w:szCs w:val="18"/>
              </w:rPr>
            </w:pPr>
          </w:p>
        </w:tc>
      </w:tr>
      <w:tr w14:paraId="3F04B208">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4BBEDB84">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18" w:type="pct"/>
            <w:tcBorders>
              <w:top w:val="nil"/>
              <w:left w:val="nil"/>
              <w:bottom w:val="single" w:color="auto" w:sz="4" w:space="0"/>
              <w:right w:val="single" w:color="auto" w:sz="4" w:space="0"/>
            </w:tcBorders>
            <w:shd w:val="clear" w:color="auto" w:fill="auto"/>
            <w:vAlign w:val="center"/>
          </w:tcPr>
          <w:p w14:paraId="5395D240">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17" w:type="pct"/>
            <w:tcBorders>
              <w:top w:val="nil"/>
              <w:left w:val="nil"/>
              <w:bottom w:val="single" w:color="auto" w:sz="4" w:space="0"/>
              <w:right w:val="single" w:color="auto" w:sz="4" w:space="0"/>
            </w:tcBorders>
            <w:shd w:val="clear" w:color="auto" w:fill="auto"/>
            <w:vAlign w:val="center"/>
          </w:tcPr>
          <w:p w14:paraId="008639ED">
            <w:pPr>
              <w:widowControl/>
              <w:jc w:val="center"/>
              <w:rPr>
                <w:rFonts w:ascii="宋体" w:hAnsi="宋体" w:cs="宋体"/>
                <w:color w:val="000000"/>
                <w:kern w:val="0"/>
                <w:sz w:val="18"/>
                <w:szCs w:val="18"/>
              </w:rPr>
            </w:pPr>
            <w:r>
              <w:rPr>
                <w:rFonts w:hint="eastAsia" w:ascii="宋体" w:hAnsi="宋体" w:cs="宋体"/>
                <w:color w:val="000000"/>
                <w:kern w:val="0"/>
                <w:sz w:val="18"/>
                <w:szCs w:val="18"/>
              </w:rPr>
              <w:t>9,651.34</w:t>
            </w:r>
          </w:p>
        </w:tc>
        <w:tc>
          <w:tcPr>
            <w:tcW w:w="417" w:type="pct"/>
            <w:tcBorders>
              <w:top w:val="nil"/>
              <w:left w:val="nil"/>
              <w:bottom w:val="single" w:color="auto" w:sz="4" w:space="0"/>
              <w:right w:val="single" w:color="auto" w:sz="4" w:space="0"/>
            </w:tcBorders>
            <w:shd w:val="clear" w:color="auto" w:fill="auto"/>
            <w:vAlign w:val="center"/>
          </w:tcPr>
          <w:p w14:paraId="2458CF62">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0074D72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3D3E491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CF4FB5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07F6376C">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10E5F358">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D2E8E9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284606F2">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1035483E">
            <w:pPr>
              <w:widowControl/>
              <w:jc w:val="center"/>
              <w:rPr>
                <w:rFonts w:ascii="宋体" w:hAnsi="宋体" w:cs="宋体"/>
                <w:color w:val="000000"/>
                <w:kern w:val="0"/>
                <w:sz w:val="18"/>
                <w:szCs w:val="18"/>
              </w:rPr>
            </w:pPr>
          </w:p>
        </w:tc>
      </w:tr>
      <w:tr w14:paraId="75E14D6C">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7D9A174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618" w:type="pct"/>
            <w:tcBorders>
              <w:top w:val="nil"/>
              <w:left w:val="nil"/>
              <w:bottom w:val="single" w:color="auto" w:sz="4" w:space="0"/>
              <w:right w:val="single" w:color="auto" w:sz="4" w:space="0"/>
            </w:tcBorders>
            <w:shd w:val="clear" w:color="auto" w:fill="auto"/>
            <w:vAlign w:val="center"/>
          </w:tcPr>
          <w:p w14:paraId="52DF126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417" w:type="pct"/>
            <w:tcBorders>
              <w:top w:val="nil"/>
              <w:left w:val="nil"/>
              <w:bottom w:val="single" w:color="auto" w:sz="4" w:space="0"/>
              <w:right w:val="single" w:color="auto" w:sz="4" w:space="0"/>
            </w:tcBorders>
            <w:shd w:val="clear" w:color="auto" w:fill="auto"/>
            <w:vAlign w:val="center"/>
          </w:tcPr>
          <w:p w14:paraId="4BBC194A">
            <w:pPr>
              <w:widowControl/>
              <w:jc w:val="center"/>
              <w:rPr>
                <w:rFonts w:ascii="宋体" w:hAnsi="宋体" w:cs="宋体"/>
                <w:color w:val="000000"/>
                <w:kern w:val="0"/>
                <w:sz w:val="18"/>
                <w:szCs w:val="18"/>
              </w:rPr>
            </w:pPr>
            <w:r>
              <w:rPr>
                <w:rFonts w:hint="eastAsia" w:ascii="宋体" w:hAnsi="宋体" w:cs="宋体"/>
                <w:color w:val="000000"/>
                <w:kern w:val="0"/>
                <w:sz w:val="18"/>
                <w:szCs w:val="18"/>
              </w:rPr>
              <w:t>70,199.71</w:t>
            </w:r>
          </w:p>
        </w:tc>
        <w:tc>
          <w:tcPr>
            <w:tcW w:w="417" w:type="pct"/>
            <w:tcBorders>
              <w:top w:val="nil"/>
              <w:left w:val="nil"/>
              <w:bottom w:val="single" w:color="auto" w:sz="4" w:space="0"/>
              <w:right w:val="single" w:color="auto" w:sz="4" w:space="0"/>
            </w:tcBorders>
            <w:shd w:val="clear" w:color="auto" w:fill="auto"/>
            <w:vAlign w:val="center"/>
          </w:tcPr>
          <w:p w14:paraId="336FD2C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51DE06F5">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25A88CC8">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4FE7863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5682E9CB">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1D57AA6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4A95D5E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038FC82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3DFBD99B">
            <w:pPr>
              <w:widowControl/>
              <w:jc w:val="center"/>
              <w:rPr>
                <w:rFonts w:ascii="宋体" w:hAnsi="宋体" w:cs="宋体"/>
                <w:color w:val="000000"/>
                <w:kern w:val="0"/>
                <w:sz w:val="18"/>
                <w:szCs w:val="18"/>
              </w:rPr>
            </w:pPr>
            <w:r>
              <w:rPr>
                <w:rFonts w:hint="eastAsia" w:ascii="宋体" w:hAnsi="宋体" w:cs="宋体"/>
                <w:color w:val="000000"/>
                <w:kern w:val="0"/>
                <w:sz w:val="18"/>
                <w:szCs w:val="18"/>
              </w:rPr>
              <w:t>4,070.80</w:t>
            </w:r>
          </w:p>
        </w:tc>
      </w:tr>
      <w:tr w14:paraId="35973784">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5BEBEBD4">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18" w:type="pct"/>
            <w:tcBorders>
              <w:top w:val="nil"/>
              <w:left w:val="nil"/>
              <w:bottom w:val="single" w:color="auto" w:sz="4" w:space="0"/>
              <w:right w:val="single" w:color="auto" w:sz="4" w:space="0"/>
            </w:tcBorders>
            <w:shd w:val="clear" w:color="auto" w:fill="auto"/>
            <w:vAlign w:val="center"/>
          </w:tcPr>
          <w:p w14:paraId="4DF1C96F">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17" w:type="pct"/>
            <w:tcBorders>
              <w:top w:val="nil"/>
              <w:left w:val="nil"/>
              <w:bottom w:val="single" w:color="auto" w:sz="4" w:space="0"/>
              <w:right w:val="single" w:color="auto" w:sz="4" w:space="0"/>
            </w:tcBorders>
            <w:shd w:val="clear" w:color="auto" w:fill="auto"/>
            <w:vAlign w:val="center"/>
          </w:tcPr>
          <w:p w14:paraId="29950269">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417" w:type="pct"/>
            <w:tcBorders>
              <w:top w:val="nil"/>
              <w:left w:val="nil"/>
              <w:bottom w:val="single" w:color="auto" w:sz="4" w:space="0"/>
              <w:right w:val="single" w:color="auto" w:sz="4" w:space="0"/>
            </w:tcBorders>
            <w:shd w:val="clear" w:color="auto" w:fill="auto"/>
            <w:vAlign w:val="center"/>
          </w:tcPr>
          <w:p w14:paraId="35984AA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F885E3E">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9C547F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DE46A7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245A36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B4303A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123FB7B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15462EA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061F1C3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5C9786B9">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336948FF">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18" w:type="pct"/>
            <w:tcBorders>
              <w:top w:val="nil"/>
              <w:left w:val="nil"/>
              <w:bottom w:val="single" w:color="auto" w:sz="4" w:space="0"/>
              <w:right w:val="single" w:color="auto" w:sz="4" w:space="0"/>
            </w:tcBorders>
            <w:shd w:val="clear" w:color="auto" w:fill="auto"/>
            <w:vAlign w:val="center"/>
          </w:tcPr>
          <w:p w14:paraId="17E6C986">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17" w:type="pct"/>
            <w:tcBorders>
              <w:top w:val="nil"/>
              <w:left w:val="nil"/>
              <w:bottom w:val="single" w:color="auto" w:sz="4" w:space="0"/>
              <w:right w:val="single" w:color="auto" w:sz="4" w:space="0"/>
            </w:tcBorders>
            <w:shd w:val="clear" w:color="auto" w:fill="auto"/>
            <w:vAlign w:val="center"/>
          </w:tcPr>
          <w:p w14:paraId="053C2670">
            <w:pPr>
              <w:widowControl/>
              <w:jc w:val="center"/>
              <w:rPr>
                <w:rFonts w:ascii="宋体" w:hAnsi="宋体" w:cs="宋体"/>
                <w:color w:val="000000"/>
                <w:kern w:val="0"/>
                <w:sz w:val="18"/>
                <w:szCs w:val="18"/>
              </w:rPr>
            </w:pPr>
            <w:r>
              <w:rPr>
                <w:rFonts w:hint="eastAsia" w:ascii="宋体" w:hAnsi="宋体" w:cs="宋体"/>
                <w:color w:val="000000"/>
                <w:kern w:val="0"/>
                <w:sz w:val="18"/>
                <w:szCs w:val="18"/>
              </w:rPr>
              <w:t>6,003.42</w:t>
            </w:r>
          </w:p>
        </w:tc>
        <w:tc>
          <w:tcPr>
            <w:tcW w:w="417" w:type="pct"/>
            <w:tcBorders>
              <w:top w:val="nil"/>
              <w:left w:val="nil"/>
              <w:bottom w:val="single" w:color="auto" w:sz="4" w:space="0"/>
              <w:right w:val="single" w:color="auto" w:sz="4" w:space="0"/>
            </w:tcBorders>
            <w:shd w:val="clear" w:color="auto" w:fill="auto"/>
            <w:noWrap/>
            <w:vAlign w:val="center"/>
          </w:tcPr>
          <w:p w14:paraId="2F1CF43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247243BB">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52FDB58D">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7FD36915">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5EA9CE53">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116926DD">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147B313C">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799AE874">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17" w:type="pct"/>
            <w:tcBorders>
              <w:top w:val="nil"/>
              <w:left w:val="nil"/>
              <w:bottom w:val="single" w:color="auto" w:sz="4" w:space="0"/>
              <w:right w:val="single" w:color="auto" w:sz="4" w:space="0"/>
            </w:tcBorders>
            <w:shd w:val="clear" w:color="auto" w:fill="auto"/>
            <w:noWrap/>
            <w:vAlign w:val="center"/>
          </w:tcPr>
          <w:p w14:paraId="50AF6778">
            <w:pPr>
              <w:widowControl/>
              <w:jc w:val="center"/>
              <w:rPr>
                <w:rFonts w:ascii="宋体" w:hAnsi="宋体" w:cs="宋体"/>
                <w:color w:val="000000"/>
                <w:kern w:val="0"/>
                <w:sz w:val="18"/>
                <w:szCs w:val="18"/>
              </w:rPr>
            </w:pPr>
            <w:r>
              <w:rPr>
                <w:rFonts w:hint="eastAsia" w:ascii="宋体" w:hAnsi="宋体" w:cs="宋体"/>
                <w:color w:val="000000"/>
                <w:kern w:val="0"/>
                <w:sz w:val="18"/>
                <w:szCs w:val="18"/>
              </w:rPr>
              <w:t>0.00</w:t>
            </w:r>
          </w:p>
        </w:tc>
      </w:tr>
      <w:tr w14:paraId="24265F3B">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7456B764">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18" w:type="pct"/>
            <w:tcBorders>
              <w:top w:val="nil"/>
              <w:left w:val="nil"/>
              <w:bottom w:val="single" w:color="auto" w:sz="4" w:space="0"/>
              <w:right w:val="single" w:color="auto" w:sz="4" w:space="0"/>
            </w:tcBorders>
            <w:shd w:val="clear" w:color="auto" w:fill="auto"/>
            <w:vAlign w:val="center"/>
          </w:tcPr>
          <w:p w14:paraId="15CBF9EB">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17" w:type="pct"/>
            <w:tcBorders>
              <w:top w:val="nil"/>
              <w:left w:val="nil"/>
              <w:bottom w:val="single" w:color="auto" w:sz="4" w:space="0"/>
              <w:right w:val="single" w:color="auto" w:sz="4" w:space="0"/>
            </w:tcBorders>
            <w:shd w:val="clear" w:color="auto" w:fill="auto"/>
            <w:vAlign w:val="center"/>
          </w:tcPr>
          <w:p w14:paraId="72526FD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DC30C0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75DCBA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01F2D62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AE0062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4E27775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0C75FEA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0C1394F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176B25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47E23D5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1A3670C9">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192687AD">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18" w:type="pct"/>
            <w:tcBorders>
              <w:top w:val="nil"/>
              <w:left w:val="nil"/>
              <w:bottom w:val="single" w:color="auto" w:sz="4" w:space="0"/>
              <w:right w:val="single" w:color="auto" w:sz="4" w:space="0"/>
            </w:tcBorders>
            <w:shd w:val="clear" w:color="auto" w:fill="auto"/>
            <w:vAlign w:val="center"/>
          </w:tcPr>
          <w:p w14:paraId="6FEF955E">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17" w:type="pct"/>
            <w:tcBorders>
              <w:top w:val="nil"/>
              <w:left w:val="nil"/>
              <w:bottom w:val="single" w:color="auto" w:sz="4" w:space="0"/>
              <w:right w:val="single" w:color="auto" w:sz="4" w:space="0"/>
            </w:tcBorders>
            <w:shd w:val="clear" w:color="auto" w:fill="auto"/>
            <w:vAlign w:val="center"/>
          </w:tcPr>
          <w:p w14:paraId="72D50DF1">
            <w:pPr>
              <w:widowControl/>
              <w:jc w:val="center"/>
              <w:rPr>
                <w:rFonts w:ascii="宋体" w:hAnsi="宋体" w:cs="宋体"/>
                <w:color w:val="000000"/>
                <w:kern w:val="0"/>
                <w:sz w:val="18"/>
                <w:szCs w:val="18"/>
              </w:rPr>
            </w:pPr>
            <w:r>
              <w:rPr>
                <w:rFonts w:hint="eastAsia" w:ascii="宋体" w:hAnsi="宋体" w:cs="宋体"/>
                <w:color w:val="000000"/>
                <w:kern w:val="0"/>
                <w:sz w:val="18"/>
                <w:szCs w:val="18"/>
              </w:rPr>
              <w:t>32,399.99</w:t>
            </w:r>
          </w:p>
        </w:tc>
        <w:tc>
          <w:tcPr>
            <w:tcW w:w="417" w:type="pct"/>
            <w:tcBorders>
              <w:top w:val="nil"/>
              <w:left w:val="nil"/>
              <w:bottom w:val="single" w:color="auto" w:sz="4" w:space="0"/>
              <w:right w:val="single" w:color="auto" w:sz="4" w:space="0"/>
            </w:tcBorders>
            <w:shd w:val="clear" w:color="auto" w:fill="auto"/>
            <w:vAlign w:val="center"/>
          </w:tcPr>
          <w:p w14:paraId="69173180">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47B30E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44F22226">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A0BBC3C">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3126A528">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69560EC6">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35514F54">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7C2A0039">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vAlign w:val="center"/>
          </w:tcPr>
          <w:p w14:paraId="579E6A30">
            <w:pPr>
              <w:widowControl/>
              <w:jc w:val="center"/>
              <w:rPr>
                <w:rFonts w:ascii="宋体" w:hAnsi="宋体" w:cs="宋体"/>
                <w:color w:val="000000"/>
                <w:kern w:val="0"/>
                <w:sz w:val="18"/>
                <w:szCs w:val="18"/>
              </w:rPr>
            </w:pPr>
          </w:p>
        </w:tc>
      </w:tr>
      <w:tr w14:paraId="1F036C09">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3E415FB0">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18" w:type="pct"/>
            <w:tcBorders>
              <w:top w:val="nil"/>
              <w:left w:val="nil"/>
              <w:bottom w:val="single" w:color="auto" w:sz="4" w:space="0"/>
              <w:right w:val="single" w:color="auto" w:sz="4" w:space="0"/>
            </w:tcBorders>
            <w:shd w:val="clear" w:color="auto" w:fill="auto"/>
            <w:vAlign w:val="center"/>
          </w:tcPr>
          <w:p w14:paraId="1F79D5BA">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17" w:type="pct"/>
            <w:tcBorders>
              <w:top w:val="nil"/>
              <w:left w:val="nil"/>
              <w:bottom w:val="single" w:color="auto" w:sz="4" w:space="0"/>
              <w:right w:val="single" w:color="auto" w:sz="4" w:space="0"/>
            </w:tcBorders>
            <w:shd w:val="clear" w:color="auto" w:fill="auto"/>
            <w:vAlign w:val="center"/>
          </w:tcPr>
          <w:p w14:paraId="604D592D">
            <w:pPr>
              <w:widowControl/>
              <w:jc w:val="center"/>
              <w:rPr>
                <w:rFonts w:ascii="宋体" w:hAnsi="宋体" w:cs="宋体"/>
                <w:color w:val="000000"/>
                <w:kern w:val="0"/>
                <w:sz w:val="18"/>
                <w:szCs w:val="18"/>
              </w:rPr>
            </w:pPr>
            <w:r>
              <w:rPr>
                <w:rFonts w:hint="eastAsia" w:ascii="宋体" w:hAnsi="宋体" w:cs="宋体"/>
                <w:color w:val="000000"/>
                <w:kern w:val="0"/>
                <w:sz w:val="18"/>
                <w:szCs w:val="18"/>
              </w:rPr>
              <w:t>31,796.30</w:t>
            </w:r>
          </w:p>
        </w:tc>
        <w:tc>
          <w:tcPr>
            <w:tcW w:w="417" w:type="pct"/>
            <w:tcBorders>
              <w:top w:val="nil"/>
              <w:left w:val="nil"/>
              <w:bottom w:val="single" w:color="auto" w:sz="4" w:space="0"/>
              <w:right w:val="single" w:color="auto" w:sz="4" w:space="0"/>
            </w:tcBorders>
            <w:shd w:val="clear" w:color="auto" w:fill="auto"/>
            <w:vAlign w:val="center"/>
          </w:tcPr>
          <w:p w14:paraId="7B083A9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6117BB2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08F4FD5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183353F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3BDD26B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0F2AAEFE">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47B6AD05">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7B2CE2D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56983330">
            <w:pPr>
              <w:widowControl/>
              <w:jc w:val="center"/>
              <w:rPr>
                <w:rFonts w:ascii="宋体" w:hAnsi="宋体" w:cs="宋体"/>
                <w:color w:val="000000"/>
                <w:kern w:val="0"/>
                <w:sz w:val="18"/>
                <w:szCs w:val="18"/>
              </w:rPr>
            </w:pPr>
            <w:r>
              <w:rPr>
                <w:rFonts w:hint="eastAsia" w:ascii="宋体" w:hAnsi="宋体" w:cs="宋体"/>
                <w:color w:val="000000"/>
                <w:kern w:val="0"/>
                <w:sz w:val="18"/>
                <w:szCs w:val="18"/>
              </w:rPr>
              <w:t>4,070.80</w:t>
            </w:r>
          </w:p>
        </w:tc>
      </w:tr>
      <w:tr w14:paraId="2A6BF40B">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23DB9ACB">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18" w:type="pct"/>
            <w:tcBorders>
              <w:top w:val="nil"/>
              <w:left w:val="nil"/>
              <w:bottom w:val="single" w:color="auto" w:sz="4" w:space="0"/>
              <w:right w:val="single" w:color="auto" w:sz="4" w:space="0"/>
            </w:tcBorders>
            <w:shd w:val="clear" w:color="auto" w:fill="auto"/>
            <w:vAlign w:val="center"/>
          </w:tcPr>
          <w:p w14:paraId="3FB2085D">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17" w:type="pct"/>
            <w:tcBorders>
              <w:top w:val="nil"/>
              <w:left w:val="nil"/>
              <w:bottom w:val="single" w:color="auto" w:sz="4" w:space="0"/>
              <w:right w:val="single" w:color="auto" w:sz="4" w:space="0"/>
            </w:tcBorders>
            <w:shd w:val="clear" w:color="auto" w:fill="auto"/>
            <w:vAlign w:val="center"/>
          </w:tcPr>
          <w:p w14:paraId="224CB389">
            <w:pPr>
              <w:widowControl/>
              <w:jc w:val="center"/>
              <w:rPr>
                <w:rFonts w:ascii="宋体" w:hAnsi="宋体" w:cs="宋体"/>
                <w:color w:val="000000"/>
                <w:kern w:val="0"/>
                <w:sz w:val="18"/>
                <w:szCs w:val="18"/>
              </w:rPr>
            </w:pPr>
            <w:r>
              <w:rPr>
                <w:rFonts w:hint="eastAsia" w:ascii="宋体" w:hAnsi="宋体" w:cs="宋体"/>
                <w:color w:val="000000"/>
                <w:kern w:val="0"/>
                <w:sz w:val="18"/>
                <w:szCs w:val="18"/>
              </w:rPr>
              <w:t>18.95</w:t>
            </w:r>
          </w:p>
        </w:tc>
        <w:tc>
          <w:tcPr>
            <w:tcW w:w="417" w:type="pct"/>
            <w:tcBorders>
              <w:top w:val="nil"/>
              <w:left w:val="nil"/>
              <w:bottom w:val="single" w:color="auto" w:sz="4" w:space="0"/>
              <w:right w:val="single" w:color="auto" w:sz="4" w:space="0"/>
            </w:tcBorders>
            <w:shd w:val="clear" w:color="auto" w:fill="auto"/>
            <w:noWrap/>
            <w:vAlign w:val="center"/>
          </w:tcPr>
          <w:p w14:paraId="65E2106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7FFB697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753F90C">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54E37C52">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3A299A46">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453281CB">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4069FD21">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7E00639">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2FE41EA8">
            <w:pPr>
              <w:widowControl/>
              <w:jc w:val="center"/>
              <w:rPr>
                <w:rFonts w:ascii="宋体" w:hAnsi="宋体" w:cs="宋体"/>
                <w:color w:val="000000"/>
                <w:kern w:val="0"/>
                <w:sz w:val="18"/>
                <w:szCs w:val="18"/>
              </w:rPr>
            </w:pPr>
          </w:p>
        </w:tc>
      </w:tr>
      <w:tr w14:paraId="280B7712">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390719AE">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18" w:type="pct"/>
            <w:tcBorders>
              <w:top w:val="nil"/>
              <w:left w:val="nil"/>
              <w:bottom w:val="single" w:color="auto" w:sz="4" w:space="0"/>
              <w:right w:val="single" w:color="auto" w:sz="4" w:space="0"/>
            </w:tcBorders>
            <w:shd w:val="clear" w:color="auto" w:fill="auto"/>
            <w:vAlign w:val="center"/>
          </w:tcPr>
          <w:p w14:paraId="48203C7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17" w:type="pct"/>
            <w:tcBorders>
              <w:top w:val="nil"/>
              <w:left w:val="nil"/>
              <w:bottom w:val="single" w:color="auto" w:sz="4" w:space="0"/>
              <w:right w:val="single" w:color="auto" w:sz="4" w:space="0"/>
            </w:tcBorders>
            <w:shd w:val="clear" w:color="auto" w:fill="auto"/>
            <w:vAlign w:val="center"/>
          </w:tcPr>
          <w:p w14:paraId="0FB25156">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417" w:type="pct"/>
            <w:tcBorders>
              <w:top w:val="nil"/>
              <w:left w:val="nil"/>
              <w:bottom w:val="single" w:color="auto" w:sz="4" w:space="0"/>
              <w:right w:val="single" w:color="auto" w:sz="4" w:space="0"/>
            </w:tcBorders>
            <w:shd w:val="clear" w:color="auto" w:fill="auto"/>
            <w:noWrap/>
            <w:vAlign w:val="center"/>
          </w:tcPr>
          <w:p w14:paraId="1A8CB40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057439E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27F7FAB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3B88E60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3395D5A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4B586F9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46CF8C0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0BE55FA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7B84087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12A39B3C">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5E017EC2">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18" w:type="pct"/>
            <w:tcBorders>
              <w:top w:val="nil"/>
              <w:left w:val="nil"/>
              <w:bottom w:val="single" w:color="auto" w:sz="4" w:space="0"/>
              <w:right w:val="single" w:color="auto" w:sz="4" w:space="0"/>
            </w:tcBorders>
            <w:shd w:val="clear" w:color="auto" w:fill="auto"/>
            <w:vAlign w:val="center"/>
          </w:tcPr>
          <w:p w14:paraId="7E9FCBF3">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17" w:type="pct"/>
            <w:tcBorders>
              <w:top w:val="nil"/>
              <w:left w:val="nil"/>
              <w:bottom w:val="single" w:color="auto" w:sz="4" w:space="0"/>
              <w:right w:val="single" w:color="auto" w:sz="4" w:space="0"/>
            </w:tcBorders>
            <w:shd w:val="clear" w:color="auto" w:fill="auto"/>
            <w:vAlign w:val="center"/>
          </w:tcPr>
          <w:p w14:paraId="2FFF796D">
            <w:pPr>
              <w:widowControl/>
              <w:jc w:val="center"/>
              <w:rPr>
                <w:rFonts w:ascii="宋体" w:hAnsi="宋体" w:cs="宋体"/>
                <w:color w:val="000000"/>
                <w:kern w:val="0"/>
                <w:sz w:val="18"/>
                <w:szCs w:val="18"/>
              </w:rPr>
            </w:pPr>
            <w:r>
              <w:rPr>
                <w:rFonts w:hint="eastAsia" w:ascii="宋体" w:hAnsi="宋体" w:cs="宋体"/>
                <w:color w:val="000000"/>
                <w:kern w:val="0"/>
                <w:sz w:val="18"/>
                <w:szCs w:val="18"/>
              </w:rPr>
              <w:t>8,827.35</w:t>
            </w:r>
          </w:p>
        </w:tc>
        <w:tc>
          <w:tcPr>
            <w:tcW w:w="417" w:type="pct"/>
            <w:tcBorders>
              <w:top w:val="nil"/>
              <w:left w:val="nil"/>
              <w:bottom w:val="single" w:color="auto" w:sz="4" w:space="0"/>
              <w:right w:val="single" w:color="auto" w:sz="4" w:space="0"/>
            </w:tcBorders>
            <w:shd w:val="clear" w:color="auto" w:fill="auto"/>
            <w:noWrap/>
            <w:vAlign w:val="center"/>
          </w:tcPr>
          <w:p w14:paraId="18CE95CE">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33917ECD">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6134747C">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0AADDBF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46F1F793">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0FD877B2">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29ED46A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4E99D99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noWrap/>
            <w:vAlign w:val="center"/>
          </w:tcPr>
          <w:p w14:paraId="48D531E3">
            <w:pPr>
              <w:widowControl/>
              <w:jc w:val="center"/>
              <w:rPr>
                <w:rFonts w:ascii="宋体" w:hAnsi="宋体" w:cs="宋体"/>
                <w:color w:val="000000"/>
                <w:kern w:val="0"/>
                <w:sz w:val="18"/>
                <w:szCs w:val="18"/>
              </w:rPr>
            </w:pPr>
            <w:r>
              <w:rPr>
                <w:rFonts w:hint="eastAsia" w:ascii="宋体" w:hAnsi="宋体" w:cs="宋体"/>
                <w:color w:val="000000"/>
                <w:kern w:val="0"/>
                <w:sz w:val="18"/>
                <w:szCs w:val="18"/>
              </w:rPr>
              <w:t>70.80</w:t>
            </w:r>
          </w:p>
        </w:tc>
      </w:tr>
      <w:tr w14:paraId="324598B1">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3F505B8A">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18" w:type="pct"/>
            <w:tcBorders>
              <w:top w:val="nil"/>
              <w:left w:val="nil"/>
              <w:bottom w:val="single" w:color="auto" w:sz="4" w:space="0"/>
              <w:right w:val="single" w:color="auto" w:sz="4" w:space="0"/>
            </w:tcBorders>
            <w:shd w:val="clear" w:color="auto" w:fill="auto"/>
            <w:vAlign w:val="center"/>
          </w:tcPr>
          <w:p w14:paraId="14DA4093">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17" w:type="pct"/>
            <w:tcBorders>
              <w:top w:val="nil"/>
              <w:left w:val="nil"/>
              <w:bottom w:val="single" w:color="auto" w:sz="4" w:space="0"/>
              <w:right w:val="single" w:color="auto" w:sz="4" w:space="0"/>
            </w:tcBorders>
            <w:shd w:val="clear" w:color="auto" w:fill="auto"/>
            <w:vAlign w:val="center"/>
          </w:tcPr>
          <w:p w14:paraId="10144EA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noWrap/>
            <w:vAlign w:val="center"/>
          </w:tcPr>
          <w:p w14:paraId="5D774ADC">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FB4D8A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5171B3ED">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2380320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55844853">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06B653C0">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1E53065C">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4E220A71">
            <w:pPr>
              <w:widowControl/>
              <w:jc w:val="center"/>
              <w:rPr>
                <w:rFonts w:ascii="宋体" w:hAnsi="宋体" w:cs="宋体"/>
                <w:color w:val="000000"/>
                <w:kern w:val="0"/>
                <w:sz w:val="18"/>
                <w:szCs w:val="18"/>
              </w:rPr>
            </w:pPr>
          </w:p>
        </w:tc>
        <w:tc>
          <w:tcPr>
            <w:tcW w:w="417" w:type="pct"/>
            <w:tcBorders>
              <w:top w:val="nil"/>
              <w:left w:val="nil"/>
              <w:bottom w:val="single" w:color="auto" w:sz="4" w:space="0"/>
              <w:right w:val="single" w:color="auto" w:sz="4" w:space="0"/>
            </w:tcBorders>
            <w:shd w:val="clear" w:color="auto" w:fill="auto"/>
            <w:noWrap/>
            <w:vAlign w:val="center"/>
          </w:tcPr>
          <w:p w14:paraId="3FA093FE">
            <w:pPr>
              <w:widowControl/>
              <w:jc w:val="center"/>
              <w:rPr>
                <w:rFonts w:ascii="宋体" w:hAnsi="宋体" w:cs="宋体"/>
                <w:color w:val="000000"/>
                <w:kern w:val="0"/>
                <w:sz w:val="18"/>
                <w:szCs w:val="18"/>
              </w:rPr>
            </w:pPr>
          </w:p>
        </w:tc>
      </w:tr>
      <w:tr w14:paraId="0FCB126D">
        <w:trPr>
          <w:trHeight w:val="54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55A371F4">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18" w:type="pct"/>
            <w:tcBorders>
              <w:top w:val="nil"/>
              <w:left w:val="nil"/>
              <w:bottom w:val="single" w:color="auto" w:sz="4" w:space="0"/>
              <w:right w:val="single" w:color="auto" w:sz="4" w:space="0"/>
            </w:tcBorders>
            <w:shd w:val="clear" w:color="auto" w:fill="auto"/>
            <w:vAlign w:val="center"/>
          </w:tcPr>
          <w:p w14:paraId="14C08DE7">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17" w:type="pct"/>
            <w:tcBorders>
              <w:top w:val="nil"/>
              <w:left w:val="nil"/>
              <w:bottom w:val="single" w:color="auto" w:sz="4" w:space="0"/>
              <w:right w:val="single" w:color="auto" w:sz="4" w:space="0"/>
            </w:tcBorders>
            <w:shd w:val="clear" w:color="auto" w:fill="auto"/>
            <w:vAlign w:val="center"/>
          </w:tcPr>
          <w:p w14:paraId="0CE14EA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223E02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94299F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68D67B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3F6F486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5EC290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7260434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0927778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70F8A16">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686FF1A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778A31A6">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57681C1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618" w:type="pct"/>
            <w:tcBorders>
              <w:top w:val="nil"/>
              <w:left w:val="nil"/>
              <w:bottom w:val="single" w:color="auto" w:sz="4" w:space="0"/>
              <w:right w:val="single" w:color="auto" w:sz="4" w:space="0"/>
            </w:tcBorders>
            <w:shd w:val="clear" w:color="auto" w:fill="auto"/>
            <w:vAlign w:val="center"/>
          </w:tcPr>
          <w:p w14:paraId="78DBEEA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417" w:type="pct"/>
            <w:tcBorders>
              <w:top w:val="nil"/>
              <w:left w:val="nil"/>
              <w:bottom w:val="single" w:color="auto" w:sz="4" w:space="0"/>
              <w:right w:val="single" w:color="auto" w:sz="4" w:space="0"/>
            </w:tcBorders>
            <w:shd w:val="clear" w:color="auto" w:fill="auto"/>
            <w:vAlign w:val="center"/>
          </w:tcPr>
          <w:p w14:paraId="48FEB516">
            <w:pPr>
              <w:widowControl/>
              <w:jc w:val="center"/>
              <w:rPr>
                <w:rFonts w:ascii="宋体" w:hAnsi="宋体" w:cs="宋体"/>
                <w:color w:val="000000"/>
                <w:kern w:val="0"/>
                <w:sz w:val="18"/>
                <w:szCs w:val="18"/>
              </w:rPr>
            </w:pPr>
            <w:r>
              <w:rPr>
                <w:rFonts w:hint="eastAsia" w:ascii="宋体" w:hAnsi="宋体" w:cs="宋体"/>
                <w:color w:val="000000"/>
                <w:kern w:val="0"/>
                <w:sz w:val="18"/>
                <w:szCs w:val="18"/>
              </w:rPr>
              <w:t>262,572.87</w:t>
            </w:r>
          </w:p>
        </w:tc>
        <w:tc>
          <w:tcPr>
            <w:tcW w:w="417" w:type="pct"/>
            <w:tcBorders>
              <w:top w:val="nil"/>
              <w:left w:val="nil"/>
              <w:bottom w:val="single" w:color="auto" w:sz="4" w:space="0"/>
              <w:right w:val="single" w:color="auto" w:sz="4" w:space="0"/>
            </w:tcBorders>
            <w:shd w:val="clear" w:color="auto" w:fill="auto"/>
            <w:vAlign w:val="center"/>
          </w:tcPr>
          <w:p w14:paraId="004F2EEF">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34A5E517">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520D85B1">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777FDFE4">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410996D4">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7C04CC64">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4D81D03B">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01A8DC80">
            <w:pPr>
              <w:widowControl/>
              <w:jc w:val="center"/>
              <w:rPr>
                <w:rFonts w:ascii="宋体" w:hAnsi="宋体" w:cs="宋体"/>
                <w:color w:val="000000"/>
                <w:kern w:val="0"/>
                <w:sz w:val="18"/>
                <w:szCs w:val="18"/>
              </w:rPr>
            </w:pPr>
            <w:r>
              <w:rPr>
                <w:rFonts w:hint="eastAsia" w:ascii="宋体" w:hAnsi="宋体" w:cs="宋体"/>
                <w:color w:val="000000"/>
                <w:kern w:val="0"/>
                <w:sz w:val="18"/>
                <w:szCs w:val="18"/>
              </w:rPr>
              <w:t>-141.60</w:t>
            </w:r>
          </w:p>
        </w:tc>
        <w:tc>
          <w:tcPr>
            <w:tcW w:w="417" w:type="pct"/>
            <w:tcBorders>
              <w:top w:val="nil"/>
              <w:left w:val="nil"/>
              <w:bottom w:val="single" w:color="auto" w:sz="4" w:space="0"/>
              <w:right w:val="single" w:color="auto" w:sz="4" w:space="0"/>
            </w:tcBorders>
            <w:shd w:val="clear" w:color="auto" w:fill="auto"/>
            <w:vAlign w:val="center"/>
          </w:tcPr>
          <w:p w14:paraId="253CBF98">
            <w:pPr>
              <w:widowControl/>
              <w:jc w:val="center"/>
              <w:rPr>
                <w:rFonts w:ascii="宋体" w:hAnsi="宋体" w:cs="宋体"/>
                <w:color w:val="000000"/>
                <w:kern w:val="0"/>
                <w:sz w:val="18"/>
                <w:szCs w:val="18"/>
              </w:rPr>
            </w:pPr>
            <w:r>
              <w:rPr>
                <w:rFonts w:hint="eastAsia" w:ascii="宋体" w:hAnsi="宋体" w:cs="宋体"/>
                <w:color w:val="000000"/>
                <w:kern w:val="0"/>
                <w:sz w:val="18"/>
                <w:szCs w:val="18"/>
              </w:rPr>
              <w:t>-4,070.80</w:t>
            </w:r>
          </w:p>
        </w:tc>
      </w:tr>
      <w:tr w14:paraId="5EEDE4B1">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0E9E3A5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618" w:type="pct"/>
            <w:tcBorders>
              <w:top w:val="nil"/>
              <w:left w:val="nil"/>
              <w:bottom w:val="single" w:color="auto" w:sz="4" w:space="0"/>
              <w:right w:val="single" w:color="auto" w:sz="4" w:space="0"/>
            </w:tcBorders>
            <w:shd w:val="clear" w:color="auto" w:fill="auto"/>
            <w:vAlign w:val="center"/>
          </w:tcPr>
          <w:p w14:paraId="00D5EA6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417" w:type="pct"/>
            <w:tcBorders>
              <w:top w:val="nil"/>
              <w:left w:val="nil"/>
              <w:bottom w:val="single" w:color="auto" w:sz="4" w:space="0"/>
              <w:right w:val="single" w:color="auto" w:sz="4" w:space="0"/>
            </w:tcBorders>
            <w:shd w:val="clear" w:color="auto" w:fill="auto"/>
            <w:vAlign w:val="center"/>
          </w:tcPr>
          <w:p w14:paraId="1FFF665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2697A1C8">
            <w:pPr>
              <w:widowControl/>
              <w:jc w:val="center"/>
              <w:rPr>
                <w:rFonts w:ascii="宋体" w:hAnsi="宋体" w:cs="宋体"/>
                <w:color w:val="000000"/>
                <w:kern w:val="0"/>
                <w:sz w:val="18"/>
                <w:szCs w:val="18"/>
              </w:rPr>
            </w:pPr>
            <w:r>
              <w:rPr>
                <w:rFonts w:hint="eastAsia" w:ascii="宋体" w:hAnsi="宋体" w:cs="宋体"/>
                <w:color w:val="000000"/>
                <w:kern w:val="0"/>
                <w:sz w:val="18"/>
                <w:szCs w:val="18"/>
              </w:rPr>
              <w:t>267,776.47</w:t>
            </w:r>
          </w:p>
        </w:tc>
        <w:tc>
          <w:tcPr>
            <w:tcW w:w="417" w:type="pct"/>
            <w:tcBorders>
              <w:top w:val="nil"/>
              <w:left w:val="nil"/>
              <w:bottom w:val="single" w:color="auto" w:sz="4" w:space="0"/>
              <w:right w:val="single" w:color="auto" w:sz="4" w:space="0"/>
            </w:tcBorders>
            <w:shd w:val="clear" w:color="auto" w:fill="auto"/>
            <w:vAlign w:val="center"/>
          </w:tcPr>
          <w:p w14:paraId="105448D7">
            <w:pPr>
              <w:widowControl/>
              <w:jc w:val="center"/>
              <w:rPr>
                <w:rFonts w:ascii="宋体" w:hAnsi="宋体" w:cs="宋体"/>
                <w:color w:val="000000"/>
                <w:kern w:val="0"/>
                <w:sz w:val="18"/>
                <w:szCs w:val="18"/>
              </w:rPr>
            </w:pPr>
            <w:r>
              <w:rPr>
                <w:rFonts w:hint="eastAsia" w:ascii="宋体" w:hAnsi="宋体" w:cs="宋体"/>
                <w:color w:val="000000"/>
                <w:kern w:val="0"/>
                <w:sz w:val="18"/>
                <w:szCs w:val="18"/>
              </w:rPr>
              <w:t>267,634.87</w:t>
            </w:r>
          </w:p>
        </w:tc>
        <w:tc>
          <w:tcPr>
            <w:tcW w:w="417" w:type="pct"/>
            <w:tcBorders>
              <w:top w:val="nil"/>
              <w:left w:val="nil"/>
              <w:bottom w:val="single" w:color="auto" w:sz="4" w:space="0"/>
              <w:right w:val="single" w:color="auto" w:sz="4" w:space="0"/>
            </w:tcBorders>
            <w:shd w:val="clear" w:color="auto" w:fill="auto"/>
            <w:vAlign w:val="center"/>
          </w:tcPr>
          <w:p w14:paraId="652A0171">
            <w:pPr>
              <w:widowControl/>
              <w:jc w:val="center"/>
              <w:rPr>
                <w:rFonts w:ascii="宋体" w:hAnsi="宋体" w:cs="宋体"/>
                <w:color w:val="000000"/>
                <w:kern w:val="0"/>
                <w:sz w:val="18"/>
                <w:szCs w:val="18"/>
              </w:rPr>
            </w:pPr>
            <w:r>
              <w:rPr>
                <w:rFonts w:hint="eastAsia" w:ascii="宋体" w:hAnsi="宋体" w:cs="宋体"/>
                <w:color w:val="000000"/>
                <w:kern w:val="0"/>
                <w:sz w:val="18"/>
                <w:szCs w:val="18"/>
              </w:rPr>
              <w:t>267,493.27</w:t>
            </w:r>
          </w:p>
        </w:tc>
        <w:tc>
          <w:tcPr>
            <w:tcW w:w="417" w:type="pct"/>
            <w:tcBorders>
              <w:top w:val="nil"/>
              <w:left w:val="nil"/>
              <w:bottom w:val="single" w:color="auto" w:sz="4" w:space="0"/>
              <w:right w:val="single" w:color="auto" w:sz="4" w:space="0"/>
            </w:tcBorders>
            <w:shd w:val="clear" w:color="auto" w:fill="auto"/>
            <w:vAlign w:val="center"/>
          </w:tcPr>
          <w:p w14:paraId="3F9724B1">
            <w:pPr>
              <w:widowControl/>
              <w:jc w:val="center"/>
              <w:rPr>
                <w:rFonts w:ascii="宋体" w:hAnsi="宋体" w:cs="宋体"/>
                <w:color w:val="000000"/>
                <w:kern w:val="0"/>
                <w:sz w:val="18"/>
                <w:szCs w:val="18"/>
              </w:rPr>
            </w:pPr>
            <w:r>
              <w:rPr>
                <w:rFonts w:hint="eastAsia" w:ascii="宋体" w:hAnsi="宋体" w:cs="宋体"/>
                <w:color w:val="000000"/>
                <w:kern w:val="0"/>
                <w:sz w:val="18"/>
                <w:szCs w:val="18"/>
              </w:rPr>
              <w:t>267,351.67</w:t>
            </w:r>
          </w:p>
        </w:tc>
        <w:tc>
          <w:tcPr>
            <w:tcW w:w="417" w:type="pct"/>
            <w:tcBorders>
              <w:top w:val="nil"/>
              <w:left w:val="nil"/>
              <w:bottom w:val="single" w:color="auto" w:sz="4" w:space="0"/>
              <w:right w:val="single" w:color="auto" w:sz="4" w:space="0"/>
            </w:tcBorders>
            <w:shd w:val="clear" w:color="auto" w:fill="auto"/>
            <w:vAlign w:val="center"/>
          </w:tcPr>
          <w:p w14:paraId="4B049383">
            <w:pPr>
              <w:widowControl/>
              <w:jc w:val="center"/>
              <w:rPr>
                <w:rFonts w:ascii="宋体" w:hAnsi="宋体" w:cs="宋体"/>
                <w:color w:val="000000"/>
                <w:kern w:val="0"/>
                <w:sz w:val="18"/>
                <w:szCs w:val="18"/>
              </w:rPr>
            </w:pPr>
            <w:r>
              <w:rPr>
                <w:rFonts w:hint="eastAsia" w:ascii="宋体" w:hAnsi="宋体" w:cs="宋体"/>
                <w:color w:val="000000"/>
                <w:kern w:val="0"/>
                <w:sz w:val="18"/>
                <w:szCs w:val="18"/>
              </w:rPr>
              <w:t>267,210.07</w:t>
            </w:r>
          </w:p>
        </w:tc>
        <w:tc>
          <w:tcPr>
            <w:tcW w:w="417" w:type="pct"/>
            <w:tcBorders>
              <w:top w:val="nil"/>
              <w:left w:val="nil"/>
              <w:bottom w:val="single" w:color="auto" w:sz="4" w:space="0"/>
              <w:right w:val="single" w:color="auto" w:sz="4" w:space="0"/>
            </w:tcBorders>
            <w:shd w:val="clear" w:color="auto" w:fill="auto"/>
            <w:vAlign w:val="center"/>
          </w:tcPr>
          <w:p w14:paraId="31FB0402">
            <w:pPr>
              <w:widowControl/>
              <w:jc w:val="center"/>
              <w:rPr>
                <w:rFonts w:ascii="宋体" w:hAnsi="宋体" w:cs="宋体"/>
                <w:color w:val="000000"/>
                <w:kern w:val="0"/>
                <w:sz w:val="18"/>
                <w:szCs w:val="18"/>
              </w:rPr>
            </w:pPr>
            <w:r>
              <w:rPr>
                <w:rFonts w:hint="eastAsia" w:ascii="宋体" w:hAnsi="宋体" w:cs="宋体"/>
                <w:color w:val="000000"/>
                <w:kern w:val="0"/>
                <w:sz w:val="18"/>
                <w:szCs w:val="18"/>
              </w:rPr>
              <w:t>267,068.47</w:t>
            </w:r>
          </w:p>
        </w:tc>
        <w:tc>
          <w:tcPr>
            <w:tcW w:w="417" w:type="pct"/>
            <w:tcBorders>
              <w:top w:val="nil"/>
              <w:left w:val="nil"/>
              <w:bottom w:val="single" w:color="auto" w:sz="4" w:space="0"/>
              <w:right w:val="single" w:color="auto" w:sz="4" w:space="0"/>
            </w:tcBorders>
            <w:shd w:val="clear" w:color="auto" w:fill="auto"/>
            <w:vAlign w:val="center"/>
          </w:tcPr>
          <w:p w14:paraId="1ABA619C">
            <w:pPr>
              <w:widowControl/>
              <w:jc w:val="center"/>
              <w:rPr>
                <w:rFonts w:ascii="宋体" w:hAnsi="宋体" w:cs="宋体"/>
                <w:color w:val="000000"/>
                <w:kern w:val="0"/>
                <w:sz w:val="18"/>
                <w:szCs w:val="18"/>
              </w:rPr>
            </w:pPr>
            <w:r>
              <w:rPr>
                <w:rFonts w:hint="eastAsia" w:ascii="宋体" w:hAnsi="宋体" w:cs="宋体"/>
                <w:color w:val="000000"/>
                <w:kern w:val="0"/>
                <w:sz w:val="18"/>
                <w:szCs w:val="18"/>
              </w:rPr>
              <w:t>266,926.87</w:t>
            </w:r>
          </w:p>
        </w:tc>
        <w:tc>
          <w:tcPr>
            <w:tcW w:w="417" w:type="pct"/>
            <w:tcBorders>
              <w:top w:val="nil"/>
              <w:left w:val="nil"/>
              <w:bottom w:val="single" w:color="auto" w:sz="4" w:space="0"/>
              <w:right w:val="single" w:color="auto" w:sz="4" w:space="0"/>
            </w:tcBorders>
            <w:shd w:val="clear" w:color="auto" w:fill="auto"/>
            <w:vAlign w:val="center"/>
          </w:tcPr>
          <w:p w14:paraId="729CA14F">
            <w:pPr>
              <w:widowControl/>
              <w:jc w:val="center"/>
              <w:rPr>
                <w:rFonts w:ascii="宋体" w:hAnsi="宋体" w:cs="宋体"/>
                <w:color w:val="000000"/>
                <w:kern w:val="0"/>
                <w:sz w:val="18"/>
                <w:szCs w:val="18"/>
              </w:rPr>
            </w:pPr>
            <w:r>
              <w:rPr>
                <w:rFonts w:hint="eastAsia" w:ascii="宋体" w:hAnsi="宋体" w:cs="宋体"/>
                <w:color w:val="000000"/>
                <w:kern w:val="0"/>
                <w:sz w:val="18"/>
                <w:szCs w:val="18"/>
              </w:rPr>
              <w:t>266,785.27</w:t>
            </w:r>
          </w:p>
        </w:tc>
        <w:tc>
          <w:tcPr>
            <w:tcW w:w="417" w:type="pct"/>
            <w:tcBorders>
              <w:top w:val="nil"/>
              <w:left w:val="nil"/>
              <w:bottom w:val="single" w:color="auto" w:sz="4" w:space="0"/>
              <w:right w:val="single" w:color="auto" w:sz="4" w:space="0"/>
            </w:tcBorders>
            <w:shd w:val="clear" w:color="auto" w:fill="auto"/>
            <w:vAlign w:val="center"/>
          </w:tcPr>
          <w:p w14:paraId="0218FBE0">
            <w:pPr>
              <w:widowControl/>
              <w:jc w:val="center"/>
              <w:rPr>
                <w:rFonts w:ascii="宋体" w:hAnsi="宋体" w:cs="宋体"/>
                <w:color w:val="000000"/>
                <w:kern w:val="0"/>
                <w:sz w:val="18"/>
                <w:szCs w:val="18"/>
              </w:rPr>
            </w:pPr>
            <w:r>
              <w:rPr>
                <w:rFonts w:hint="eastAsia" w:ascii="宋体" w:hAnsi="宋体" w:cs="宋体"/>
                <w:color w:val="000000"/>
                <w:kern w:val="0"/>
                <w:sz w:val="18"/>
                <w:szCs w:val="18"/>
              </w:rPr>
              <w:t>266,643.67</w:t>
            </w:r>
          </w:p>
        </w:tc>
      </w:tr>
      <w:tr w14:paraId="1F0B760D">
        <w:trPr>
          <w:trHeight w:val="270" w:hRule="atLeast"/>
        </w:trPr>
        <w:tc>
          <w:tcPr>
            <w:tcW w:w="216" w:type="pct"/>
            <w:tcBorders>
              <w:top w:val="nil"/>
              <w:left w:val="single" w:color="auto" w:sz="4" w:space="0"/>
              <w:bottom w:val="single" w:color="auto" w:sz="4" w:space="0"/>
              <w:right w:val="single" w:color="auto" w:sz="4" w:space="0"/>
            </w:tcBorders>
            <w:shd w:val="clear" w:color="auto" w:fill="auto"/>
            <w:vAlign w:val="center"/>
          </w:tcPr>
          <w:p w14:paraId="694460B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618" w:type="pct"/>
            <w:tcBorders>
              <w:top w:val="nil"/>
              <w:left w:val="nil"/>
              <w:bottom w:val="single" w:color="auto" w:sz="4" w:space="0"/>
              <w:right w:val="single" w:color="auto" w:sz="4" w:space="0"/>
            </w:tcBorders>
            <w:shd w:val="clear" w:color="auto" w:fill="auto"/>
            <w:vAlign w:val="center"/>
          </w:tcPr>
          <w:p w14:paraId="1FB1FB3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417" w:type="pct"/>
            <w:tcBorders>
              <w:top w:val="nil"/>
              <w:left w:val="nil"/>
              <w:bottom w:val="single" w:color="auto" w:sz="4" w:space="0"/>
              <w:right w:val="single" w:color="auto" w:sz="4" w:space="0"/>
            </w:tcBorders>
            <w:shd w:val="clear" w:color="auto" w:fill="auto"/>
            <w:vAlign w:val="center"/>
          </w:tcPr>
          <w:p w14:paraId="75D94FE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17" w:type="pct"/>
            <w:tcBorders>
              <w:top w:val="nil"/>
              <w:left w:val="nil"/>
              <w:bottom w:val="single" w:color="auto" w:sz="4" w:space="0"/>
              <w:right w:val="single" w:color="auto" w:sz="4" w:space="0"/>
            </w:tcBorders>
            <w:shd w:val="clear" w:color="auto" w:fill="auto"/>
            <w:vAlign w:val="center"/>
          </w:tcPr>
          <w:p w14:paraId="53934166">
            <w:pPr>
              <w:widowControl/>
              <w:jc w:val="center"/>
              <w:rPr>
                <w:rFonts w:ascii="宋体" w:hAnsi="宋体" w:cs="宋体"/>
                <w:color w:val="000000"/>
                <w:kern w:val="0"/>
                <w:sz w:val="18"/>
                <w:szCs w:val="18"/>
              </w:rPr>
            </w:pPr>
            <w:r>
              <w:rPr>
                <w:rFonts w:hint="eastAsia" w:ascii="宋体" w:hAnsi="宋体" w:cs="宋体"/>
                <w:color w:val="000000"/>
                <w:kern w:val="0"/>
                <w:sz w:val="18"/>
                <w:szCs w:val="18"/>
              </w:rPr>
              <w:t>267,634.87</w:t>
            </w:r>
          </w:p>
        </w:tc>
        <w:tc>
          <w:tcPr>
            <w:tcW w:w="417" w:type="pct"/>
            <w:tcBorders>
              <w:top w:val="nil"/>
              <w:left w:val="nil"/>
              <w:bottom w:val="single" w:color="auto" w:sz="4" w:space="0"/>
              <w:right w:val="single" w:color="auto" w:sz="4" w:space="0"/>
            </w:tcBorders>
            <w:shd w:val="clear" w:color="auto" w:fill="auto"/>
            <w:vAlign w:val="center"/>
          </w:tcPr>
          <w:p w14:paraId="2481BFDC">
            <w:pPr>
              <w:widowControl/>
              <w:jc w:val="center"/>
              <w:rPr>
                <w:rFonts w:ascii="宋体" w:hAnsi="宋体" w:cs="宋体"/>
                <w:color w:val="000000"/>
                <w:kern w:val="0"/>
                <w:sz w:val="18"/>
                <w:szCs w:val="18"/>
              </w:rPr>
            </w:pPr>
            <w:r>
              <w:rPr>
                <w:rFonts w:hint="eastAsia" w:ascii="宋体" w:hAnsi="宋体" w:cs="宋体"/>
                <w:color w:val="000000"/>
                <w:kern w:val="0"/>
                <w:sz w:val="18"/>
                <w:szCs w:val="18"/>
              </w:rPr>
              <w:t>267,493.27</w:t>
            </w:r>
          </w:p>
        </w:tc>
        <w:tc>
          <w:tcPr>
            <w:tcW w:w="417" w:type="pct"/>
            <w:tcBorders>
              <w:top w:val="nil"/>
              <w:left w:val="nil"/>
              <w:bottom w:val="single" w:color="auto" w:sz="4" w:space="0"/>
              <w:right w:val="single" w:color="auto" w:sz="4" w:space="0"/>
            </w:tcBorders>
            <w:shd w:val="clear" w:color="auto" w:fill="auto"/>
            <w:vAlign w:val="center"/>
          </w:tcPr>
          <w:p w14:paraId="2C52E21C">
            <w:pPr>
              <w:widowControl/>
              <w:jc w:val="center"/>
              <w:rPr>
                <w:rFonts w:ascii="宋体" w:hAnsi="宋体" w:cs="宋体"/>
                <w:color w:val="000000"/>
                <w:kern w:val="0"/>
                <w:sz w:val="18"/>
                <w:szCs w:val="18"/>
              </w:rPr>
            </w:pPr>
            <w:r>
              <w:rPr>
                <w:rFonts w:hint="eastAsia" w:ascii="宋体" w:hAnsi="宋体" w:cs="宋体"/>
                <w:color w:val="000000"/>
                <w:kern w:val="0"/>
                <w:sz w:val="18"/>
                <w:szCs w:val="18"/>
              </w:rPr>
              <w:t>267,351.67</w:t>
            </w:r>
          </w:p>
        </w:tc>
        <w:tc>
          <w:tcPr>
            <w:tcW w:w="417" w:type="pct"/>
            <w:tcBorders>
              <w:top w:val="nil"/>
              <w:left w:val="nil"/>
              <w:bottom w:val="single" w:color="auto" w:sz="4" w:space="0"/>
              <w:right w:val="single" w:color="auto" w:sz="4" w:space="0"/>
            </w:tcBorders>
            <w:shd w:val="clear" w:color="auto" w:fill="auto"/>
            <w:vAlign w:val="center"/>
          </w:tcPr>
          <w:p w14:paraId="1D4ECC0B">
            <w:pPr>
              <w:widowControl/>
              <w:jc w:val="center"/>
              <w:rPr>
                <w:rFonts w:ascii="宋体" w:hAnsi="宋体" w:cs="宋体"/>
                <w:color w:val="000000"/>
                <w:kern w:val="0"/>
                <w:sz w:val="18"/>
                <w:szCs w:val="18"/>
              </w:rPr>
            </w:pPr>
            <w:r>
              <w:rPr>
                <w:rFonts w:hint="eastAsia" w:ascii="宋体" w:hAnsi="宋体" w:cs="宋体"/>
                <w:color w:val="000000"/>
                <w:kern w:val="0"/>
                <w:sz w:val="18"/>
                <w:szCs w:val="18"/>
              </w:rPr>
              <w:t>267,210.07</w:t>
            </w:r>
          </w:p>
        </w:tc>
        <w:tc>
          <w:tcPr>
            <w:tcW w:w="417" w:type="pct"/>
            <w:tcBorders>
              <w:top w:val="nil"/>
              <w:left w:val="nil"/>
              <w:bottom w:val="single" w:color="auto" w:sz="4" w:space="0"/>
              <w:right w:val="single" w:color="auto" w:sz="4" w:space="0"/>
            </w:tcBorders>
            <w:shd w:val="clear" w:color="auto" w:fill="auto"/>
            <w:vAlign w:val="center"/>
          </w:tcPr>
          <w:p w14:paraId="6069957E">
            <w:pPr>
              <w:widowControl/>
              <w:jc w:val="center"/>
              <w:rPr>
                <w:rFonts w:ascii="宋体" w:hAnsi="宋体" w:cs="宋体"/>
                <w:color w:val="000000"/>
                <w:kern w:val="0"/>
                <w:sz w:val="18"/>
                <w:szCs w:val="18"/>
              </w:rPr>
            </w:pPr>
            <w:r>
              <w:rPr>
                <w:rFonts w:hint="eastAsia" w:ascii="宋体" w:hAnsi="宋体" w:cs="宋体"/>
                <w:color w:val="000000"/>
                <w:kern w:val="0"/>
                <w:sz w:val="18"/>
                <w:szCs w:val="18"/>
              </w:rPr>
              <w:t>267,068.47</w:t>
            </w:r>
          </w:p>
        </w:tc>
        <w:tc>
          <w:tcPr>
            <w:tcW w:w="417" w:type="pct"/>
            <w:tcBorders>
              <w:top w:val="nil"/>
              <w:left w:val="nil"/>
              <w:bottom w:val="single" w:color="auto" w:sz="4" w:space="0"/>
              <w:right w:val="single" w:color="auto" w:sz="4" w:space="0"/>
            </w:tcBorders>
            <w:shd w:val="clear" w:color="auto" w:fill="auto"/>
            <w:vAlign w:val="center"/>
          </w:tcPr>
          <w:p w14:paraId="73678443">
            <w:pPr>
              <w:widowControl/>
              <w:jc w:val="center"/>
              <w:rPr>
                <w:rFonts w:ascii="宋体" w:hAnsi="宋体" w:cs="宋体"/>
                <w:color w:val="000000"/>
                <w:kern w:val="0"/>
                <w:sz w:val="18"/>
                <w:szCs w:val="18"/>
              </w:rPr>
            </w:pPr>
            <w:r>
              <w:rPr>
                <w:rFonts w:hint="eastAsia" w:ascii="宋体" w:hAnsi="宋体" w:cs="宋体"/>
                <w:color w:val="000000"/>
                <w:kern w:val="0"/>
                <w:sz w:val="18"/>
                <w:szCs w:val="18"/>
              </w:rPr>
              <w:t>266,926.87</w:t>
            </w:r>
          </w:p>
        </w:tc>
        <w:tc>
          <w:tcPr>
            <w:tcW w:w="417" w:type="pct"/>
            <w:tcBorders>
              <w:top w:val="nil"/>
              <w:left w:val="nil"/>
              <w:bottom w:val="single" w:color="auto" w:sz="4" w:space="0"/>
              <w:right w:val="single" w:color="auto" w:sz="4" w:space="0"/>
            </w:tcBorders>
            <w:shd w:val="clear" w:color="auto" w:fill="auto"/>
            <w:vAlign w:val="center"/>
          </w:tcPr>
          <w:p w14:paraId="44C03497">
            <w:pPr>
              <w:widowControl/>
              <w:jc w:val="center"/>
              <w:rPr>
                <w:rFonts w:ascii="宋体" w:hAnsi="宋体" w:cs="宋体"/>
                <w:color w:val="000000"/>
                <w:kern w:val="0"/>
                <w:sz w:val="18"/>
                <w:szCs w:val="18"/>
              </w:rPr>
            </w:pPr>
            <w:r>
              <w:rPr>
                <w:rFonts w:hint="eastAsia" w:ascii="宋体" w:hAnsi="宋体" w:cs="宋体"/>
                <w:color w:val="000000"/>
                <w:kern w:val="0"/>
                <w:sz w:val="18"/>
                <w:szCs w:val="18"/>
              </w:rPr>
              <w:t>266,785.27</w:t>
            </w:r>
          </w:p>
        </w:tc>
        <w:tc>
          <w:tcPr>
            <w:tcW w:w="417" w:type="pct"/>
            <w:tcBorders>
              <w:top w:val="nil"/>
              <w:left w:val="nil"/>
              <w:bottom w:val="single" w:color="auto" w:sz="4" w:space="0"/>
              <w:right w:val="single" w:color="auto" w:sz="4" w:space="0"/>
            </w:tcBorders>
            <w:shd w:val="clear" w:color="auto" w:fill="auto"/>
            <w:vAlign w:val="center"/>
          </w:tcPr>
          <w:p w14:paraId="15B38717">
            <w:pPr>
              <w:widowControl/>
              <w:jc w:val="center"/>
              <w:rPr>
                <w:rFonts w:ascii="宋体" w:hAnsi="宋体" w:cs="宋体"/>
                <w:color w:val="000000"/>
                <w:kern w:val="0"/>
                <w:sz w:val="18"/>
                <w:szCs w:val="18"/>
              </w:rPr>
            </w:pPr>
            <w:r>
              <w:rPr>
                <w:rFonts w:hint="eastAsia" w:ascii="宋体" w:hAnsi="宋体" w:cs="宋体"/>
                <w:color w:val="000000"/>
                <w:kern w:val="0"/>
                <w:sz w:val="18"/>
                <w:szCs w:val="18"/>
              </w:rPr>
              <w:t>266,643.67</w:t>
            </w:r>
          </w:p>
        </w:tc>
        <w:tc>
          <w:tcPr>
            <w:tcW w:w="417" w:type="pct"/>
            <w:tcBorders>
              <w:top w:val="nil"/>
              <w:left w:val="nil"/>
              <w:bottom w:val="single" w:color="auto" w:sz="4" w:space="0"/>
              <w:right w:val="single" w:color="auto" w:sz="4" w:space="0"/>
            </w:tcBorders>
            <w:shd w:val="clear" w:color="auto" w:fill="auto"/>
            <w:vAlign w:val="center"/>
          </w:tcPr>
          <w:p w14:paraId="04D3BA8B">
            <w:pPr>
              <w:widowControl/>
              <w:jc w:val="center"/>
              <w:rPr>
                <w:rFonts w:ascii="宋体" w:hAnsi="宋体" w:cs="宋体"/>
                <w:color w:val="000000"/>
                <w:kern w:val="0"/>
                <w:sz w:val="18"/>
                <w:szCs w:val="18"/>
              </w:rPr>
            </w:pPr>
            <w:r>
              <w:rPr>
                <w:rFonts w:hint="eastAsia" w:ascii="宋体" w:hAnsi="宋体" w:cs="宋体"/>
                <w:color w:val="000000"/>
                <w:kern w:val="0"/>
                <w:sz w:val="18"/>
                <w:szCs w:val="18"/>
              </w:rPr>
              <w:t>262,572.87</w:t>
            </w:r>
          </w:p>
        </w:tc>
      </w:tr>
      <w:tr w14:paraId="186B2520">
        <w:trPr>
          <w:trHeight w:val="578" w:hRule="atLeast"/>
        </w:trPr>
        <w:tc>
          <w:tcPr>
            <w:tcW w:w="12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CCFBFE">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3749" w:type="pct"/>
            <w:gridSpan w:val="9"/>
            <w:tcBorders>
              <w:top w:val="single" w:color="auto" w:sz="4" w:space="0"/>
              <w:left w:val="nil"/>
              <w:bottom w:val="single" w:color="auto" w:sz="4" w:space="0"/>
              <w:right w:val="single" w:color="auto" w:sz="4" w:space="0"/>
            </w:tcBorders>
            <w:shd w:val="clear" w:color="auto" w:fill="auto"/>
            <w:vAlign w:val="center"/>
          </w:tcPr>
          <w:p w14:paraId="62A789DB">
            <w:pPr>
              <w:widowControl/>
              <w:jc w:val="center"/>
              <w:rPr>
                <w:rFonts w:ascii="宋体" w:hAnsi="宋体" w:cs="宋体"/>
                <w:color w:val="000000"/>
                <w:kern w:val="0"/>
                <w:sz w:val="18"/>
                <w:szCs w:val="18"/>
              </w:rPr>
            </w:pPr>
            <w:r>
              <w:rPr>
                <w:rFonts w:hint="eastAsia" w:ascii="宋体" w:hAnsi="宋体" w:cs="宋体"/>
                <w:color w:val="000000"/>
                <w:kern w:val="0"/>
                <w:sz w:val="18"/>
                <w:szCs w:val="18"/>
              </w:rPr>
              <w:t>9.26</w:t>
            </w:r>
          </w:p>
        </w:tc>
      </w:tr>
    </w:tbl>
    <w:p w14:paraId="00B5ED71">
      <w:pPr>
        <w:pStyle w:val="20"/>
        <w:spacing w:afterLines="50" w:afterAutospacing="0" w:line="360" w:lineRule="exact"/>
        <w:ind w:firstLine="360" w:firstLineChars="200"/>
        <w:jc w:val="both"/>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.按照南昌县城市建设投资发展有限公司在存续期内预期收入和预期支出测算，该项目在存续期间能够产生持续稳定的净现金流。按照预计条件的资金测算平衡结果，项目存续期内可达到的债券资金覆盖率为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14:textFill>
            <w14:solidFill>
              <w14:schemeClr w14:val="tx1"/>
            </w14:solidFill>
          </w14:textFill>
        </w:rPr>
        <w:t>9.26</w:t>
      </w:r>
      <w:r>
        <w:rPr>
          <w:rFonts w:hint="eastAsia"/>
          <w:color w:val="000000" w:themeColor="text1"/>
          <w:sz w:val="18"/>
          <w:szCs w:val="18"/>
          <w14:textFill>
            <w14:solidFill>
              <w14:schemeClr w14:val="tx1"/>
            </w14:solidFill>
          </w14:textFill>
        </w:rPr>
        <w:t>倍，还本付息资金有充分保障。</w:t>
      </w:r>
    </w:p>
    <w:p w14:paraId="62BBEAF4">
      <w:pPr>
        <w:pStyle w:val="20"/>
        <w:spacing w:before="0" w:beforeAutospacing="0" w:afterLines="50" w:afterAutospacing="0" w:line="360" w:lineRule="exact"/>
        <w:ind w:firstLine="360" w:firstLineChars="20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.2</w:t>
      </w:r>
      <w:r>
        <w:rPr>
          <w:color w:val="000000" w:themeColor="text1"/>
          <w:sz w:val="18"/>
          <w:szCs w:val="18"/>
          <w14:textFill>
            <w14:solidFill>
              <w14:schemeClr w14:val="tx1"/>
            </w14:solidFill>
          </w14:textFill>
        </w:rPr>
        <w:t>025</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2028</w:t>
      </w:r>
      <w:r>
        <w:rPr>
          <w:rFonts w:hint="eastAsia"/>
          <w:color w:val="000000" w:themeColor="text1"/>
          <w:sz w:val="18"/>
          <w:szCs w:val="18"/>
          <w14:textFill>
            <w14:solidFill>
              <w14:schemeClr w14:val="tx1"/>
            </w14:solidFill>
          </w14:textFill>
        </w:rPr>
        <w:t>年期末现金为负数的原因系建设期的债券发行费及利息及借款利息，该部分资金由项目单位自筹解决。</w:t>
      </w:r>
    </w:p>
    <w:p w14:paraId="642DE3B8">
      <w:pPr>
        <w:pStyle w:val="20"/>
        <w:spacing w:before="0" w:beforeAutospacing="0" w:afterLines="50" w:afterAutospacing="0" w:line="360" w:lineRule="exact"/>
        <w:ind w:firstLine="420" w:firstLineChars="200"/>
        <w:jc w:val="both"/>
        <w:rPr>
          <w:color w:val="000000" w:themeColor="text1"/>
          <w:sz w:val="21"/>
          <w:szCs w:val="21"/>
          <w14:textFill>
            <w14:solidFill>
              <w14:schemeClr w14:val="tx1"/>
            </w14:solidFill>
          </w14:textFill>
        </w:rPr>
        <w:sectPr>
          <w:pgSz w:w="16838" w:h="11906" w:orient="landscape"/>
          <w:pgMar w:top="1701" w:right="1531" w:bottom="1701" w:left="1418" w:header="851" w:footer="992" w:gutter="0"/>
          <w:cols w:space="425" w:num="1"/>
          <w:docGrid w:linePitch="312" w:charSpace="0"/>
        </w:sectPr>
      </w:pPr>
    </w:p>
    <w:p w14:paraId="61DECEBA">
      <w:pPr>
        <w:widowControl/>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themeColor="text1"/>
          <w:sz w:val="24"/>
          <w:szCs w:val="24"/>
          <w14:textFill>
            <w14:solidFill>
              <w14:schemeClr w14:val="tx1"/>
            </w14:solidFill>
          </w14:textFill>
        </w:rPr>
        <w:t>本次发行专项债券各项目预期业务活动现金流入合计</w:t>
      </w:r>
      <w:r>
        <w:rPr>
          <w:rFonts w:hint="eastAsia" w:ascii="宋体" w:hAnsi="宋体" w:eastAsia="宋体" w:cs="宋体"/>
          <w:color w:val="000000"/>
          <w:kern w:val="0"/>
          <w:sz w:val="24"/>
          <w:szCs w:val="24"/>
        </w:rPr>
        <w:t>300,171.24</w:t>
      </w:r>
      <w:r>
        <w:rPr>
          <w:rFonts w:hint="eastAsia" w:ascii="宋体" w:hAnsi="宋体" w:eastAsia="宋体" w:cs="宋体"/>
          <w:color w:val="000000" w:themeColor="text1"/>
          <w:sz w:val="24"/>
          <w:szCs w:val="24"/>
          <w14:textFill>
            <w14:solidFill>
              <w14:schemeClr w14:val="tx1"/>
            </w14:solidFill>
          </w14:textFill>
        </w:rPr>
        <w:t>万元，业务活动现金流出合计</w:t>
      </w:r>
      <w:r>
        <w:rPr>
          <w:rFonts w:hint="eastAsia" w:ascii="宋体" w:hAnsi="宋体" w:eastAsia="宋体" w:cs="宋体"/>
          <w:color w:val="000000"/>
          <w:kern w:val="0"/>
          <w:sz w:val="24"/>
          <w:szCs w:val="24"/>
        </w:rPr>
        <w:t>6,003.42</w:t>
      </w:r>
      <w:r>
        <w:rPr>
          <w:rFonts w:hint="eastAsia" w:ascii="宋体" w:hAnsi="宋体" w:eastAsia="宋体" w:cs="宋体"/>
          <w:color w:val="000000" w:themeColor="text1"/>
          <w:sz w:val="24"/>
          <w:szCs w:val="24"/>
          <w14:textFill>
            <w14:solidFill>
              <w14:schemeClr w14:val="tx1"/>
            </w14:solidFill>
          </w14:textFill>
        </w:rPr>
        <w:t>万元，债券存续期内债券本金与利息合计</w:t>
      </w:r>
      <w:r>
        <w:rPr>
          <w:rFonts w:hint="eastAsia" w:ascii="宋体" w:hAnsi="宋体" w:eastAsia="宋体" w:cs="宋体"/>
          <w:color w:val="000000"/>
          <w:kern w:val="0"/>
          <w:sz w:val="24"/>
          <w:szCs w:val="24"/>
        </w:rPr>
        <w:t>31,777.35万</w:t>
      </w:r>
      <w:r>
        <w:rPr>
          <w:rFonts w:hint="eastAsia" w:ascii="宋体" w:hAnsi="宋体" w:eastAsia="宋体" w:cs="宋体"/>
          <w:color w:val="000000" w:themeColor="text1"/>
          <w:sz w:val="24"/>
          <w:szCs w:val="24"/>
          <w14:textFill>
            <w14:solidFill>
              <w14:schemeClr w14:val="tx1"/>
            </w14:solidFill>
          </w14:textFill>
        </w:rPr>
        <w:t xml:space="preserve">元。项目存续期内偿债资金覆盖倍数为9.26倍，还本付息资金有充分保障，项目实施方案资金计划能够满足发行专项债券资金充足性要求。债券存续期间整体资金流入、流出情况及期末现金如下图所示： </w:t>
      </w:r>
    </w:p>
    <w:p w14:paraId="66D94C85">
      <w:pPr>
        <w:pStyle w:val="20"/>
        <w:spacing w:before="0" w:beforeAutospacing="0" w:after="0" w:afterAutospacing="0" w:line="360" w:lineRule="exact"/>
        <w:ind w:firstLine="440" w:firstLineChars="200"/>
        <w:jc w:val="right"/>
        <w:rPr>
          <w:color w:val="000000" w:themeColor="text1"/>
          <w:sz w:val="18"/>
          <w:szCs w:val="18"/>
          <w14:textFill>
            <w14:solidFill>
              <w14:schemeClr w14:val="tx1"/>
            </w14:solidFill>
          </w14:textFill>
        </w:rPr>
      </w:pPr>
      <w:r>
        <w:drawing>
          <wp:anchor distT="0" distB="0" distL="114300" distR="114300" simplePos="0" relativeHeight="251664384" behindDoc="0" locked="0" layoutInCell="1" allowOverlap="1">
            <wp:simplePos x="0" y="0"/>
            <wp:positionH relativeFrom="margin">
              <wp:align>center</wp:align>
            </wp:positionH>
            <wp:positionV relativeFrom="paragraph">
              <wp:posOffset>255270</wp:posOffset>
            </wp:positionV>
            <wp:extent cx="4965065" cy="2955290"/>
            <wp:effectExtent l="4445" t="4445" r="21590" b="12065"/>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r>
        <w:rPr>
          <w:rFonts w:hint="eastAsia"/>
          <w:color w:val="000000" w:themeColor="text1"/>
          <w:sz w:val="18"/>
          <w:szCs w:val="18"/>
          <w14:textFill>
            <w14:solidFill>
              <w14:schemeClr w14:val="tx1"/>
            </w14:solidFill>
          </w14:textFill>
        </w:rPr>
        <w:t>单位：万元</w:t>
      </w:r>
    </w:p>
    <w:p w14:paraId="6B820B7F">
      <w:pPr>
        <w:pStyle w:val="20"/>
        <w:spacing w:before="0" w:beforeAutospacing="0" w:afterLines="50" w:afterAutospacing="0" w:line="360" w:lineRule="exact"/>
        <w:ind w:firstLine="420" w:firstLineChars="20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图3-</w:t>
      </w:r>
      <w:r>
        <w:rPr>
          <w:color w:val="000000" w:themeColor="text1"/>
          <w:sz w:val="21"/>
          <w:szCs w:val="21"/>
          <w14:textFill>
            <w14:solidFill>
              <w14:schemeClr w14:val="tx1"/>
            </w14:solidFill>
          </w14:textFill>
        </w:rPr>
        <w:t xml:space="preserve">1  </w:t>
      </w:r>
      <w:r>
        <w:rPr>
          <w:rFonts w:hint="eastAsia"/>
          <w:color w:val="000000" w:themeColor="text1"/>
          <w:sz w:val="21"/>
          <w:szCs w:val="21"/>
          <w14:textFill>
            <w14:solidFill>
              <w14:schemeClr w14:val="tx1"/>
            </w14:solidFill>
          </w14:textFill>
        </w:rPr>
        <w:t>债券存续期间现金流情况图</w:t>
      </w:r>
    </w:p>
    <w:p w14:paraId="49EB27D7">
      <w:pPr>
        <w:pStyle w:val="20"/>
        <w:spacing w:before="0" w:beforeAutospacing="0" w:afterLines="50" w:afterAutospacing="0" w:line="360" w:lineRule="exact"/>
        <w:ind w:firstLine="480" w:firstLineChars="200"/>
        <w:jc w:val="both"/>
        <w:outlineLvl w:val="1"/>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压力测试</w:t>
      </w:r>
    </w:p>
    <w:p w14:paraId="1EE593AF">
      <w:pPr>
        <w:pStyle w:val="20"/>
        <w:spacing w:before="0" w:beforeAutospacing="0" w:afterLines="50" w:afterAutospacing="0" w:line="360" w:lineRule="auto"/>
        <w:ind w:firstLine="480" w:firstLineChars="200"/>
        <w:contextualSpacing/>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考虑项目收入变动、成本变动和债券利率变动因素，分析专项债券本金覆盖率和本息资金覆盖倍数，见下表4-</w:t>
      </w:r>
      <w:r>
        <w:rPr>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w:t>
      </w:r>
    </w:p>
    <w:p w14:paraId="50D01E0A">
      <w:pPr>
        <w:pStyle w:val="20"/>
        <w:spacing w:before="0" w:beforeAutospacing="0" w:afterLines="50" w:afterAutospacing="0" w:line="360" w:lineRule="exact"/>
        <w:ind w:firstLine="420" w:firstLineChars="200"/>
        <w:contextualSpacing/>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表4-</w:t>
      </w:r>
      <w:r>
        <w:rPr>
          <w:b/>
          <w:color w:val="000000" w:themeColor="text1"/>
          <w:sz w:val="21"/>
          <w:szCs w:val="21"/>
          <w14:textFill>
            <w14:solidFill>
              <w14:schemeClr w14:val="tx1"/>
            </w14:solidFill>
          </w14:textFill>
        </w:rPr>
        <w:t>1</w:t>
      </w:r>
      <w:r>
        <w:rPr>
          <w:rFonts w:hint="eastAsia"/>
          <w:b/>
          <w:color w:val="000000" w:themeColor="text1"/>
          <w:sz w:val="21"/>
          <w:szCs w:val="21"/>
          <w14:textFill>
            <w14:solidFill>
              <w14:schemeClr w14:val="tx1"/>
            </w14:solidFill>
          </w14:textFill>
        </w:rPr>
        <w:t xml:space="preserve">      单因素变动压力测试表</w:t>
      </w:r>
    </w:p>
    <w:p w14:paraId="43ACF447">
      <w:pPr>
        <w:pStyle w:val="20"/>
        <w:spacing w:before="0" w:beforeAutospacing="0" w:afterLines="50" w:afterAutospacing="0" w:line="360" w:lineRule="exact"/>
        <w:ind w:firstLine="360" w:firstLineChars="200"/>
        <w:contextualSpacing/>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6008" w:type="pct"/>
        <w:jc w:val="center"/>
        <w:tblLayout w:type="autofit"/>
        <w:tblCellMar>
          <w:top w:w="0" w:type="dxa"/>
          <w:left w:w="108" w:type="dxa"/>
          <w:bottom w:w="0" w:type="dxa"/>
          <w:right w:w="108" w:type="dxa"/>
        </w:tblCellMar>
      </w:tblPr>
      <w:tblGrid>
        <w:gridCol w:w="2937"/>
        <w:gridCol w:w="1135"/>
        <w:gridCol w:w="1135"/>
        <w:gridCol w:w="1135"/>
        <w:gridCol w:w="1135"/>
        <w:gridCol w:w="1135"/>
        <w:gridCol w:w="1135"/>
        <w:gridCol w:w="1295"/>
      </w:tblGrid>
      <w:tr w14:paraId="2DBA2803">
        <w:trPr>
          <w:trHeight w:val="270" w:hRule="atLeast"/>
          <w:jc w:val="center"/>
        </w:trPr>
        <w:tc>
          <w:tcPr>
            <w:tcW w:w="1330" w:type="pct"/>
            <w:tcBorders>
              <w:top w:val="single" w:color="auto" w:sz="4" w:space="0"/>
              <w:left w:val="single" w:color="auto" w:sz="4" w:space="0"/>
              <w:bottom w:val="single" w:color="auto" w:sz="4" w:space="0"/>
              <w:right w:val="single" w:color="auto" w:sz="4" w:space="0"/>
            </w:tcBorders>
            <w:shd w:val="clear" w:color="000000" w:fill="FFFFFF"/>
            <w:vAlign w:val="center"/>
          </w:tcPr>
          <w:p w14:paraId="66888C26">
            <w:pPr>
              <w:widowControl/>
              <w:jc w:val="center"/>
              <w:rPr>
                <w:rFonts w:ascii="宋体" w:hAnsi="宋体" w:cs="宋体"/>
                <w:b/>
                <w:bCs/>
                <w:kern w:val="0"/>
                <w:sz w:val="18"/>
                <w:szCs w:val="18"/>
              </w:rPr>
            </w:pPr>
            <w:r>
              <w:rPr>
                <w:rFonts w:hint="eastAsia" w:ascii="宋体" w:hAnsi="宋体" w:cs="宋体"/>
                <w:b/>
                <w:bCs/>
                <w:kern w:val="0"/>
                <w:sz w:val="18"/>
                <w:szCs w:val="18"/>
              </w:rPr>
              <w:t>资金覆盖率-压力测试（单因素敏感性分析）</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3B9BF4E9">
            <w:pPr>
              <w:widowControl/>
              <w:jc w:val="center"/>
              <w:rPr>
                <w:rFonts w:ascii="宋体" w:hAnsi="宋体" w:cs="宋体"/>
                <w:kern w:val="0"/>
                <w:sz w:val="18"/>
                <w:szCs w:val="18"/>
              </w:rPr>
            </w:pPr>
            <w:r>
              <w:rPr>
                <w:rFonts w:hint="eastAsia" w:ascii="宋体" w:hAnsi="宋体" w:cs="宋体"/>
                <w:kern w:val="0"/>
                <w:sz w:val="18"/>
                <w:szCs w:val="18"/>
              </w:rPr>
              <w:t>-10%</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0D1086DA">
            <w:pPr>
              <w:widowControl/>
              <w:jc w:val="center"/>
              <w:rPr>
                <w:rFonts w:ascii="宋体" w:hAnsi="宋体" w:cs="宋体"/>
                <w:kern w:val="0"/>
                <w:sz w:val="18"/>
                <w:szCs w:val="18"/>
              </w:rPr>
            </w:pPr>
            <w:r>
              <w:rPr>
                <w:rFonts w:hint="eastAsia" w:ascii="宋体" w:hAnsi="宋体" w:cs="宋体"/>
                <w:kern w:val="0"/>
                <w:sz w:val="18"/>
                <w:szCs w:val="18"/>
              </w:rPr>
              <w:t>-8%</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3EF384D7">
            <w:pPr>
              <w:widowControl/>
              <w:jc w:val="center"/>
              <w:rPr>
                <w:rFonts w:ascii="宋体" w:hAnsi="宋体" w:cs="宋体"/>
                <w:kern w:val="0"/>
                <w:sz w:val="18"/>
                <w:szCs w:val="18"/>
              </w:rPr>
            </w:pPr>
            <w:r>
              <w:rPr>
                <w:rFonts w:hint="eastAsia" w:ascii="宋体" w:hAnsi="宋体" w:cs="宋体"/>
                <w:kern w:val="0"/>
                <w:sz w:val="18"/>
                <w:szCs w:val="18"/>
              </w:rPr>
              <w:t>-5%</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0ED7E64E">
            <w:pPr>
              <w:widowControl/>
              <w:jc w:val="center"/>
              <w:rPr>
                <w:rFonts w:ascii="宋体" w:hAnsi="宋体" w:cs="宋体"/>
                <w:kern w:val="0"/>
                <w:sz w:val="18"/>
                <w:szCs w:val="18"/>
              </w:rPr>
            </w:pPr>
            <w:r>
              <w:rPr>
                <w:rFonts w:hint="eastAsia" w:ascii="宋体" w:hAnsi="宋体" w:cs="宋体"/>
                <w:kern w:val="0"/>
                <w:sz w:val="18"/>
                <w:szCs w:val="18"/>
              </w:rPr>
              <w:t>0%</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209F02BF">
            <w:pPr>
              <w:widowControl/>
              <w:jc w:val="center"/>
              <w:rPr>
                <w:rFonts w:ascii="宋体" w:hAnsi="宋体" w:cs="宋体"/>
                <w:kern w:val="0"/>
                <w:sz w:val="18"/>
                <w:szCs w:val="18"/>
              </w:rPr>
            </w:pPr>
            <w:r>
              <w:rPr>
                <w:rFonts w:hint="eastAsia" w:ascii="宋体" w:hAnsi="宋体" w:cs="宋体"/>
                <w:kern w:val="0"/>
                <w:sz w:val="18"/>
                <w:szCs w:val="18"/>
              </w:rPr>
              <w:t>5%</w:t>
            </w:r>
          </w:p>
        </w:tc>
        <w:tc>
          <w:tcPr>
            <w:tcW w:w="514" w:type="pct"/>
            <w:tcBorders>
              <w:top w:val="single" w:color="auto" w:sz="4" w:space="0"/>
              <w:left w:val="nil"/>
              <w:bottom w:val="single" w:color="auto" w:sz="4" w:space="0"/>
              <w:right w:val="single" w:color="auto" w:sz="4" w:space="0"/>
            </w:tcBorders>
            <w:shd w:val="clear" w:color="000000" w:fill="FFFFFF"/>
            <w:noWrap/>
            <w:vAlign w:val="center"/>
          </w:tcPr>
          <w:p w14:paraId="27B3D9C5">
            <w:pPr>
              <w:widowControl/>
              <w:jc w:val="center"/>
              <w:rPr>
                <w:rFonts w:ascii="宋体" w:hAnsi="宋体" w:cs="宋体"/>
                <w:kern w:val="0"/>
                <w:sz w:val="18"/>
                <w:szCs w:val="18"/>
              </w:rPr>
            </w:pPr>
            <w:r>
              <w:rPr>
                <w:rFonts w:hint="eastAsia" w:ascii="宋体" w:hAnsi="宋体" w:cs="宋体"/>
                <w:kern w:val="0"/>
                <w:sz w:val="18"/>
                <w:szCs w:val="18"/>
              </w:rPr>
              <w:t>8%</w:t>
            </w:r>
          </w:p>
        </w:tc>
        <w:tc>
          <w:tcPr>
            <w:tcW w:w="586" w:type="pct"/>
            <w:tcBorders>
              <w:top w:val="single" w:color="auto" w:sz="4" w:space="0"/>
              <w:left w:val="nil"/>
              <w:bottom w:val="single" w:color="auto" w:sz="4" w:space="0"/>
              <w:right w:val="single" w:color="auto" w:sz="4" w:space="0"/>
            </w:tcBorders>
            <w:shd w:val="clear" w:color="000000" w:fill="FFFFFF"/>
            <w:noWrap/>
            <w:vAlign w:val="center"/>
          </w:tcPr>
          <w:p w14:paraId="21BA722E">
            <w:pPr>
              <w:widowControl/>
              <w:jc w:val="center"/>
              <w:rPr>
                <w:rFonts w:ascii="宋体" w:hAnsi="宋体" w:cs="宋体"/>
                <w:kern w:val="0"/>
                <w:sz w:val="18"/>
                <w:szCs w:val="18"/>
              </w:rPr>
            </w:pPr>
            <w:r>
              <w:rPr>
                <w:rFonts w:hint="eastAsia" w:ascii="宋体" w:hAnsi="宋体" w:cs="宋体"/>
                <w:kern w:val="0"/>
                <w:sz w:val="18"/>
                <w:szCs w:val="18"/>
              </w:rPr>
              <w:t>10%</w:t>
            </w:r>
          </w:p>
        </w:tc>
      </w:tr>
      <w:tr w14:paraId="726CC0E9">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3F056551">
            <w:pPr>
              <w:widowControl/>
              <w:jc w:val="center"/>
              <w:rPr>
                <w:rFonts w:ascii="宋体" w:hAnsi="宋体" w:cs="宋体"/>
                <w:kern w:val="0"/>
                <w:sz w:val="18"/>
                <w:szCs w:val="18"/>
              </w:rPr>
            </w:pPr>
            <w:r>
              <w:rPr>
                <w:rFonts w:hint="eastAsia" w:ascii="宋体" w:hAnsi="宋体" w:cs="宋体"/>
                <w:kern w:val="0"/>
                <w:sz w:val="18"/>
                <w:szCs w:val="18"/>
              </w:rPr>
              <w:t>业务活动现金流入变动后金额</w:t>
            </w:r>
          </w:p>
        </w:tc>
        <w:tc>
          <w:tcPr>
            <w:tcW w:w="514" w:type="pct"/>
            <w:tcBorders>
              <w:top w:val="nil"/>
              <w:left w:val="nil"/>
              <w:bottom w:val="single" w:color="auto" w:sz="4" w:space="0"/>
              <w:right w:val="single" w:color="auto" w:sz="4" w:space="0"/>
            </w:tcBorders>
            <w:shd w:val="clear" w:color="000000" w:fill="FFFFFF"/>
            <w:noWrap/>
            <w:vAlign w:val="center"/>
          </w:tcPr>
          <w:p w14:paraId="57D40402">
            <w:pPr>
              <w:widowControl/>
              <w:jc w:val="center"/>
              <w:rPr>
                <w:rFonts w:ascii="宋体" w:hAnsi="宋体" w:cs="宋体"/>
                <w:kern w:val="0"/>
                <w:sz w:val="18"/>
                <w:szCs w:val="18"/>
              </w:rPr>
            </w:pPr>
            <w:r>
              <w:rPr>
                <w:rFonts w:hint="eastAsia" w:ascii="宋体" w:hAnsi="宋体" w:cs="宋体"/>
                <w:kern w:val="0"/>
                <w:sz w:val="18"/>
                <w:szCs w:val="18"/>
              </w:rPr>
              <w:t>270,154.12</w:t>
            </w:r>
          </w:p>
        </w:tc>
        <w:tc>
          <w:tcPr>
            <w:tcW w:w="514" w:type="pct"/>
            <w:tcBorders>
              <w:top w:val="nil"/>
              <w:left w:val="nil"/>
              <w:bottom w:val="single" w:color="auto" w:sz="4" w:space="0"/>
              <w:right w:val="single" w:color="auto" w:sz="4" w:space="0"/>
            </w:tcBorders>
            <w:shd w:val="clear" w:color="000000" w:fill="FFFFFF"/>
            <w:noWrap/>
            <w:vAlign w:val="center"/>
          </w:tcPr>
          <w:p w14:paraId="31496EB9">
            <w:pPr>
              <w:widowControl/>
              <w:jc w:val="center"/>
              <w:rPr>
                <w:rFonts w:ascii="宋体" w:hAnsi="宋体" w:cs="宋体"/>
                <w:kern w:val="0"/>
                <w:sz w:val="18"/>
                <w:szCs w:val="18"/>
              </w:rPr>
            </w:pPr>
            <w:r>
              <w:rPr>
                <w:rFonts w:hint="eastAsia" w:ascii="宋体" w:hAnsi="宋体" w:cs="宋体"/>
                <w:kern w:val="0"/>
                <w:sz w:val="18"/>
                <w:szCs w:val="18"/>
              </w:rPr>
              <w:t>276,157.54</w:t>
            </w:r>
          </w:p>
        </w:tc>
        <w:tc>
          <w:tcPr>
            <w:tcW w:w="514" w:type="pct"/>
            <w:tcBorders>
              <w:top w:val="nil"/>
              <w:left w:val="nil"/>
              <w:bottom w:val="single" w:color="auto" w:sz="4" w:space="0"/>
              <w:right w:val="single" w:color="auto" w:sz="4" w:space="0"/>
            </w:tcBorders>
            <w:shd w:val="clear" w:color="000000" w:fill="FFFFFF"/>
            <w:noWrap/>
            <w:vAlign w:val="center"/>
          </w:tcPr>
          <w:p w14:paraId="7929D607">
            <w:pPr>
              <w:widowControl/>
              <w:jc w:val="center"/>
              <w:rPr>
                <w:rFonts w:ascii="宋体" w:hAnsi="宋体" w:cs="宋体"/>
                <w:kern w:val="0"/>
                <w:sz w:val="18"/>
                <w:szCs w:val="18"/>
              </w:rPr>
            </w:pPr>
            <w:r>
              <w:rPr>
                <w:rFonts w:hint="eastAsia" w:ascii="宋体" w:hAnsi="宋体" w:cs="宋体"/>
                <w:kern w:val="0"/>
                <w:sz w:val="18"/>
                <w:szCs w:val="18"/>
              </w:rPr>
              <w:t>285,162.68</w:t>
            </w:r>
          </w:p>
        </w:tc>
        <w:tc>
          <w:tcPr>
            <w:tcW w:w="514" w:type="pct"/>
            <w:tcBorders>
              <w:top w:val="nil"/>
              <w:left w:val="nil"/>
              <w:bottom w:val="single" w:color="auto" w:sz="4" w:space="0"/>
              <w:right w:val="single" w:color="auto" w:sz="4" w:space="0"/>
            </w:tcBorders>
            <w:shd w:val="clear" w:color="000000" w:fill="FFFFFF"/>
            <w:noWrap/>
            <w:vAlign w:val="center"/>
          </w:tcPr>
          <w:p w14:paraId="696048D5">
            <w:pPr>
              <w:widowControl/>
              <w:jc w:val="center"/>
              <w:rPr>
                <w:rFonts w:ascii="宋体" w:hAnsi="宋体" w:cs="宋体"/>
                <w:kern w:val="0"/>
                <w:sz w:val="18"/>
                <w:szCs w:val="18"/>
              </w:rPr>
            </w:pPr>
            <w:r>
              <w:rPr>
                <w:rFonts w:hint="eastAsia" w:ascii="宋体" w:hAnsi="宋体" w:cs="宋体"/>
                <w:kern w:val="0"/>
                <w:sz w:val="18"/>
                <w:szCs w:val="18"/>
              </w:rPr>
              <w:t>300,171.24</w:t>
            </w:r>
          </w:p>
        </w:tc>
        <w:tc>
          <w:tcPr>
            <w:tcW w:w="514" w:type="pct"/>
            <w:tcBorders>
              <w:top w:val="nil"/>
              <w:left w:val="nil"/>
              <w:bottom w:val="single" w:color="auto" w:sz="4" w:space="0"/>
              <w:right w:val="single" w:color="auto" w:sz="4" w:space="0"/>
            </w:tcBorders>
            <w:shd w:val="clear" w:color="000000" w:fill="FFFFFF"/>
            <w:noWrap/>
            <w:vAlign w:val="center"/>
          </w:tcPr>
          <w:p w14:paraId="7B2364CD">
            <w:pPr>
              <w:widowControl/>
              <w:jc w:val="center"/>
              <w:rPr>
                <w:rFonts w:ascii="宋体" w:hAnsi="宋体" w:cs="宋体"/>
                <w:kern w:val="0"/>
                <w:sz w:val="18"/>
                <w:szCs w:val="18"/>
              </w:rPr>
            </w:pPr>
            <w:r>
              <w:rPr>
                <w:rFonts w:hint="eastAsia" w:ascii="宋体" w:hAnsi="宋体" w:cs="宋体"/>
                <w:kern w:val="0"/>
                <w:sz w:val="18"/>
                <w:szCs w:val="18"/>
              </w:rPr>
              <w:t>315,179.80</w:t>
            </w:r>
          </w:p>
        </w:tc>
        <w:tc>
          <w:tcPr>
            <w:tcW w:w="514" w:type="pct"/>
            <w:tcBorders>
              <w:top w:val="nil"/>
              <w:left w:val="nil"/>
              <w:bottom w:val="single" w:color="auto" w:sz="4" w:space="0"/>
              <w:right w:val="single" w:color="auto" w:sz="4" w:space="0"/>
            </w:tcBorders>
            <w:shd w:val="clear" w:color="000000" w:fill="FFFFFF"/>
            <w:noWrap/>
            <w:vAlign w:val="center"/>
          </w:tcPr>
          <w:p w14:paraId="6BB3379B">
            <w:pPr>
              <w:widowControl/>
              <w:jc w:val="center"/>
              <w:rPr>
                <w:rFonts w:ascii="宋体" w:hAnsi="宋体" w:cs="宋体"/>
                <w:kern w:val="0"/>
                <w:sz w:val="18"/>
                <w:szCs w:val="18"/>
              </w:rPr>
            </w:pPr>
            <w:r>
              <w:rPr>
                <w:rFonts w:hint="eastAsia" w:ascii="宋体" w:hAnsi="宋体" w:cs="宋体"/>
                <w:kern w:val="0"/>
                <w:sz w:val="18"/>
                <w:szCs w:val="18"/>
              </w:rPr>
              <w:t>324,184.94</w:t>
            </w:r>
          </w:p>
        </w:tc>
        <w:tc>
          <w:tcPr>
            <w:tcW w:w="586" w:type="pct"/>
            <w:tcBorders>
              <w:top w:val="nil"/>
              <w:left w:val="nil"/>
              <w:bottom w:val="single" w:color="auto" w:sz="4" w:space="0"/>
              <w:right w:val="single" w:color="auto" w:sz="4" w:space="0"/>
            </w:tcBorders>
            <w:shd w:val="clear" w:color="000000" w:fill="FFFFFF"/>
            <w:noWrap/>
            <w:vAlign w:val="center"/>
          </w:tcPr>
          <w:p w14:paraId="22893BF9">
            <w:pPr>
              <w:widowControl/>
              <w:jc w:val="center"/>
              <w:rPr>
                <w:rFonts w:ascii="宋体" w:hAnsi="宋体" w:cs="宋体"/>
                <w:kern w:val="0"/>
                <w:sz w:val="18"/>
                <w:szCs w:val="18"/>
              </w:rPr>
            </w:pPr>
            <w:r>
              <w:rPr>
                <w:rFonts w:hint="eastAsia" w:ascii="宋体" w:hAnsi="宋体" w:cs="宋体"/>
                <w:kern w:val="0"/>
                <w:sz w:val="18"/>
                <w:szCs w:val="18"/>
              </w:rPr>
              <w:t>330,188.36</w:t>
            </w:r>
          </w:p>
        </w:tc>
      </w:tr>
      <w:tr w14:paraId="0679EFA6">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0B99746A">
            <w:pPr>
              <w:widowControl/>
              <w:jc w:val="center"/>
              <w:rPr>
                <w:rFonts w:ascii="宋体" w:hAnsi="宋体" w:cs="宋体"/>
                <w:kern w:val="0"/>
                <w:sz w:val="18"/>
                <w:szCs w:val="18"/>
              </w:rPr>
            </w:pPr>
            <w:r>
              <w:rPr>
                <w:rFonts w:hint="eastAsia" w:ascii="宋体" w:hAnsi="宋体" w:cs="宋体"/>
                <w:kern w:val="0"/>
                <w:sz w:val="18"/>
                <w:szCs w:val="18"/>
              </w:rPr>
              <w:t>业务活动现金流出成本变动后金额</w:t>
            </w:r>
          </w:p>
        </w:tc>
        <w:tc>
          <w:tcPr>
            <w:tcW w:w="514" w:type="pct"/>
            <w:tcBorders>
              <w:top w:val="nil"/>
              <w:left w:val="nil"/>
              <w:bottom w:val="single" w:color="auto" w:sz="4" w:space="0"/>
              <w:right w:val="single" w:color="auto" w:sz="4" w:space="0"/>
            </w:tcBorders>
            <w:shd w:val="clear" w:color="000000" w:fill="FFFFFF"/>
            <w:noWrap/>
            <w:vAlign w:val="center"/>
          </w:tcPr>
          <w:p w14:paraId="02581AF1">
            <w:pPr>
              <w:widowControl/>
              <w:jc w:val="center"/>
              <w:rPr>
                <w:rFonts w:ascii="宋体" w:hAnsi="宋体" w:cs="宋体"/>
                <w:kern w:val="0"/>
                <w:sz w:val="18"/>
                <w:szCs w:val="18"/>
              </w:rPr>
            </w:pPr>
            <w:r>
              <w:rPr>
                <w:rFonts w:hint="eastAsia" w:ascii="宋体" w:hAnsi="宋体" w:cs="宋体"/>
                <w:kern w:val="0"/>
                <w:sz w:val="18"/>
                <w:szCs w:val="18"/>
              </w:rPr>
              <w:t>5,403.08</w:t>
            </w:r>
          </w:p>
        </w:tc>
        <w:tc>
          <w:tcPr>
            <w:tcW w:w="514" w:type="pct"/>
            <w:tcBorders>
              <w:top w:val="nil"/>
              <w:left w:val="nil"/>
              <w:bottom w:val="single" w:color="auto" w:sz="4" w:space="0"/>
              <w:right w:val="single" w:color="auto" w:sz="4" w:space="0"/>
            </w:tcBorders>
            <w:shd w:val="clear" w:color="000000" w:fill="FFFFFF"/>
            <w:noWrap/>
            <w:vAlign w:val="center"/>
          </w:tcPr>
          <w:p w14:paraId="77C27831">
            <w:pPr>
              <w:widowControl/>
              <w:jc w:val="center"/>
              <w:rPr>
                <w:rFonts w:ascii="宋体" w:hAnsi="宋体" w:cs="宋体"/>
                <w:kern w:val="0"/>
                <w:sz w:val="18"/>
                <w:szCs w:val="18"/>
              </w:rPr>
            </w:pPr>
            <w:r>
              <w:rPr>
                <w:rFonts w:hint="eastAsia" w:ascii="宋体" w:hAnsi="宋体" w:cs="宋体"/>
                <w:kern w:val="0"/>
                <w:sz w:val="18"/>
                <w:szCs w:val="18"/>
              </w:rPr>
              <w:t>5,523.15</w:t>
            </w:r>
          </w:p>
        </w:tc>
        <w:tc>
          <w:tcPr>
            <w:tcW w:w="514" w:type="pct"/>
            <w:tcBorders>
              <w:top w:val="nil"/>
              <w:left w:val="nil"/>
              <w:bottom w:val="single" w:color="auto" w:sz="4" w:space="0"/>
              <w:right w:val="single" w:color="auto" w:sz="4" w:space="0"/>
            </w:tcBorders>
            <w:shd w:val="clear" w:color="000000" w:fill="FFFFFF"/>
            <w:noWrap/>
            <w:vAlign w:val="center"/>
          </w:tcPr>
          <w:p w14:paraId="5871E8E6">
            <w:pPr>
              <w:widowControl/>
              <w:jc w:val="center"/>
              <w:rPr>
                <w:rFonts w:ascii="宋体" w:hAnsi="宋体" w:cs="宋体"/>
                <w:kern w:val="0"/>
                <w:sz w:val="18"/>
                <w:szCs w:val="18"/>
              </w:rPr>
            </w:pPr>
            <w:r>
              <w:rPr>
                <w:rFonts w:hint="eastAsia" w:ascii="宋体" w:hAnsi="宋体" w:cs="宋体"/>
                <w:kern w:val="0"/>
                <w:sz w:val="18"/>
                <w:szCs w:val="18"/>
              </w:rPr>
              <w:t>5,703.25</w:t>
            </w:r>
          </w:p>
        </w:tc>
        <w:tc>
          <w:tcPr>
            <w:tcW w:w="514" w:type="pct"/>
            <w:tcBorders>
              <w:top w:val="nil"/>
              <w:left w:val="nil"/>
              <w:bottom w:val="single" w:color="auto" w:sz="4" w:space="0"/>
              <w:right w:val="single" w:color="auto" w:sz="4" w:space="0"/>
            </w:tcBorders>
            <w:shd w:val="clear" w:color="000000" w:fill="FFFFFF"/>
            <w:noWrap/>
            <w:vAlign w:val="center"/>
          </w:tcPr>
          <w:p w14:paraId="1A6F9C59">
            <w:pPr>
              <w:widowControl/>
              <w:jc w:val="center"/>
              <w:rPr>
                <w:rFonts w:ascii="宋体" w:hAnsi="宋体" w:cs="宋体"/>
                <w:kern w:val="0"/>
                <w:sz w:val="18"/>
                <w:szCs w:val="18"/>
              </w:rPr>
            </w:pPr>
            <w:r>
              <w:rPr>
                <w:rFonts w:hint="eastAsia" w:ascii="宋体" w:hAnsi="宋体" w:cs="宋体"/>
                <w:kern w:val="0"/>
                <w:sz w:val="18"/>
                <w:szCs w:val="18"/>
              </w:rPr>
              <w:t>6,003.42</w:t>
            </w:r>
          </w:p>
        </w:tc>
        <w:tc>
          <w:tcPr>
            <w:tcW w:w="514" w:type="pct"/>
            <w:tcBorders>
              <w:top w:val="nil"/>
              <w:left w:val="nil"/>
              <w:bottom w:val="single" w:color="auto" w:sz="4" w:space="0"/>
              <w:right w:val="single" w:color="auto" w:sz="4" w:space="0"/>
            </w:tcBorders>
            <w:shd w:val="clear" w:color="000000" w:fill="FFFFFF"/>
            <w:noWrap/>
            <w:vAlign w:val="center"/>
          </w:tcPr>
          <w:p w14:paraId="7ED62E2C">
            <w:pPr>
              <w:widowControl/>
              <w:jc w:val="center"/>
              <w:rPr>
                <w:rFonts w:ascii="宋体" w:hAnsi="宋体" w:cs="宋体"/>
                <w:kern w:val="0"/>
                <w:sz w:val="18"/>
                <w:szCs w:val="18"/>
              </w:rPr>
            </w:pPr>
            <w:r>
              <w:rPr>
                <w:rFonts w:hint="eastAsia" w:ascii="宋体" w:hAnsi="宋体" w:cs="宋体"/>
                <w:kern w:val="0"/>
                <w:sz w:val="18"/>
                <w:szCs w:val="18"/>
              </w:rPr>
              <w:t>6,303.59</w:t>
            </w:r>
          </w:p>
        </w:tc>
        <w:tc>
          <w:tcPr>
            <w:tcW w:w="514" w:type="pct"/>
            <w:tcBorders>
              <w:top w:val="nil"/>
              <w:left w:val="nil"/>
              <w:bottom w:val="single" w:color="auto" w:sz="4" w:space="0"/>
              <w:right w:val="single" w:color="auto" w:sz="4" w:space="0"/>
            </w:tcBorders>
            <w:shd w:val="clear" w:color="000000" w:fill="FFFFFF"/>
            <w:noWrap/>
            <w:vAlign w:val="center"/>
          </w:tcPr>
          <w:p w14:paraId="640A3373">
            <w:pPr>
              <w:widowControl/>
              <w:jc w:val="center"/>
              <w:rPr>
                <w:rFonts w:ascii="宋体" w:hAnsi="宋体" w:cs="宋体"/>
                <w:kern w:val="0"/>
                <w:sz w:val="18"/>
                <w:szCs w:val="18"/>
              </w:rPr>
            </w:pPr>
            <w:r>
              <w:rPr>
                <w:rFonts w:hint="eastAsia" w:ascii="宋体" w:hAnsi="宋体" w:cs="宋体"/>
                <w:kern w:val="0"/>
                <w:sz w:val="18"/>
                <w:szCs w:val="18"/>
              </w:rPr>
              <w:t>6,483.69</w:t>
            </w:r>
          </w:p>
        </w:tc>
        <w:tc>
          <w:tcPr>
            <w:tcW w:w="586" w:type="pct"/>
            <w:tcBorders>
              <w:top w:val="nil"/>
              <w:left w:val="nil"/>
              <w:bottom w:val="single" w:color="auto" w:sz="4" w:space="0"/>
              <w:right w:val="single" w:color="auto" w:sz="4" w:space="0"/>
            </w:tcBorders>
            <w:shd w:val="clear" w:color="000000" w:fill="FFFFFF"/>
            <w:noWrap/>
            <w:vAlign w:val="center"/>
          </w:tcPr>
          <w:p w14:paraId="7933650C">
            <w:pPr>
              <w:widowControl/>
              <w:jc w:val="center"/>
              <w:rPr>
                <w:rFonts w:ascii="宋体" w:hAnsi="宋体" w:cs="宋体"/>
                <w:kern w:val="0"/>
                <w:sz w:val="18"/>
                <w:szCs w:val="18"/>
              </w:rPr>
            </w:pPr>
            <w:r>
              <w:rPr>
                <w:rFonts w:hint="eastAsia" w:ascii="宋体" w:hAnsi="宋体" w:cs="宋体"/>
                <w:kern w:val="0"/>
                <w:sz w:val="18"/>
                <w:szCs w:val="18"/>
              </w:rPr>
              <w:t>6,603.76</w:t>
            </w:r>
          </w:p>
        </w:tc>
      </w:tr>
      <w:tr w14:paraId="51635151">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1AE9D011">
            <w:pPr>
              <w:widowControl/>
              <w:jc w:val="center"/>
              <w:rPr>
                <w:rFonts w:ascii="宋体" w:hAnsi="宋体" w:cs="宋体"/>
                <w:kern w:val="0"/>
                <w:sz w:val="18"/>
                <w:szCs w:val="18"/>
              </w:rPr>
            </w:pPr>
            <w:r>
              <w:rPr>
                <w:rFonts w:hint="eastAsia" w:ascii="宋体" w:hAnsi="宋体" w:cs="宋体"/>
                <w:kern w:val="0"/>
                <w:sz w:val="18"/>
                <w:szCs w:val="18"/>
              </w:rPr>
              <w:t>利率变动</w:t>
            </w:r>
          </w:p>
        </w:tc>
        <w:tc>
          <w:tcPr>
            <w:tcW w:w="514" w:type="pct"/>
            <w:tcBorders>
              <w:top w:val="nil"/>
              <w:left w:val="nil"/>
              <w:bottom w:val="single" w:color="auto" w:sz="4" w:space="0"/>
              <w:right w:val="single" w:color="auto" w:sz="4" w:space="0"/>
            </w:tcBorders>
            <w:shd w:val="clear" w:color="000000" w:fill="FFFFFF"/>
            <w:noWrap/>
            <w:vAlign w:val="center"/>
          </w:tcPr>
          <w:p w14:paraId="7BEF6097">
            <w:pPr>
              <w:widowControl/>
              <w:jc w:val="center"/>
              <w:rPr>
                <w:rFonts w:ascii="宋体" w:hAnsi="宋体" w:cs="宋体"/>
                <w:kern w:val="0"/>
                <w:sz w:val="18"/>
                <w:szCs w:val="18"/>
              </w:rPr>
            </w:pPr>
            <w:r>
              <w:rPr>
                <w:rFonts w:hint="eastAsia" w:ascii="宋体" w:hAnsi="宋体" w:cs="宋体"/>
                <w:kern w:val="0"/>
                <w:sz w:val="18"/>
                <w:szCs w:val="18"/>
              </w:rPr>
              <w:t>3.51%</w:t>
            </w:r>
          </w:p>
        </w:tc>
        <w:tc>
          <w:tcPr>
            <w:tcW w:w="514" w:type="pct"/>
            <w:tcBorders>
              <w:top w:val="nil"/>
              <w:left w:val="nil"/>
              <w:bottom w:val="single" w:color="auto" w:sz="4" w:space="0"/>
              <w:right w:val="single" w:color="auto" w:sz="4" w:space="0"/>
            </w:tcBorders>
            <w:shd w:val="clear" w:color="000000" w:fill="FFFFFF"/>
            <w:noWrap/>
            <w:vAlign w:val="center"/>
          </w:tcPr>
          <w:p w14:paraId="62CEBDAF">
            <w:pPr>
              <w:widowControl/>
              <w:jc w:val="center"/>
              <w:rPr>
                <w:rFonts w:ascii="宋体" w:hAnsi="宋体" w:cs="宋体"/>
                <w:kern w:val="0"/>
                <w:sz w:val="18"/>
                <w:szCs w:val="18"/>
              </w:rPr>
            </w:pPr>
            <w:r>
              <w:rPr>
                <w:rFonts w:hint="eastAsia" w:ascii="宋体" w:hAnsi="宋体" w:cs="宋体"/>
                <w:kern w:val="0"/>
                <w:sz w:val="18"/>
                <w:szCs w:val="18"/>
              </w:rPr>
              <w:t>3.59%</w:t>
            </w:r>
          </w:p>
        </w:tc>
        <w:tc>
          <w:tcPr>
            <w:tcW w:w="514" w:type="pct"/>
            <w:tcBorders>
              <w:top w:val="nil"/>
              <w:left w:val="nil"/>
              <w:bottom w:val="single" w:color="auto" w:sz="4" w:space="0"/>
              <w:right w:val="single" w:color="auto" w:sz="4" w:space="0"/>
            </w:tcBorders>
            <w:shd w:val="clear" w:color="000000" w:fill="FFFFFF"/>
            <w:noWrap/>
            <w:vAlign w:val="center"/>
          </w:tcPr>
          <w:p w14:paraId="065B9E33">
            <w:pPr>
              <w:widowControl/>
              <w:jc w:val="center"/>
              <w:rPr>
                <w:rFonts w:ascii="宋体" w:hAnsi="宋体" w:cs="宋体"/>
                <w:kern w:val="0"/>
                <w:sz w:val="18"/>
                <w:szCs w:val="18"/>
              </w:rPr>
            </w:pPr>
            <w:r>
              <w:rPr>
                <w:rFonts w:hint="eastAsia" w:ascii="宋体" w:hAnsi="宋体" w:cs="宋体"/>
                <w:kern w:val="0"/>
                <w:sz w:val="18"/>
                <w:szCs w:val="18"/>
              </w:rPr>
              <w:t>3.71%</w:t>
            </w:r>
          </w:p>
        </w:tc>
        <w:tc>
          <w:tcPr>
            <w:tcW w:w="514" w:type="pct"/>
            <w:tcBorders>
              <w:top w:val="nil"/>
              <w:left w:val="nil"/>
              <w:bottom w:val="single" w:color="auto" w:sz="4" w:space="0"/>
              <w:right w:val="single" w:color="auto" w:sz="4" w:space="0"/>
            </w:tcBorders>
            <w:shd w:val="clear" w:color="000000" w:fill="FFFFFF"/>
            <w:noWrap/>
            <w:vAlign w:val="center"/>
          </w:tcPr>
          <w:p w14:paraId="00B49DF8">
            <w:pPr>
              <w:widowControl/>
              <w:jc w:val="center"/>
              <w:rPr>
                <w:rFonts w:ascii="宋体" w:hAnsi="宋体" w:cs="宋体"/>
                <w:kern w:val="0"/>
                <w:sz w:val="18"/>
                <w:szCs w:val="18"/>
              </w:rPr>
            </w:pPr>
            <w:r>
              <w:rPr>
                <w:rFonts w:hint="eastAsia" w:ascii="宋体" w:hAnsi="宋体" w:cs="宋体"/>
                <w:kern w:val="0"/>
                <w:sz w:val="18"/>
                <w:szCs w:val="18"/>
              </w:rPr>
              <w:t>3.90%</w:t>
            </w:r>
          </w:p>
        </w:tc>
        <w:tc>
          <w:tcPr>
            <w:tcW w:w="514" w:type="pct"/>
            <w:tcBorders>
              <w:top w:val="nil"/>
              <w:left w:val="nil"/>
              <w:bottom w:val="single" w:color="auto" w:sz="4" w:space="0"/>
              <w:right w:val="single" w:color="auto" w:sz="4" w:space="0"/>
            </w:tcBorders>
            <w:shd w:val="clear" w:color="000000" w:fill="FFFFFF"/>
            <w:noWrap/>
            <w:vAlign w:val="center"/>
          </w:tcPr>
          <w:p w14:paraId="7BAD52E6">
            <w:pPr>
              <w:widowControl/>
              <w:jc w:val="center"/>
              <w:rPr>
                <w:rFonts w:ascii="宋体" w:hAnsi="宋体" w:cs="宋体"/>
                <w:kern w:val="0"/>
                <w:sz w:val="18"/>
                <w:szCs w:val="18"/>
              </w:rPr>
            </w:pPr>
            <w:r>
              <w:rPr>
                <w:rFonts w:hint="eastAsia" w:ascii="宋体" w:hAnsi="宋体" w:cs="宋体"/>
                <w:kern w:val="0"/>
                <w:sz w:val="18"/>
                <w:szCs w:val="18"/>
              </w:rPr>
              <w:t>4.10%</w:t>
            </w:r>
          </w:p>
        </w:tc>
        <w:tc>
          <w:tcPr>
            <w:tcW w:w="514" w:type="pct"/>
            <w:tcBorders>
              <w:top w:val="nil"/>
              <w:left w:val="nil"/>
              <w:bottom w:val="single" w:color="auto" w:sz="4" w:space="0"/>
              <w:right w:val="single" w:color="auto" w:sz="4" w:space="0"/>
            </w:tcBorders>
            <w:shd w:val="clear" w:color="000000" w:fill="FFFFFF"/>
            <w:noWrap/>
            <w:vAlign w:val="center"/>
          </w:tcPr>
          <w:p w14:paraId="46B15DF8">
            <w:pPr>
              <w:widowControl/>
              <w:jc w:val="center"/>
              <w:rPr>
                <w:rFonts w:ascii="宋体" w:hAnsi="宋体" w:cs="宋体"/>
                <w:kern w:val="0"/>
                <w:sz w:val="18"/>
                <w:szCs w:val="18"/>
              </w:rPr>
            </w:pPr>
            <w:r>
              <w:rPr>
                <w:rFonts w:hint="eastAsia" w:ascii="宋体" w:hAnsi="宋体" w:cs="宋体"/>
                <w:kern w:val="0"/>
                <w:sz w:val="18"/>
                <w:szCs w:val="18"/>
              </w:rPr>
              <w:t>4.21%</w:t>
            </w:r>
          </w:p>
        </w:tc>
        <w:tc>
          <w:tcPr>
            <w:tcW w:w="586" w:type="pct"/>
            <w:tcBorders>
              <w:top w:val="nil"/>
              <w:left w:val="nil"/>
              <w:bottom w:val="single" w:color="auto" w:sz="4" w:space="0"/>
              <w:right w:val="single" w:color="auto" w:sz="4" w:space="0"/>
            </w:tcBorders>
            <w:shd w:val="clear" w:color="000000" w:fill="FFFFFF"/>
            <w:noWrap/>
            <w:vAlign w:val="center"/>
          </w:tcPr>
          <w:p w14:paraId="188836EE">
            <w:pPr>
              <w:widowControl/>
              <w:jc w:val="center"/>
              <w:rPr>
                <w:rFonts w:ascii="宋体" w:hAnsi="宋体" w:cs="宋体"/>
                <w:kern w:val="0"/>
                <w:sz w:val="18"/>
                <w:szCs w:val="18"/>
              </w:rPr>
            </w:pPr>
            <w:r>
              <w:rPr>
                <w:rFonts w:hint="eastAsia" w:ascii="宋体" w:hAnsi="宋体" w:cs="宋体"/>
                <w:kern w:val="0"/>
                <w:sz w:val="18"/>
                <w:szCs w:val="18"/>
              </w:rPr>
              <w:t>4.29%</w:t>
            </w:r>
          </w:p>
        </w:tc>
      </w:tr>
      <w:tr w14:paraId="7AC3AE6E">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254E12DF">
            <w:pPr>
              <w:widowControl/>
              <w:jc w:val="center"/>
              <w:rPr>
                <w:rFonts w:ascii="宋体" w:hAnsi="宋体" w:cs="宋体"/>
                <w:kern w:val="0"/>
                <w:sz w:val="18"/>
                <w:szCs w:val="18"/>
              </w:rPr>
            </w:pPr>
            <w:r>
              <w:rPr>
                <w:rFonts w:hint="eastAsia" w:ascii="宋体" w:hAnsi="宋体" w:cs="宋体"/>
                <w:kern w:val="0"/>
                <w:sz w:val="18"/>
                <w:szCs w:val="18"/>
              </w:rPr>
              <w:t>利率变动债券利息</w:t>
            </w:r>
          </w:p>
        </w:tc>
        <w:tc>
          <w:tcPr>
            <w:tcW w:w="514" w:type="pct"/>
            <w:tcBorders>
              <w:top w:val="nil"/>
              <w:left w:val="nil"/>
              <w:bottom w:val="single" w:color="auto" w:sz="4" w:space="0"/>
              <w:right w:val="single" w:color="auto" w:sz="4" w:space="0"/>
            </w:tcBorders>
            <w:shd w:val="clear" w:color="000000" w:fill="FFFFFF"/>
            <w:noWrap/>
            <w:vAlign w:val="center"/>
          </w:tcPr>
          <w:p w14:paraId="4F54550E">
            <w:pPr>
              <w:widowControl/>
              <w:jc w:val="center"/>
              <w:rPr>
                <w:rFonts w:ascii="宋体" w:hAnsi="宋体" w:cs="宋体"/>
                <w:kern w:val="0"/>
                <w:sz w:val="18"/>
                <w:szCs w:val="18"/>
              </w:rPr>
            </w:pPr>
            <w:r>
              <w:rPr>
                <w:rFonts w:hint="eastAsia" w:ascii="宋体" w:hAnsi="宋体" w:cs="宋体"/>
                <w:kern w:val="0"/>
                <w:sz w:val="18"/>
                <w:szCs w:val="18"/>
              </w:rPr>
              <w:t>7,944.62</w:t>
            </w:r>
          </w:p>
        </w:tc>
        <w:tc>
          <w:tcPr>
            <w:tcW w:w="514" w:type="pct"/>
            <w:tcBorders>
              <w:top w:val="nil"/>
              <w:left w:val="nil"/>
              <w:bottom w:val="single" w:color="auto" w:sz="4" w:space="0"/>
              <w:right w:val="single" w:color="auto" w:sz="4" w:space="0"/>
            </w:tcBorders>
            <w:shd w:val="clear" w:color="000000" w:fill="FFFFFF"/>
            <w:noWrap/>
            <w:vAlign w:val="center"/>
          </w:tcPr>
          <w:p w14:paraId="536D34D7">
            <w:pPr>
              <w:widowControl/>
              <w:jc w:val="center"/>
              <w:rPr>
                <w:rFonts w:ascii="宋体" w:hAnsi="宋体" w:cs="宋体"/>
                <w:kern w:val="0"/>
                <w:sz w:val="18"/>
                <w:szCs w:val="18"/>
              </w:rPr>
            </w:pPr>
            <w:r>
              <w:rPr>
                <w:rFonts w:hint="eastAsia" w:ascii="宋体" w:hAnsi="宋体" w:cs="宋体"/>
                <w:kern w:val="0"/>
                <w:sz w:val="18"/>
                <w:szCs w:val="18"/>
              </w:rPr>
              <w:t>8,121.16</w:t>
            </w:r>
          </w:p>
        </w:tc>
        <w:tc>
          <w:tcPr>
            <w:tcW w:w="514" w:type="pct"/>
            <w:tcBorders>
              <w:top w:val="nil"/>
              <w:left w:val="nil"/>
              <w:bottom w:val="single" w:color="auto" w:sz="4" w:space="0"/>
              <w:right w:val="single" w:color="auto" w:sz="4" w:space="0"/>
            </w:tcBorders>
            <w:shd w:val="clear" w:color="000000" w:fill="FFFFFF"/>
            <w:noWrap/>
            <w:vAlign w:val="center"/>
          </w:tcPr>
          <w:p w14:paraId="7D39E565">
            <w:pPr>
              <w:widowControl/>
              <w:jc w:val="center"/>
              <w:rPr>
                <w:rFonts w:ascii="宋体" w:hAnsi="宋体" w:cs="宋体"/>
                <w:kern w:val="0"/>
                <w:sz w:val="18"/>
                <w:szCs w:val="18"/>
              </w:rPr>
            </w:pPr>
            <w:r>
              <w:rPr>
                <w:rFonts w:hint="eastAsia" w:ascii="宋体" w:hAnsi="宋体" w:cs="宋体"/>
                <w:kern w:val="0"/>
                <w:sz w:val="18"/>
                <w:szCs w:val="18"/>
              </w:rPr>
              <w:t>8,385.98</w:t>
            </w:r>
          </w:p>
        </w:tc>
        <w:tc>
          <w:tcPr>
            <w:tcW w:w="514" w:type="pct"/>
            <w:tcBorders>
              <w:top w:val="nil"/>
              <w:left w:val="nil"/>
              <w:bottom w:val="single" w:color="auto" w:sz="4" w:space="0"/>
              <w:right w:val="single" w:color="auto" w:sz="4" w:space="0"/>
            </w:tcBorders>
            <w:shd w:val="clear" w:color="000000" w:fill="FFFFFF"/>
            <w:noWrap/>
            <w:vAlign w:val="center"/>
          </w:tcPr>
          <w:p w14:paraId="21F0AB95">
            <w:pPr>
              <w:widowControl/>
              <w:jc w:val="center"/>
              <w:rPr>
                <w:rFonts w:ascii="宋体" w:hAnsi="宋体" w:cs="宋体"/>
                <w:kern w:val="0"/>
                <w:sz w:val="18"/>
                <w:szCs w:val="18"/>
              </w:rPr>
            </w:pPr>
            <w:r>
              <w:rPr>
                <w:rFonts w:hint="eastAsia" w:ascii="宋体" w:hAnsi="宋体" w:cs="宋体"/>
                <w:kern w:val="0"/>
                <w:sz w:val="18"/>
                <w:szCs w:val="18"/>
              </w:rPr>
              <w:t>8,827.35</w:t>
            </w:r>
          </w:p>
        </w:tc>
        <w:tc>
          <w:tcPr>
            <w:tcW w:w="514" w:type="pct"/>
            <w:tcBorders>
              <w:top w:val="nil"/>
              <w:left w:val="nil"/>
              <w:bottom w:val="single" w:color="auto" w:sz="4" w:space="0"/>
              <w:right w:val="single" w:color="auto" w:sz="4" w:space="0"/>
            </w:tcBorders>
            <w:shd w:val="clear" w:color="000000" w:fill="FFFFFF"/>
            <w:noWrap/>
            <w:vAlign w:val="center"/>
          </w:tcPr>
          <w:p w14:paraId="23B0D759">
            <w:pPr>
              <w:widowControl/>
              <w:jc w:val="center"/>
              <w:rPr>
                <w:rFonts w:ascii="宋体" w:hAnsi="宋体" w:cs="宋体"/>
                <w:kern w:val="0"/>
                <w:sz w:val="18"/>
                <w:szCs w:val="18"/>
              </w:rPr>
            </w:pPr>
            <w:r>
              <w:rPr>
                <w:rFonts w:hint="eastAsia" w:ascii="宋体" w:hAnsi="宋体" w:cs="宋体"/>
                <w:kern w:val="0"/>
                <w:sz w:val="18"/>
                <w:szCs w:val="18"/>
              </w:rPr>
              <w:t>9,268.72</w:t>
            </w:r>
          </w:p>
        </w:tc>
        <w:tc>
          <w:tcPr>
            <w:tcW w:w="514" w:type="pct"/>
            <w:tcBorders>
              <w:top w:val="nil"/>
              <w:left w:val="nil"/>
              <w:bottom w:val="single" w:color="auto" w:sz="4" w:space="0"/>
              <w:right w:val="single" w:color="auto" w:sz="4" w:space="0"/>
            </w:tcBorders>
            <w:shd w:val="clear" w:color="000000" w:fill="FFFFFF"/>
            <w:noWrap/>
            <w:vAlign w:val="center"/>
          </w:tcPr>
          <w:p w14:paraId="483B5370">
            <w:pPr>
              <w:widowControl/>
              <w:jc w:val="center"/>
              <w:rPr>
                <w:rFonts w:ascii="宋体" w:hAnsi="宋体" w:cs="宋体"/>
                <w:kern w:val="0"/>
                <w:sz w:val="18"/>
                <w:szCs w:val="18"/>
              </w:rPr>
            </w:pPr>
            <w:r>
              <w:rPr>
                <w:rFonts w:hint="eastAsia" w:ascii="宋体" w:hAnsi="宋体" w:cs="宋体"/>
                <w:kern w:val="0"/>
                <w:sz w:val="18"/>
                <w:szCs w:val="18"/>
              </w:rPr>
              <w:t>9,533.54</w:t>
            </w:r>
          </w:p>
        </w:tc>
        <w:tc>
          <w:tcPr>
            <w:tcW w:w="586" w:type="pct"/>
            <w:tcBorders>
              <w:top w:val="nil"/>
              <w:left w:val="nil"/>
              <w:bottom w:val="single" w:color="auto" w:sz="4" w:space="0"/>
              <w:right w:val="single" w:color="auto" w:sz="4" w:space="0"/>
            </w:tcBorders>
            <w:shd w:val="clear" w:color="000000" w:fill="FFFFFF"/>
            <w:noWrap/>
            <w:vAlign w:val="center"/>
          </w:tcPr>
          <w:p w14:paraId="159815BC">
            <w:pPr>
              <w:widowControl/>
              <w:jc w:val="center"/>
              <w:rPr>
                <w:rFonts w:ascii="宋体" w:hAnsi="宋体" w:cs="宋体"/>
                <w:kern w:val="0"/>
                <w:sz w:val="18"/>
                <w:szCs w:val="18"/>
              </w:rPr>
            </w:pPr>
            <w:r>
              <w:rPr>
                <w:rFonts w:hint="eastAsia" w:ascii="宋体" w:hAnsi="宋体" w:cs="宋体"/>
                <w:kern w:val="0"/>
                <w:sz w:val="18"/>
                <w:szCs w:val="18"/>
              </w:rPr>
              <w:t>9,710.09</w:t>
            </w:r>
          </w:p>
        </w:tc>
      </w:tr>
      <w:tr w14:paraId="601A16E7">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59E21765">
            <w:pPr>
              <w:widowControl/>
              <w:jc w:val="center"/>
              <w:rPr>
                <w:rFonts w:ascii="宋体" w:hAnsi="宋体" w:cs="宋体"/>
                <w:b/>
                <w:bCs/>
                <w:kern w:val="0"/>
                <w:sz w:val="18"/>
                <w:szCs w:val="18"/>
              </w:rPr>
            </w:pPr>
            <w:r>
              <w:rPr>
                <w:rFonts w:hint="eastAsia" w:ascii="宋体" w:hAnsi="宋体" w:cs="宋体"/>
                <w:b/>
                <w:bCs/>
                <w:kern w:val="0"/>
                <w:sz w:val="18"/>
                <w:szCs w:val="18"/>
              </w:rPr>
              <w:t>1.收入变动敏感性分析</w:t>
            </w:r>
          </w:p>
        </w:tc>
        <w:tc>
          <w:tcPr>
            <w:tcW w:w="514" w:type="pct"/>
            <w:tcBorders>
              <w:top w:val="nil"/>
              <w:left w:val="nil"/>
              <w:bottom w:val="single" w:color="auto" w:sz="4" w:space="0"/>
              <w:right w:val="single" w:color="auto" w:sz="4" w:space="0"/>
            </w:tcBorders>
            <w:shd w:val="clear" w:color="000000" w:fill="FFFFFF"/>
            <w:noWrap/>
            <w:vAlign w:val="center"/>
          </w:tcPr>
          <w:p w14:paraId="6CD1EDD8">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0BBFFD25">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7D154409">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644850F3">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03FD4A7E">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1719814C">
            <w:pPr>
              <w:widowControl/>
              <w:jc w:val="center"/>
              <w:rPr>
                <w:rFonts w:ascii="宋体" w:hAnsi="宋体" w:cs="宋体"/>
                <w:kern w:val="0"/>
                <w:sz w:val="18"/>
                <w:szCs w:val="18"/>
              </w:rPr>
            </w:pPr>
          </w:p>
        </w:tc>
        <w:tc>
          <w:tcPr>
            <w:tcW w:w="586" w:type="pct"/>
            <w:tcBorders>
              <w:top w:val="nil"/>
              <w:left w:val="nil"/>
              <w:bottom w:val="single" w:color="auto" w:sz="4" w:space="0"/>
              <w:right w:val="single" w:color="auto" w:sz="4" w:space="0"/>
            </w:tcBorders>
            <w:shd w:val="clear" w:color="000000" w:fill="FFFFFF"/>
            <w:noWrap/>
            <w:vAlign w:val="center"/>
          </w:tcPr>
          <w:p w14:paraId="1C75B6A4">
            <w:pPr>
              <w:widowControl/>
              <w:jc w:val="center"/>
              <w:rPr>
                <w:rFonts w:ascii="宋体" w:hAnsi="宋体" w:cs="宋体"/>
                <w:kern w:val="0"/>
                <w:sz w:val="18"/>
                <w:szCs w:val="18"/>
              </w:rPr>
            </w:pPr>
          </w:p>
        </w:tc>
      </w:tr>
      <w:tr w14:paraId="4BAADE3E">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01A878D4">
            <w:pPr>
              <w:widowControl/>
              <w:jc w:val="center"/>
              <w:rPr>
                <w:rFonts w:ascii="宋体" w:hAnsi="宋体" w:cs="宋体"/>
                <w:kern w:val="0"/>
                <w:sz w:val="18"/>
                <w:szCs w:val="18"/>
              </w:rPr>
            </w:pPr>
            <w:r>
              <w:rPr>
                <w:rFonts w:hint="eastAsia" w:ascii="宋体" w:hAnsi="宋体" w:cs="宋体"/>
                <w:kern w:val="0"/>
                <w:sz w:val="18"/>
                <w:szCs w:val="18"/>
              </w:rPr>
              <w:t>偿债资金覆盖倍数变化</w:t>
            </w:r>
          </w:p>
        </w:tc>
        <w:tc>
          <w:tcPr>
            <w:tcW w:w="514" w:type="pct"/>
            <w:tcBorders>
              <w:top w:val="nil"/>
              <w:left w:val="nil"/>
              <w:bottom w:val="single" w:color="auto" w:sz="4" w:space="0"/>
              <w:right w:val="single" w:color="auto" w:sz="4" w:space="0"/>
            </w:tcBorders>
            <w:shd w:val="clear" w:color="000000" w:fill="FFFFFF"/>
            <w:noWrap/>
            <w:vAlign w:val="center"/>
          </w:tcPr>
          <w:p w14:paraId="6F5838CF">
            <w:pPr>
              <w:widowControl/>
              <w:jc w:val="center"/>
              <w:rPr>
                <w:rFonts w:ascii="宋体" w:hAnsi="宋体" w:cs="宋体"/>
                <w:kern w:val="0"/>
                <w:sz w:val="18"/>
                <w:szCs w:val="18"/>
              </w:rPr>
            </w:pPr>
            <w:r>
              <w:rPr>
                <w:rFonts w:hint="eastAsia" w:ascii="宋体" w:hAnsi="宋体" w:cs="宋体"/>
                <w:kern w:val="0"/>
                <w:sz w:val="18"/>
                <w:szCs w:val="18"/>
              </w:rPr>
              <w:t>8.31</w:t>
            </w:r>
          </w:p>
        </w:tc>
        <w:tc>
          <w:tcPr>
            <w:tcW w:w="514" w:type="pct"/>
            <w:tcBorders>
              <w:top w:val="nil"/>
              <w:left w:val="nil"/>
              <w:bottom w:val="single" w:color="auto" w:sz="4" w:space="0"/>
              <w:right w:val="single" w:color="auto" w:sz="4" w:space="0"/>
            </w:tcBorders>
            <w:shd w:val="clear" w:color="000000" w:fill="FFFFFF"/>
            <w:noWrap/>
            <w:vAlign w:val="center"/>
          </w:tcPr>
          <w:p w14:paraId="28C7FE8B">
            <w:pPr>
              <w:widowControl/>
              <w:jc w:val="center"/>
              <w:rPr>
                <w:rFonts w:ascii="宋体" w:hAnsi="宋体" w:cs="宋体"/>
                <w:kern w:val="0"/>
                <w:sz w:val="18"/>
                <w:szCs w:val="18"/>
              </w:rPr>
            </w:pPr>
            <w:r>
              <w:rPr>
                <w:rFonts w:hint="eastAsia" w:ascii="宋体" w:hAnsi="宋体" w:cs="宋体"/>
                <w:kern w:val="0"/>
                <w:sz w:val="18"/>
                <w:szCs w:val="18"/>
              </w:rPr>
              <w:t>8.50</w:t>
            </w:r>
          </w:p>
        </w:tc>
        <w:tc>
          <w:tcPr>
            <w:tcW w:w="514" w:type="pct"/>
            <w:tcBorders>
              <w:top w:val="nil"/>
              <w:left w:val="nil"/>
              <w:bottom w:val="single" w:color="auto" w:sz="4" w:space="0"/>
              <w:right w:val="single" w:color="auto" w:sz="4" w:space="0"/>
            </w:tcBorders>
            <w:shd w:val="clear" w:color="000000" w:fill="FFFFFF"/>
            <w:noWrap/>
            <w:vAlign w:val="center"/>
          </w:tcPr>
          <w:p w14:paraId="5ACD5E0B">
            <w:pPr>
              <w:widowControl/>
              <w:jc w:val="center"/>
              <w:rPr>
                <w:rFonts w:ascii="宋体" w:hAnsi="宋体" w:cs="宋体"/>
                <w:kern w:val="0"/>
                <w:sz w:val="18"/>
                <w:szCs w:val="18"/>
              </w:rPr>
            </w:pPr>
            <w:r>
              <w:rPr>
                <w:rFonts w:hint="eastAsia" w:ascii="宋体" w:hAnsi="宋体" w:cs="宋体"/>
                <w:kern w:val="0"/>
                <w:sz w:val="18"/>
                <w:szCs w:val="18"/>
              </w:rPr>
              <w:t>8.78</w:t>
            </w:r>
          </w:p>
        </w:tc>
        <w:tc>
          <w:tcPr>
            <w:tcW w:w="514" w:type="pct"/>
            <w:tcBorders>
              <w:top w:val="nil"/>
              <w:left w:val="nil"/>
              <w:bottom w:val="single" w:color="auto" w:sz="4" w:space="0"/>
              <w:right w:val="single" w:color="auto" w:sz="4" w:space="0"/>
            </w:tcBorders>
            <w:shd w:val="clear" w:color="000000" w:fill="FFFFFF"/>
            <w:noWrap/>
            <w:vAlign w:val="center"/>
          </w:tcPr>
          <w:p w14:paraId="5295E38F">
            <w:pPr>
              <w:widowControl/>
              <w:jc w:val="center"/>
              <w:rPr>
                <w:rFonts w:ascii="宋体" w:hAnsi="宋体" w:cs="宋体"/>
                <w:kern w:val="0"/>
                <w:sz w:val="18"/>
                <w:szCs w:val="18"/>
              </w:rPr>
            </w:pPr>
            <w:r>
              <w:rPr>
                <w:rFonts w:hint="eastAsia" w:ascii="宋体" w:hAnsi="宋体" w:cs="宋体"/>
                <w:kern w:val="0"/>
                <w:sz w:val="18"/>
                <w:szCs w:val="18"/>
              </w:rPr>
              <w:t>9.26</w:t>
            </w:r>
          </w:p>
        </w:tc>
        <w:tc>
          <w:tcPr>
            <w:tcW w:w="514" w:type="pct"/>
            <w:tcBorders>
              <w:top w:val="nil"/>
              <w:left w:val="nil"/>
              <w:bottom w:val="single" w:color="auto" w:sz="4" w:space="0"/>
              <w:right w:val="single" w:color="auto" w:sz="4" w:space="0"/>
            </w:tcBorders>
            <w:shd w:val="clear" w:color="000000" w:fill="FFFFFF"/>
            <w:noWrap/>
            <w:vAlign w:val="center"/>
          </w:tcPr>
          <w:p w14:paraId="0A3E6A76">
            <w:pPr>
              <w:widowControl/>
              <w:jc w:val="center"/>
              <w:rPr>
                <w:rFonts w:ascii="宋体" w:hAnsi="宋体" w:cs="宋体"/>
                <w:kern w:val="0"/>
                <w:sz w:val="18"/>
                <w:szCs w:val="18"/>
              </w:rPr>
            </w:pPr>
            <w:r>
              <w:rPr>
                <w:rFonts w:hint="eastAsia" w:ascii="宋体" w:hAnsi="宋体" w:cs="宋体"/>
                <w:kern w:val="0"/>
                <w:sz w:val="18"/>
                <w:szCs w:val="18"/>
              </w:rPr>
              <w:t>9.73</w:t>
            </w:r>
          </w:p>
        </w:tc>
        <w:tc>
          <w:tcPr>
            <w:tcW w:w="514" w:type="pct"/>
            <w:tcBorders>
              <w:top w:val="nil"/>
              <w:left w:val="nil"/>
              <w:bottom w:val="single" w:color="auto" w:sz="4" w:space="0"/>
              <w:right w:val="single" w:color="auto" w:sz="4" w:space="0"/>
            </w:tcBorders>
            <w:shd w:val="clear" w:color="000000" w:fill="FFFFFF"/>
            <w:noWrap/>
            <w:vAlign w:val="center"/>
          </w:tcPr>
          <w:p w14:paraId="4D76F62C">
            <w:pPr>
              <w:widowControl/>
              <w:jc w:val="center"/>
              <w:rPr>
                <w:rFonts w:ascii="宋体" w:hAnsi="宋体" w:cs="宋体"/>
                <w:kern w:val="0"/>
                <w:sz w:val="18"/>
                <w:szCs w:val="18"/>
              </w:rPr>
            </w:pPr>
            <w:r>
              <w:rPr>
                <w:rFonts w:hint="eastAsia" w:ascii="宋体" w:hAnsi="宋体" w:cs="宋体"/>
                <w:kern w:val="0"/>
                <w:sz w:val="18"/>
                <w:szCs w:val="18"/>
              </w:rPr>
              <w:t>10.01</w:t>
            </w:r>
          </w:p>
        </w:tc>
        <w:tc>
          <w:tcPr>
            <w:tcW w:w="586" w:type="pct"/>
            <w:tcBorders>
              <w:top w:val="nil"/>
              <w:left w:val="nil"/>
              <w:bottom w:val="single" w:color="auto" w:sz="4" w:space="0"/>
              <w:right w:val="single" w:color="auto" w:sz="4" w:space="0"/>
            </w:tcBorders>
            <w:shd w:val="clear" w:color="000000" w:fill="FFFFFF"/>
            <w:noWrap/>
            <w:vAlign w:val="center"/>
          </w:tcPr>
          <w:p w14:paraId="275933B3">
            <w:pPr>
              <w:widowControl/>
              <w:jc w:val="center"/>
              <w:rPr>
                <w:rFonts w:ascii="宋体" w:hAnsi="宋体" w:cs="宋体"/>
                <w:kern w:val="0"/>
                <w:sz w:val="18"/>
                <w:szCs w:val="18"/>
              </w:rPr>
            </w:pPr>
            <w:r>
              <w:rPr>
                <w:rFonts w:hint="eastAsia" w:ascii="宋体" w:hAnsi="宋体" w:cs="宋体"/>
                <w:kern w:val="0"/>
                <w:sz w:val="18"/>
                <w:szCs w:val="18"/>
              </w:rPr>
              <w:t>10.20</w:t>
            </w:r>
          </w:p>
        </w:tc>
      </w:tr>
      <w:tr w14:paraId="253549A4">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782DD492">
            <w:pPr>
              <w:widowControl/>
              <w:jc w:val="center"/>
              <w:rPr>
                <w:rFonts w:ascii="宋体" w:hAnsi="宋体" w:cs="宋体"/>
                <w:b/>
                <w:bCs/>
                <w:kern w:val="0"/>
                <w:sz w:val="18"/>
                <w:szCs w:val="18"/>
              </w:rPr>
            </w:pPr>
            <w:r>
              <w:rPr>
                <w:rFonts w:hint="eastAsia" w:ascii="宋体" w:hAnsi="宋体" w:cs="宋体"/>
                <w:b/>
                <w:bCs/>
                <w:kern w:val="0"/>
                <w:sz w:val="18"/>
                <w:szCs w:val="18"/>
              </w:rPr>
              <w:t>2.成本变动敏感性分析</w:t>
            </w:r>
          </w:p>
        </w:tc>
        <w:tc>
          <w:tcPr>
            <w:tcW w:w="514" w:type="pct"/>
            <w:tcBorders>
              <w:top w:val="nil"/>
              <w:left w:val="nil"/>
              <w:bottom w:val="single" w:color="auto" w:sz="4" w:space="0"/>
              <w:right w:val="single" w:color="auto" w:sz="4" w:space="0"/>
            </w:tcBorders>
            <w:shd w:val="clear" w:color="000000" w:fill="FFFFFF"/>
            <w:noWrap/>
            <w:vAlign w:val="center"/>
          </w:tcPr>
          <w:p w14:paraId="76F9FDD6">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7D87D656">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75AB9092">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3B2C0488">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3D16619D">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2C343F73">
            <w:pPr>
              <w:widowControl/>
              <w:jc w:val="center"/>
              <w:rPr>
                <w:rFonts w:ascii="宋体" w:hAnsi="宋体" w:cs="宋体"/>
                <w:kern w:val="0"/>
                <w:sz w:val="18"/>
                <w:szCs w:val="18"/>
              </w:rPr>
            </w:pPr>
          </w:p>
        </w:tc>
        <w:tc>
          <w:tcPr>
            <w:tcW w:w="586" w:type="pct"/>
            <w:tcBorders>
              <w:top w:val="nil"/>
              <w:left w:val="nil"/>
              <w:bottom w:val="single" w:color="auto" w:sz="4" w:space="0"/>
              <w:right w:val="single" w:color="auto" w:sz="4" w:space="0"/>
            </w:tcBorders>
            <w:shd w:val="clear" w:color="000000" w:fill="FFFFFF"/>
            <w:noWrap/>
            <w:vAlign w:val="center"/>
          </w:tcPr>
          <w:p w14:paraId="487DA91A">
            <w:pPr>
              <w:widowControl/>
              <w:jc w:val="center"/>
              <w:rPr>
                <w:rFonts w:ascii="宋体" w:hAnsi="宋体" w:cs="宋体"/>
                <w:kern w:val="0"/>
                <w:sz w:val="18"/>
                <w:szCs w:val="18"/>
              </w:rPr>
            </w:pPr>
          </w:p>
        </w:tc>
      </w:tr>
      <w:tr w14:paraId="27023253">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02613EBE">
            <w:pPr>
              <w:widowControl/>
              <w:jc w:val="center"/>
              <w:rPr>
                <w:rFonts w:ascii="宋体" w:hAnsi="宋体" w:cs="宋体"/>
                <w:kern w:val="0"/>
                <w:sz w:val="18"/>
                <w:szCs w:val="18"/>
              </w:rPr>
            </w:pPr>
            <w:r>
              <w:rPr>
                <w:rFonts w:hint="eastAsia" w:ascii="宋体" w:hAnsi="宋体" w:cs="宋体"/>
                <w:kern w:val="0"/>
                <w:sz w:val="18"/>
                <w:szCs w:val="18"/>
              </w:rPr>
              <w:t>偿债资金覆盖倍数变化</w:t>
            </w:r>
          </w:p>
        </w:tc>
        <w:tc>
          <w:tcPr>
            <w:tcW w:w="514" w:type="pct"/>
            <w:tcBorders>
              <w:top w:val="nil"/>
              <w:left w:val="nil"/>
              <w:bottom w:val="single" w:color="auto" w:sz="4" w:space="0"/>
              <w:right w:val="single" w:color="auto" w:sz="4" w:space="0"/>
            </w:tcBorders>
            <w:shd w:val="clear" w:color="000000" w:fill="FFFFFF"/>
            <w:noWrap/>
            <w:vAlign w:val="center"/>
          </w:tcPr>
          <w:p w14:paraId="5EC32759">
            <w:pPr>
              <w:widowControl/>
              <w:jc w:val="center"/>
              <w:rPr>
                <w:rFonts w:ascii="宋体" w:hAnsi="宋体" w:cs="宋体"/>
                <w:kern w:val="0"/>
                <w:sz w:val="18"/>
                <w:szCs w:val="18"/>
              </w:rPr>
            </w:pPr>
            <w:r>
              <w:rPr>
                <w:rFonts w:hint="eastAsia" w:ascii="宋体" w:hAnsi="宋体" w:cs="宋体"/>
                <w:kern w:val="0"/>
                <w:sz w:val="18"/>
                <w:szCs w:val="18"/>
              </w:rPr>
              <w:t>9.28</w:t>
            </w:r>
          </w:p>
        </w:tc>
        <w:tc>
          <w:tcPr>
            <w:tcW w:w="514" w:type="pct"/>
            <w:tcBorders>
              <w:top w:val="nil"/>
              <w:left w:val="nil"/>
              <w:bottom w:val="single" w:color="auto" w:sz="4" w:space="0"/>
              <w:right w:val="single" w:color="auto" w:sz="4" w:space="0"/>
            </w:tcBorders>
            <w:shd w:val="clear" w:color="000000" w:fill="FFFFFF"/>
            <w:noWrap/>
            <w:vAlign w:val="center"/>
          </w:tcPr>
          <w:p w14:paraId="04958F14">
            <w:pPr>
              <w:widowControl/>
              <w:jc w:val="center"/>
              <w:rPr>
                <w:rFonts w:ascii="宋体" w:hAnsi="宋体" w:cs="宋体"/>
                <w:kern w:val="0"/>
                <w:sz w:val="18"/>
                <w:szCs w:val="18"/>
              </w:rPr>
            </w:pPr>
            <w:r>
              <w:rPr>
                <w:rFonts w:hint="eastAsia" w:ascii="宋体" w:hAnsi="宋体" w:cs="宋体"/>
                <w:kern w:val="0"/>
                <w:sz w:val="18"/>
                <w:szCs w:val="18"/>
              </w:rPr>
              <w:t>9.27</w:t>
            </w:r>
          </w:p>
        </w:tc>
        <w:tc>
          <w:tcPr>
            <w:tcW w:w="514" w:type="pct"/>
            <w:tcBorders>
              <w:top w:val="nil"/>
              <w:left w:val="nil"/>
              <w:bottom w:val="single" w:color="auto" w:sz="4" w:space="0"/>
              <w:right w:val="single" w:color="auto" w:sz="4" w:space="0"/>
            </w:tcBorders>
            <w:shd w:val="clear" w:color="000000" w:fill="FFFFFF"/>
            <w:noWrap/>
            <w:vAlign w:val="center"/>
          </w:tcPr>
          <w:p w14:paraId="299DF0C9">
            <w:pPr>
              <w:widowControl/>
              <w:jc w:val="center"/>
              <w:rPr>
                <w:rFonts w:ascii="宋体" w:hAnsi="宋体" w:cs="宋体"/>
                <w:kern w:val="0"/>
                <w:sz w:val="18"/>
                <w:szCs w:val="18"/>
              </w:rPr>
            </w:pPr>
            <w:r>
              <w:rPr>
                <w:rFonts w:hint="eastAsia" w:ascii="宋体" w:hAnsi="宋体" w:cs="宋体"/>
                <w:kern w:val="0"/>
                <w:sz w:val="18"/>
                <w:szCs w:val="18"/>
              </w:rPr>
              <w:t>9.27</w:t>
            </w:r>
          </w:p>
        </w:tc>
        <w:tc>
          <w:tcPr>
            <w:tcW w:w="514" w:type="pct"/>
            <w:tcBorders>
              <w:top w:val="nil"/>
              <w:left w:val="nil"/>
              <w:bottom w:val="single" w:color="auto" w:sz="4" w:space="0"/>
              <w:right w:val="single" w:color="auto" w:sz="4" w:space="0"/>
            </w:tcBorders>
            <w:shd w:val="clear" w:color="000000" w:fill="FFFFFF"/>
            <w:noWrap/>
            <w:vAlign w:val="center"/>
          </w:tcPr>
          <w:p w14:paraId="096E8175">
            <w:pPr>
              <w:widowControl/>
              <w:jc w:val="center"/>
              <w:rPr>
                <w:rFonts w:ascii="宋体" w:hAnsi="宋体" w:cs="宋体"/>
                <w:kern w:val="0"/>
                <w:sz w:val="18"/>
                <w:szCs w:val="18"/>
              </w:rPr>
            </w:pPr>
            <w:r>
              <w:rPr>
                <w:rFonts w:hint="eastAsia" w:ascii="宋体" w:hAnsi="宋体" w:cs="宋体"/>
                <w:kern w:val="0"/>
                <w:sz w:val="18"/>
                <w:szCs w:val="18"/>
              </w:rPr>
              <w:t>9.26</w:t>
            </w:r>
          </w:p>
        </w:tc>
        <w:tc>
          <w:tcPr>
            <w:tcW w:w="514" w:type="pct"/>
            <w:tcBorders>
              <w:top w:val="nil"/>
              <w:left w:val="nil"/>
              <w:bottom w:val="single" w:color="auto" w:sz="4" w:space="0"/>
              <w:right w:val="single" w:color="auto" w:sz="4" w:space="0"/>
            </w:tcBorders>
            <w:shd w:val="clear" w:color="000000" w:fill="FFFFFF"/>
            <w:noWrap/>
            <w:vAlign w:val="center"/>
          </w:tcPr>
          <w:p w14:paraId="7C308533">
            <w:pPr>
              <w:widowControl/>
              <w:jc w:val="center"/>
              <w:rPr>
                <w:rFonts w:ascii="宋体" w:hAnsi="宋体" w:cs="宋体"/>
                <w:kern w:val="0"/>
                <w:sz w:val="18"/>
                <w:szCs w:val="18"/>
              </w:rPr>
            </w:pPr>
            <w:r>
              <w:rPr>
                <w:rFonts w:hint="eastAsia" w:ascii="宋体" w:hAnsi="宋体" w:cs="宋体"/>
                <w:kern w:val="0"/>
                <w:sz w:val="18"/>
                <w:szCs w:val="18"/>
              </w:rPr>
              <w:t>9.25</w:t>
            </w:r>
          </w:p>
        </w:tc>
        <w:tc>
          <w:tcPr>
            <w:tcW w:w="514" w:type="pct"/>
            <w:tcBorders>
              <w:top w:val="nil"/>
              <w:left w:val="nil"/>
              <w:bottom w:val="single" w:color="auto" w:sz="4" w:space="0"/>
              <w:right w:val="single" w:color="auto" w:sz="4" w:space="0"/>
            </w:tcBorders>
            <w:shd w:val="clear" w:color="000000" w:fill="FFFFFF"/>
            <w:noWrap/>
            <w:vAlign w:val="center"/>
          </w:tcPr>
          <w:p w14:paraId="31E9C3CD">
            <w:pPr>
              <w:widowControl/>
              <w:jc w:val="center"/>
              <w:rPr>
                <w:rFonts w:ascii="宋体" w:hAnsi="宋体" w:cs="宋体"/>
                <w:kern w:val="0"/>
                <w:sz w:val="18"/>
                <w:szCs w:val="18"/>
              </w:rPr>
            </w:pPr>
            <w:r>
              <w:rPr>
                <w:rFonts w:hint="eastAsia" w:ascii="宋体" w:hAnsi="宋体" w:cs="宋体"/>
                <w:kern w:val="0"/>
                <w:sz w:val="18"/>
                <w:szCs w:val="18"/>
              </w:rPr>
              <w:t>9.24</w:t>
            </w:r>
          </w:p>
        </w:tc>
        <w:tc>
          <w:tcPr>
            <w:tcW w:w="586" w:type="pct"/>
            <w:tcBorders>
              <w:top w:val="nil"/>
              <w:left w:val="nil"/>
              <w:bottom w:val="single" w:color="auto" w:sz="4" w:space="0"/>
              <w:right w:val="single" w:color="auto" w:sz="4" w:space="0"/>
            </w:tcBorders>
            <w:shd w:val="clear" w:color="000000" w:fill="FFFFFF"/>
            <w:noWrap/>
            <w:vAlign w:val="center"/>
          </w:tcPr>
          <w:p w14:paraId="76D0A670">
            <w:pPr>
              <w:widowControl/>
              <w:jc w:val="center"/>
              <w:rPr>
                <w:rFonts w:ascii="宋体" w:hAnsi="宋体" w:cs="宋体"/>
                <w:kern w:val="0"/>
                <w:sz w:val="18"/>
                <w:szCs w:val="18"/>
              </w:rPr>
            </w:pPr>
            <w:r>
              <w:rPr>
                <w:rFonts w:hint="eastAsia" w:ascii="宋体" w:hAnsi="宋体" w:cs="宋体"/>
                <w:kern w:val="0"/>
                <w:sz w:val="18"/>
                <w:szCs w:val="18"/>
              </w:rPr>
              <w:t>9.24</w:t>
            </w:r>
          </w:p>
        </w:tc>
      </w:tr>
      <w:tr w14:paraId="51052C83">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135AFBFB">
            <w:pPr>
              <w:widowControl/>
              <w:jc w:val="center"/>
              <w:rPr>
                <w:rFonts w:ascii="宋体" w:hAnsi="宋体" w:cs="宋体"/>
                <w:b/>
                <w:bCs/>
                <w:kern w:val="0"/>
                <w:sz w:val="18"/>
                <w:szCs w:val="18"/>
              </w:rPr>
            </w:pPr>
            <w:r>
              <w:rPr>
                <w:rFonts w:hint="eastAsia" w:ascii="宋体" w:hAnsi="宋体" w:cs="宋体"/>
                <w:b/>
                <w:bCs/>
                <w:kern w:val="0"/>
                <w:sz w:val="18"/>
                <w:szCs w:val="18"/>
              </w:rPr>
              <w:t>3.利率变动敏感性分析</w:t>
            </w:r>
          </w:p>
        </w:tc>
        <w:tc>
          <w:tcPr>
            <w:tcW w:w="514" w:type="pct"/>
            <w:tcBorders>
              <w:top w:val="nil"/>
              <w:left w:val="nil"/>
              <w:bottom w:val="single" w:color="auto" w:sz="4" w:space="0"/>
              <w:right w:val="single" w:color="auto" w:sz="4" w:space="0"/>
            </w:tcBorders>
            <w:shd w:val="clear" w:color="000000" w:fill="FFFFFF"/>
            <w:noWrap/>
            <w:vAlign w:val="center"/>
          </w:tcPr>
          <w:p w14:paraId="51B95577">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1ACBED80">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5FB7E08D">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71DC1826">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73D89FB7">
            <w:pPr>
              <w:widowControl/>
              <w:jc w:val="center"/>
              <w:rPr>
                <w:rFonts w:ascii="宋体" w:hAnsi="宋体" w:cs="宋体"/>
                <w:kern w:val="0"/>
                <w:sz w:val="18"/>
                <w:szCs w:val="18"/>
              </w:rPr>
            </w:pPr>
          </w:p>
        </w:tc>
        <w:tc>
          <w:tcPr>
            <w:tcW w:w="514" w:type="pct"/>
            <w:tcBorders>
              <w:top w:val="nil"/>
              <w:left w:val="nil"/>
              <w:bottom w:val="single" w:color="auto" w:sz="4" w:space="0"/>
              <w:right w:val="single" w:color="auto" w:sz="4" w:space="0"/>
            </w:tcBorders>
            <w:shd w:val="clear" w:color="000000" w:fill="FFFFFF"/>
            <w:noWrap/>
            <w:vAlign w:val="center"/>
          </w:tcPr>
          <w:p w14:paraId="6BA3FA32">
            <w:pPr>
              <w:widowControl/>
              <w:jc w:val="center"/>
              <w:rPr>
                <w:rFonts w:ascii="宋体" w:hAnsi="宋体" w:cs="宋体"/>
                <w:kern w:val="0"/>
                <w:sz w:val="18"/>
                <w:szCs w:val="18"/>
              </w:rPr>
            </w:pPr>
          </w:p>
        </w:tc>
        <w:tc>
          <w:tcPr>
            <w:tcW w:w="586" w:type="pct"/>
            <w:tcBorders>
              <w:top w:val="nil"/>
              <w:left w:val="nil"/>
              <w:bottom w:val="single" w:color="auto" w:sz="4" w:space="0"/>
              <w:right w:val="single" w:color="auto" w:sz="4" w:space="0"/>
            </w:tcBorders>
            <w:shd w:val="clear" w:color="000000" w:fill="FFFFFF"/>
            <w:noWrap/>
            <w:vAlign w:val="center"/>
          </w:tcPr>
          <w:p w14:paraId="128A129B">
            <w:pPr>
              <w:widowControl/>
              <w:jc w:val="center"/>
              <w:rPr>
                <w:rFonts w:ascii="宋体" w:hAnsi="宋体" w:cs="宋体"/>
                <w:kern w:val="0"/>
                <w:sz w:val="18"/>
                <w:szCs w:val="18"/>
              </w:rPr>
            </w:pPr>
          </w:p>
        </w:tc>
      </w:tr>
      <w:tr w14:paraId="6D229C6D">
        <w:trPr>
          <w:trHeight w:val="270" w:hRule="atLeast"/>
          <w:jc w:val="center"/>
        </w:trPr>
        <w:tc>
          <w:tcPr>
            <w:tcW w:w="1330" w:type="pct"/>
            <w:tcBorders>
              <w:top w:val="nil"/>
              <w:left w:val="single" w:color="auto" w:sz="4" w:space="0"/>
              <w:bottom w:val="single" w:color="auto" w:sz="4" w:space="0"/>
              <w:right w:val="single" w:color="auto" w:sz="4" w:space="0"/>
            </w:tcBorders>
            <w:shd w:val="clear" w:color="000000" w:fill="FFFFFF"/>
            <w:noWrap/>
            <w:vAlign w:val="center"/>
          </w:tcPr>
          <w:p w14:paraId="39A7EFEC">
            <w:pPr>
              <w:widowControl/>
              <w:jc w:val="center"/>
              <w:rPr>
                <w:rFonts w:ascii="宋体" w:hAnsi="宋体" w:cs="宋体"/>
                <w:kern w:val="0"/>
                <w:sz w:val="18"/>
                <w:szCs w:val="18"/>
              </w:rPr>
            </w:pPr>
            <w:r>
              <w:rPr>
                <w:rFonts w:hint="eastAsia" w:ascii="宋体" w:hAnsi="宋体" w:cs="宋体"/>
                <w:kern w:val="0"/>
                <w:sz w:val="18"/>
                <w:szCs w:val="18"/>
              </w:rPr>
              <w:t>利率变动偿债资金本息覆盖率</w:t>
            </w:r>
          </w:p>
        </w:tc>
        <w:tc>
          <w:tcPr>
            <w:tcW w:w="514" w:type="pct"/>
            <w:tcBorders>
              <w:top w:val="nil"/>
              <w:left w:val="nil"/>
              <w:bottom w:val="single" w:color="auto" w:sz="4" w:space="0"/>
              <w:right w:val="single" w:color="auto" w:sz="4" w:space="0"/>
            </w:tcBorders>
            <w:shd w:val="clear" w:color="000000" w:fill="FFFFFF"/>
            <w:noWrap/>
            <w:vAlign w:val="center"/>
          </w:tcPr>
          <w:p w14:paraId="12D1F29C">
            <w:pPr>
              <w:widowControl/>
              <w:jc w:val="center"/>
              <w:rPr>
                <w:rFonts w:ascii="宋体" w:hAnsi="宋体" w:cs="宋体"/>
                <w:kern w:val="0"/>
                <w:sz w:val="18"/>
                <w:szCs w:val="18"/>
              </w:rPr>
            </w:pPr>
            <w:r>
              <w:rPr>
                <w:rFonts w:hint="eastAsia" w:ascii="宋体" w:hAnsi="宋体" w:cs="宋体"/>
                <w:kern w:val="0"/>
                <w:sz w:val="18"/>
                <w:szCs w:val="18"/>
              </w:rPr>
              <w:t>9.52</w:t>
            </w:r>
          </w:p>
        </w:tc>
        <w:tc>
          <w:tcPr>
            <w:tcW w:w="514" w:type="pct"/>
            <w:tcBorders>
              <w:top w:val="nil"/>
              <w:left w:val="nil"/>
              <w:bottom w:val="single" w:color="auto" w:sz="4" w:space="0"/>
              <w:right w:val="single" w:color="auto" w:sz="4" w:space="0"/>
            </w:tcBorders>
            <w:shd w:val="clear" w:color="000000" w:fill="FFFFFF"/>
            <w:noWrap/>
            <w:vAlign w:val="center"/>
          </w:tcPr>
          <w:p w14:paraId="086E3D39">
            <w:pPr>
              <w:widowControl/>
              <w:jc w:val="center"/>
              <w:rPr>
                <w:rFonts w:ascii="宋体" w:hAnsi="宋体" w:cs="宋体"/>
                <w:kern w:val="0"/>
                <w:sz w:val="18"/>
                <w:szCs w:val="18"/>
              </w:rPr>
            </w:pPr>
            <w:r>
              <w:rPr>
                <w:rFonts w:hint="eastAsia" w:ascii="宋体" w:hAnsi="宋体" w:cs="宋体"/>
                <w:kern w:val="0"/>
                <w:sz w:val="18"/>
                <w:szCs w:val="18"/>
              </w:rPr>
              <w:t>9.47</w:t>
            </w:r>
          </w:p>
        </w:tc>
        <w:tc>
          <w:tcPr>
            <w:tcW w:w="514" w:type="pct"/>
            <w:tcBorders>
              <w:top w:val="nil"/>
              <w:left w:val="nil"/>
              <w:bottom w:val="single" w:color="auto" w:sz="4" w:space="0"/>
              <w:right w:val="single" w:color="auto" w:sz="4" w:space="0"/>
            </w:tcBorders>
            <w:shd w:val="clear" w:color="000000" w:fill="FFFFFF"/>
            <w:noWrap/>
            <w:vAlign w:val="center"/>
          </w:tcPr>
          <w:p w14:paraId="4FD73D49">
            <w:pPr>
              <w:widowControl/>
              <w:jc w:val="center"/>
              <w:rPr>
                <w:rFonts w:ascii="宋体" w:hAnsi="宋体" w:cs="宋体"/>
                <w:kern w:val="0"/>
                <w:sz w:val="18"/>
                <w:szCs w:val="18"/>
              </w:rPr>
            </w:pPr>
            <w:r>
              <w:rPr>
                <w:rFonts w:hint="eastAsia" w:ascii="宋体" w:hAnsi="宋体" w:cs="宋体"/>
                <w:kern w:val="0"/>
                <w:sz w:val="18"/>
                <w:szCs w:val="18"/>
              </w:rPr>
              <w:t>9.39</w:t>
            </w:r>
          </w:p>
        </w:tc>
        <w:tc>
          <w:tcPr>
            <w:tcW w:w="514" w:type="pct"/>
            <w:tcBorders>
              <w:top w:val="nil"/>
              <w:left w:val="nil"/>
              <w:bottom w:val="single" w:color="auto" w:sz="4" w:space="0"/>
              <w:right w:val="single" w:color="auto" w:sz="4" w:space="0"/>
            </w:tcBorders>
            <w:shd w:val="clear" w:color="000000" w:fill="FFFFFF"/>
            <w:noWrap/>
            <w:vAlign w:val="center"/>
          </w:tcPr>
          <w:p w14:paraId="1EE14286">
            <w:pPr>
              <w:widowControl/>
              <w:jc w:val="center"/>
              <w:rPr>
                <w:rFonts w:ascii="宋体" w:hAnsi="宋体" w:cs="宋体"/>
                <w:kern w:val="0"/>
                <w:sz w:val="18"/>
                <w:szCs w:val="18"/>
              </w:rPr>
            </w:pPr>
            <w:r>
              <w:rPr>
                <w:rFonts w:hint="eastAsia" w:ascii="宋体" w:hAnsi="宋体" w:cs="宋体"/>
                <w:kern w:val="0"/>
                <w:sz w:val="18"/>
                <w:szCs w:val="18"/>
              </w:rPr>
              <w:t>9.26</w:t>
            </w:r>
          </w:p>
        </w:tc>
        <w:tc>
          <w:tcPr>
            <w:tcW w:w="514" w:type="pct"/>
            <w:tcBorders>
              <w:top w:val="nil"/>
              <w:left w:val="nil"/>
              <w:bottom w:val="single" w:color="auto" w:sz="4" w:space="0"/>
              <w:right w:val="single" w:color="auto" w:sz="4" w:space="0"/>
            </w:tcBorders>
            <w:shd w:val="clear" w:color="000000" w:fill="FFFFFF"/>
            <w:noWrap/>
            <w:vAlign w:val="center"/>
          </w:tcPr>
          <w:p w14:paraId="1213B29D">
            <w:pPr>
              <w:widowControl/>
              <w:jc w:val="center"/>
              <w:rPr>
                <w:rFonts w:ascii="宋体" w:hAnsi="宋体" w:cs="宋体"/>
                <w:kern w:val="0"/>
                <w:sz w:val="18"/>
                <w:szCs w:val="18"/>
              </w:rPr>
            </w:pPr>
            <w:r>
              <w:rPr>
                <w:rFonts w:hint="eastAsia" w:ascii="宋体" w:hAnsi="宋体" w:cs="宋体"/>
                <w:kern w:val="0"/>
                <w:sz w:val="18"/>
                <w:szCs w:val="18"/>
              </w:rPr>
              <w:t>9.13</w:t>
            </w:r>
          </w:p>
        </w:tc>
        <w:tc>
          <w:tcPr>
            <w:tcW w:w="514" w:type="pct"/>
            <w:tcBorders>
              <w:top w:val="nil"/>
              <w:left w:val="nil"/>
              <w:bottom w:val="single" w:color="auto" w:sz="4" w:space="0"/>
              <w:right w:val="single" w:color="auto" w:sz="4" w:space="0"/>
            </w:tcBorders>
            <w:shd w:val="clear" w:color="000000" w:fill="FFFFFF"/>
            <w:noWrap/>
            <w:vAlign w:val="center"/>
          </w:tcPr>
          <w:p w14:paraId="71D2BCB4">
            <w:pPr>
              <w:widowControl/>
              <w:jc w:val="center"/>
              <w:rPr>
                <w:rFonts w:ascii="宋体" w:hAnsi="宋体" w:cs="宋体"/>
                <w:kern w:val="0"/>
                <w:sz w:val="18"/>
                <w:szCs w:val="18"/>
              </w:rPr>
            </w:pPr>
            <w:r>
              <w:rPr>
                <w:rFonts w:hint="eastAsia" w:ascii="宋体" w:hAnsi="宋体" w:cs="宋体"/>
                <w:kern w:val="0"/>
                <w:sz w:val="18"/>
                <w:szCs w:val="18"/>
              </w:rPr>
              <w:t>9.06</w:t>
            </w:r>
          </w:p>
        </w:tc>
        <w:tc>
          <w:tcPr>
            <w:tcW w:w="586" w:type="pct"/>
            <w:tcBorders>
              <w:top w:val="nil"/>
              <w:left w:val="nil"/>
              <w:bottom w:val="single" w:color="auto" w:sz="4" w:space="0"/>
              <w:right w:val="single" w:color="auto" w:sz="4" w:space="0"/>
            </w:tcBorders>
            <w:shd w:val="clear" w:color="000000" w:fill="FFFFFF"/>
            <w:noWrap/>
            <w:vAlign w:val="center"/>
          </w:tcPr>
          <w:p w14:paraId="1182E847">
            <w:pPr>
              <w:widowControl/>
              <w:jc w:val="center"/>
              <w:rPr>
                <w:rFonts w:ascii="宋体" w:hAnsi="宋体" w:cs="宋体"/>
                <w:kern w:val="0"/>
                <w:sz w:val="18"/>
                <w:szCs w:val="18"/>
              </w:rPr>
            </w:pPr>
            <w:r>
              <w:rPr>
                <w:rFonts w:hint="eastAsia" w:ascii="宋体" w:hAnsi="宋体" w:cs="宋体"/>
                <w:kern w:val="0"/>
                <w:sz w:val="18"/>
                <w:szCs w:val="18"/>
              </w:rPr>
              <w:t>9.01</w:t>
            </w:r>
          </w:p>
        </w:tc>
      </w:tr>
    </w:tbl>
    <w:p w14:paraId="2504CD8E">
      <w:pPr>
        <w:pStyle w:val="20"/>
        <w:spacing w:before="0" w:beforeAutospacing="0" w:afterLines="50" w:afterAutospacing="0" w:line="360" w:lineRule="auto"/>
        <w:ind w:firstLine="480" w:firstLineChars="200"/>
        <w:contextualSpacing/>
        <w:jc w:val="both"/>
        <w:rPr>
          <w:rFonts w:cs="Times New Roman"/>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通过资金平衡测算分析，债务本息资金覆盖倍数可达到9</w:t>
      </w:r>
      <w:r>
        <w:rPr>
          <w:color w:val="000000" w:themeColor="text1"/>
          <w:sz w:val="24"/>
          <w:szCs w:val="24"/>
          <w14:textFill>
            <w14:solidFill>
              <w14:schemeClr w14:val="tx1"/>
            </w14:solidFill>
          </w14:textFill>
        </w:rPr>
        <w:t>.26</w:t>
      </w:r>
      <w:r>
        <w:rPr>
          <w:rFonts w:hint="eastAsia"/>
          <w:color w:val="000000" w:themeColor="text1"/>
          <w:sz w:val="24"/>
          <w:szCs w:val="24"/>
          <w14:textFill>
            <w14:solidFill>
              <w14:schemeClr w14:val="tx1"/>
            </w14:solidFill>
          </w14:textFill>
        </w:rPr>
        <w:t>倍，基于上表压力测试，本项目分别在收入下降</w:t>
      </w:r>
      <w:r>
        <w:rPr>
          <w:color w:val="000000" w:themeColor="text1"/>
          <w:sz w:val="24"/>
          <w:szCs w:val="24"/>
          <w14:textFill>
            <w14:solidFill>
              <w14:schemeClr w14:val="tx1"/>
            </w14:solidFill>
          </w14:textFill>
        </w:rPr>
        <w:t>10</w:t>
      </w:r>
      <w:r>
        <w:rPr>
          <w:rFonts w:hint="eastAsia"/>
          <w:color w:val="000000" w:themeColor="text1"/>
          <w:sz w:val="24"/>
          <w:szCs w:val="24"/>
          <w14:textFill>
            <w14:solidFill>
              <w14:schemeClr w14:val="tx1"/>
            </w14:solidFill>
          </w14:textFill>
        </w:rPr>
        <w:t>%、成本上浮1</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%、利率上浮</w:t>
      </w:r>
      <w:r>
        <w:rPr>
          <w:color w:val="000000" w:themeColor="text1"/>
          <w:sz w:val="24"/>
          <w:szCs w:val="24"/>
          <w14:textFill>
            <w14:solidFill>
              <w14:schemeClr w14:val="tx1"/>
            </w14:solidFill>
          </w14:textFill>
        </w:rPr>
        <w:t>10</w:t>
      </w:r>
      <w:r>
        <w:rPr>
          <w:rFonts w:hint="eastAsia"/>
          <w:color w:val="000000" w:themeColor="text1"/>
          <w:sz w:val="24"/>
          <w:szCs w:val="24"/>
          <w14:textFill>
            <w14:solidFill>
              <w14:schemeClr w14:val="tx1"/>
            </w14:solidFill>
          </w14:textFill>
        </w:rPr>
        <w:t>%的情况下，债券本息资金覆盖率仍大于1</w:t>
      </w:r>
      <w:r>
        <w:rPr>
          <w:color w:val="000000" w:themeColor="text1"/>
          <w:sz w:val="24"/>
          <w:szCs w:val="24"/>
          <w14:textFill>
            <w14:solidFill>
              <w14:schemeClr w14:val="tx1"/>
            </w14:solidFill>
          </w14:textFill>
        </w:rPr>
        <w:t>.1</w:t>
      </w:r>
      <w:r>
        <w:rPr>
          <w:rFonts w:hint="eastAsia"/>
          <w:color w:val="000000" w:themeColor="text1"/>
          <w:sz w:val="24"/>
          <w:szCs w:val="24"/>
          <w14:textFill>
            <w14:solidFill>
              <w14:schemeClr w14:val="tx1"/>
            </w14:solidFill>
          </w14:textFill>
        </w:rPr>
        <w:t>，能通过压力测试，项目收益仍然可以覆盖债券还本付息，因而项目具备一定的抗风险能力。</w:t>
      </w:r>
    </w:p>
    <w:p w14:paraId="0807CF7B">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四、事前绩效评价</w:t>
      </w:r>
    </w:p>
    <w:p w14:paraId="6EDEE46C">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1、项目实施的必要性、公益性、收益性</w:t>
      </w:r>
    </w:p>
    <w:p w14:paraId="0A06534A">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（1）必要性</w:t>
      </w:r>
    </w:p>
    <w:p w14:paraId="2F14FB5F">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1）项目建设是大力提高人民群众的居住水平，是全面建设小康社会和实现现代化的重要方面与重要内容之一。</w:t>
      </w:r>
    </w:p>
    <w:p w14:paraId="4A1D763D">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04B997FB">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0B3BA397">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（2）公益性</w:t>
      </w:r>
    </w:p>
    <w:p w14:paraId="087EAF59">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7098F0E9">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（3）收益性</w:t>
      </w:r>
    </w:p>
    <w:p w14:paraId="645F8431">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本项目实施后，可产生运营收益，根据测算收入约为300,171.24万元，可用于偿债的项目收益为33,663.78万元，满足资金平衡需求。</w:t>
      </w:r>
    </w:p>
    <w:p w14:paraId="6BED8F36">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2、项目建设投资合规性与项目成熟度</w:t>
      </w:r>
    </w:p>
    <w:p w14:paraId="353355E5">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项目于2019年6月28日已获得南昌县行政审批局《关于南昌县霞山村安置房住宅小区一期工程（棚户区改造）项目可行性研究报告的批复》（南行审投资投字【2019】235号）。</w:t>
      </w:r>
    </w:p>
    <w:p w14:paraId="2A2C3413">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项目建设有期充分的必要性，前期手续完善，项目资金为部分项目单位自筹，部分申请政府专项债券资金。项目成熟度、可靠度较高。</w:t>
      </w:r>
    </w:p>
    <w:p w14:paraId="1E102778">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项目资金来源和可到位性</w:t>
      </w:r>
    </w:p>
    <w:p w14:paraId="590A47FC">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本项目资金筹措方式包括自筹资金及政府债券， 自筹资金49942.81万元，占总投资比例54.05%；发行专项债券22950.00万元，期限7年，占总投资的49.95%。</w:t>
      </w:r>
    </w:p>
    <w:p w14:paraId="79CB0289">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4、项目收入、成本、收益预测合理性</w:t>
      </w:r>
    </w:p>
    <w:p w14:paraId="3B4FE09E">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根据项目可行性研究报告并结合实际情况进行测算，本项目债券存续期内收入包含土地出让收入万元。</w:t>
      </w:r>
    </w:p>
    <w:p w14:paraId="43A951B4">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债券存续期收益已由业主单位盖章确认，预测合理性较高。</w:t>
      </w:r>
    </w:p>
    <w:p w14:paraId="125A5450">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5、债券资金需求合理性</w:t>
      </w:r>
    </w:p>
    <w:p w14:paraId="7643086F">
      <w:pPr>
        <w:pStyle w:val="20"/>
        <w:keepNext/>
        <w:spacing w:before="0" w:beforeAutospacing="0" w:after="0" w:afterAutospacing="0" w:line="360" w:lineRule="exact"/>
        <w:ind w:firstLine="360" w:firstLineChars="200"/>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单位：万元</w:t>
      </w:r>
    </w:p>
    <w:tbl>
      <w:tblPr>
        <w:tblStyle w:val="24"/>
        <w:tblW w:w="5000" w:type="pct"/>
        <w:tblInd w:w="0" w:type="dxa"/>
        <w:tblLayout w:type="autofit"/>
        <w:tblCellMar>
          <w:top w:w="0" w:type="dxa"/>
          <w:left w:w="108" w:type="dxa"/>
          <w:bottom w:w="0" w:type="dxa"/>
          <w:right w:w="108" w:type="dxa"/>
        </w:tblCellMar>
      </w:tblPr>
      <w:tblGrid>
        <w:gridCol w:w="627"/>
        <w:gridCol w:w="1211"/>
        <w:gridCol w:w="1481"/>
        <w:gridCol w:w="1110"/>
        <w:gridCol w:w="1134"/>
        <w:gridCol w:w="1299"/>
        <w:gridCol w:w="1163"/>
        <w:gridCol w:w="1164"/>
      </w:tblGrid>
      <w:tr w14:paraId="6ED5627C">
        <w:trPr>
          <w:trHeight w:val="480" w:hRule="atLeast"/>
        </w:trPr>
        <w:tc>
          <w:tcPr>
            <w:tcW w:w="34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DD3229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F9B26C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8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800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194" w:type="pct"/>
            <w:gridSpan w:val="5"/>
            <w:tcBorders>
              <w:top w:val="single" w:color="auto" w:sz="4" w:space="0"/>
              <w:left w:val="nil"/>
              <w:bottom w:val="single" w:color="auto" w:sz="4" w:space="0"/>
              <w:right w:val="single" w:color="auto" w:sz="4" w:space="0"/>
            </w:tcBorders>
            <w:vAlign w:val="center"/>
          </w:tcPr>
          <w:p w14:paraId="46E9B32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1AD40E9F">
        <w:trPr>
          <w:trHeight w:val="684" w:hRule="atLeast"/>
        </w:trPr>
        <w:tc>
          <w:tcPr>
            <w:tcW w:w="341" w:type="pct"/>
            <w:vMerge w:val="continue"/>
            <w:tcBorders>
              <w:top w:val="single" w:color="auto" w:sz="4" w:space="0"/>
              <w:left w:val="single" w:color="auto" w:sz="4" w:space="0"/>
              <w:bottom w:val="single" w:color="auto" w:sz="4" w:space="0"/>
              <w:right w:val="single" w:color="auto" w:sz="4" w:space="0"/>
            </w:tcBorders>
            <w:vAlign w:val="center"/>
          </w:tcPr>
          <w:p w14:paraId="3FB23673">
            <w:pPr>
              <w:widowControl/>
              <w:jc w:val="center"/>
              <w:rPr>
                <w:rFonts w:ascii="宋体" w:hAnsi="宋体" w:cs="宋体"/>
                <w:b/>
                <w:bCs/>
                <w:color w:val="000000"/>
                <w:kern w:val="0"/>
                <w:sz w:val="18"/>
                <w:szCs w:val="18"/>
              </w:rPr>
            </w:pPr>
          </w:p>
        </w:tc>
        <w:tc>
          <w:tcPr>
            <w:tcW w:w="659" w:type="pct"/>
            <w:vMerge w:val="continue"/>
            <w:tcBorders>
              <w:top w:val="single" w:color="auto" w:sz="4" w:space="0"/>
              <w:left w:val="single" w:color="auto" w:sz="4" w:space="0"/>
              <w:bottom w:val="single" w:color="auto" w:sz="4" w:space="0"/>
              <w:right w:val="single" w:color="auto" w:sz="4" w:space="0"/>
            </w:tcBorders>
            <w:vAlign w:val="center"/>
          </w:tcPr>
          <w:p w14:paraId="2254C072">
            <w:pPr>
              <w:widowControl/>
              <w:jc w:val="center"/>
              <w:rPr>
                <w:rFonts w:ascii="宋体" w:hAnsi="宋体" w:cs="宋体"/>
                <w:b/>
                <w:bCs/>
                <w:color w:val="000000"/>
                <w:kern w:val="0"/>
                <w:sz w:val="18"/>
                <w:szCs w:val="18"/>
              </w:rPr>
            </w:pPr>
          </w:p>
        </w:tc>
        <w:tc>
          <w:tcPr>
            <w:tcW w:w="806" w:type="pct"/>
            <w:vMerge w:val="continue"/>
            <w:tcBorders>
              <w:top w:val="single" w:color="auto" w:sz="4" w:space="0"/>
              <w:left w:val="single" w:color="auto" w:sz="4" w:space="0"/>
              <w:bottom w:val="single" w:color="auto" w:sz="4" w:space="0"/>
              <w:right w:val="single" w:color="auto" w:sz="4" w:space="0"/>
            </w:tcBorders>
            <w:vAlign w:val="center"/>
          </w:tcPr>
          <w:p w14:paraId="2DEBD67F">
            <w:pPr>
              <w:widowControl/>
              <w:jc w:val="center"/>
              <w:rPr>
                <w:rFonts w:ascii="宋体" w:hAnsi="宋体" w:cs="宋体"/>
                <w:b/>
                <w:bCs/>
                <w:color w:val="000000"/>
                <w:kern w:val="0"/>
                <w:sz w:val="18"/>
                <w:szCs w:val="18"/>
              </w:rPr>
            </w:pPr>
          </w:p>
        </w:tc>
        <w:tc>
          <w:tcPr>
            <w:tcW w:w="604" w:type="pct"/>
            <w:tcBorders>
              <w:top w:val="single" w:color="auto" w:sz="4" w:space="0"/>
              <w:left w:val="nil"/>
              <w:bottom w:val="single" w:color="auto" w:sz="4" w:space="0"/>
              <w:right w:val="single" w:color="auto" w:sz="4" w:space="0"/>
            </w:tcBorders>
            <w:shd w:val="clear" w:color="auto" w:fill="auto"/>
            <w:vAlign w:val="center"/>
          </w:tcPr>
          <w:p w14:paraId="14CD40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17" w:type="pct"/>
            <w:tcBorders>
              <w:top w:val="single" w:color="auto" w:sz="4" w:space="0"/>
              <w:left w:val="single" w:color="auto" w:sz="4" w:space="0"/>
              <w:bottom w:val="single" w:color="auto" w:sz="4" w:space="0"/>
              <w:right w:val="single" w:color="auto" w:sz="4" w:space="0"/>
            </w:tcBorders>
            <w:shd w:val="clear" w:color="auto" w:fill="auto"/>
            <w:vAlign w:val="center"/>
          </w:tcPr>
          <w:p w14:paraId="76AA1D8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2023年发行</w:t>
            </w:r>
          </w:p>
        </w:tc>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14:paraId="3A53B15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年6月调整发行</w:t>
            </w:r>
          </w:p>
        </w:tc>
        <w:tc>
          <w:tcPr>
            <w:tcW w:w="633" w:type="pct"/>
            <w:tcBorders>
              <w:top w:val="single" w:color="auto" w:sz="4" w:space="0"/>
              <w:left w:val="single" w:color="auto" w:sz="4" w:space="0"/>
              <w:bottom w:val="single" w:color="auto" w:sz="4" w:space="0"/>
              <w:right w:val="single" w:color="auto" w:sz="4" w:space="0"/>
            </w:tcBorders>
          </w:tcPr>
          <w:p w14:paraId="505C4F3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年本期发行</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14:paraId="2030A08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2024年后续发行</w:t>
            </w:r>
          </w:p>
        </w:tc>
      </w:tr>
      <w:tr w14:paraId="4EB00886">
        <w:trPr>
          <w:trHeight w:val="566" w:hRule="atLeast"/>
        </w:trPr>
        <w:tc>
          <w:tcPr>
            <w:tcW w:w="341" w:type="pct"/>
            <w:tcBorders>
              <w:top w:val="nil"/>
              <w:left w:val="single" w:color="auto" w:sz="4" w:space="0"/>
              <w:bottom w:val="single" w:color="auto" w:sz="4" w:space="0"/>
              <w:right w:val="single" w:color="auto" w:sz="4" w:space="0"/>
            </w:tcBorders>
            <w:shd w:val="clear" w:color="auto" w:fill="auto"/>
            <w:noWrap/>
            <w:vAlign w:val="center"/>
          </w:tcPr>
          <w:p w14:paraId="5DEEE2AE">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9" w:type="pct"/>
            <w:tcBorders>
              <w:top w:val="nil"/>
              <w:left w:val="nil"/>
              <w:bottom w:val="single" w:color="auto" w:sz="4" w:space="0"/>
              <w:right w:val="single" w:color="auto" w:sz="4" w:space="0"/>
            </w:tcBorders>
            <w:shd w:val="clear" w:color="auto" w:fill="auto"/>
            <w:noWrap/>
            <w:vAlign w:val="center"/>
          </w:tcPr>
          <w:p w14:paraId="561B4B3B">
            <w:pPr>
              <w:widowControl/>
              <w:jc w:val="center"/>
              <w:rPr>
                <w:rFonts w:ascii="宋体" w:hAnsi="宋体" w:cs="宋体"/>
                <w:color w:val="000000"/>
                <w:kern w:val="0"/>
                <w:sz w:val="18"/>
                <w:szCs w:val="18"/>
              </w:rPr>
            </w:pPr>
            <w:r>
              <w:rPr>
                <w:rFonts w:ascii="宋体" w:hAnsi="宋体" w:cs="宋体"/>
                <w:color w:val="000000"/>
                <w:kern w:val="0"/>
                <w:sz w:val="18"/>
                <w:szCs w:val="18"/>
              </w:rPr>
              <w:t>32,601.34</w:t>
            </w:r>
          </w:p>
        </w:tc>
        <w:tc>
          <w:tcPr>
            <w:tcW w:w="806" w:type="pct"/>
            <w:tcBorders>
              <w:top w:val="nil"/>
              <w:left w:val="nil"/>
              <w:bottom w:val="single" w:color="auto" w:sz="4" w:space="0"/>
              <w:right w:val="single" w:color="auto" w:sz="4" w:space="0"/>
            </w:tcBorders>
            <w:shd w:val="clear" w:color="auto" w:fill="auto"/>
            <w:noWrap/>
            <w:vAlign w:val="center"/>
          </w:tcPr>
          <w:p w14:paraId="04EC0CEF">
            <w:pPr>
              <w:widowControl/>
              <w:jc w:val="center"/>
              <w:rPr>
                <w:rFonts w:ascii="宋体" w:hAnsi="宋体" w:cs="宋体"/>
                <w:color w:val="000000"/>
                <w:kern w:val="0"/>
                <w:sz w:val="18"/>
                <w:szCs w:val="18"/>
              </w:rPr>
            </w:pPr>
            <w:r>
              <w:rPr>
                <w:rFonts w:ascii="宋体" w:hAnsi="宋体" w:cs="宋体"/>
                <w:color w:val="000000"/>
                <w:kern w:val="0"/>
                <w:sz w:val="18"/>
                <w:szCs w:val="18"/>
              </w:rPr>
              <w:t>9,651.34</w:t>
            </w:r>
          </w:p>
        </w:tc>
        <w:tc>
          <w:tcPr>
            <w:tcW w:w="604" w:type="pct"/>
            <w:tcBorders>
              <w:top w:val="single" w:color="auto" w:sz="4" w:space="0"/>
              <w:left w:val="nil"/>
              <w:bottom w:val="single" w:color="auto" w:sz="4" w:space="0"/>
              <w:right w:val="single" w:color="auto" w:sz="4" w:space="0"/>
            </w:tcBorders>
            <w:shd w:val="clear" w:color="auto" w:fill="auto"/>
            <w:noWrap/>
            <w:vAlign w:val="center"/>
          </w:tcPr>
          <w:p w14:paraId="3E68685D">
            <w:pPr>
              <w:widowControl/>
              <w:jc w:val="center"/>
              <w:rPr>
                <w:rFonts w:ascii="宋体" w:hAnsi="宋体" w:cs="宋体"/>
                <w:color w:val="000000"/>
                <w:kern w:val="0"/>
                <w:sz w:val="18"/>
                <w:szCs w:val="18"/>
              </w:rPr>
            </w:pPr>
            <w:r>
              <w:rPr>
                <w:rFonts w:hint="eastAsia" w:ascii="宋体" w:hAnsi="宋体" w:cs="宋体"/>
                <w:color w:val="000000"/>
                <w:kern w:val="0"/>
                <w:sz w:val="18"/>
                <w:szCs w:val="18"/>
              </w:rPr>
              <w:t>22,950.00</w:t>
            </w:r>
          </w:p>
        </w:tc>
        <w:tc>
          <w:tcPr>
            <w:tcW w:w="61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17D31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70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F5DD22">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33" w:type="pct"/>
            <w:tcBorders>
              <w:top w:val="single" w:color="auto" w:sz="4" w:space="0"/>
              <w:left w:val="single" w:color="auto" w:sz="4" w:space="0"/>
              <w:bottom w:val="single" w:color="auto" w:sz="4" w:space="0"/>
              <w:right w:val="single" w:color="auto" w:sz="4" w:space="0"/>
            </w:tcBorders>
            <w:vAlign w:val="center"/>
          </w:tcPr>
          <w:p w14:paraId="2B3C7955">
            <w:pPr>
              <w:widowControl/>
              <w:jc w:val="center"/>
              <w:rPr>
                <w:rFonts w:ascii="宋体" w:hAnsi="宋体" w:cs="宋体"/>
                <w:color w:val="000000"/>
                <w:kern w:val="0"/>
                <w:sz w:val="18"/>
                <w:szCs w:val="18"/>
              </w:rPr>
            </w:pPr>
            <w:r>
              <w:rPr>
                <w:rFonts w:ascii="宋体" w:hAnsi="宋体" w:cs="宋体"/>
                <w:color w:val="000000"/>
                <w:kern w:val="0"/>
                <w:sz w:val="18"/>
                <w:szCs w:val="18"/>
              </w:rPr>
              <w:t>2,700.00</w:t>
            </w:r>
          </w:p>
        </w:tc>
        <w:tc>
          <w:tcPr>
            <w:tcW w:w="63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402500">
            <w:pPr>
              <w:widowControl/>
              <w:jc w:val="center"/>
              <w:rPr>
                <w:rFonts w:ascii="宋体" w:hAnsi="宋体" w:cs="宋体"/>
                <w:color w:val="000000"/>
                <w:kern w:val="0"/>
                <w:sz w:val="18"/>
                <w:szCs w:val="18"/>
              </w:rPr>
            </w:pPr>
            <w:r>
              <w:rPr>
                <w:rFonts w:ascii="宋体" w:hAnsi="宋体" w:cs="宋体"/>
                <w:color w:val="000000"/>
                <w:kern w:val="0"/>
                <w:sz w:val="18"/>
                <w:szCs w:val="18"/>
              </w:rPr>
              <w:t>12,250.00</w:t>
            </w:r>
          </w:p>
        </w:tc>
      </w:tr>
    </w:tbl>
    <w:p w14:paraId="08907745">
      <w:pPr>
        <w:pStyle w:val="20"/>
        <w:snapToGrid w:val="0"/>
        <w:spacing w:before="0" w:beforeAutospacing="0" w:afterLines="50" w:afterAutospacing="0" w:line="360" w:lineRule="auto"/>
        <w:ind w:firstLine="480" w:firstLineChars="200"/>
        <w:jc w:val="both"/>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按照发行方案及筹资计划，本次拟发行项目的总投资为</w:t>
      </w:r>
      <w:r>
        <w:rPr>
          <w:color w:val="000000" w:themeColor="text1"/>
          <w:sz w:val="24"/>
          <w:szCs w:val="24"/>
          <w14:textFill>
            <w14:solidFill>
              <w14:schemeClr w14:val="tx1"/>
            </w14:solidFill>
          </w14:textFill>
        </w:rPr>
        <w:t>32,601.34</w:t>
      </w:r>
      <w:r>
        <w:rPr>
          <w:rFonts w:hint="eastAsia"/>
          <w:color w:val="000000" w:themeColor="text1"/>
          <w:sz w:val="24"/>
          <w:szCs w:val="24"/>
          <w14:textFill>
            <w14:solidFill>
              <w14:schemeClr w14:val="tx1"/>
            </w14:solidFill>
          </w14:textFill>
        </w:rPr>
        <w:t>万元，通过自筹资金、申请专项债券、其他合规性融资等途径解决，其一，自筹资金</w:t>
      </w:r>
      <w:r>
        <w:rPr>
          <w:color w:val="000000" w:themeColor="text1"/>
          <w:sz w:val="24"/>
          <w:szCs w:val="24"/>
          <w14:textFill>
            <w14:solidFill>
              <w14:schemeClr w14:val="tx1"/>
            </w14:solidFill>
          </w14:textFill>
        </w:rPr>
        <w:t>9,651.34</w:t>
      </w:r>
      <w:r>
        <w:rPr>
          <w:rFonts w:hint="eastAsia"/>
          <w:color w:val="000000" w:themeColor="text1"/>
          <w:sz w:val="24"/>
          <w:szCs w:val="24"/>
          <w14:textFill>
            <w14:solidFill>
              <w14:schemeClr w14:val="tx1"/>
            </w14:solidFill>
          </w14:textFill>
        </w:rPr>
        <w:t>万元。其二，拟发行专项债券</w:t>
      </w:r>
      <w:r>
        <w:rPr>
          <w:color w:val="000000" w:themeColor="text1"/>
          <w:sz w:val="24"/>
          <w:szCs w:val="24"/>
          <w14:textFill>
            <w14:solidFill>
              <w14:schemeClr w14:val="tx1"/>
            </w14:solidFill>
          </w14:textFill>
        </w:rPr>
        <w:t>22,950.00</w:t>
      </w:r>
      <w:r>
        <w:rPr>
          <w:rFonts w:hint="eastAsia"/>
          <w:color w:val="000000" w:themeColor="text1"/>
          <w:sz w:val="24"/>
          <w:szCs w:val="24"/>
          <w14:textFill>
            <w14:solidFill>
              <w14:schemeClr w14:val="tx1"/>
            </w14:solidFill>
          </w14:textFill>
        </w:rPr>
        <w:t>万元，其中，2</w:t>
      </w:r>
      <w:r>
        <w:rPr>
          <w:color w:val="000000" w:themeColor="text1"/>
          <w:sz w:val="24"/>
          <w:szCs w:val="24"/>
          <w14:textFill>
            <w14:solidFill>
              <w14:schemeClr w14:val="tx1"/>
            </w14:solidFill>
          </w14:textFill>
        </w:rPr>
        <w:t>023</w:t>
      </w:r>
      <w:r>
        <w:rPr>
          <w:rFonts w:hint="eastAsia"/>
          <w:color w:val="000000" w:themeColor="text1"/>
          <w:sz w:val="24"/>
          <w:szCs w:val="24"/>
          <w14:textFill>
            <w14:solidFill>
              <w14:schemeClr w14:val="tx1"/>
            </w14:solidFill>
          </w14:textFill>
        </w:rPr>
        <w:t>年已发行</w:t>
      </w:r>
      <w:r>
        <w:rPr>
          <w:color w:val="000000" w:themeColor="text1"/>
          <w:sz w:val="24"/>
          <w:szCs w:val="24"/>
          <w14:textFill>
            <w14:solidFill>
              <w14:schemeClr w14:val="tx1"/>
            </w14:solidFill>
          </w14:textFill>
        </w:rPr>
        <w:t>4</w:t>
      </w:r>
      <w:r>
        <w:rPr>
          <w:rFonts w:hint="eastAsia"/>
          <w:color w:val="000000" w:themeColor="text1"/>
          <w:sz w:val="24"/>
          <w:szCs w:val="24"/>
          <w14:textFill>
            <w14:solidFill>
              <w14:schemeClr w14:val="tx1"/>
            </w14:solidFill>
          </w14:textFill>
        </w:rPr>
        <w:t>,000.00万元，期限为</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年；</w:t>
      </w:r>
      <w:r>
        <w:rPr>
          <w:color w:val="000000" w:themeColor="text1"/>
          <w:sz w:val="24"/>
          <w:szCs w:val="24"/>
          <w14:textFill>
            <w14:solidFill>
              <w14:schemeClr w14:val="tx1"/>
            </w14:solidFill>
          </w14:textFill>
        </w:rPr>
        <w:t>4,000.00</w:t>
      </w:r>
      <w:r>
        <w:rPr>
          <w:rFonts w:hint="eastAsia"/>
          <w:color w:val="000000" w:themeColor="text1"/>
          <w:sz w:val="24"/>
          <w:szCs w:val="24"/>
          <w14:textFill>
            <w14:solidFill>
              <w14:schemeClr w14:val="tx1"/>
            </w14:solidFill>
          </w14:textFill>
        </w:rPr>
        <w:t>万元于2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年6月由2022年江西省高质量发展补短板专项债券（十二期）——2022年江西省政府专项债券（二十期）调整至本项目，发行期限3</w:t>
      </w:r>
      <w:r>
        <w:rPr>
          <w:color w:val="000000" w:themeColor="text1"/>
          <w:sz w:val="24"/>
          <w:szCs w:val="24"/>
          <w14:textFill>
            <w14:solidFill>
              <w14:schemeClr w14:val="tx1"/>
            </w14:solidFill>
          </w14:textFill>
        </w:rPr>
        <w:t>0</w:t>
      </w:r>
      <w:r>
        <w:rPr>
          <w:rFonts w:hint="eastAsia"/>
          <w:color w:val="000000" w:themeColor="text1"/>
          <w:sz w:val="24"/>
          <w:szCs w:val="24"/>
          <w14:textFill>
            <w14:solidFill>
              <w14:schemeClr w14:val="tx1"/>
            </w14:solidFill>
          </w14:textFill>
        </w:rPr>
        <w:t>年；2</w:t>
      </w:r>
      <w:r>
        <w:rPr>
          <w:color w:val="000000" w:themeColor="text1"/>
          <w:sz w:val="24"/>
          <w:szCs w:val="24"/>
          <w14:textFill>
            <w14:solidFill>
              <w14:schemeClr w14:val="tx1"/>
            </w14:solidFill>
          </w14:textFill>
        </w:rPr>
        <w:t>024</w:t>
      </w:r>
      <w:r>
        <w:rPr>
          <w:rFonts w:hint="eastAsia"/>
          <w:color w:val="000000" w:themeColor="text1"/>
          <w:sz w:val="24"/>
          <w:szCs w:val="24"/>
          <w14:textFill>
            <w14:solidFill>
              <w14:schemeClr w14:val="tx1"/>
            </w14:solidFill>
          </w14:textFill>
        </w:rPr>
        <w:t>年计划新增发行</w:t>
      </w:r>
      <w:r>
        <w:rPr>
          <w:color w:val="000000" w:themeColor="text1"/>
          <w:sz w:val="24"/>
          <w:szCs w:val="24"/>
          <w14:textFill>
            <w14:solidFill>
              <w14:schemeClr w14:val="tx1"/>
            </w14:solidFill>
          </w14:textFill>
        </w:rPr>
        <w:t>14,950.00</w:t>
      </w:r>
      <w:r>
        <w:rPr>
          <w:rFonts w:hint="eastAsia"/>
          <w:color w:val="000000" w:themeColor="text1"/>
          <w:sz w:val="24"/>
          <w:szCs w:val="24"/>
          <w14:textFill>
            <w14:solidFill>
              <w14:schemeClr w14:val="tx1"/>
            </w14:solidFill>
          </w14:textFill>
        </w:rPr>
        <w:t>万元，期限为7年，其中本期申请发行</w:t>
      </w:r>
      <w:r>
        <w:rPr>
          <w:color w:val="000000" w:themeColor="text1"/>
          <w:sz w:val="24"/>
          <w:szCs w:val="24"/>
          <w14:textFill>
            <w14:solidFill>
              <w14:schemeClr w14:val="tx1"/>
            </w14:solidFill>
          </w14:textFill>
        </w:rPr>
        <w:t>2,700.00</w:t>
      </w:r>
      <w:r>
        <w:rPr>
          <w:rFonts w:hint="eastAsia"/>
          <w:color w:val="000000" w:themeColor="text1"/>
          <w:sz w:val="24"/>
          <w:szCs w:val="24"/>
          <w14:textFill>
            <w14:solidFill>
              <w14:schemeClr w14:val="tx1"/>
            </w14:solidFill>
          </w14:textFill>
        </w:rPr>
        <w:t>万元，后续计划发行</w:t>
      </w:r>
      <w:r>
        <w:rPr>
          <w:color w:val="000000" w:themeColor="text1"/>
          <w:sz w:val="24"/>
          <w:szCs w:val="24"/>
          <w14:textFill>
            <w14:solidFill>
              <w14:schemeClr w14:val="tx1"/>
            </w14:solidFill>
          </w14:textFill>
        </w:rPr>
        <w:t>12,250.00</w:t>
      </w:r>
      <w:r>
        <w:rPr>
          <w:rFonts w:hint="eastAsia"/>
          <w:color w:val="000000" w:themeColor="text1"/>
          <w:sz w:val="24"/>
          <w:szCs w:val="24"/>
          <w14:textFill>
            <w14:solidFill>
              <w14:schemeClr w14:val="tx1"/>
            </w14:solidFill>
          </w14:textFill>
        </w:rPr>
        <w:t>万元。</w:t>
      </w:r>
    </w:p>
    <w:p w14:paraId="7AD8EFF7">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6、项目偿债计划可行性和偿债风险</w:t>
      </w:r>
    </w:p>
    <w:p w14:paraId="51326407">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本项目2024年本期拟申请发行7年期专项债券2700.00万元；每半年付息一次，到期一次偿还本金。其均以资本金偿还，可保障建设期利息可靠偿还。</w:t>
      </w:r>
    </w:p>
    <w:p w14:paraId="09F521D8">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项目自2025年可实现收益，可满足后续债券各年利息偿还，结余资金转账管理，用于到期一次还本，偿债计划可行。</w:t>
      </w:r>
    </w:p>
    <w:p w14:paraId="09C1F6B5">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7、绩效目标合理性</w:t>
      </w:r>
    </w:p>
    <w:p w14:paraId="2120A4E9">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307579CF">
      <w:pPr>
        <w:adjustRightInd w:val="0"/>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其他需要纳入其他绩效评估的事项</w:t>
      </w:r>
    </w:p>
    <w:p w14:paraId="6831E4B9">
      <w:pPr>
        <w:widowControl/>
        <w:adjustRightInd w:val="0"/>
        <w:spacing w:line="360" w:lineRule="auto"/>
        <w:ind w:firstLine="560" w:firstLineChars="200"/>
        <w:jc w:val="left"/>
        <w:outlineLvl w:val="0"/>
        <w:rPr>
          <w:rFonts w:hint="eastAsia" w:ascii="黑体" w:hAnsi="黑体" w:eastAsia="黑体" w:cs="黑体"/>
          <w:sz w:val="28"/>
          <w:szCs w:val="28"/>
        </w:rPr>
      </w:pPr>
      <w:r>
        <w:rPr>
          <w:rFonts w:hint="eastAsia" w:ascii="黑体" w:hAnsi="黑体" w:eastAsia="黑体" w:cs="黑体"/>
          <w:sz w:val="28"/>
          <w:szCs w:val="28"/>
        </w:rPr>
        <w:t>五、项目风险分析</w:t>
      </w:r>
    </w:p>
    <w:p w14:paraId="06B1CD1A">
      <w:pPr>
        <w:adjustRightInd w:val="0"/>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1、投资估算风险</w:t>
      </w:r>
    </w:p>
    <w:p w14:paraId="55ED5C71">
      <w:pPr>
        <w:adjustRightInd w:val="0"/>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71A4A087">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2、工程风险</w:t>
      </w:r>
    </w:p>
    <w:p w14:paraId="299382D2">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62CC113B">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3、融资风险</w:t>
      </w:r>
    </w:p>
    <w:p w14:paraId="5FCFAB8D">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237B236C">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4、财务风险</w:t>
      </w:r>
    </w:p>
    <w:p w14:paraId="52DDCA82">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2292E280">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5、自然风险</w:t>
      </w:r>
    </w:p>
    <w:p w14:paraId="01EDEE0D">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本项目在经营期间遇到人力不可抗拒的自然灾害是完全可能的，为了降低此间风险，要根据项目的特点制定的相应的措施，以便使不可抗拒自然灾害的风险降到最低。</w:t>
      </w:r>
    </w:p>
    <w:p w14:paraId="61E7F759">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六、专项债发行方案</w:t>
      </w:r>
    </w:p>
    <w:p w14:paraId="0BD020FB">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1、发行主体资格:根据《关于试点发展项目收益与融资自求平衡的地方政府专项债券品种的通知》（财预[2017]89号）之规定，地方政府专项债券需由江西省人民政府作为发行主体。本项目的实施机构为南昌县住建和城乡建设局，是依法批准设立的机关单位，具备机关单位法人资格，具有相应的民事权利能力和民事行为能力；项目业主为南昌县城市建设投资发展有限公司,是依法批准设立的企业法人，具备作为项目业主的资格。</w:t>
      </w:r>
    </w:p>
    <w:p w14:paraId="59696D87">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2、发行计划:南昌县霞山村安置房住宅小区一期工程（棚户区改造）项目申请发行地方政府专项债券2700.00万元，期限7年，专项债券融资成本按3.9%估算。</w:t>
      </w:r>
    </w:p>
    <w:p w14:paraId="423FC3D2">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3、发行场所:通过全国银行间债券市场、证券交易所债券市场发行。将来条件具备时也可在银行柜台债券市场发行。</w:t>
      </w:r>
    </w:p>
    <w:p w14:paraId="3A652C6E">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4、时间安排:计划发行时间为2024年09月，以后年度结合当年发债计划安排。</w:t>
      </w:r>
    </w:p>
    <w:p w14:paraId="3802C2A4">
      <w:pPr>
        <w:spacing w:line="360" w:lineRule="auto"/>
        <w:ind w:left="-141" w:leftChars="-67" w:right="-99" w:rightChars="-47" w:firstLine="376" w:firstLineChars="157"/>
        <w:rPr>
          <w:rFonts w:ascii="宋体" w:hAnsi="宋体" w:eastAsia="宋体" w:cs="宋体"/>
          <w:bCs/>
          <w:sz w:val="24"/>
          <w:szCs w:val="24"/>
        </w:rPr>
      </w:pPr>
      <w:r>
        <w:rPr>
          <w:rFonts w:hint="eastAsia" w:ascii="宋体" w:hAnsi="宋体" w:eastAsia="宋体" w:cs="宋体"/>
          <w:bCs/>
          <w:sz w:val="24"/>
          <w:szCs w:val="24"/>
        </w:rPr>
        <w:t>5、信息披露：在专项债发行日前5个工作日通过</w:t>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"https://www.sogou.com/link?url=DSOYnZeCC_pzE53eXNhcqFoov_MuMQYQreaVHN88tHY." \t "https://www.sogou.com/_blank"</w:instrText>
      </w:r>
      <w:r>
        <w:rPr>
          <w:rFonts w:hint="eastAsia" w:ascii="宋体" w:hAnsi="宋体" w:eastAsia="宋体" w:cs="宋体"/>
          <w:bCs/>
          <w:sz w:val="24"/>
          <w:szCs w:val="24"/>
        </w:rPr>
        <w:fldChar w:fldCharType="separate"/>
      </w:r>
      <w:r>
        <w:rPr>
          <w:rFonts w:hint="eastAsia" w:ascii="宋体" w:hAnsi="宋体" w:eastAsia="宋体" w:cs="宋体"/>
          <w:bCs/>
          <w:sz w:val="24"/>
          <w:szCs w:val="24"/>
        </w:rPr>
        <w:t>中国地方政府债券信息公开平台</w:t>
      </w:r>
      <w:r>
        <w:rPr>
          <w:rFonts w:hint="eastAsia" w:ascii="宋体" w:hAnsi="宋体" w:eastAsia="宋体" w:cs="宋体"/>
          <w:bCs/>
          <w:sz w:val="24"/>
          <w:szCs w:val="24"/>
        </w:rPr>
        <w:fldChar w:fldCharType="end"/>
      </w:r>
      <w:r>
        <w:rPr>
          <w:rFonts w:hint="eastAsia" w:ascii="宋体" w:hAnsi="宋体" w:eastAsia="宋体" w:cs="宋体"/>
          <w:bCs/>
          <w:sz w:val="24"/>
          <w:szCs w:val="24"/>
        </w:rPr>
        <w:t>、江西省财政厅官方网站和中国债券信息网-中央结算公司官方网站披露（http：//www.chinabond.com.cn/）详细披露债券发行全套信息披露文件。</w:t>
      </w:r>
    </w:p>
    <w:p w14:paraId="1FA29767">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总体而言，南昌县霞山村安置房住宅小区一期工程（棚户区改造）项目通过发行专项债可以降低项目融资成本，是现阶段解决建设资金问题的推荐方案。且基于财政部对地方政府发行项目收益与融资自求平衡专项债券的要求，并根据项目重大建设意义，南昌县霞山村安置房住宅小区一期工程（棚户区改造）项目可以通过申请专项债券的方式进行融资以完成资金筹措。</w:t>
      </w:r>
    </w:p>
    <w:p w14:paraId="5390A289">
      <w:pPr>
        <w:rPr>
          <w:rFonts w:hint="eastAsia" w:ascii="宋体" w:hAnsi="宋体" w:eastAsia="宋体" w:cs="宋体"/>
          <w:bCs/>
          <w:sz w:val="24"/>
          <w:szCs w:val="24"/>
        </w:rPr>
      </w:pPr>
      <w:r>
        <w:rPr>
          <w:rFonts w:hint="eastAsia" w:ascii="宋体" w:hAnsi="宋体" w:eastAsia="宋体" w:cs="宋体"/>
          <w:bCs/>
          <w:sz w:val="24"/>
          <w:szCs w:val="24"/>
        </w:rPr>
        <w:br w:type="page"/>
      </w:r>
    </w:p>
    <w:p w14:paraId="38D549AF">
      <w:pPr>
        <w:spacing w:line="360" w:lineRule="auto"/>
        <w:ind w:left="-141" w:leftChars="-67" w:right="-99" w:rightChars="-47" w:firstLine="376" w:firstLineChars="157"/>
        <w:rPr>
          <w:rFonts w:hint="eastAsia" w:ascii="宋体" w:hAnsi="宋体" w:eastAsia="宋体" w:cs="宋体"/>
          <w:bCs/>
          <w:sz w:val="24"/>
          <w:szCs w:val="24"/>
        </w:rPr>
      </w:pPr>
    </w:p>
    <w:p w14:paraId="22C0D7BD">
      <w:pPr>
        <w:spacing w:line="360" w:lineRule="auto"/>
        <w:jc w:val="center"/>
        <w:outlineLvl w:val="0"/>
        <w:rPr>
          <w:rFonts w:hint="eastAsia" w:ascii="仿宋" w:hAnsi="仿宋" w:eastAsia="楷体"/>
          <w:b/>
          <w:sz w:val="44"/>
          <w:szCs w:val="44"/>
          <w:lang w:eastAsia="zh-CN"/>
        </w:rPr>
      </w:pPr>
    </w:p>
    <w:p w14:paraId="37059FB3">
      <w:pPr>
        <w:spacing w:line="360" w:lineRule="auto"/>
        <w:jc w:val="center"/>
        <w:outlineLvl w:val="0"/>
        <w:rPr>
          <w:rFonts w:hint="eastAsia" w:ascii="仿宋" w:hAnsi="仿宋" w:eastAsia="楷体"/>
          <w:b/>
          <w:sz w:val="44"/>
          <w:szCs w:val="44"/>
          <w:lang w:eastAsia="zh-CN"/>
        </w:rPr>
      </w:pPr>
    </w:p>
    <w:p w14:paraId="0FE5271C">
      <w:pPr>
        <w:widowControl/>
        <w:spacing w:line="480" w:lineRule="auto"/>
        <w:jc w:val="center"/>
        <w:rPr>
          <w:rFonts w:hint="eastAsia" w:ascii="仿宋" w:hAnsi="仿宋" w:eastAsia="楷体" w:cstheme="minorBidi"/>
          <w:b/>
          <w:spacing w:val="-20"/>
          <w:kern w:val="2"/>
          <w:sz w:val="44"/>
          <w:szCs w:val="44"/>
          <w:lang w:val="en-US" w:eastAsia="zh-CN" w:bidi="ar-SA"/>
        </w:rPr>
      </w:pPr>
      <w:r>
        <w:rPr>
          <w:rFonts w:hint="eastAsia" w:ascii="仿宋" w:hAnsi="仿宋" w:eastAsia="楷体" w:cstheme="minorBidi"/>
          <w:b/>
          <w:spacing w:val="-20"/>
          <w:kern w:val="2"/>
          <w:sz w:val="44"/>
          <w:szCs w:val="44"/>
          <w:lang w:val="en-US" w:eastAsia="zh-CN" w:bidi="ar-SA"/>
        </w:rPr>
        <w:t>东新乡大洲村三期安置房（城市棚户区改造）项目</w:t>
      </w:r>
    </w:p>
    <w:p w14:paraId="27C88176">
      <w:pPr>
        <w:widowControl/>
        <w:spacing w:line="480" w:lineRule="auto"/>
        <w:jc w:val="center"/>
        <w:rPr>
          <w:rFonts w:hint="eastAsia" w:ascii="仿宋" w:hAnsi="仿宋" w:eastAsia="楷体" w:cstheme="minorBidi"/>
          <w:b/>
          <w:spacing w:val="-20"/>
          <w:kern w:val="2"/>
          <w:sz w:val="44"/>
          <w:szCs w:val="44"/>
          <w:lang w:val="en-US" w:eastAsia="zh-CN" w:bidi="ar-SA"/>
        </w:rPr>
      </w:pPr>
      <w:r>
        <w:rPr>
          <w:rFonts w:hint="eastAsia" w:ascii="仿宋" w:hAnsi="仿宋" w:eastAsia="楷体" w:cstheme="minorBidi"/>
          <w:b/>
          <w:spacing w:val="-20"/>
          <w:kern w:val="2"/>
          <w:sz w:val="44"/>
          <w:szCs w:val="44"/>
          <w:lang w:val="en-US" w:eastAsia="zh-CN" w:bidi="ar-SA"/>
        </w:rPr>
        <w:t>专项债券实施方案</w:t>
      </w:r>
    </w:p>
    <w:p w14:paraId="546035DF">
      <w:pPr>
        <w:ind w:left="-141" w:leftChars="-67" w:right="-99" w:rightChars="-47" w:firstLine="439" w:firstLineChars="157"/>
        <w:rPr>
          <w:rFonts w:ascii="宋体" w:hAnsi="宋体" w:eastAsia="宋体"/>
          <w:sz w:val="28"/>
          <w:szCs w:val="28"/>
        </w:rPr>
      </w:pPr>
    </w:p>
    <w:p w14:paraId="14FEE2FB">
      <w:pPr>
        <w:ind w:left="-141" w:leftChars="-67" w:right="-99" w:rightChars="-47" w:firstLine="439" w:firstLineChars="157"/>
        <w:rPr>
          <w:rFonts w:ascii="宋体" w:hAnsi="宋体" w:eastAsia="宋体"/>
          <w:sz w:val="28"/>
          <w:szCs w:val="28"/>
        </w:rPr>
      </w:pPr>
    </w:p>
    <w:p w14:paraId="3356ECD9">
      <w:pPr>
        <w:ind w:left="-141" w:leftChars="-67" w:right="-99" w:rightChars="-47" w:firstLine="439" w:firstLineChars="157"/>
        <w:rPr>
          <w:rFonts w:ascii="宋体" w:hAnsi="宋体" w:eastAsia="宋体"/>
          <w:sz w:val="28"/>
          <w:szCs w:val="28"/>
        </w:rPr>
      </w:pPr>
    </w:p>
    <w:p w14:paraId="07164DA0">
      <w:pPr>
        <w:ind w:left="-141" w:leftChars="-67" w:right="-99" w:rightChars="-47" w:firstLine="439" w:firstLineChars="157"/>
        <w:rPr>
          <w:rFonts w:ascii="宋体" w:hAnsi="宋体" w:eastAsia="宋体"/>
          <w:sz w:val="28"/>
          <w:szCs w:val="28"/>
          <w:u w:val="single"/>
        </w:rPr>
      </w:pPr>
    </w:p>
    <w:p w14:paraId="3902A35B">
      <w:pPr>
        <w:ind w:left="-141" w:leftChars="-67" w:right="-99" w:rightChars="-47" w:firstLine="439" w:firstLineChars="157"/>
        <w:rPr>
          <w:rFonts w:ascii="宋体" w:hAnsi="宋体" w:eastAsia="宋体"/>
          <w:sz w:val="28"/>
          <w:szCs w:val="28"/>
          <w:u w:val="single"/>
        </w:rPr>
      </w:pPr>
    </w:p>
    <w:p w14:paraId="7F9F03B4">
      <w:pPr>
        <w:ind w:left="-141" w:leftChars="-67" w:right="-99" w:rightChars="-47" w:firstLine="502" w:firstLineChars="157"/>
        <w:rPr>
          <w:sz w:val="32"/>
          <w:szCs w:val="32"/>
          <w:u w:val="single"/>
        </w:rPr>
      </w:pPr>
    </w:p>
    <w:p w14:paraId="3CECE6FA">
      <w:pPr>
        <w:ind w:left="-141" w:leftChars="-67" w:right="-99" w:rightChars="-47" w:firstLine="502" w:firstLineChars="157"/>
        <w:rPr>
          <w:sz w:val="32"/>
          <w:szCs w:val="32"/>
          <w:u w:val="single"/>
        </w:rPr>
      </w:pPr>
    </w:p>
    <w:p w14:paraId="64805F95">
      <w:pPr>
        <w:spacing w:line="360" w:lineRule="auto"/>
        <w:jc w:val="center"/>
        <w:rPr>
          <w:rFonts w:ascii="仿宋" w:hAnsi="仿宋" w:eastAsia="楷体"/>
          <w:b/>
          <w:sz w:val="44"/>
          <w:szCs w:val="44"/>
        </w:rPr>
      </w:pPr>
    </w:p>
    <w:p w14:paraId="2E090E62">
      <w:pPr>
        <w:spacing w:line="360" w:lineRule="auto"/>
        <w:jc w:val="center"/>
        <w:rPr>
          <w:rFonts w:ascii="仿宋" w:hAnsi="仿宋" w:eastAsia="楷体"/>
          <w:b/>
          <w:sz w:val="44"/>
          <w:szCs w:val="44"/>
        </w:rPr>
      </w:pPr>
    </w:p>
    <w:p w14:paraId="02AF0B8F">
      <w:pPr>
        <w:spacing w:line="360" w:lineRule="auto"/>
        <w:jc w:val="center"/>
        <w:rPr>
          <w:rFonts w:ascii="仿宋" w:hAnsi="仿宋" w:eastAsia="楷体"/>
          <w:b/>
          <w:sz w:val="44"/>
          <w:szCs w:val="44"/>
        </w:rPr>
      </w:pPr>
    </w:p>
    <w:p w14:paraId="2880711E">
      <w:pPr>
        <w:spacing w:line="360" w:lineRule="auto"/>
        <w:rPr>
          <w:rFonts w:hint="eastAsia" w:ascii="仿宋" w:hAnsi="仿宋" w:eastAsia="楷体"/>
          <w:b/>
          <w:sz w:val="44"/>
          <w:szCs w:val="44"/>
        </w:rPr>
      </w:pPr>
    </w:p>
    <w:p w14:paraId="1193A881">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25FB7354">
      <w:pPr>
        <w:spacing w:line="360" w:lineRule="auto"/>
        <w:jc w:val="center"/>
        <w:rPr>
          <w:rFonts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CN"/>
        </w:rPr>
        <w:t>九</w:t>
      </w:r>
      <w:r>
        <w:rPr>
          <w:rFonts w:hint="eastAsia" w:ascii="仿宋" w:hAnsi="仿宋" w:eastAsia="楷体"/>
          <w:b/>
          <w:sz w:val="44"/>
          <w:szCs w:val="44"/>
        </w:rPr>
        <w:t>月</w:t>
      </w:r>
    </w:p>
    <w:p w14:paraId="4458D0A2">
      <w:pPr>
        <w:ind w:right="-99" w:rightChars="-47"/>
        <w:jc w:val="center"/>
        <w:rPr>
          <w:rFonts w:hint="eastAsia" w:ascii="楷体" w:hAnsi="楷体" w:eastAsia="楷体"/>
          <w:b/>
          <w:sz w:val="44"/>
          <w:szCs w:val="44"/>
        </w:rPr>
      </w:pPr>
    </w:p>
    <w:p w14:paraId="1B2FBF18">
      <w:pPr>
        <w:ind w:right="-99" w:rightChars="-47"/>
        <w:jc w:val="center"/>
        <w:rPr>
          <w:rFonts w:hint="eastAsia" w:ascii="楷体" w:hAnsi="楷体" w:eastAsia="楷体"/>
          <w:b/>
          <w:sz w:val="44"/>
          <w:szCs w:val="44"/>
        </w:rPr>
      </w:pPr>
    </w:p>
    <w:p w14:paraId="12115005">
      <w:pPr>
        <w:ind w:right="-99" w:rightChars="-47"/>
        <w:jc w:val="center"/>
        <w:rPr>
          <w:rFonts w:hint="eastAsia" w:ascii="楷体" w:hAnsi="楷体" w:eastAsia="楷体"/>
          <w:b/>
          <w:sz w:val="44"/>
          <w:szCs w:val="44"/>
        </w:rPr>
        <w:sectPr>
          <w:pgSz w:w="11906" w:h="16838"/>
          <w:pgMar w:top="1440" w:right="1133" w:bottom="1440" w:left="1800" w:header="851" w:footer="992" w:gutter="0"/>
          <w:cols w:space="425" w:num="1"/>
          <w:docGrid w:type="lines" w:linePitch="312" w:charSpace="0"/>
        </w:sectPr>
      </w:pPr>
    </w:p>
    <w:p w14:paraId="4EEBFF51">
      <w:pPr>
        <w:ind w:right="-99" w:rightChars="-47"/>
        <w:jc w:val="center"/>
        <w:rPr>
          <w:rFonts w:ascii="楷体" w:hAnsi="楷体" w:eastAsia="楷体"/>
          <w:b/>
          <w:sz w:val="44"/>
          <w:szCs w:val="44"/>
        </w:rPr>
      </w:pPr>
      <w:r>
        <w:rPr>
          <w:rFonts w:hint="eastAsia" w:ascii="楷体" w:hAnsi="楷体" w:eastAsia="楷体"/>
          <w:b/>
          <w:sz w:val="44"/>
          <w:szCs w:val="44"/>
        </w:rPr>
        <w:t>前言</w:t>
      </w:r>
    </w:p>
    <w:p w14:paraId="28E5D76F">
      <w:pPr>
        <w:ind w:left="-141" w:leftChars="-67" w:right="-99" w:rightChars="-47" w:firstLine="439" w:firstLineChars="157"/>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0E6228C5">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。东新乡大洲村三期安置房（城市棚户区改造）项目拟于申请发行地方政府专项债</w:t>
      </w:r>
      <w:r>
        <w:rPr>
          <w:rFonts w:ascii="楷体" w:hAnsi="楷体" w:eastAsia="楷体" w:cs="楷体"/>
          <w:bCs/>
          <w:sz w:val="28"/>
          <w:szCs w:val="28"/>
        </w:rPr>
        <w:t>融资</w:t>
      </w:r>
      <w:r>
        <w:rPr>
          <w:rFonts w:hint="eastAsia" w:ascii="楷体" w:hAnsi="楷体" w:eastAsia="楷体" w:cs="楷体"/>
          <w:bCs/>
          <w:sz w:val="28"/>
          <w:szCs w:val="28"/>
        </w:rPr>
        <w:t>2.</w:t>
      </w:r>
      <w:r>
        <w:rPr>
          <w:rFonts w:hint="eastAsia" w:ascii="楷体" w:hAnsi="楷体" w:eastAsia="楷体" w:cs="楷体"/>
          <w:bCs/>
          <w:sz w:val="28"/>
          <w:szCs w:val="28"/>
          <w:lang w:val="en-US" w:eastAsia="zh-CN"/>
        </w:rPr>
        <w:t>4</w:t>
      </w:r>
      <w:r>
        <w:rPr>
          <w:rFonts w:hint="eastAsia" w:ascii="楷体" w:hAnsi="楷体" w:eastAsia="楷体" w:cs="楷体"/>
          <w:bCs/>
          <w:sz w:val="28"/>
          <w:szCs w:val="28"/>
        </w:rPr>
        <w:t>亿</w:t>
      </w:r>
      <w:r>
        <w:rPr>
          <w:rFonts w:ascii="楷体" w:hAnsi="楷体" w:eastAsia="楷体" w:cs="楷体"/>
          <w:bCs/>
          <w:sz w:val="28"/>
          <w:szCs w:val="28"/>
        </w:rPr>
        <w:t>元</w:t>
      </w:r>
      <w:r>
        <w:rPr>
          <w:rFonts w:hint="eastAsia" w:ascii="楷体" w:hAnsi="楷体" w:eastAsia="楷体" w:cs="楷体"/>
          <w:bCs/>
          <w:sz w:val="28"/>
          <w:szCs w:val="28"/>
        </w:rPr>
        <w:t>，拟本期申请发行</w:t>
      </w:r>
      <w:r>
        <w:rPr>
          <w:rFonts w:hint="eastAsia" w:ascii="楷体" w:hAnsi="楷体" w:eastAsia="楷体" w:cs="楷体"/>
          <w:bCs/>
          <w:sz w:val="28"/>
          <w:szCs w:val="28"/>
          <w:lang w:val="en-US" w:eastAsia="zh-CN"/>
        </w:rPr>
        <w:t>0.4</w:t>
      </w:r>
      <w:r>
        <w:rPr>
          <w:rFonts w:hint="eastAsia" w:ascii="楷体" w:hAnsi="楷体" w:eastAsia="楷体" w:cs="楷体"/>
          <w:bCs/>
          <w:sz w:val="28"/>
          <w:szCs w:val="28"/>
        </w:rPr>
        <w:t>亿元。</w:t>
      </w:r>
    </w:p>
    <w:p w14:paraId="01719862">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4FAC2E9E">
      <w:pPr>
        <w:widowControl/>
        <w:spacing w:line="360" w:lineRule="auto"/>
        <w:ind w:left="-141" w:leftChars="-67" w:right="-99" w:rightChars="-47" w:firstLine="439" w:firstLineChars="157"/>
        <w:jc w:val="left"/>
        <w:rPr>
          <w:rFonts w:ascii="宋体" w:hAnsi="宋体" w:eastAsia="宋体"/>
          <w:sz w:val="28"/>
          <w:szCs w:val="28"/>
        </w:rPr>
        <w:sectPr>
          <w:footerReference r:id="rId23" w:type="default"/>
          <w:pgSz w:w="11906" w:h="16838"/>
          <w:pgMar w:top="1440" w:right="1133" w:bottom="1440" w:left="1800" w:header="851" w:footer="992" w:gutter="0"/>
          <w:pgNumType w:fmt="decimal" w:start="1"/>
          <w:cols w:space="425" w:num="1"/>
          <w:docGrid w:type="lines" w:linePitch="312" w:charSpace="0"/>
        </w:sectPr>
      </w:pPr>
    </w:p>
    <w:p w14:paraId="7BAD49C0">
      <w:pPr>
        <w:widowControl/>
        <w:spacing w:line="560" w:lineRule="exact"/>
        <w:ind w:firstLine="560" w:firstLineChars="200"/>
        <w:jc w:val="left"/>
        <w:outlineLvl w:val="0"/>
        <w:rPr>
          <w:rFonts w:ascii="黑体" w:hAnsi="黑体" w:eastAsia="黑体" w:cs="黑体"/>
          <w:sz w:val="28"/>
          <w:szCs w:val="28"/>
        </w:rPr>
      </w:pPr>
      <w:bookmarkStart w:id="137" w:name="_Toc15650"/>
      <w:r>
        <w:rPr>
          <w:rFonts w:hint="eastAsia" w:ascii="黑体" w:hAnsi="黑体" w:eastAsia="黑体" w:cs="黑体"/>
          <w:sz w:val="28"/>
          <w:szCs w:val="28"/>
        </w:rPr>
        <w:t>一、项目概况</w:t>
      </w:r>
      <w:bookmarkEnd w:id="137"/>
    </w:p>
    <w:p w14:paraId="40182AB6">
      <w:pPr>
        <w:widowControl/>
        <w:spacing w:line="560" w:lineRule="exact"/>
        <w:ind w:firstLine="560" w:firstLineChars="200"/>
        <w:jc w:val="left"/>
        <w:outlineLvl w:val="1"/>
        <w:rPr>
          <w:rFonts w:ascii="楷体" w:hAnsi="楷体" w:eastAsia="楷体" w:cs="楷体"/>
          <w:b/>
          <w:bCs/>
          <w:sz w:val="28"/>
          <w:szCs w:val="28"/>
        </w:rPr>
      </w:pPr>
      <w:bookmarkStart w:id="138" w:name="_Toc32070"/>
      <w:r>
        <w:rPr>
          <w:rFonts w:hint="eastAsia" w:ascii="楷体" w:hAnsi="楷体" w:eastAsia="楷体" w:cs="楷体"/>
          <w:b/>
          <w:bCs/>
          <w:sz w:val="28"/>
          <w:szCs w:val="28"/>
        </w:rPr>
        <w:t>（一）项目所在地基本情况</w:t>
      </w:r>
      <w:bookmarkEnd w:id="138"/>
    </w:p>
    <w:p w14:paraId="6B1FF0DB">
      <w:pPr>
        <w:ind w:left="-140" w:leftChars="-67" w:right="-98" w:rightChars="-47" w:firstLine="439" w:firstLineChars="157"/>
        <w:rPr>
          <w:rFonts w:ascii="楷体" w:hAnsi="楷体" w:eastAsia="楷体" w:cs="楷体"/>
          <w:b/>
          <w:bCs w:val="0"/>
          <w:sz w:val="28"/>
          <w:szCs w:val="28"/>
        </w:rPr>
      </w:pPr>
      <w:r>
        <w:rPr>
          <w:rFonts w:hint="eastAsia" w:ascii="楷体" w:hAnsi="楷体" w:eastAsia="楷体" w:cs="楷体"/>
          <w:b/>
          <w:bCs w:val="0"/>
          <w:sz w:val="28"/>
          <w:szCs w:val="28"/>
        </w:rPr>
        <w:t>1、所在地情况</w:t>
      </w:r>
    </w:p>
    <w:p w14:paraId="3E9671C0">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16A30B80">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南昌县面积1810.7平方公里；辖7个乡9个镇、1个国家级开发区和银三角管委会；2017年，户籍总人口1039778人，全县地区生产总值（GDP）782亿，按可比价格计算，比2016年增长9.2%。</w:t>
      </w:r>
    </w:p>
    <w:p w14:paraId="6079941E">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6B7501F2">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77C3D5E4">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2、财政收支情况</w:t>
      </w:r>
    </w:p>
    <w:p w14:paraId="144E5C8C">
      <w:pPr>
        <w:widowControl/>
        <w:spacing w:before="100" w:beforeAutospacing="1" w:after="100" w:afterAutospacing="1"/>
        <w:ind w:firstLine="480"/>
        <w:jc w:val="center"/>
        <w:rPr>
          <w:rFonts w:ascii="宋体" w:hAnsi="宋体" w:eastAsia="宋体" w:cs="宋体"/>
          <w:kern w:val="0"/>
          <w:sz w:val="24"/>
          <w:szCs w:val="24"/>
        </w:rPr>
      </w:pPr>
      <w:r>
        <w:rPr>
          <w:rFonts w:ascii="宋体" w:hAnsi="宋体" w:eastAsia="宋体" w:cs="宋体"/>
          <w:kern w:val="0"/>
          <w:sz w:val="24"/>
          <w:szCs w:val="24"/>
        </w:rPr>
        <w:t>南昌县财政支出情况</w:t>
      </w:r>
    </w:p>
    <w:p w14:paraId="50E28577">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40130F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4BA2D91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40730B3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3C3107E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7ECB9C4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6C92F1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426516B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052F263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F37C4B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3BEBC53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4CA89A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765F1D2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0614FD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53BF1FB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1AF54327">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2E5CA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4E5558F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1E5D301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465FC5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5476B3DB">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5DD854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393D436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55267BB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7000ABE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15A9E059">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61A46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480A5B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71DB0C6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300DED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117E07BC">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26E0C7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669C2CF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276B614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0045B68B">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3F63950D">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6433F6D2">
      <w:pPr>
        <w:widowControl/>
        <w:spacing w:line="560" w:lineRule="exact"/>
        <w:ind w:firstLine="560" w:firstLineChars="200"/>
        <w:jc w:val="left"/>
        <w:outlineLvl w:val="1"/>
        <w:rPr>
          <w:rFonts w:ascii="楷体" w:hAnsi="楷体" w:eastAsia="楷体" w:cs="楷体"/>
          <w:b/>
          <w:bCs/>
          <w:sz w:val="28"/>
          <w:szCs w:val="28"/>
        </w:rPr>
      </w:pPr>
      <w:bookmarkStart w:id="139" w:name="_Toc28579"/>
      <w:r>
        <w:rPr>
          <w:rFonts w:hint="eastAsia" w:ascii="楷体" w:hAnsi="楷体" w:eastAsia="楷体" w:cs="楷体"/>
          <w:b/>
          <w:bCs/>
          <w:sz w:val="28"/>
          <w:szCs w:val="28"/>
        </w:rPr>
        <w:t>（二）项目实施背景</w:t>
      </w:r>
      <w:bookmarkEnd w:id="139"/>
    </w:p>
    <w:p w14:paraId="3EEBC641">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52962E72">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50B402F2">
      <w:pPr>
        <w:widowControl/>
        <w:spacing w:line="560" w:lineRule="exact"/>
        <w:ind w:firstLine="560" w:firstLineChars="200"/>
        <w:jc w:val="left"/>
        <w:outlineLvl w:val="1"/>
        <w:rPr>
          <w:rFonts w:ascii="楷体" w:hAnsi="楷体" w:eastAsia="楷体" w:cs="楷体"/>
          <w:b/>
          <w:bCs/>
          <w:sz w:val="28"/>
          <w:szCs w:val="28"/>
        </w:rPr>
      </w:pPr>
      <w:bookmarkStart w:id="140" w:name="_Toc4255"/>
      <w:r>
        <w:rPr>
          <w:rFonts w:hint="eastAsia" w:ascii="楷体" w:hAnsi="楷体" w:eastAsia="楷体" w:cs="楷体"/>
          <w:b/>
          <w:bCs/>
          <w:sz w:val="28"/>
          <w:szCs w:val="28"/>
        </w:rPr>
        <w:t>（三）项目基本情况</w:t>
      </w:r>
      <w:bookmarkEnd w:id="140"/>
    </w:p>
    <w:p w14:paraId="14EF6ADE">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项目名称：东新乡大洲村三期安置房（城市棚户区改造）项目</w:t>
      </w:r>
    </w:p>
    <w:p w14:paraId="7905B47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建设单位：南昌县城市建设投资发展有限公司</w:t>
      </w:r>
    </w:p>
    <w:p w14:paraId="54252FB7">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建设内容：本项目规划总用地面积80.99亩，总建筑面积151326.36㎡。计容建筑面积118651.87㎡（其中：住宅110460.97㎡、沿街商业1047.06㎡、农贸市场2599.83㎡、物业办公527.69㎡、社区用房613.33㎡、养老服务用房205.52㎡、幼儿园2876.51㎡、消防控制室38.71㎡、垃圾站130.41㎡、公厕64.80㎡、门卫30㎡、地库出地面楼梯57.04㎡）；不计容建筑面积32674.49㎡（其中：架空层324.42㎡、配电室650.24㎡、地下室31699.83㎡）；机动车停车位1250个（其中：地面停车位345个，地下停车位905个）。非机动车停车位680个。并配套建设道路、硬化、给排水、电气、暖通、燃气等工程。</w:t>
      </w:r>
    </w:p>
    <w:p w14:paraId="2C6E20D6">
      <w:pPr>
        <w:widowControl/>
        <w:spacing w:line="560" w:lineRule="exact"/>
        <w:ind w:firstLine="560" w:firstLineChars="200"/>
        <w:jc w:val="left"/>
        <w:outlineLvl w:val="1"/>
        <w:rPr>
          <w:rFonts w:ascii="楷体" w:hAnsi="楷体" w:eastAsia="楷体" w:cs="楷体"/>
          <w:b/>
          <w:bCs/>
          <w:sz w:val="28"/>
          <w:szCs w:val="28"/>
        </w:rPr>
      </w:pPr>
      <w:bookmarkStart w:id="141" w:name="_Toc21535"/>
      <w:r>
        <w:rPr>
          <w:rFonts w:hint="eastAsia" w:ascii="楷体" w:hAnsi="楷体" w:eastAsia="楷体" w:cs="楷体"/>
          <w:b/>
          <w:bCs/>
          <w:sz w:val="28"/>
          <w:szCs w:val="28"/>
        </w:rPr>
        <w:t>（四）项目总投资额</w:t>
      </w:r>
      <w:bookmarkEnd w:id="141"/>
    </w:p>
    <w:p w14:paraId="58870B8E">
      <w:pPr>
        <w:pStyle w:val="20"/>
        <w:spacing w:before="0" w:beforeAutospacing="0" w:after="156" w:afterLines="50" w:afterAutospacing="0" w:line="360" w:lineRule="auto"/>
        <w:ind w:firstLine="480" w:firstLineChars="200"/>
        <w:jc w:val="both"/>
        <w:rPr>
          <w:sz w:val="24"/>
          <w:szCs w:val="24"/>
          <w:highlight w:val="none"/>
        </w:rPr>
      </w:pPr>
      <w:r>
        <w:rPr>
          <w:rFonts w:hint="eastAsia"/>
          <w:sz w:val="24"/>
          <w:szCs w:val="24"/>
          <w:highlight w:val="none"/>
        </w:rPr>
        <w:t>202</w:t>
      </w:r>
      <w:r>
        <w:rPr>
          <w:sz w:val="24"/>
          <w:szCs w:val="24"/>
          <w:highlight w:val="none"/>
        </w:rPr>
        <w:t>4</w:t>
      </w:r>
      <w:r>
        <w:rPr>
          <w:rFonts w:hint="eastAsia"/>
          <w:sz w:val="24"/>
          <w:szCs w:val="24"/>
          <w:highlight w:val="none"/>
        </w:rPr>
        <w:t>年江西省东新乡大洲村三期安置房（城市棚户区改造）项目建设项目（以下简称“本项目”）为基建项目，根据南昌县发展和改革委员会《关于东新乡大洲村三期安置房（城市棚户区改造）项目可行性研究报告的批复》（南发改投字〔20</w:t>
      </w:r>
      <w:r>
        <w:rPr>
          <w:sz w:val="24"/>
          <w:szCs w:val="24"/>
          <w:highlight w:val="none"/>
        </w:rPr>
        <w:t>22</w:t>
      </w:r>
      <w:r>
        <w:rPr>
          <w:rFonts w:hint="eastAsia"/>
          <w:sz w:val="24"/>
          <w:szCs w:val="24"/>
          <w:highlight w:val="none"/>
        </w:rPr>
        <w:t>〕</w:t>
      </w:r>
      <w:r>
        <w:rPr>
          <w:sz w:val="24"/>
          <w:szCs w:val="24"/>
          <w:highlight w:val="none"/>
        </w:rPr>
        <w:t>55</w:t>
      </w:r>
      <w:r>
        <w:rPr>
          <w:rFonts w:hint="eastAsia"/>
          <w:sz w:val="24"/>
          <w:szCs w:val="24"/>
          <w:highlight w:val="none"/>
        </w:rPr>
        <w:t>号），批复总投资额</w:t>
      </w:r>
      <w:r>
        <w:rPr>
          <w:sz w:val="24"/>
          <w:szCs w:val="24"/>
          <w:highlight w:val="none"/>
        </w:rPr>
        <w:t>53,420.00</w:t>
      </w:r>
      <w:r>
        <w:rPr>
          <w:rFonts w:hint="eastAsia"/>
          <w:sz w:val="24"/>
          <w:szCs w:val="24"/>
          <w:highlight w:val="none"/>
        </w:rPr>
        <w:t>万元。本次债券利息（包含建设期与运营期）我们按照统一标准进行预测，详见表3-2（专项债券还本付息情况预测表），因工程预备费已经涵盖预计支付的债券利息与债券发行费用，我们按照静态总投资额估算总投资额，详细见下表：</w:t>
      </w:r>
    </w:p>
    <w:p w14:paraId="0B8D6262">
      <w:pPr>
        <w:pStyle w:val="20"/>
        <w:keepNext/>
        <w:spacing w:before="0" w:beforeAutospacing="0" w:after="0" w:afterAutospacing="0" w:line="360" w:lineRule="exact"/>
        <w:ind w:firstLine="360" w:firstLineChars="200"/>
        <w:jc w:val="right"/>
        <w:rPr>
          <w:sz w:val="18"/>
          <w:szCs w:val="18"/>
          <w:highlight w:val="none"/>
        </w:rPr>
      </w:pPr>
      <w:r>
        <w:rPr>
          <w:rFonts w:hint="eastAsia"/>
          <w:sz w:val="18"/>
          <w:szCs w:val="18"/>
          <w:highlight w:val="none"/>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2136"/>
        <w:gridCol w:w="1999"/>
        <w:gridCol w:w="1990"/>
        <w:gridCol w:w="1711"/>
      </w:tblGrid>
      <w:tr w14:paraId="6E12C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507" w:type="pct"/>
            <w:shd w:val="clear" w:color="auto" w:fill="auto"/>
            <w:noWrap/>
            <w:vAlign w:val="center"/>
          </w:tcPr>
          <w:p w14:paraId="1FAA7404">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序号</w:t>
            </w:r>
          </w:p>
        </w:tc>
        <w:tc>
          <w:tcPr>
            <w:tcW w:w="1225" w:type="pct"/>
            <w:shd w:val="clear" w:color="auto" w:fill="auto"/>
            <w:noWrap/>
            <w:vAlign w:val="center"/>
          </w:tcPr>
          <w:p w14:paraId="2F7BD29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项目单位</w:t>
            </w:r>
          </w:p>
        </w:tc>
        <w:tc>
          <w:tcPr>
            <w:tcW w:w="1146" w:type="pct"/>
            <w:shd w:val="clear" w:color="auto" w:fill="auto"/>
            <w:noWrap/>
            <w:vAlign w:val="center"/>
          </w:tcPr>
          <w:p w14:paraId="5DA1D55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项目名称</w:t>
            </w:r>
          </w:p>
        </w:tc>
        <w:tc>
          <w:tcPr>
            <w:tcW w:w="1141" w:type="pct"/>
            <w:shd w:val="clear" w:color="auto" w:fill="auto"/>
            <w:noWrap/>
            <w:vAlign w:val="center"/>
          </w:tcPr>
          <w:p w14:paraId="4D581783">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静态总投资额</w:t>
            </w:r>
          </w:p>
        </w:tc>
        <w:tc>
          <w:tcPr>
            <w:tcW w:w="981" w:type="pct"/>
            <w:shd w:val="clear" w:color="auto" w:fill="auto"/>
            <w:noWrap/>
            <w:vAlign w:val="center"/>
          </w:tcPr>
          <w:p w14:paraId="0335D498">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r>
      <w:tr w14:paraId="617E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507" w:type="pct"/>
            <w:shd w:val="clear" w:color="auto" w:fill="auto"/>
            <w:noWrap/>
            <w:vAlign w:val="center"/>
          </w:tcPr>
          <w:p w14:paraId="41269D4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1225" w:type="pct"/>
            <w:shd w:val="clear" w:color="auto" w:fill="auto"/>
            <w:vAlign w:val="center"/>
          </w:tcPr>
          <w:p w14:paraId="6E672B9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南昌县城市建设投资发展有限公司</w:t>
            </w:r>
          </w:p>
        </w:tc>
        <w:tc>
          <w:tcPr>
            <w:tcW w:w="1146" w:type="pct"/>
            <w:shd w:val="clear" w:color="auto" w:fill="auto"/>
            <w:vAlign w:val="center"/>
          </w:tcPr>
          <w:p w14:paraId="61A6597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东新乡大洲村三期安置房（城市棚户区改造）项目</w:t>
            </w:r>
          </w:p>
        </w:tc>
        <w:tc>
          <w:tcPr>
            <w:tcW w:w="1141" w:type="pct"/>
            <w:shd w:val="clear" w:color="auto" w:fill="auto"/>
            <w:noWrap/>
            <w:vAlign w:val="center"/>
          </w:tcPr>
          <w:p w14:paraId="159267C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83,409.98</w:t>
            </w:r>
          </w:p>
        </w:tc>
        <w:tc>
          <w:tcPr>
            <w:tcW w:w="981" w:type="pct"/>
            <w:shd w:val="clear" w:color="auto" w:fill="auto"/>
            <w:noWrap/>
            <w:vAlign w:val="center"/>
          </w:tcPr>
          <w:p w14:paraId="567105DE">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53,420.00</w:t>
            </w:r>
          </w:p>
        </w:tc>
      </w:tr>
    </w:tbl>
    <w:p w14:paraId="012C56E4">
      <w:pPr>
        <w:pStyle w:val="20"/>
        <w:spacing w:before="0" w:beforeAutospacing="0" w:after="156" w:afterLines="50" w:afterAutospacing="0" w:line="360" w:lineRule="auto"/>
        <w:ind w:firstLine="480" w:firstLineChars="200"/>
        <w:jc w:val="both"/>
        <w:rPr>
          <w:sz w:val="24"/>
          <w:szCs w:val="24"/>
          <w:highlight w:val="none"/>
        </w:rPr>
      </w:pPr>
      <w:r>
        <w:rPr>
          <w:rFonts w:hint="eastAsia"/>
          <w:sz w:val="24"/>
          <w:szCs w:val="24"/>
          <w:highlight w:val="none"/>
        </w:rPr>
        <w:t>为了保障以上建设项目合理的融资需求，更好地发挥专项债券对本项目的支持作用，本次项目计划通过自筹资金及发行地方政府专项债券的方式完成项目建设。南昌县城市建设投资发展有限公司申请地方政府专项债券的明细情况见下表：</w:t>
      </w:r>
    </w:p>
    <w:p w14:paraId="6624D179">
      <w:pPr>
        <w:pStyle w:val="20"/>
        <w:keepNext/>
        <w:spacing w:before="0" w:beforeAutospacing="0" w:after="0" w:afterAutospacing="0" w:line="360" w:lineRule="exact"/>
        <w:ind w:firstLine="360" w:firstLineChars="200"/>
        <w:jc w:val="right"/>
        <w:rPr>
          <w:sz w:val="18"/>
          <w:szCs w:val="18"/>
          <w:highlight w:val="none"/>
        </w:rPr>
      </w:pPr>
      <w:r>
        <w:rPr>
          <w:rFonts w:hint="eastAsia"/>
          <w:sz w:val="18"/>
          <w:szCs w:val="18"/>
          <w:highlight w:val="none"/>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117"/>
        <w:gridCol w:w="936"/>
        <w:gridCol w:w="936"/>
        <w:gridCol w:w="1664"/>
        <w:gridCol w:w="1163"/>
        <w:gridCol w:w="1163"/>
        <w:gridCol w:w="1164"/>
      </w:tblGrid>
      <w:tr w14:paraId="4EE0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40" w:type="pct"/>
            <w:vMerge w:val="restart"/>
            <w:shd w:val="clear" w:color="auto" w:fill="auto"/>
            <w:noWrap/>
            <w:vAlign w:val="center"/>
          </w:tcPr>
          <w:p w14:paraId="031F52EF">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序号</w:t>
            </w:r>
          </w:p>
        </w:tc>
        <w:tc>
          <w:tcPr>
            <w:tcW w:w="659" w:type="pct"/>
            <w:vMerge w:val="restart"/>
            <w:shd w:val="clear" w:color="auto" w:fill="auto"/>
            <w:noWrap/>
            <w:vAlign w:val="center"/>
          </w:tcPr>
          <w:p w14:paraId="35E10854">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总投资估算</w:t>
            </w:r>
          </w:p>
        </w:tc>
        <w:tc>
          <w:tcPr>
            <w:tcW w:w="604" w:type="pct"/>
            <w:vMerge w:val="restart"/>
            <w:shd w:val="clear" w:color="auto" w:fill="auto"/>
            <w:vAlign w:val="center"/>
          </w:tcPr>
          <w:p w14:paraId="20F0D53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其中：自筹资金</w:t>
            </w:r>
          </w:p>
        </w:tc>
        <w:tc>
          <w:tcPr>
            <w:tcW w:w="3397" w:type="pct"/>
            <w:gridSpan w:val="5"/>
            <w:shd w:val="clear" w:color="auto" w:fill="auto"/>
            <w:vAlign w:val="center"/>
          </w:tcPr>
          <w:p w14:paraId="67F183EA">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其中：债券金额</w:t>
            </w:r>
          </w:p>
        </w:tc>
      </w:tr>
      <w:tr w14:paraId="64B2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vMerge w:val="continue"/>
            <w:vAlign w:val="center"/>
          </w:tcPr>
          <w:p w14:paraId="441BA215">
            <w:pPr>
              <w:widowControl/>
              <w:jc w:val="center"/>
              <w:rPr>
                <w:rFonts w:ascii="宋体" w:hAnsi="宋体" w:cs="宋体"/>
                <w:b/>
                <w:bCs/>
                <w:color w:val="000000"/>
                <w:kern w:val="0"/>
                <w:sz w:val="18"/>
                <w:szCs w:val="18"/>
                <w:highlight w:val="none"/>
              </w:rPr>
            </w:pPr>
          </w:p>
        </w:tc>
        <w:tc>
          <w:tcPr>
            <w:tcW w:w="659" w:type="pct"/>
            <w:vMerge w:val="continue"/>
            <w:vAlign w:val="center"/>
          </w:tcPr>
          <w:p w14:paraId="0267016B">
            <w:pPr>
              <w:widowControl/>
              <w:jc w:val="center"/>
              <w:rPr>
                <w:rFonts w:ascii="宋体" w:hAnsi="宋体" w:cs="宋体"/>
                <w:b/>
                <w:bCs/>
                <w:color w:val="000000"/>
                <w:kern w:val="0"/>
                <w:sz w:val="18"/>
                <w:szCs w:val="18"/>
                <w:highlight w:val="none"/>
              </w:rPr>
            </w:pPr>
          </w:p>
        </w:tc>
        <w:tc>
          <w:tcPr>
            <w:tcW w:w="604" w:type="pct"/>
            <w:vMerge w:val="continue"/>
            <w:vAlign w:val="center"/>
          </w:tcPr>
          <w:p w14:paraId="173BEF8B">
            <w:pPr>
              <w:widowControl/>
              <w:jc w:val="center"/>
              <w:rPr>
                <w:rFonts w:ascii="宋体" w:hAnsi="宋体" w:cs="宋体"/>
                <w:b/>
                <w:bCs/>
                <w:color w:val="000000"/>
                <w:kern w:val="0"/>
                <w:sz w:val="18"/>
                <w:szCs w:val="18"/>
                <w:highlight w:val="none"/>
              </w:rPr>
            </w:pPr>
          </w:p>
        </w:tc>
        <w:tc>
          <w:tcPr>
            <w:tcW w:w="604" w:type="pct"/>
            <w:shd w:val="clear" w:color="auto" w:fill="auto"/>
            <w:vAlign w:val="center"/>
          </w:tcPr>
          <w:p w14:paraId="3A8AC13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小计</w:t>
            </w:r>
          </w:p>
        </w:tc>
        <w:tc>
          <w:tcPr>
            <w:tcW w:w="1044" w:type="pct"/>
            <w:shd w:val="clear" w:color="auto" w:fill="auto"/>
            <w:vAlign w:val="center"/>
          </w:tcPr>
          <w:p w14:paraId="356F34C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2023年发行</w:t>
            </w:r>
          </w:p>
        </w:tc>
        <w:tc>
          <w:tcPr>
            <w:tcW w:w="374" w:type="pct"/>
            <w:shd w:val="clear" w:color="auto" w:fill="auto"/>
            <w:noWrap/>
            <w:vAlign w:val="center"/>
          </w:tcPr>
          <w:p w14:paraId="111D4A36">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2024年发行</w:t>
            </w:r>
          </w:p>
        </w:tc>
        <w:tc>
          <w:tcPr>
            <w:tcW w:w="687" w:type="pct"/>
            <w:shd w:val="clear" w:color="auto" w:fill="auto"/>
            <w:noWrap/>
            <w:vAlign w:val="center"/>
          </w:tcPr>
          <w:p w14:paraId="4FAA6930">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2025年发行</w:t>
            </w:r>
          </w:p>
        </w:tc>
        <w:tc>
          <w:tcPr>
            <w:tcW w:w="687" w:type="pct"/>
            <w:shd w:val="clear" w:color="auto" w:fill="auto"/>
            <w:noWrap/>
            <w:vAlign w:val="center"/>
          </w:tcPr>
          <w:p w14:paraId="63496BF1">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2026年发行</w:t>
            </w:r>
          </w:p>
        </w:tc>
      </w:tr>
      <w:tr w14:paraId="707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shd w:val="clear" w:color="auto" w:fill="auto"/>
            <w:noWrap/>
            <w:vAlign w:val="center"/>
          </w:tcPr>
          <w:p w14:paraId="7290AA6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659" w:type="pct"/>
            <w:shd w:val="clear" w:color="auto" w:fill="auto"/>
            <w:noWrap/>
          </w:tcPr>
          <w:p w14:paraId="399360E7">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53,420.00</w:t>
            </w:r>
          </w:p>
        </w:tc>
        <w:tc>
          <w:tcPr>
            <w:tcW w:w="604" w:type="pct"/>
            <w:shd w:val="clear" w:color="auto" w:fill="auto"/>
            <w:noWrap/>
          </w:tcPr>
          <w:p w14:paraId="63D5EB89">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29,420.00</w:t>
            </w:r>
          </w:p>
        </w:tc>
        <w:tc>
          <w:tcPr>
            <w:tcW w:w="604" w:type="pct"/>
            <w:shd w:val="clear" w:color="auto" w:fill="auto"/>
          </w:tcPr>
          <w:p w14:paraId="6894AEDF">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24,000.00</w:t>
            </w:r>
          </w:p>
        </w:tc>
        <w:tc>
          <w:tcPr>
            <w:tcW w:w="1044" w:type="pct"/>
            <w:shd w:val="clear" w:color="auto" w:fill="auto"/>
            <w:noWrap/>
          </w:tcPr>
          <w:p w14:paraId="491AE880">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1,000.00</w:t>
            </w:r>
          </w:p>
        </w:tc>
        <w:tc>
          <w:tcPr>
            <w:tcW w:w="374" w:type="pct"/>
            <w:shd w:val="clear" w:color="auto" w:fill="auto"/>
            <w:noWrap/>
          </w:tcPr>
          <w:p w14:paraId="5797E8E5">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4,000.00</w:t>
            </w:r>
          </w:p>
        </w:tc>
        <w:tc>
          <w:tcPr>
            <w:tcW w:w="687" w:type="pct"/>
            <w:shd w:val="clear" w:color="auto" w:fill="auto"/>
            <w:noWrap/>
          </w:tcPr>
          <w:p w14:paraId="7377DC64">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15,000.00</w:t>
            </w:r>
          </w:p>
        </w:tc>
        <w:tc>
          <w:tcPr>
            <w:tcW w:w="687" w:type="pct"/>
            <w:shd w:val="clear" w:color="auto" w:fill="auto"/>
            <w:noWrap/>
          </w:tcPr>
          <w:p w14:paraId="0CC09B45">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4,000.00</w:t>
            </w:r>
          </w:p>
        </w:tc>
      </w:tr>
    </w:tbl>
    <w:p w14:paraId="23E6CAA5">
      <w:pPr>
        <w:pStyle w:val="20"/>
        <w:spacing w:before="156" w:beforeLines="50" w:beforeAutospacing="0" w:after="156" w:afterLines="50" w:afterAutospacing="0" w:line="360" w:lineRule="auto"/>
        <w:ind w:firstLine="480" w:firstLineChars="200"/>
        <w:jc w:val="both"/>
        <w:rPr>
          <w:sz w:val="24"/>
          <w:szCs w:val="24"/>
        </w:rPr>
      </w:pPr>
      <w:r>
        <w:rPr>
          <w:rFonts w:hint="eastAsia"/>
          <w:sz w:val="24"/>
          <w:szCs w:val="24"/>
          <w:highlight w:val="none"/>
        </w:rPr>
        <w:t>按照发行方案及筹资计划，本次拟发行项目的总投资估算为</w:t>
      </w:r>
      <w:r>
        <w:rPr>
          <w:sz w:val="24"/>
          <w:szCs w:val="24"/>
          <w:highlight w:val="none"/>
        </w:rPr>
        <w:t>53,420.00</w:t>
      </w:r>
      <w:r>
        <w:rPr>
          <w:rFonts w:hint="eastAsia"/>
          <w:sz w:val="24"/>
          <w:szCs w:val="24"/>
          <w:highlight w:val="none"/>
        </w:rPr>
        <w:t>万元，通过自筹资金、申请专项债券等途径解决，其一，自筹资金</w:t>
      </w:r>
      <w:r>
        <w:rPr>
          <w:sz w:val="24"/>
          <w:szCs w:val="24"/>
          <w:highlight w:val="none"/>
        </w:rPr>
        <w:t>29,420.00</w:t>
      </w:r>
      <w:r>
        <w:rPr>
          <w:rFonts w:hint="eastAsia"/>
          <w:sz w:val="24"/>
          <w:szCs w:val="24"/>
          <w:highlight w:val="none"/>
        </w:rPr>
        <w:t>万元；其二，拟发行专项债券</w:t>
      </w:r>
      <w:r>
        <w:rPr>
          <w:sz w:val="24"/>
          <w:szCs w:val="24"/>
          <w:highlight w:val="none"/>
        </w:rPr>
        <w:t>24,000.00</w:t>
      </w:r>
      <w:r>
        <w:rPr>
          <w:rFonts w:hint="eastAsia"/>
          <w:sz w:val="24"/>
          <w:szCs w:val="24"/>
          <w:highlight w:val="none"/>
        </w:rPr>
        <w:t>万元，发行期限</w:t>
      </w:r>
      <w:r>
        <w:rPr>
          <w:sz w:val="24"/>
          <w:szCs w:val="24"/>
          <w:highlight w:val="none"/>
        </w:rPr>
        <w:t>7</w:t>
      </w:r>
      <w:r>
        <w:rPr>
          <w:rFonts w:hint="eastAsia"/>
          <w:sz w:val="24"/>
          <w:szCs w:val="24"/>
          <w:highlight w:val="none"/>
        </w:rPr>
        <w:t>年，其中，202</w:t>
      </w:r>
      <w:r>
        <w:rPr>
          <w:sz w:val="24"/>
          <w:szCs w:val="24"/>
          <w:highlight w:val="none"/>
        </w:rPr>
        <w:t>3</w:t>
      </w:r>
      <w:r>
        <w:rPr>
          <w:rFonts w:hint="eastAsia"/>
          <w:sz w:val="24"/>
          <w:szCs w:val="24"/>
          <w:highlight w:val="none"/>
        </w:rPr>
        <w:t>年已发行</w:t>
      </w:r>
      <w:r>
        <w:rPr>
          <w:sz w:val="24"/>
          <w:szCs w:val="24"/>
          <w:highlight w:val="none"/>
        </w:rPr>
        <w:t>1,000.00</w:t>
      </w:r>
      <w:r>
        <w:rPr>
          <w:rFonts w:hint="eastAsia"/>
          <w:sz w:val="24"/>
          <w:szCs w:val="24"/>
          <w:highlight w:val="none"/>
        </w:rPr>
        <w:t>万元，202</w:t>
      </w:r>
      <w:r>
        <w:rPr>
          <w:sz w:val="24"/>
          <w:szCs w:val="24"/>
          <w:highlight w:val="none"/>
        </w:rPr>
        <w:t>4</w:t>
      </w:r>
      <w:r>
        <w:rPr>
          <w:rFonts w:hint="eastAsia"/>
          <w:sz w:val="24"/>
          <w:szCs w:val="24"/>
          <w:highlight w:val="none"/>
        </w:rPr>
        <w:t>年计划发行</w:t>
      </w:r>
      <w:r>
        <w:rPr>
          <w:sz w:val="24"/>
          <w:szCs w:val="24"/>
          <w:highlight w:val="none"/>
        </w:rPr>
        <w:t>4,000.00</w:t>
      </w:r>
      <w:r>
        <w:rPr>
          <w:rFonts w:hint="eastAsia"/>
          <w:sz w:val="24"/>
          <w:szCs w:val="24"/>
          <w:highlight w:val="none"/>
        </w:rPr>
        <w:t>万元，20</w:t>
      </w:r>
      <w:r>
        <w:rPr>
          <w:sz w:val="24"/>
          <w:szCs w:val="24"/>
          <w:highlight w:val="none"/>
        </w:rPr>
        <w:t>25</w:t>
      </w:r>
      <w:r>
        <w:rPr>
          <w:rFonts w:hint="eastAsia"/>
          <w:sz w:val="24"/>
          <w:szCs w:val="24"/>
          <w:highlight w:val="none"/>
        </w:rPr>
        <w:t>年计划发行</w:t>
      </w:r>
      <w:r>
        <w:rPr>
          <w:sz w:val="24"/>
          <w:szCs w:val="24"/>
          <w:highlight w:val="none"/>
        </w:rPr>
        <w:t>15,000.00</w:t>
      </w:r>
      <w:r>
        <w:rPr>
          <w:rFonts w:hint="eastAsia"/>
          <w:sz w:val="24"/>
          <w:szCs w:val="24"/>
          <w:highlight w:val="none"/>
        </w:rPr>
        <w:t>万元，202</w:t>
      </w:r>
      <w:r>
        <w:rPr>
          <w:sz w:val="24"/>
          <w:szCs w:val="24"/>
          <w:highlight w:val="none"/>
        </w:rPr>
        <w:t>6</w:t>
      </w:r>
      <w:r>
        <w:rPr>
          <w:rFonts w:hint="eastAsia"/>
          <w:sz w:val="24"/>
          <w:szCs w:val="24"/>
          <w:highlight w:val="none"/>
        </w:rPr>
        <w:t>年计划发行</w:t>
      </w:r>
      <w:r>
        <w:rPr>
          <w:sz w:val="24"/>
          <w:szCs w:val="24"/>
          <w:highlight w:val="none"/>
        </w:rPr>
        <w:t>4,000.00</w:t>
      </w:r>
      <w:r>
        <w:rPr>
          <w:rFonts w:hint="eastAsia"/>
          <w:sz w:val="24"/>
          <w:szCs w:val="24"/>
          <w:highlight w:val="none"/>
        </w:rPr>
        <w:t>万元。</w:t>
      </w:r>
    </w:p>
    <w:p w14:paraId="7D910949">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根据《东新乡大洲村三期安置房（城市棚户区改造）项目可行性研究报告》（以下简称“可研报告”），东新乡大洲村三期安置房（城市棚户区改造）项目项目建设内容为：该项目总用地面积80.99亩，总建筑面积约151326.36平方米，计容建筑面积118651.87平方米，不计容建筑面积32674.49平方米，机动车停车位1250个，非机动车停车位680个。主要建设内容为住宅、幼儿园、农贸市场、沿街商业、社区用房、养老服务用房及其他配套用房，包括建筑装饰工程、电气工程、给排水工程、暖通工程等。根据可研报告及其批复，本项目静态总投资估算详见表1-1；项目建设期内的年度资金计划表详见表1-2。</w:t>
      </w:r>
    </w:p>
    <w:p w14:paraId="39C10311">
      <w:pPr>
        <w:pStyle w:val="20"/>
        <w:spacing w:before="0" w:beforeAutospacing="0" w:after="156" w:afterLines="50" w:afterAutospacing="0" w:line="360" w:lineRule="exact"/>
        <w:ind w:firstLine="420" w:firstLineChars="200"/>
        <w:jc w:val="center"/>
        <w:rPr>
          <w:sz w:val="21"/>
          <w:szCs w:val="21"/>
        </w:rPr>
      </w:pPr>
      <w:r>
        <w:rPr>
          <w:rFonts w:hint="eastAsia"/>
          <w:b/>
          <w:sz w:val="21"/>
          <w:szCs w:val="21"/>
        </w:rPr>
        <w:t>表1-</w:t>
      </w:r>
      <w:r>
        <w:rPr>
          <w:b/>
          <w:sz w:val="21"/>
          <w:szCs w:val="21"/>
        </w:rPr>
        <w:t xml:space="preserve">1  </w:t>
      </w:r>
      <w:r>
        <w:rPr>
          <w:rFonts w:hint="eastAsia"/>
          <w:b/>
          <w:sz w:val="21"/>
          <w:szCs w:val="21"/>
        </w:rPr>
        <w:t>项目静态总投资估算表</w:t>
      </w:r>
    </w:p>
    <w:p w14:paraId="0FD1669B">
      <w:pPr>
        <w:pStyle w:val="20"/>
        <w:spacing w:before="0" w:beforeAutospacing="0" w:after="156" w:afterLines="50" w:afterAutospacing="0" w:line="360" w:lineRule="exact"/>
        <w:ind w:firstLine="360" w:firstLineChars="200"/>
        <w:jc w:val="right"/>
        <w:rPr>
          <w:sz w:val="21"/>
          <w:szCs w:val="21"/>
        </w:rPr>
      </w:pPr>
      <w:r>
        <w:rPr>
          <w:rFonts w:hint="eastAsia"/>
          <w:sz w:val="18"/>
          <w:szCs w:val="18"/>
        </w:rPr>
        <w:t>单位：万元</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3548"/>
        <w:gridCol w:w="3248"/>
      </w:tblGrid>
      <w:tr w14:paraId="4519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2" w:type="pct"/>
            <w:shd w:val="clear" w:color="auto" w:fill="auto"/>
            <w:noWrap/>
            <w:vAlign w:val="center"/>
          </w:tcPr>
          <w:p w14:paraId="54986AF7">
            <w:pPr>
              <w:widowControl/>
              <w:jc w:val="center"/>
              <w:rPr>
                <w:rFonts w:ascii="宋体" w:hAnsi="宋体" w:cs="宋体"/>
                <w:b/>
                <w:bCs/>
                <w:kern w:val="0"/>
                <w:sz w:val="18"/>
                <w:szCs w:val="18"/>
              </w:rPr>
            </w:pPr>
            <w:r>
              <w:rPr>
                <w:rFonts w:hint="eastAsia" w:ascii="宋体" w:hAnsi="宋体" w:cs="宋体"/>
                <w:b/>
                <w:bCs/>
                <w:kern w:val="0"/>
                <w:sz w:val="18"/>
                <w:szCs w:val="18"/>
              </w:rPr>
              <w:t>序号</w:t>
            </w:r>
          </w:p>
        </w:tc>
        <w:tc>
          <w:tcPr>
            <w:tcW w:w="2035" w:type="pct"/>
            <w:shd w:val="clear" w:color="auto" w:fill="auto"/>
            <w:noWrap/>
            <w:vAlign w:val="center"/>
          </w:tcPr>
          <w:p w14:paraId="4FE3F672">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1864" w:type="pct"/>
            <w:shd w:val="clear" w:color="auto" w:fill="auto"/>
            <w:noWrap/>
            <w:vAlign w:val="center"/>
          </w:tcPr>
          <w:p w14:paraId="15B50CE3">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47D8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102" w:type="pct"/>
            <w:shd w:val="clear" w:color="auto" w:fill="auto"/>
            <w:noWrap/>
            <w:vAlign w:val="center"/>
          </w:tcPr>
          <w:p w14:paraId="1ED69BBF">
            <w:pPr>
              <w:widowControl/>
              <w:jc w:val="center"/>
              <w:rPr>
                <w:rFonts w:ascii="宋体" w:hAnsi="宋体" w:cs="宋体"/>
                <w:kern w:val="0"/>
                <w:sz w:val="18"/>
                <w:szCs w:val="18"/>
              </w:rPr>
            </w:pPr>
            <w:r>
              <w:rPr>
                <w:rFonts w:hint="eastAsia" w:ascii="宋体" w:hAnsi="宋体" w:cs="宋体"/>
                <w:kern w:val="0"/>
                <w:sz w:val="18"/>
                <w:szCs w:val="18"/>
              </w:rPr>
              <w:t>1</w:t>
            </w:r>
          </w:p>
        </w:tc>
        <w:tc>
          <w:tcPr>
            <w:tcW w:w="2035" w:type="pct"/>
            <w:shd w:val="clear" w:color="auto" w:fill="auto"/>
            <w:vAlign w:val="center"/>
          </w:tcPr>
          <w:p w14:paraId="0A4D0FC1">
            <w:pPr>
              <w:widowControl/>
              <w:jc w:val="center"/>
              <w:rPr>
                <w:rFonts w:ascii="宋体" w:hAnsi="宋体" w:cs="宋体"/>
                <w:kern w:val="0"/>
                <w:sz w:val="18"/>
                <w:szCs w:val="18"/>
              </w:rPr>
            </w:pPr>
            <w:r>
              <w:rPr>
                <w:rFonts w:hint="eastAsia" w:ascii="宋体" w:hAnsi="宋体" w:cs="宋体"/>
                <w:kern w:val="0"/>
                <w:sz w:val="18"/>
                <w:szCs w:val="18"/>
              </w:rPr>
              <w:t>工程费用</w:t>
            </w:r>
          </w:p>
        </w:tc>
        <w:tc>
          <w:tcPr>
            <w:tcW w:w="1864" w:type="pct"/>
            <w:shd w:val="clear" w:color="auto" w:fill="auto"/>
          </w:tcPr>
          <w:p w14:paraId="682E4BFB">
            <w:pPr>
              <w:widowControl/>
              <w:jc w:val="center"/>
              <w:rPr>
                <w:rFonts w:ascii="宋体" w:hAnsi="宋体" w:cs="宋体"/>
                <w:kern w:val="0"/>
                <w:sz w:val="18"/>
                <w:szCs w:val="18"/>
              </w:rPr>
            </w:pPr>
            <w:r>
              <w:rPr>
                <w:rFonts w:ascii="宋体" w:hAnsi="宋体" w:cs="宋体"/>
                <w:kern w:val="0"/>
                <w:sz w:val="18"/>
                <w:szCs w:val="18"/>
              </w:rPr>
              <w:t xml:space="preserve"> 45,220.00 </w:t>
            </w:r>
          </w:p>
        </w:tc>
      </w:tr>
      <w:tr w14:paraId="1908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2" w:type="pct"/>
            <w:shd w:val="clear" w:color="auto" w:fill="auto"/>
            <w:noWrap/>
            <w:vAlign w:val="center"/>
          </w:tcPr>
          <w:p w14:paraId="3D79FFBD">
            <w:pPr>
              <w:widowControl/>
              <w:jc w:val="center"/>
              <w:rPr>
                <w:rFonts w:ascii="宋体" w:hAnsi="宋体" w:cs="宋体"/>
                <w:kern w:val="0"/>
                <w:sz w:val="18"/>
                <w:szCs w:val="18"/>
              </w:rPr>
            </w:pPr>
            <w:r>
              <w:rPr>
                <w:rFonts w:hint="eastAsia" w:ascii="宋体" w:hAnsi="宋体" w:cs="宋体"/>
                <w:kern w:val="0"/>
                <w:sz w:val="18"/>
                <w:szCs w:val="18"/>
              </w:rPr>
              <w:t>2</w:t>
            </w:r>
          </w:p>
        </w:tc>
        <w:tc>
          <w:tcPr>
            <w:tcW w:w="2035" w:type="pct"/>
            <w:shd w:val="clear" w:color="auto" w:fill="auto"/>
            <w:vAlign w:val="center"/>
          </w:tcPr>
          <w:p w14:paraId="6568B2E8">
            <w:pPr>
              <w:widowControl/>
              <w:jc w:val="center"/>
              <w:rPr>
                <w:rFonts w:ascii="宋体" w:hAnsi="宋体" w:cs="宋体"/>
                <w:kern w:val="0"/>
                <w:sz w:val="18"/>
                <w:szCs w:val="18"/>
              </w:rPr>
            </w:pPr>
            <w:r>
              <w:rPr>
                <w:rFonts w:hint="eastAsia" w:ascii="宋体" w:hAnsi="宋体" w:cs="宋体"/>
                <w:kern w:val="0"/>
                <w:sz w:val="18"/>
                <w:szCs w:val="18"/>
              </w:rPr>
              <w:t>工程建设其他费用</w:t>
            </w:r>
          </w:p>
        </w:tc>
        <w:tc>
          <w:tcPr>
            <w:tcW w:w="1864" w:type="pct"/>
            <w:shd w:val="clear" w:color="auto" w:fill="auto"/>
          </w:tcPr>
          <w:p w14:paraId="4D69D029">
            <w:pPr>
              <w:widowControl/>
              <w:jc w:val="center"/>
              <w:rPr>
                <w:rFonts w:ascii="宋体" w:hAnsi="宋体" w:cs="宋体"/>
                <w:kern w:val="0"/>
                <w:sz w:val="18"/>
                <w:szCs w:val="18"/>
              </w:rPr>
            </w:pPr>
            <w:r>
              <w:rPr>
                <w:rFonts w:ascii="宋体" w:hAnsi="宋体" w:cs="宋体"/>
                <w:kern w:val="0"/>
                <w:sz w:val="18"/>
                <w:szCs w:val="18"/>
              </w:rPr>
              <w:t xml:space="preserve"> 5,200.00 </w:t>
            </w:r>
          </w:p>
        </w:tc>
      </w:tr>
      <w:tr w14:paraId="21DD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102" w:type="pct"/>
            <w:shd w:val="clear" w:color="auto" w:fill="auto"/>
            <w:noWrap/>
            <w:vAlign w:val="center"/>
          </w:tcPr>
          <w:p w14:paraId="25CAA443">
            <w:pPr>
              <w:widowControl/>
              <w:jc w:val="center"/>
              <w:rPr>
                <w:rFonts w:ascii="宋体" w:hAnsi="宋体" w:cs="宋体"/>
                <w:kern w:val="0"/>
                <w:sz w:val="18"/>
                <w:szCs w:val="18"/>
              </w:rPr>
            </w:pPr>
            <w:r>
              <w:rPr>
                <w:rFonts w:hint="eastAsia" w:ascii="宋体" w:hAnsi="宋体" w:cs="宋体"/>
                <w:kern w:val="0"/>
                <w:sz w:val="18"/>
                <w:szCs w:val="18"/>
              </w:rPr>
              <w:t>3</w:t>
            </w:r>
          </w:p>
        </w:tc>
        <w:tc>
          <w:tcPr>
            <w:tcW w:w="2035" w:type="pct"/>
            <w:shd w:val="clear" w:color="auto" w:fill="auto"/>
            <w:vAlign w:val="center"/>
          </w:tcPr>
          <w:p w14:paraId="2A4021C3">
            <w:pPr>
              <w:widowControl/>
              <w:jc w:val="center"/>
              <w:rPr>
                <w:rFonts w:ascii="宋体" w:hAnsi="宋体" w:cs="宋体"/>
                <w:kern w:val="0"/>
                <w:sz w:val="18"/>
                <w:szCs w:val="18"/>
              </w:rPr>
            </w:pPr>
            <w:r>
              <w:rPr>
                <w:rFonts w:hint="eastAsia" w:ascii="宋体" w:hAnsi="宋体" w:cs="宋体"/>
                <w:kern w:val="0"/>
                <w:sz w:val="18"/>
                <w:szCs w:val="18"/>
              </w:rPr>
              <w:t>预备费</w:t>
            </w:r>
          </w:p>
        </w:tc>
        <w:tc>
          <w:tcPr>
            <w:tcW w:w="1864" w:type="pct"/>
            <w:shd w:val="clear" w:color="auto" w:fill="auto"/>
          </w:tcPr>
          <w:p w14:paraId="29E7AE44">
            <w:pPr>
              <w:widowControl/>
              <w:jc w:val="center"/>
              <w:rPr>
                <w:rFonts w:ascii="宋体" w:hAnsi="宋体" w:cs="宋体"/>
                <w:kern w:val="0"/>
                <w:sz w:val="18"/>
                <w:szCs w:val="18"/>
              </w:rPr>
            </w:pPr>
            <w:r>
              <w:rPr>
                <w:rFonts w:ascii="宋体" w:hAnsi="宋体" w:cs="宋体"/>
                <w:kern w:val="0"/>
                <w:sz w:val="18"/>
                <w:szCs w:val="18"/>
              </w:rPr>
              <w:t xml:space="preserve"> 3,000.00 </w:t>
            </w:r>
          </w:p>
        </w:tc>
      </w:tr>
      <w:tr w14:paraId="695E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136" w:type="pct"/>
            <w:gridSpan w:val="2"/>
            <w:shd w:val="clear" w:color="auto" w:fill="auto"/>
            <w:noWrap/>
            <w:vAlign w:val="center"/>
          </w:tcPr>
          <w:p w14:paraId="2D2FEB1C">
            <w:pPr>
              <w:widowControl/>
              <w:jc w:val="center"/>
              <w:rPr>
                <w:rFonts w:ascii="宋体" w:hAnsi="宋体" w:cs="宋体"/>
                <w:b/>
                <w:bCs/>
                <w:kern w:val="0"/>
                <w:sz w:val="18"/>
                <w:szCs w:val="18"/>
              </w:rPr>
            </w:pPr>
            <w:r>
              <w:rPr>
                <w:rFonts w:hint="eastAsia" w:ascii="宋体" w:hAnsi="宋体" w:cs="宋体"/>
                <w:b/>
                <w:bCs/>
                <w:kern w:val="0"/>
                <w:sz w:val="18"/>
                <w:szCs w:val="18"/>
              </w:rPr>
              <w:t>项目静态总投资</w:t>
            </w:r>
          </w:p>
        </w:tc>
        <w:tc>
          <w:tcPr>
            <w:tcW w:w="1864" w:type="pct"/>
            <w:shd w:val="clear" w:color="auto" w:fill="auto"/>
            <w:vAlign w:val="center"/>
          </w:tcPr>
          <w:p w14:paraId="3C66725F">
            <w:pPr>
              <w:widowControl/>
              <w:jc w:val="center"/>
              <w:textAlignment w:val="center"/>
              <w:rPr>
                <w:rFonts w:ascii="宋体" w:hAnsi="宋体" w:cs="宋体"/>
                <w:b/>
                <w:bCs/>
                <w:kern w:val="0"/>
                <w:sz w:val="18"/>
                <w:szCs w:val="18"/>
              </w:rPr>
            </w:pPr>
            <w:r>
              <w:rPr>
                <w:rFonts w:ascii="宋体" w:hAnsi="宋体" w:cs="宋体"/>
                <w:b/>
                <w:bCs/>
                <w:color w:val="000000"/>
                <w:kern w:val="0"/>
                <w:sz w:val="18"/>
                <w:szCs w:val="18"/>
                <w:lang w:bidi="ar"/>
              </w:rPr>
              <w:t>53,420.00</w:t>
            </w:r>
          </w:p>
        </w:tc>
      </w:tr>
    </w:tbl>
    <w:p w14:paraId="7DFC16E0">
      <w:pPr>
        <w:spacing w:before="156" w:beforeLines="50" w:line="360" w:lineRule="auto"/>
        <w:ind w:firstLine="420" w:firstLineChars="200"/>
        <w:jc w:val="center"/>
        <w:rPr>
          <w:rFonts w:ascii="宋体" w:hAnsi="宋体" w:cs="仿宋"/>
          <w:b/>
          <w:bCs/>
          <w:szCs w:val="28"/>
        </w:rPr>
      </w:pPr>
    </w:p>
    <w:p w14:paraId="05A3A665">
      <w:pPr>
        <w:spacing w:before="156" w:beforeLines="50" w:line="360" w:lineRule="auto"/>
        <w:ind w:firstLine="420" w:firstLineChars="200"/>
        <w:jc w:val="center"/>
        <w:rPr>
          <w:rFonts w:ascii="宋体" w:hAnsi="宋体" w:cs="仿宋"/>
          <w:b/>
          <w:bCs/>
          <w:szCs w:val="28"/>
        </w:rPr>
      </w:pPr>
      <w:r>
        <w:rPr>
          <w:rFonts w:hint="eastAsia" w:ascii="宋体" w:hAnsi="宋体" w:cs="仿宋"/>
          <w:b/>
          <w:bCs/>
          <w:szCs w:val="28"/>
        </w:rPr>
        <w:t>表1-2</w:t>
      </w:r>
      <w:r>
        <w:rPr>
          <w:rFonts w:ascii="宋体" w:hAnsi="宋体" w:cs="仿宋"/>
          <w:b/>
          <w:bCs/>
          <w:szCs w:val="28"/>
        </w:rPr>
        <w:t xml:space="preserve"> </w:t>
      </w:r>
      <w:r>
        <w:rPr>
          <w:rFonts w:hint="eastAsia" w:ascii="宋体" w:hAnsi="宋体" w:cs="仿宋"/>
          <w:b/>
          <w:bCs/>
          <w:szCs w:val="28"/>
        </w:rPr>
        <w:t xml:space="preserve"> 项目分年度支出计划表</w:t>
      </w:r>
    </w:p>
    <w:p w14:paraId="413DBD45">
      <w:pPr>
        <w:ind w:firstLine="360" w:firstLineChars="200"/>
        <w:jc w:val="right"/>
        <w:rPr>
          <w:rFonts w:ascii="宋体" w:hAnsi="宋体" w:cs="仿宋"/>
          <w:b/>
          <w:bCs/>
          <w:sz w:val="18"/>
          <w:szCs w:val="18"/>
        </w:rPr>
      </w:pPr>
      <w:r>
        <w:rPr>
          <w:rFonts w:hint="eastAsia"/>
          <w:sz w:val="18"/>
          <w:szCs w:val="18"/>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939"/>
        <w:gridCol w:w="1292"/>
        <w:gridCol w:w="1280"/>
        <w:gridCol w:w="1227"/>
        <w:gridCol w:w="1098"/>
        <w:gridCol w:w="1206"/>
      </w:tblGrid>
      <w:tr w14:paraId="1DB4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7" w:type="pct"/>
            <w:shd w:val="clear" w:color="auto" w:fill="auto"/>
            <w:vAlign w:val="center"/>
          </w:tcPr>
          <w:p w14:paraId="459F3CAE">
            <w:pPr>
              <w:widowControl/>
              <w:jc w:val="center"/>
              <w:rPr>
                <w:rFonts w:ascii="宋体" w:hAnsi="宋体" w:cs="宋体"/>
                <w:b/>
                <w:bCs/>
                <w:kern w:val="0"/>
                <w:sz w:val="18"/>
                <w:szCs w:val="18"/>
              </w:rPr>
            </w:pPr>
            <w:r>
              <w:rPr>
                <w:rFonts w:hint="eastAsia" w:ascii="宋体" w:hAnsi="宋体" w:cs="宋体"/>
                <w:b/>
                <w:bCs/>
                <w:sz w:val="18"/>
                <w:szCs w:val="18"/>
              </w:rPr>
              <w:t>序号</w:t>
            </w:r>
          </w:p>
        </w:tc>
        <w:tc>
          <w:tcPr>
            <w:tcW w:w="1112" w:type="pct"/>
            <w:shd w:val="clear" w:color="auto" w:fill="auto"/>
            <w:vAlign w:val="center"/>
          </w:tcPr>
          <w:p w14:paraId="6169CB29">
            <w:pPr>
              <w:jc w:val="center"/>
              <w:rPr>
                <w:rFonts w:ascii="宋体" w:hAnsi="宋体" w:cs="宋体"/>
                <w:b/>
                <w:bCs/>
                <w:sz w:val="18"/>
                <w:szCs w:val="18"/>
              </w:rPr>
            </w:pPr>
            <w:r>
              <w:rPr>
                <w:rFonts w:hint="eastAsia" w:ascii="宋体" w:hAnsi="宋体" w:cs="宋体"/>
                <w:b/>
                <w:bCs/>
                <w:sz w:val="18"/>
                <w:szCs w:val="18"/>
              </w:rPr>
              <w:t>费用类型</w:t>
            </w:r>
          </w:p>
        </w:tc>
        <w:tc>
          <w:tcPr>
            <w:tcW w:w="741" w:type="pct"/>
            <w:shd w:val="clear" w:color="auto" w:fill="auto"/>
            <w:vAlign w:val="center"/>
          </w:tcPr>
          <w:p w14:paraId="71A2F982">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小计</w:t>
            </w:r>
          </w:p>
        </w:tc>
        <w:tc>
          <w:tcPr>
            <w:tcW w:w="734" w:type="pct"/>
            <w:vAlign w:val="center"/>
          </w:tcPr>
          <w:p w14:paraId="53DB80DA">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2023年</w:t>
            </w:r>
          </w:p>
        </w:tc>
        <w:tc>
          <w:tcPr>
            <w:tcW w:w="704" w:type="pct"/>
            <w:shd w:val="clear" w:color="auto" w:fill="auto"/>
            <w:vAlign w:val="center"/>
          </w:tcPr>
          <w:p w14:paraId="01076733">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2024年</w:t>
            </w:r>
          </w:p>
        </w:tc>
        <w:tc>
          <w:tcPr>
            <w:tcW w:w="630" w:type="pct"/>
            <w:shd w:val="clear" w:color="auto" w:fill="auto"/>
            <w:vAlign w:val="center"/>
          </w:tcPr>
          <w:p w14:paraId="202785FC">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2025年</w:t>
            </w:r>
          </w:p>
        </w:tc>
        <w:tc>
          <w:tcPr>
            <w:tcW w:w="692" w:type="pct"/>
            <w:shd w:val="clear" w:color="auto" w:fill="auto"/>
            <w:vAlign w:val="center"/>
          </w:tcPr>
          <w:p w14:paraId="4F26A2FD">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2026年</w:t>
            </w:r>
          </w:p>
        </w:tc>
      </w:tr>
      <w:tr w14:paraId="2321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7" w:type="pct"/>
            <w:shd w:val="clear" w:color="auto" w:fill="auto"/>
            <w:vAlign w:val="center"/>
          </w:tcPr>
          <w:p w14:paraId="64E77586">
            <w:pPr>
              <w:jc w:val="center"/>
              <w:rPr>
                <w:rFonts w:ascii="宋体" w:hAnsi="宋体" w:cs="宋体"/>
                <w:b/>
                <w:bCs/>
                <w:sz w:val="18"/>
                <w:szCs w:val="18"/>
              </w:rPr>
            </w:pPr>
            <w:r>
              <w:rPr>
                <w:rFonts w:hint="eastAsia" w:ascii="宋体" w:hAnsi="宋体" w:cs="宋体"/>
                <w:b/>
                <w:bCs/>
                <w:sz w:val="18"/>
                <w:szCs w:val="18"/>
              </w:rPr>
              <w:t>1</w:t>
            </w:r>
          </w:p>
        </w:tc>
        <w:tc>
          <w:tcPr>
            <w:tcW w:w="1112" w:type="pct"/>
            <w:shd w:val="clear" w:color="auto" w:fill="auto"/>
            <w:vAlign w:val="center"/>
          </w:tcPr>
          <w:p w14:paraId="1E562BF3">
            <w:pPr>
              <w:jc w:val="center"/>
              <w:rPr>
                <w:rFonts w:ascii="宋体" w:hAnsi="宋体" w:cs="宋体"/>
                <w:sz w:val="18"/>
                <w:szCs w:val="18"/>
              </w:rPr>
            </w:pPr>
            <w:r>
              <w:rPr>
                <w:rFonts w:hint="eastAsia" w:ascii="宋体" w:hAnsi="宋体" w:cs="宋体"/>
                <w:sz w:val="18"/>
                <w:szCs w:val="18"/>
              </w:rPr>
              <w:t>工程费用</w:t>
            </w:r>
          </w:p>
        </w:tc>
        <w:tc>
          <w:tcPr>
            <w:tcW w:w="741" w:type="pct"/>
            <w:shd w:val="clear" w:color="auto" w:fill="auto"/>
            <w:vAlign w:val="center"/>
          </w:tcPr>
          <w:p w14:paraId="1B105F09">
            <w:pPr>
              <w:jc w:val="center"/>
              <w:rPr>
                <w:rFonts w:ascii="宋体" w:hAnsi="宋体" w:cs="宋体"/>
                <w:sz w:val="18"/>
                <w:szCs w:val="18"/>
              </w:rPr>
            </w:pPr>
            <w:r>
              <w:rPr>
                <w:rFonts w:ascii="宋体" w:hAnsi="宋体" w:cs="宋体"/>
                <w:sz w:val="18"/>
                <w:szCs w:val="18"/>
              </w:rPr>
              <w:t>45,220.00</w:t>
            </w:r>
          </w:p>
        </w:tc>
        <w:tc>
          <w:tcPr>
            <w:tcW w:w="734" w:type="pct"/>
            <w:shd w:val="clear" w:color="auto" w:fill="auto"/>
            <w:vAlign w:val="center"/>
          </w:tcPr>
          <w:p w14:paraId="2A648D6E">
            <w:pPr>
              <w:jc w:val="center"/>
              <w:rPr>
                <w:rFonts w:ascii="宋体" w:hAnsi="宋体" w:cs="宋体"/>
                <w:sz w:val="18"/>
                <w:szCs w:val="18"/>
              </w:rPr>
            </w:pPr>
            <w:r>
              <w:rPr>
                <w:rFonts w:ascii="宋体" w:hAnsi="宋体" w:cs="宋体"/>
                <w:sz w:val="18"/>
                <w:szCs w:val="18"/>
              </w:rPr>
              <w:t>219.00</w:t>
            </w:r>
          </w:p>
        </w:tc>
        <w:tc>
          <w:tcPr>
            <w:tcW w:w="704" w:type="pct"/>
            <w:shd w:val="clear" w:color="auto" w:fill="auto"/>
            <w:vAlign w:val="center"/>
          </w:tcPr>
          <w:p w14:paraId="72F9B36A">
            <w:pPr>
              <w:jc w:val="center"/>
              <w:rPr>
                <w:rFonts w:ascii="宋体" w:hAnsi="宋体" w:cs="宋体"/>
                <w:sz w:val="18"/>
                <w:szCs w:val="18"/>
              </w:rPr>
            </w:pPr>
            <w:r>
              <w:rPr>
                <w:rFonts w:ascii="宋体" w:hAnsi="宋体" w:cs="宋体"/>
                <w:sz w:val="18"/>
                <w:szCs w:val="18"/>
              </w:rPr>
              <w:t>20,000.00</w:t>
            </w:r>
          </w:p>
        </w:tc>
        <w:tc>
          <w:tcPr>
            <w:tcW w:w="630" w:type="pct"/>
            <w:shd w:val="clear" w:color="auto" w:fill="auto"/>
            <w:vAlign w:val="center"/>
          </w:tcPr>
          <w:p w14:paraId="46212537">
            <w:pPr>
              <w:jc w:val="center"/>
              <w:rPr>
                <w:rFonts w:ascii="宋体" w:hAnsi="宋体" w:cs="宋体"/>
                <w:sz w:val="18"/>
                <w:szCs w:val="18"/>
              </w:rPr>
            </w:pPr>
            <w:r>
              <w:rPr>
                <w:rFonts w:ascii="宋体" w:hAnsi="宋体" w:cs="宋体"/>
                <w:sz w:val="18"/>
                <w:szCs w:val="18"/>
              </w:rPr>
              <w:t>20,000.00</w:t>
            </w:r>
          </w:p>
        </w:tc>
        <w:tc>
          <w:tcPr>
            <w:tcW w:w="692" w:type="pct"/>
            <w:shd w:val="clear" w:color="auto" w:fill="auto"/>
            <w:vAlign w:val="center"/>
          </w:tcPr>
          <w:p w14:paraId="5E632DC3">
            <w:pPr>
              <w:jc w:val="center"/>
              <w:rPr>
                <w:rFonts w:ascii="宋体" w:hAnsi="宋体" w:cs="宋体"/>
                <w:sz w:val="18"/>
                <w:szCs w:val="18"/>
              </w:rPr>
            </w:pPr>
            <w:r>
              <w:rPr>
                <w:rFonts w:ascii="宋体" w:hAnsi="宋体" w:cs="宋体"/>
                <w:sz w:val="18"/>
                <w:szCs w:val="18"/>
              </w:rPr>
              <w:t>5,001.00</w:t>
            </w:r>
          </w:p>
        </w:tc>
      </w:tr>
      <w:tr w14:paraId="138E0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7" w:type="pct"/>
            <w:shd w:val="clear" w:color="auto" w:fill="auto"/>
            <w:vAlign w:val="center"/>
          </w:tcPr>
          <w:p w14:paraId="668DC425">
            <w:pPr>
              <w:jc w:val="center"/>
              <w:rPr>
                <w:rFonts w:ascii="宋体" w:hAnsi="宋体" w:cs="宋体"/>
                <w:b/>
                <w:bCs/>
                <w:sz w:val="18"/>
                <w:szCs w:val="18"/>
              </w:rPr>
            </w:pPr>
            <w:r>
              <w:rPr>
                <w:rFonts w:hint="eastAsia" w:ascii="宋体" w:hAnsi="宋体" w:cs="宋体"/>
                <w:b/>
                <w:bCs/>
                <w:sz w:val="18"/>
                <w:szCs w:val="18"/>
              </w:rPr>
              <w:t>2</w:t>
            </w:r>
          </w:p>
        </w:tc>
        <w:tc>
          <w:tcPr>
            <w:tcW w:w="1112" w:type="pct"/>
            <w:shd w:val="clear" w:color="auto" w:fill="auto"/>
            <w:vAlign w:val="center"/>
          </w:tcPr>
          <w:p w14:paraId="0BD4E7A5">
            <w:pPr>
              <w:jc w:val="center"/>
              <w:rPr>
                <w:rFonts w:ascii="宋体" w:hAnsi="宋体" w:cs="宋体"/>
                <w:sz w:val="18"/>
                <w:szCs w:val="18"/>
              </w:rPr>
            </w:pPr>
            <w:r>
              <w:rPr>
                <w:rFonts w:hint="eastAsia" w:ascii="宋体" w:hAnsi="宋体" w:cs="宋体"/>
                <w:sz w:val="18"/>
                <w:szCs w:val="18"/>
              </w:rPr>
              <w:t>工程建设其他费用</w:t>
            </w:r>
          </w:p>
        </w:tc>
        <w:tc>
          <w:tcPr>
            <w:tcW w:w="741" w:type="pct"/>
            <w:shd w:val="clear" w:color="auto" w:fill="auto"/>
            <w:vAlign w:val="center"/>
          </w:tcPr>
          <w:p w14:paraId="0739BFEE">
            <w:pPr>
              <w:jc w:val="center"/>
              <w:rPr>
                <w:rFonts w:ascii="宋体" w:hAnsi="宋体" w:cs="宋体"/>
                <w:sz w:val="18"/>
                <w:szCs w:val="18"/>
              </w:rPr>
            </w:pPr>
            <w:r>
              <w:rPr>
                <w:rFonts w:ascii="宋体" w:hAnsi="宋体" w:cs="宋体"/>
                <w:sz w:val="18"/>
                <w:szCs w:val="18"/>
              </w:rPr>
              <w:t>5,200.00</w:t>
            </w:r>
          </w:p>
        </w:tc>
        <w:tc>
          <w:tcPr>
            <w:tcW w:w="734" w:type="pct"/>
            <w:shd w:val="clear" w:color="auto" w:fill="auto"/>
            <w:vAlign w:val="center"/>
          </w:tcPr>
          <w:p w14:paraId="744CA86E">
            <w:pPr>
              <w:jc w:val="center"/>
              <w:rPr>
                <w:rFonts w:ascii="宋体" w:hAnsi="宋体" w:cs="宋体"/>
                <w:sz w:val="18"/>
                <w:szCs w:val="18"/>
              </w:rPr>
            </w:pPr>
            <w:r>
              <w:rPr>
                <w:rFonts w:ascii="宋体" w:hAnsi="宋体" w:cs="宋体"/>
                <w:sz w:val="18"/>
                <w:szCs w:val="18"/>
              </w:rPr>
              <w:t>500.00</w:t>
            </w:r>
          </w:p>
        </w:tc>
        <w:tc>
          <w:tcPr>
            <w:tcW w:w="704" w:type="pct"/>
            <w:shd w:val="clear" w:color="auto" w:fill="auto"/>
            <w:vAlign w:val="center"/>
          </w:tcPr>
          <w:p w14:paraId="431A862F">
            <w:pPr>
              <w:jc w:val="center"/>
              <w:rPr>
                <w:rFonts w:ascii="宋体" w:hAnsi="宋体" w:cs="宋体"/>
                <w:sz w:val="18"/>
                <w:szCs w:val="18"/>
              </w:rPr>
            </w:pPr>
            <w:r>
              <w:rPr>
                <w:rFonts w:ascii="宋体" w:hAnsi="宋体" w:cs="宋体"/>
                <w:sz w:val="18"/>
                <w:szCs w:val="18"/>
              </w:rPr>
              <w:t>2,100.00</w:t>
            </w:r>
          </w:p>
        </w:tc>
        <w:tc>
          <w:tcPr>
            <w:tcW w:w="630" w:type="pct"/>
            <w:shd w:val="clear" w:color="auto" w:fill="auto"/>
            <w:vAlign w:val="center"/>
          </w:tcPr>
          <w:p w14:paraId="6CEC7A92">
            <w:pPr>
              <w:jc w:val="center"/>
              <w:rPr>
                <w:rFonts w:ascii="宋体" w:hAnsi="宋体" w:cs="宋体"/>
                <w:sz w:val="18"/>
                <w:szCs w:val="18"/>
              </w:rPr>
            </w:pPr>
            <w:r>
              <w:rPr>
                <w:rFonts w:ascii="宋体" w:hAnsi="宋体" w:cs="宋体"/>
                <w:sz w:val="18"/>
                <w:szCs w:val="18"/>
              </w:rPr>
              <w:t>2,100.00</w:t>
            </w:r>
          </w:p>
        </w:tc>
        <w:tc>
          <w:tcPr>
            <w:tcW w:w="692" w:type="pct"/>
            <w:shd w:val="clear" w:color="auto" w:fill="auto"/>
            <w:vAlign w:val="center"/>
          </w:tcPr>
          <w:p w14:paraId="59FE0239">
            <w:pPr>
              <w:jc w:val="center"/>
              <w:rPr>
                <w:rFonts w:ascii="宋体" w:hAnsi="宋体" w:cs="宋体"/>
                <w:sz w:val="18"/>
                <w:szCs w:val="18"/>
              </w:rPr>
            </w:pPr>
            <w:r>
              <w:rPr>
                <w:rFonts w:ascii="宋体" w:hAnsi="宋体" w:cs="宋体"/>
                <w:sz w:val="18"/>
                <w:szCs w:val="18"/>
              </w:rPr>
              <w:t>500.00</w:t>
            </w:r>
          </w:p>
        </w:tc>
      </w:tr>
      <w:tr w14:paraId="139F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7" w:type="pct"/>
            <w:shd w:val="clear" w:color="auto" w:fill="auto"/>
            <w:vAlign w:val="center"/>
          </w:tcPr>
          <w:p w14:paraId="56D3973D">
            <w:pPr>
              <w:jc w:val="center"/>
              <w:rPr>
                <w:rFonts w:ascii="宋体" w:hAnsi="宋体" w:cs="宋体"/>
                <w:b/>
                <w:bCs/>
                <w:sz w:val="18"/>
                <w:szCs w:val="18"/>
              </w:rPr>
            </w:pPr>
            <w:r>
              <w:rPr>
                <w:rFonts w:hint="eastAsia" w:ascii="宋体" w:hAnsi="宋体" w:cs="宋体"/>
                <w:b/>
                <w:bCs/>
                <w:sz w:val="18"/>
                <w:szCs w:val="18"/>
              </w:rPr>
              <w:t>3</w:t>
            </w:r>
          </w:p>
        </w:tc>
        <w:tc>
          <w:tcPr>
            <w:tcW w:w="1112" w:type="pct"/>
            <w:shd w:val="clear" w:color="auto" w:fill="auto"/>
            <w:vAlign w:val="center"/>
          </w:tcPr>
          <w:p w14:paraId="6BA3A715">
            <w:pPr>
              <w:jc w:val="center"/>
              <w:rPr>
                <w:rFonts w:ascii="宋体" w:hAnsi="宋体" w:cs="宋体"/>
                <w:sz w:val="18"/>
                <w:szCs w:val="18"/>
              </w:rPr>
            </w:pPr>
            <w:r>
              <w:rPr>
                <w:rFonts w:hint="eastAsia" w:ascii="宋体" w:hAnsi="宋体" w:cs="宋体"/>
                <w:sz w:val="18"/>
                <w:szCs w:val="18"/>
              </w:rPr>
              <w:t>预备费</w:t>
            </w:r>
          </w:p>
        </w:tc>
        <w:tc>
          <w:tcPr>
            <w:tcW w:w="741" w:type="pct"/>
            <w:shd w:val="clear" w:color="auto" w:fill="auto"/>
            <w:vAlign w:val="center"/>
          </w:tcPr>
          <w:p w14:paraId="4EAC2FA3">
            <w:pPr>
              <w:jc w:val="center"/>
              <w:rPr>
                <w:rFonts w:ascii="宋体" w:hAnsi="宋体" w:cs="宋体"/>
                <w:sz w:val="18"/>
                <w:szCs w:val="18"/>
              </w:rPr>
            </w:pPr>
            <w:r>
              <w:rPr>
                <w:rFonts w:ascii="宋体" w:hAnsi="宋体" w:cs="宋体"/>
                <w:sz w:val="18"/>
                <w:szCs w:val="18"/>
              </w:rPr>
              <w:t>3,000.00</w:t>
            </w:r>
          </w:p>
        </w:tc>
        <w:tc>
          <w:tcPr>
            <w:tcW w:w="734" w:type="pct"/>
            <w:shd w:val="clear" w:color="auto" w:fill="auto"/>
            <w:vAlign w:val="center"/>
          </w:tcPr>
          <w:p w14:paraId="1A4192D1">
            <w:pPr>
              <w:jc w:val="center"/>
              <w:rPr>
                <w:rFonts w:ascii="宋体" w:hAnsi="宋体" w:cs="宋体"/>
                <w:sz w:val="18"/>
                <w:szCs w:val="18"/>
              </w:rPr>
            </w:pPr>
            <w:r>
              <w:rPr>
                <w:rFonts w:ascii="宋体" w:hAnsi="宋体" w:cs="宋体"/>
                <w:sz w:val="18"/>
                <w:szCs w:val="18"/>
              </w:rPr>
              <w:t>500.00</w:t>
            </w:r>
          </w:p>
        </w:tc>
        <w:tc>
          <w:tcPr>
            <w:tcW w:w="704" w:type="pct"/>
            <w:shd w:val="clear" w:color="auto" w:fill="auto"/>
            <w:vAlign w:val="center"/>
          </w:tcPr>
          <w:p w14:paraId="1B6EE545">
            <w:pPr>
              <w:jc w:val="center"/>
              <w:rPr>
                <w:rFonts w:ascii="宋体" w:hAnsi="宋体" w:cs="宋体"/>
                <w:sz w:val="18"/>
                <w:szCs w:val="18"/>
              </w:rPr>
            </w:pPr>
            <w:r>
              <w:rPr>
                <w:rFonts w:ascii="宋体" w:hAnsi="宋体" w:cs="宋体"/>
                <w:sz w:val="18"/>
                <w:szCs w:val="18"/>
              </w:rPr>
              <w:t>1,000.00</w:t>
            </w:r>
          </w:p>
        </w:tc>
        <w:tc>
          <w:tcPr>
            <w:tcW w:w="630" w:type="pct"/>
            <w:shd w:val="clear" w:color="auto" w:fill="auto"/>
            <w:vAlign w:val="center"/>
          </w:tcPr>
          <w:p w14:paraId="49B8FF45">
            <w:pPr>
              <w:jc w:val="center"/>
              <w:rPr>
                <w:rFonts w:ascii="宋体" w:hAnsi="宋体" w:cs="宋体"/>
                <w:sz w:val="18"/>
                <w:szCs w:val="18"/>
              </w:rPr>
            </w:pPr>
            <w:r>
              <w:rPr>
                <w:rFonts w:ascii="宋体" w:hAnsi="宋体" w:cs="宋体"/>
                <w:sz w:val="18"/>
                <w:szCs w:val="18"/>
              </w:rPr>
              <w:t>1,000.00</w:t>
            </w:r>
          </w:p>
        </w:tc>
        <w:tc>
          <w:tcPr>
            <w:tcW w:w="692" w:type="pct"/>
            <w:shd w:val="clear" w:color="auto" w:fill="auto"/>
            <w:vAlign w:val="center"/>
          </w:tcPr>
          <w:p w14:paraId="501F646D">
            <w:pPr>
              <w:jc w:val="center"/>
              <w:rPr>
                <w:rFonts w:ascii="宋体" w:hAnsi="宋体" w:cs="宋体"/>
                <w:sz w:val="18"/>
                <w:szCs w:val="18"/>
              </w:rPr>
            </w:pPr>
            <w:r>
              <w:rPr>
                <w:rFonts w:ascii="宋体" w:hAnsi="宋体" w:cs="宋体"/>
                <w:sz w:val="18"/>
                <w:szCs w:val="18"/>
              </w:rPr>
              <w:t>500.00</w:t>
            </w:r>
          </w:p>
        </w:tc>
      </w:tr>
      <w:tr w14:paraId="563B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499" w:type="pct"/>
            <w:gridSpan w:val="2"/>
            <w:shd w:val="clear" w:color="auto" w:fill="auto"/>
            <w:vAlign w:val="center"/>
          </w:tcPr>
          <w:p w14:paraId="193A38E7">
            <w:pPr>
              <w:jc w:val="center"/>
              <w:rPr>
                <w:rFonts w:ascii="宋体" w:hAnsi="宋体" w:cs="宋体"/>
                <w:b/>
                <w:bCs/>
                <w:sz w:val="18"/>
                <w:szCs w:val="18"/>
              </w:rPr>
            </w:pPr>
            <w:r>
              <w:rPr>
                <w:rFonts w:hint="eastAsia" w:ascii="宋体" w:hAnsi="宋体" w:cs="宋体"/>
                <w:b/>
                <w:bCs/>
                <w:sz w:val="18"/>
                <w:szCs w:val="18"/>
              </w:rPr>
              <w:t>本次建设项目支出总计</w:t>
            </w:r>
          </w:p>
        </w:tc>
        <w:tc>
          <w:tcPr>
            <w:tcW w:w="741" w:type="pct"/>
            <w:shd w:val="clear" w:color="auto" w:fill="auto"/>
            <w:vAlign w:val="center"/>
          </w:tcPr>
          <w:p w14:paraId="3DFCF0D3">
            <w:pPr>
              <w:widowControl/>
              <w:jc w:val="center"/>
              <w:textAlignment w:val="center"/>
              <w:rPr>
                <w:rFonts w:ascii="宋体" w:hAnsi="宋体" w:cs="宋体"/>
                <w:b/>
                <w:bCs/>
                <w:color w:val="000000"/>
                <w:kern w:val="0"/>
                <w:sz w:val="18"/>
                <w:szCs w:val="18"/>
                <w:lang w:bidi="ar"/>
              </w:rPr>
            </w:pPr>
            <w:r>
              <w:rPr>
                <w:rFonts w:ascii="宋体" w:hAnsi="宋体" w:cs="宋体"/>
                <w:b/>
                <w:bCs/>
                <w:color w:val="000000"/>
                <w:kern w:val="0"/>
                <w:sz w:val="18"/>
                <w:szCs w:val="18"/>
                <w:lang w:bidi="ar"/>
              </w:rPr>
              <w:t>53,420.00</w:t>
            </w:r>
          </w:p>
        </w:tc>
        <w:tc>
          <w:tcPr>
            <w:tcW w:w="734" w:type="pct"/>
            <w:shd w:val="clear" w:color="auto" w:fill="auto"/>
            <w:vAlign w:val="center"/>
          </w:tcPr>
          <w:p w14:paraId="77CB9FB1">
            <w:pPr>
              <w:widowControl/>
              <w:jc w:val="center"/>
              <w:textAlignment w:val="center"/>
              <w:rPr>
                <w:rFonts w:ascii="宋体" w:hAnsi="宋体" w:cs="宋体"/>
                <w:b/>
                <w:bCs/>
                <w:color w:val="000000"/>
                <w:kern w:val="0"/>
                <w:sz w:val="18"/>
                <w:szCs w:val="18"/>
                <w:lang w:bidi="ar"/>
              </w:rPr>
            </w:pPr>
            <w:r>
              <w:rPr>
                <w:rFonts w:ascii="宋体" w:hAnsi="宋体" w:cs="宋体"/>
                <w:b/>
                <w:bCs/>
                <w:color w:val="000000"/>
                <w:kern w:val="0"/>
                <w:sz w:val="18"/>
                <w:szCs w:val="18"/>
                <w:lang w:bidi="ar"/>
              </w:rPr>
              <w:t>1,219.00</w:t>
            </w:r>
          </w:p>
        </w:tc>
        <w:tc>
          <w:tcPr>
            <w:tcW w:w="704" w:type="pct"/>
            <w:shd w:val="clear" w:color="auto" w:fill="auto"/>
            <w:vAlign w:val="center"/>
          </w:tcPr>
          <w:p w14:paraId="1EF9D991">
            <w:pPr>
              <w:widowControl/>
              <w:jc w:val="center"/>
              <w:textAlignment w:val="center"/>
              <w:rPr>
                <w:rFonts w:ascii="宋体" w:hAnsi="宋体" w:cs="宋体"/>
                <w:b/>
                <w:bCs/>
                <w:color w:val="000000"/>
                <w:kern w:val="0"/>
                <w:sz w:val="18"/>
                <w:szCs w:val="18"/>
                <w:lang w:bidi="ar"/>
              </w:rPr>
            </w:pPr>
            <w:r>
              <w:rPr>
                <w:rFonts w:ascii="宋体" w:hAnsi="宋体" w:cs="宋体"/>
                <w:b/>
                <w:bCs/>
                <w:color w:val="000000"/>
                <w:kern w:val="0"/>
                <w:sz w:val="18"/>
                <w:szCs w:val="18"/>
                <w:lang w:bidi="ar"/>
              </w:rPr>
              <w:t>23,100.00</w:t>
            </w:r>
          </w:p>
        </w:tc>
        <w:tc>
          <w:tcPr>
            <w:tcW w:w="630" w:type="pct"/>
            <w:shd w:val="clear" w:color="auto" w:fill="auto"/>
            <w:vAlign w:val="center"/>
          </w:tcPr>
          <w:p w14:paraId="71000721">
            <w:pPr>
              <w:widowControl/>
              <w:jc w:val="center"/>
              <w:textAlignment w:val="center"/>
              <w:rPr>
                <w:rFonts w:ascii="宋体" w:hAnsi="宋体" w:cs="宋体"/>
                <w:b/>
                <w:bCs/>
                <w:color w:val="000000"/>
                <w:kern w:val="0"/>
                <w:sz w:val="18"/>
                <w:szCs w:val="18"/>
                <w:lang w:bidi="ar"/>
              </w:rPr>
            </w:pPr>
            <w:r>
              <w:rPr>
                <w:rFonts w:ascii="宋体" w:hAnsi="宋体" w:cs="宋体"/>
                <w:b/>
                <w:bCs/>
                <w:color w:val="000000"/>
                <w:kern w:val="0"/>
                <w:sz w:val="18"/>
                <w:szCs w:val="18"/>
                <w:lang w:bidi="ar"/>
              </w:rPr>
              <w:t>23,100.00</w:t>
            </w:r>
          </w:p>
        </w:tc>
        <w:tc>
          <w:tcPr>
            <w:tcW w:w="692" w:type="pct"/>
            <w:shd w:val="clear" w:color="auto" w:fill="auto"/>
            <w:vAlign w:val="center"/>
          </w:tcPr>
          <w:p w14:paraId="44961A71">
            <w:pPr>
              <w:widowControl/>
              <w:jc w:val="center"/>
              <w:textAlignment w:val="center"/>
              <w:rPr>
                <w:rFonts w:ascii="宋体" w:hAnsi="宋体" w:cs="宋体"/>
                <w:b/>
                <w:bCs/>
                <w:color w:val="000000"/>
                <w:kern w:val="0"/>
                <w:sz w:val="18"/>
                <w:szCs w:val="18"/>
                <w:lang w:bidi="ar"/>
              </w:rPr>
            </w:pPr>
            <w:r>
              <w:rPr>
                <w:rFonts w:ascii="宋体" w:hAnsi="宋体" w:cs="宋体"/>
                <w:b/>
                <w:bCs/>
                <w:color w:val="000000"/>
                <w:kern w:val="0"/>
                <w:sz w:val="18"/>
                <w:szCs w:val="18"/>
                <w:lang w:bidi="ar"/>
              </w:rPr>
              <w:t>6,001.00</w:t>
            </w:r>
          </w:p>
        </w:tc>
      </w:tr>
    </w:tbl>
    <w:p w14:paraId="637FDE2C">
      <w:pPr>
        <w:pStyle w:val="20"/>
        <w:spacing w:before="0" w:beforeAutospacing="0" w:after="156" w:afterLines="50" w:afterAutospacing="0" w:line="360" w:lineRule="exact"/>
        <w:ind w:firstLine="357"/>
        <w:jc w:val="both"/>
        <w:rPr>
          <w:sz w:val="18"/>
          <w:szCs w:val="18"/>
        </w:rPr>
      </w:pPr>
      <w:r>
        <w:rPr>
          <w:rFonts w:hint="eastAsia"/>
          <w:sz w:val="18"/>
          <w:szCs w:val="18"/>
        </w:rPr>
        <w:t>注：1、项目建设期</w:t>
      </w:r>
      <w:r>
        <w:rPr>
          <w:sz w:val="18"/>
          <w:szCs w:val="18"/>
        </w:rPr>
        <w:t>30</w:t>
      </w:r>
      <w:r>
        <w:rPr>
          <w:rFonts w:hint="eastAsia"/>
          <w:sz w:val="18"/>
          <w:szCs w:val="18"/>
        </w:rPr>
        <w:t>个月。</w:t>
      </w:r>
    </w:p>
    <w:p w14:paraId="454A897E">
      <w:pPr>
        <w:pStyle w:val="20"/>
        <w:spacing w:before="0" w:beforeAutospacing="0" w:after="156" w:afterLines="50" w:afterAutospacing="0" w:line="360" w:lineRule="exact"/>
        <w:ind w:firstLine="357"/>
        <w:jc w:val="both"/>
        <w:rPr>
          <w:sz w:val="18"/>
          <w:szCs w:val="18"/>
        </w:rPr>
      </w:pPr>
      <w:r>
        <w:rPr>
          <w:rFonts w:hint="eastAsia"/>
          <w:sz w:val="18"/>
          <w:szCs w:val="18"/>
        </w:rPr>
        <w:t>2、项目分年度支出计划上表中仅考虑静态总投资部分，建设期利息在资金充足性分析表中反映。</w:t>
      </w:r>
    </w:p>
    <w:p w14:paraId="02609AA7">
      <w:pPr>
        <w:widowControl/>
        <w:spacing w:line="560" w:lineRule="exact"/>
        <w:ind w:firstLine="560" w:firstLineChars="200"/>
        <w:jc w:val="left"/>
        <w:outlineLvl w:val="0"/>
        <w:rPr>
          <w:rFonts w:ascii="黑体" w:hAnsi="黑体" w:eastAsia="黑体" w:cs="黑体"/>
          <w:sz w:val="28"/>
          <w:szCs w:val="28"/>
        </w:rPr>
      </w:pPr>
      <w:bookmarkStart w:id="142" w:name="_Toc10803"/>
      <w:r>
        <w:rPr>
          <w:rFonts w:hint="eastAsia" w:ascii="黑体" w:hAnsi="黑体" w:eastAsia="黑体" w:cs="黑体"/>
          <w:sz w:val="28"/>
          <w:szCs w:val="28"/>
        </w:rPr>
        <w:t>二、项目投资估算及资金筹措方案</w:t>
      </w:r>
      <w:bookmarkEnd w:id="142"/>
    </w:p>
    <w:p w14:paraId="6BA726AF">
      <w:pPr>
        <w:widowControl/>
        <w:spacing w:line="560" w:lineRule="exact"/>
        <w:ind w:firstLine="560" w:firstLineChars="200"/>
        <w:jc w:val="left"/>
        <w:outlineLvl w:val="1"/>
        <w:rPr>
          <w:rFonts w:ascii="楷体" w:hAnsi="楷体" w:eastAsia="楷体" w:cs="楷体"/>
          <w:b/>
          <w:bCs/>
          <w:sz w:val="28"/>
          <w:szCs w:val="28"/>
        </w:rPr>
      </w:pPr>
      <w:bookmarkStart w:id="143" w:name="_Toc19052"/>
      <w:r>
        <w:rPr>
          <w:rFonts w:hint="eastAsia" w:ascii="楷体" w:hAnsi="楷体" w:eastAsia="楷体" w:cs="楷体"/>
          <w:b/>
          <w:bCs/>
          <w:sz w:val="28"/>
          <w:szCs w:val="28"/>
        </w:rPr>
        <w:t>（一）投资估算</w:t>
      </w:r>
      <w:bookmarkEnd w:id="143"/>
    </w:p>
    <w:p w14:paraId="236F5222">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1、估算编制依据</w:t>
      </w:r>
    </w:p>
    <w:p w14:paraId="6B02D821">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1)关于南昌县行政审批局《关于东新乡大洲村三期安置房（城市棚户区改造）项目可行性研究报告的批复》（南发改投字【2022】55号)</w:t>
      </w:r>
    </w:p>
    <w:p w14:paraId="3EFF2B7E">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2)财政部《关于试点发展项目收益与融资自求平衡的地方政府专项债券品种的通知》（财预〔2017〕89号文）；</w:t>
      </w:r>
    </w:p>
    <w:p w14:paraId="33246B81">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3)财政部《关于做好2018年地方政府债券发行工作的意见》（财库〔2018〕61号）；</w:t>
      </w:r>
    </w:p>
    <w:p w14:paraId="344C4418">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4)《国家鼓励发展的资源节约综合利用和环境保护技术》（国家发展改革委令[2005]第65号）；</w:t>
      </w:r>
    </w:p>
    <w:p w14:paraId="4C69F8BA">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5)《中华人民共和国电力法（2015年修正）》（国家主席令[2015]第24号）；</w:t>
      </w:r>
    </w:p>
    <w:p w14:paraId="2A10B4A8">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6)《水利建设项目经济评价规范》（SL72-2013）；</w:t>
      </w:r>
    </w:p>
    <w:p w14:paraId="467104B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7)《水电建设项目经济评价规范》（DL/T5441-2010）；</w:t>
      </w:r>
    </w:p>
    <w:p w14:paraId="56C33E9C">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8) 《唐村一期安置房可行性研究报告》；</w:t>
      </w:r>
    </w:p>
    <w:p w14:paraId="2FAA50E7">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9)建设工程规划设计要求（蓝协（2018）第001号）；</w:t>
      </w:r>
    </w:p>
    <w:p w14:paraId="49DFE3C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2、费率及参数</w:t>
      </w:r>
    </w:p>
    <w:p w14:paraId="7429CEF6">
      <w:pPr>
        <w:spacing w:line="360" w:lineRule="auto"/>
        <w:ind w:left="-140" w:leftChars="-67" w:right="-98" w:rightChars="-47" w:firstLine="376" w:firstLineChars="157"/>
        <w:rPr>
          <w:rFonts w:ascii="楷体" w:hAnsi="楷体" w:eastAsia="楷体" w:cs="楷体"/>
          <w:bCs/>
          <w:sz w:val="28"/>
          <w:szCs w:val="28"/>
        </w:rPr>
      </w:pPr>
      <w:r>
        <w:rPr>
          <w:rFonts w:hint="eastAsia" w:ascii="宋体" w:hAnsi="宋体" w:eastAsia="宋体" w:cs="宋体"/>
          <w:bCs/>
          <w:sz w:val="24"/>
          <w:szCs w:val="24"/>
        </w:rPr>
        <w:t>本项目从客观、谨慎角度出发、发行利率取3.7%进行测算，本次债券发行按照每半年付息，到期一次性还本的方式。另外，按0.1%费率计算债券发行费用，符合专项债发行现状。</w:t>
      </w:r>
    </w:p>
    <w:p w14:paraId="17F690B0">
      <w:pPr>
        <w:widowControl/>
        <w:spacing w:line="560" w:lineRule="exact"/>
        <w:ind w:firstLine="560" w:firstLineChars="200"/>
        <w:jc w:val="left"/>
        <w:outlineLvl w:val="1"/>
        <w:rPr>
          <w:rFonts w:ascii="楷体" w:hAnsi="楷体" w:eastAsia="楷体" w:cs="楷体"/>
          <w:b/>
          <w:bCs/>
          <w:sz w:val="28"/>
          <w:szCs w:val="28"/>
        </w:rPr>
      </w:pPr>
      <w:bookmarkStart w:id="144" w:name="_Toc13776"/>
      <w:r>
        <w:rPr>
          <w:rFonts w:hint="eastAsia" w:ascii="楷体" w:hAnsi="楷体" w:eastAsia="楷体" w:cs="楷体"/>
          <w:b/>
          <w:bCs/>
          <w:sz w:val="28"/>
          <w:szCs w:val="28"/>
        </w:rPr>
        <w:t>（二）资金筹措方案</w:t>
      </w:r>
      <w:bookmarkEnd w:id="144"/>
    </w:p>
    <w:p w14:paraId="36DE60FA">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1、资金筹措原则</w:t>
      </w:r>
    </w:p>
    <w:p w14:paraId="2997DEC0">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本次资金筹措遵循以下原则：</w:t>
      </w:r>
    </w:p>
    <w:p w14:paraId="2336CACC">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（1）项目投入一定资本金，保证项目顺利开工及后续融资的可能；</w:t>
      </w:r>
    </w:p>
    <w:p w14:paraId="3048C8F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（2）发行地方政府专项债券、其他融资。</w:t>
      </w:r>
    </w:p>
    <w:p w14:paraId="5E48244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2、资金筹措方案</w:t>
      </w:r>
    </w:p>
    <w:p w14:paraId="2125C680">
      <w:pPr>
        <w:pStyle w:val="20"/>
        <w:spacing w:before="0" w:beforeAutospacing="0" w:after="156" w:afterLines="50" w:afterAutospacing="0" w:line="360" w:lineRule="exact"/>
        <w:ind w:firstLine="480" w:firstLineChars="200"/>
        <w:jc w:val="both"/>
        <w:rPr>
          <w:sz w:val="24"/>
          <w:szCs w:val="24"/>
        </w:rPr>
      </w:pPr>
      <w:r>
        <w:rPr>
          <w:rFonts w:hint="eastAsia"/>
          <w:sz w:val="24"/>
          <w:szCs w:val="24"/>
        </w:rPr>
        <w:t>申请地方政府专项债券的明细情况见下表：</w:t>
      </w:r>
    </w:p>
    <w:p w14:paraId="68F97B0E">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117"/>
        <w:gridCol w:w="936"/>
        <w:gridCol w:w="936"/>
        <w:gridCol w:w="1664"/>
        <w:gridCol w:w="1163"/>
        <w:gridCol w:w="1163"/>
        <w:gridCol w:w="1164"/>
      </w:tblGrid>
      <w:tr w14:paraId="4903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40" w:type="pct"/>
            <w:vMerge w:val="restart"/>
            <w:shd w:val="clear" w:color="auto" w:fill="auto"/>
            <w:noWrap/>
            <w:vAlign w:val="center"/>
          </w:tcPr>
          <w:p w14:paraId="3741C27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9" w:type="pct"/>
            <w:vMerge w:val="restart"/>
            <w:shd w:val="clear" w:color="auto" w:fill="auto"/>
            <w:noWrap/>
            <w:vAlign w:val="center"/>
          </w:tcPr>
          <w:p w14:paraId="295B7BD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604" w:type="pct"/>
            <w:vMerge w:val="restart"/>
            <w:shd w:val="clear" w:color="auto" w:fill="auto"/>
            <w:vAlign w:val="center"/>
          </w:tcPr>
          <w:p w14:paraId="548C476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397" w:type="pct"/>
            <w:gridSpan w:val="5"/>
            <w:shd w:val="clear" w:color="auto" w:fill="auto"/>
            <w:vAlign w:val="center"/>
          </w:tcPr>
          <w:p w14:paraId="18BF943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6B00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vMerge w:val="continue"/>
            <w:vAlign w:val="center"/>
          </w:tcPr>
          <w:p w14:paraId="5C3564DE">
            <w:pPr>
              <w:widowControl/>
              <w:jc w:val="center"/>
              <w:rPr>
                <w:rFonts w:ascii="宋体" w:hAnsi="宋体" w:cs="宋体"/>
                <w:b/>
                <w:bCs/>
                <w:color w:val="000000"/>
                <w:kern w:val="0"/>
                <w:sz w:val="18"/>
                <w:szCs w:val="18"/>
              </w:rPr>
            </w:pPr>
          </w:p>
        </w:tc>
        <w:tc>
          <w:tcPr>
            <w:tcW w:w="659" w:type="pct"/>
            <w:vMerge w:val="continue"/>
            <w:vAlign w:val="center"/>
          </w:tcPr>
          <w:p w14:paraId="12B9E2DC">
            <w:pPr>
              <w:widowControl/>
              <w:jc w:val="center"/>
              <w:rPr>
                <w:rFonts w:ascii="宋体" w:hAnsi="宋体" w:cs="宋体"/>
                <w:b/>
                <w:bCs/>
                <w:color w:val="000000"/>
                <w:kern w:val="0"/>
                <w:sz w:val="18"/>
                <w:szCs w:val="18"/>
              </w:rPr>
            </w:pPr>
          </w:p>
        </w:tc>
        <w:tc>
          <w:tcPr>
            <w:tcW w:w="604" w:type="pct"/>
            <w:vMerge w:val="continue"/>
            <w:vAlign w:val="center"/>
          </w:tcPr>
          <w:p w14:paraId="131C9C6E">
            <w:pPr>
              <w:widowControl/>
              <w:jc w:val="center"/>
              <w:rPr>
                <w:rFonts w:ascii="宋体" w:hAnsi="宋体" w:cs="宋体"/>
                <w:b/>
                <w:bCs/>
                <w:color w:val="000000"/>
                <w:kern w:val="0"/>
                <w:sz w:val="18"/>
                <w:szCs w:val="18"/>
              </w:rPr>
            </w:pPr>
          </w:p>
        </w:tc>
        <w:tc>
          <w:tcPr>
            <w:tcW w:w="604" w:type="pct"/>
            <w:shd w:val="clear" w:color="auto" w:fill="auto"/>
            <w:vAlign w:val="center"/>
          </w:tcPr>
          <w:p w14:paraId="5479AF4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1044" w:type="pct"/>
            <w:shd w:val="clear" w:color="auto" w:fill="auto"/>
            <w:vAlign w:val="center"/>
          </w:tcPr>
          <w:p w14:paraId="02EA4B3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2023年发行</w:t>
            </w:r>
          </w:p>
        </w:tc>
        <w:tc>
          <w:tcPr>
            <w:tcW w:w="374" w:type="pct"/>
            <w:shd w:val="clear" w:color="auto" w:fill="auto"/>
            <w:noWrap/>
            <w:vAlign w:val="center"/>
          </w:tcPr>
          <w:p w14:paraId="1F39D6C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2024年发行</w:t>
            </w:r>
          </w:p>
        </w:tc>
        <w:tc>
          <w:tcPr>
            <w:tcW w:w="687" w:type="pct"/>
            <w:shd w:val="clear" w:color="auto" w:fill="auto"/>
            <w:noWrap/>
            <w:vAlign w:val="center"/>
          </w:tcPr>
          <w:p w14:paraId="1DBF457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2025年发行</w:t>
            </w:r>
          </w:p>
        </w:tc>
        <w:tc>
          <w:tcPr>
            <w:tcW w:w="687" w:type="pct"/>
            <w:shd w:val="clear" w:color="auto" w:fill="auto"/>
            <w:noWrap/>
            <w:vAlign w:val="center"/>
          </w:tcPr>
          <w:p w14:paraId="4A4428C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2026年发行</w:t>
            </w:r>
          </w:p>
        </w:tc>
      </w:tr>
      <w:tr w14:paraId="0E0C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shd w:val="clear" w:color="auto" w:fill="auto"/>
            <w:noWrap/>
            <w:vAlign w:val="center"/>
          </w:tcPr>
          <w:p w14:paraId="5B0D0AE0">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9" w:type="pct"/>
            <w:shd w:val="clear" w:color="auto" w:fill="auto"/>
            <w:noWrap/>
          </w:tcPr>
          <w:p w14:paraId="49EDA18C">
            <w:pPr>
              <w:widowControl/>
              <w:jc w:val="center"/>
              <w:rPr>
                <w:rFonts w:ascii="宋体" w:hAnsi="宋体" w:cs="宋体"/>
                <w:color w:val="000000"/>
                <w:kern w:val="0"/>
                <w:sz w:val="18"/>
                <w:szCs w:val="18"/>
              </w:rPr>
            </w:pPr>
            <w:r>
              <w:rPr>
                <w:rFonts w:ascii="宋体" w:hAnsi="宋体" w:cs="宋体"/>
                <w:color w:val="000000"/>
                <w:kern w:val="0"/>
                <w:sz w:val="18"/>
                <w:szCs w:val="18"/>
              </w:rPr>
              <w:t>53,420.00</w:t>
            </w:r>
          </w:p>
        </w:tc>
        <w:tc>
          <w:tcPr>
            <w:tcW w:w="604" w:type="pct"/>
            <w:shd w:val="clear" w:color="auto" w:fill="auto"/>
            <w:noWrap/>
          </w:tcPr>
          <w:p w14:paraId="18263AC2">
            <w:pPr>
              <w:widowControl/>
              <w:jc w:val="center"/>
              <w:rPr>
                <w:rFonts w:ascii="宋体" w:hAnsi="宋体" w:cs="宋体"/>
                <w:color w:val="000000"/>
                <w:kern w:val="0"/>
                <w:sz w:val="18"/>
                <w:szCs w:val="18"/>
              </w:rPr>
            </w:pPr>
            <w:r>
              <w:rPr>
                <w:rFonts w:ascii="宋体" w:hAnsi="宋体" w:cs="宋体"/>
                <w:color w:val="000000"/>
                <w:kern w:val="0"/>
                <w:sz w:val="18"/>
                <w:szCs w:val="18"/>
              </w:rPr>
              <w:t>29,420.00</w:t>
            </w:r>
          </w:p>
        </w:tc>
        <w:tc>
          <w:tcPr>
            <w:tcW w:w="604" w:type="pct"/>
            <w:shd w:val="clear" w:color="auto" w:fill="auto"/>
          </w:tcPr>
          <w:p w14:paraId="21D36075">
            <w:pPr>
              <w:widowControl/>
              <w:jc w:val="center"/>
              <w:rPr>
                <w:rFonts w:ascii="宋体" w:hAnsi="宋体" w:cs="宋体"/>
                <w:color w:val="000000"/>
                <w:kern w:val="0"/>
                <w:sz w:val="18"/>
                <w:szCs w:val="18"/>
              </w:rPr>
            </w:pPr>
            <w:r>
              <w:rPr>
                <w:rFonts w:ascii="宋体" w:hAnsi="宋体" w:cs="宋体"/>
                <w:color w:val="000000"/>
                <w:kern w:val="0"/>
                <w:sz w:val="18"/>
                <w:szCs w:val="18"/>
              </w:rPr>
              <w:t>24,000.00</w:t>
            </w:r>
          </w:p>
        </w:tc>
        <w:tc>
          <w:tcPr>
            <w:tcW w:w="1044" w:type="pct"/>
            <w:shd w:val="clear" w:color="auto" w:fill="auto"/>
            <w:noWrap/>
          </w:tcPr>
          <w:p w14:paraId="3A7BFD5E">
            <w:pPr>
              <w:widowControl/>
              <w:jc w:val="center"/>
              <w:rPr>
                <w:rFonts w:ascii="宋体" w:hAnsi="宋体" w:cs="宋体"/>
                <w:color w:val="000000"/>
                <w:kern w:val="0"/>
                <w:sz w:val="18"/>
                <w:szCs w:val="18"/>
              </w:rPr>
            </w:pPr>
            <w:r>
              <w:rPr>
                <w:rFonts w:ascii="宋体" w:hAnsi="宋体" w:cs="宋体"/>
                <w:color w:val="000000"/>
                <w:kern w:val="0"/>
                <w:sz w:val="18"/>
                <w:szCs w:val="18"/>
              </w:rPr>
              <w:t>1,000.00</w:t>
            </w:r>
          </w:p>
        </w:tc>
        <w:tc>
          <w:tcPr>
            <w:tcW w:w="374" w:type="pct"/>
            <w:shd w:val="clear" w:color="auto" w:fill="auto"/>
            <w:noWrap/>
          </w:tcPr>
          <w:p w14:paraId="33DECE88">
            <w:pPr>
              <w:widowControl/>
              <w:jc w:val="center"/>
              <w:rPr>
                <w:rFonts w:ascii="宋体" w:hAnsi="宋体" w:cs="宋体"/>
                <w:color w:val="000000"/>
                <w:kern w:val="0"/>
                <w:sz w:val="18"/>
                <w:szCs w:val="18"/>
              </w:rPr>
            </w:pPr>
            <w:r>
              <w:rPr>
                <w:rFonts w:ascii="宋体" w:hAnsi="宋体" w:cs="宋体"/>
                <w:color w:val="000000"/>
                <w:kern w:val="0"/>
                <w:sz w:val="18"/>
                <w:szCs w:val="18"/>
              </w:rPr>
              <w:t>4,000.00</w:t>
            </w:r>
          </w:p>
        </w:tc>
        <w:tc>
          <w:tcPr>
            <w:tcW w:w="687" w:type="pct"/>
            <w:shd w:val="clear" w:color="auto" w:fill="auto"/>
            <w:noWrap/>
          </w:tcPr>
          <w:p w14:paraId="22B99F2D">
            <w:pPr>
              <w:widowControl/>
              <w:jc w:val="center"/>
              <w:rPr>
                <w:rFonts w:ascii="宋体" w:hAnsi="宋体" w:cs="宋体"/>
                <w:color w:val="000000"/>
                <w:kern w:val="0"/>
                <w:sz w:val="18"/>
                <w:szCs w:val="18"/>
              </w:rPr>
            </w:pPr>
            <w:r>
              <w:rPr>
                <w:rFonts w:ascii="宋体" w:hAnsi="宋体" w:cs="宋体"/>
                <w:color w:val="000000"/>
                <w:kern w:val="0"/>
                <w:sz w:val="18"/>
                <w:szCs w:val="18"/>
              </w:rPr>
              <w:t>15,000.00</w:t>
            </w:r>
          </w:p>
        </w:tc>
        <w:tc>
          <w:tcPr>
            <w:tcW w:w="687" w:type="pct"/>
            <w:shd w:val="clear" w:color="auto" w:fill="auto"/>
            <w:noWrap/>
          </w:tcPr>
          <w:p w14:paraId="15FFBB2C">
            <w:pPr>
              <w:widowControl/>
              <w:jc w:val="center"/>
              <w:rPr>
                <w:rFonts w:ascii="宋体" w:hAnsi="宋体" w:cs="宋体"/>
                <w:color w:val="000000"/>
                <w:kern w:val="0"/>
                <w:sz w:val="18"/>
                <w:szCs w:val="18"/>
              </w:rPr>
            </w:pPr>
            <w:r>
              <w:rPr>
                <w:rFonts w:ascii="宋体" w:hAnsi="宋体" w:cs="宋体"/>
                <w:color w:val="000000"/>
                <w:kern w:val="0"/>
                <w:sz w:val="18"/>
                <w:szCs w:val="18"/>
              </w:rPr>
              <w:t>4,000.00</w:t>
            </w:r>
          </w:p>
        </w:tc>
      </w:tr>
    </w:tbl>
    <w:p w14:paraId="50200C4E">
      <w:pPr>
        <w:pStyle w:val="20"/>
        <w:spacing w:before="156" w:beforeLines="50" w:beforeAutospacing="0" w:after="156" w:afterLines="50" w:afterAutospacing="0" w:line="360" w:lineRule="auto"/>
        <w:ind w:firstLine="480" w:firstLineChars="200"/>
        <w:jc w:val="both"/>
        <w:rPr>
          <w:sz w:val="24"/>
          <w:szCs w:val="24"/>
          <w:highlight w:val="none"/>
        </w:rPr>
      </w:pPr>
      <w:r>
        <w:rPr>
          <w:rFonts w:hint="eastAsia"/>
          <w:sz w:val="24"/>
          <w:szCs w:val="24"/>
          <w:highlight w:val="none"/>
        </w:rPr>
        <w:t>按照发行方案及筹资计划，本次拟发行项目的总投资估算为</w:t>
      </w:r>
      <w:r>
        <w:rPr>
          <w:sz w:val="24"/>
          <w:szCs w:val="24"/>
          <w:highlight w:val="none"/>
        </w:rPr>
        <w:t>53,420.00</w:t>
      </w:r>
      <w:r>
        <w:rPr>
          <w:rFonts w:hint="eastAsia"/>
          <w:sz w:val="24"/>
          <w:szCs w:val="24"/>
          <w:highlight w:val="none"/>
        </w:rPr>
        <w:t>万元，通过自筹资金、申请专项债券等途径解决，其一，自筹资金</w:t>
      </w:r>
      <w:r>
        <w:rPr>
          <w:sz w:val="24"/>
          <w:szCs w:val="24"/>
          <w:highlight w:val="none"/>
        </w:rPr>
        <w:t>29,420.00</w:t>
      </w:r>
      <w:r>
        <w:rPr>
          <w:rFonts w:hint="eastAsia"/>
          <w:sz w:val="24"/>
          <w:szCs w:val="24"/>
          <w:highlight w:val="none"/>
        </w:rPr>
        <w:t>万元；其二，拟发行专项债券</w:t>
      </w:r>
      <w:r>
        <w:rPr>
          <w:sz w:val="24"/>
          <w:szCs w:val="24"/>
          <w:highlight w:val="none"/>
        </w:rPr>
        <w:t>24,000.00</w:t>
      </w:r>
      <w:r>
        <w:rPr>
          <w:rFonts w:hint="eastAsia"/>
          <w:sz w:val="24"/>
          <w:szCs w:val="24"/>
          <w:highlight w:val="none"/>
        </w:rPr>
        <w:t>万元，发行期限</w:t>
      </w:r>
      <w:r>
        <w:rPr>
          <w:sz w:val="24"/>
          <w:szCs w:val="24"/>
          <w:highlight w:val="none"/>
        </w:rPr>
        <w:t>7</w:t>
      </w:r>
      <w:r>
        <w:rPr>
          <w:rFonts w:hint="eastAsia"/>
          <w:sz w:val="24"/>
          <w:szCs w:val="24"/>
          <w:highlight w:val="none"/>
        </w:rPr>
        <w:t>年，其中，202</w:t>
      </w:r>
      <w:r>
        <w:rPr>
          <w:sz w:val="24"/>
          <w:szCs w:val="24"/>
          <w:highlight w:val="none"/>
        </w:rPr>
        <w:t>3</w:t>
      </w:r>
      <w:r>
        <w:rPr>
          <w:rFonts w:hint="eastAsia"/>
          <w:sz w:val="24"/>
          <w:szCs w:val="24"/>
          <w:highlight w:val="none"/>
        </w:rPr>
        <w:t>年已发行</w:t>
      </w:r>
      <w:r>
        <w:rPr>
          <w:sz w:val="24"/>
          <w:szCs w:val="24"/>
          <w:highlight w:val="none"/>
        </w:rPr>
        <w:t>1,000.00</w:t>
      </w:r>
      <w:r>
        <w:rPr>
          <w:rFonts w:hint="eastAsia"/>
          <w:sz w:val="24"/>
          <w:szCs w:val="24"/>
          <w:highlight w:val="none"/>
        </w:rPr>
        <w:t>万元，202</w:t>
      </w:r>
      <w:r>
        <w:rPr>
          <w:sz w:val="24"/>
          <w:szCs w:val="24"/>
          <w:highlight w:val="none"/>
        </w:rPr>
        <w:t>4</w:t>
      </w:r>
      <w:r>
        <w:rPr>
          <w:rFonts w:hint="eastAsia"/>
          <w:sz w:val="24"/>
          <w:szCs w:val="24"/>
          <w:highlight w:val="none"/>
        </w:rPr>
        <w:t>年计划发行</w:t>
      </w:r>
      <w:r>
        <w:rPr>
          <w:sz w:val="24"/>
          <w:szCs w:val="24"/>
          <w:highlight w:val="none"/>
        </w:rPr>
        <w:t>4,000.00</w:t>
      </w:r>
      <w:r>
        <w:rPr>
          <w:rFonts w:hint="eastAsia"/>
          <w:sz w:val="24"/>
          <w:szCs w:val="24"/>
          <w:highlight w:val="none"/>
        </w:rPr>
        <w:t>万元，20</w:t>
      </w:r>
      <w:r>
        <w:rPr>
          <w:sz w:val="24"/>
          <w:szCs w:val="24"/>
          <w:highlight w:val="none"/>
        </w:rPr>
        <w:t>25</w:t>
      </w:r>
      <w:r>
        <w:rPr>
          <w:rFonts w:hint="eastAsia"/>
          <w:sz w:val="24"/>
          <w:szCs w:val="24"/>
          <w:highlight w:val="none"/>
        </w:rPr>
        <w:t>年计划发行</w:t>
      </w:r>
      <w:r>
        <w:rPr>
          <w:sz w:val="24"/>
          <w:szCs w:val="24"/>
          <w:highlight w:val="none"/>
        </w:rPr>
        <w:t>15,000.00</w:t>
      </w:r>
      <w:r>
        <w:rPr>
          <w:rFonts w:hint="eastAsia"/>
          <w:sz w:val="24"/>
          <w:szCs w:val="24"/>
          <w:highlight w:val="none"/>
        </w:rPr>
        <w:t>万元，202</w:t>
      </w:r>
      <w:r>
        <w:rPr>
          <w:sz w:val="24"/>
          <w:szCs w:val="24"/>
          <w:highlight w:val="none"/>
        </w:rPr>
        <w:t>6</w:t>
      </w:r>
      <w:r>
        <w:rPr>
          <w:rFonts w:hint="eastAsia"/>
          <w:sz w:val="24"/>
          <w:szCs w:val="24"/>
          <w:highlight w:val="none"/>
        </w:rPr>
        <w:t>年计划发行</w:t>
      </w:r>
      <w:r>
        <w:rPr>
          <w:sz w:val="24"/>
          <w:szCs w:val="24"/>
          <w:highlight w:val="none"/>
        </w:rPr>
        <w:t>4,000.00</w:t>
      </w:r>
      <w:r>
        <w:rPr>
          <w:rFonts w:hint="eastAsia"/>
          <w:sz w:val="24"/>
          <w:szCs w:val="24"/>
          <w:highlight w:val="none"/>
        </w:rPr>
        <w:t>万元。</w:t>
      </w:r>
    </w:p>
    <w:p w14:paraId="36C3AEAB">
      <w:pPr>
        <w:widowControl/>
        <w:spacing w:line="560" w:lineRule="exact"/>
        <w:ind w:firstLine="560" w:firstLineChars="200"/>
        <w:jc w:val="left"/>
        <w:outlineLvl w:val="0"/>
        <w:rPr>
          <w:rFonts w:ascii="黑体" w:hAnsi="黑体" w:eastAsia="黑体" w:cs="黑体"/>
          <w:sz w:val="28"/>
          <w:szCs w:val="28"/>
        </w:rPr>
      </w:pPr>
      <w:bookmarkStart w:id="145" w:name="_Toc13610"/>
      <w:r>
        <w:rPr>
          <w:rFonts w:hint="eastAsia" w:ascii="黑体" w:hAnsi="黑体" w:eastAsia="黑体" w:cs="黑体"/>
          <w:sz w:val="28"/>
          <w:szCs w:val="28"/>
        </w:rPr>
        <w:t>三、项目预期收益、成本及融资平衡情况</w:t>
      </w:r>
      <w:bookmarkEnd w:id="145"/>
    </w:p>
    <w:p w14:paraId="70544E40">
      <w:pPr>
        <w:widowControl/>
        <w:spacing w:line="560" w:lineRule="exact"/>
        <w:ind w:firstLine="560" w:firstLineChars="200"/>
        <w:jc w:val="left"/>
        <w:outlineLvl w:val="1"/>
        <w:rPr>
          <w:rFonts w:ascii="楷体" w:hAnsi="楷体" w:eastAsia="楷体" w:cs="楷体"/>
          <w:b/>
          <w:bCs/>
          <w:sz w:val="28"/>
          <w:szCs w:val="28"/>
        </w:rPr>
      </w:pPr>
      <w:bookmarkStart w:id="146" w:name="_Toc16760"/>
      <w:r>
        <w:rPr>
          <w:rFonts w:hint="eastAsia" w:ascii="楷体" w:hAnsi="楷体" w:eastAsia="楷体" w:cs="楷体"/>
          <w:b/>
          <w:bCs/>
          <w:sz w:val="28"/>
          <w:szCs w:val="28"/>
        </w:rPr>
        <w:t>（一）收入测算</w:t>
      </w:r>
      <w:bookmarkEnd w:id="146"/>
    </w:p>
    <w:p w14:paraId="54277C4D">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根据东新乡大洲村三期安置房（城市棚户区改造）项目可行性研究报告，以及南昌县城市建设投资发展有限公司上报的《实施方案》提供的每年收入预测依据等数据，对各项收入进行了合理预测，具体收益情况如下：</w:t>
      </w:r>
    </w:p>
    <w:p w14:paraId="4D4D03CC">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1</w:t>
      </w:r>
      <w:r>
        <w:rPr>
          <w:sz w:val="24"/>
          <w:szCs w:val="24"/>
          <w:highlight w:val="none"/>
        </w:rPr>
        <w:t>.</w:t>
      </w:r>
      <w:r>
        <w:rPr>
          <w:rFonts w:hint="eastAsia"/>
          <w:sz w:val="24"/>
          <w:szCs w:val="24"/>
          <w:highlight w:val="none"/>
        </w:rPr>
        <w:t>资金稳定性分析</w:t>
      </w:r>
    </w:p>
    <w:p w14:paraId="10BADB0A">
      <w:pPr>
        <w:pStyle w:val="20"/>
        <w:spacing w:before="0" w:beforeAutospacing="0" w:after="156" w:afterLines="50" w:afterAutospacing="0" w:line="360" w:lineRule="auto"/>
        <w:ind w:firstLine="480" w:firstLineChars="200"/>
        <w:jc w:val="both"/>
        <w:rPr>
          <w:sz w:val="24"/>
          <w:szCs w:val="24"/>
          <w:highlight w:val="none"/>
        </w:rPr>
      </w:pPr>
      <w:r>
        <w:rPr>
          <w:rFonts w:hint="eastAsia"/>
          <w:sz w:val="24"/>
          <w:szCs w:val="24"/>
          <w:highlight w:val="none"/>
        </w:rPr>
        <w:t>本次申请发行的202</w:t>
      </w:r>
      <w:r>
        <w:rPr>
          <w:sz w:val="24"/>
          <w:szCs w:val="24"/>
          <w:highlight w:val="none"/>
        </w:rPr>
        <w:t>4</w:t>
      </w:r>
      <w:r>
        <w:rPr>
          <w:rFonts w:hint="eastAsia"/>
          <w:sz w:val="24"/>
          <w:szCs w:val="24"/>
          <w:highlight w:val="none"/>
        </w:rPr>
        <w:t>年江西省东新乡大洲村三期安置房（城市棚户区改造）项目专项债券项目，预计业务活动现金流入合计为</w:t>
      </w:r>
      <w:r>
        <w:rPr>
          <w:sz w:val="24"/>
          <w:szCs w:val="24"/>
          <w:highlight w:val="none"/>
        </w:rPr>
        <w:t>37,595.56</w:t>
      </w:r>
      <w:r>
        <w:rPr>
          <w:rFonts w:hint="eastAsia"/>
          <w:sz w:val="24"/>
          <w:szCs w:val="24"/>
          <w:highlight w:val="none"/>
        </w:rPr>
        <w:t>万元，其中土地出让收入</w:t>
      </w:r>
      <w:r>
        <w:rPr>
          <w:sz w:val="24"/>
          <w:szCs w:val="24"/>
          <w:highlight w:val="none"/>
        </w:rPr>
        <w:t>37,595.56</w:t>
      </w:r>
      <w:r>
        <w:rPr>
          <w:rFonts w:hint="eastAsia"/>
          <w:sz w:val="24"/>
          <w:szCs w:val="24"/>
          <w:highlight w:val="none"/>
        </w:rPr>
        <w:t>万元</w:t>
      </w:r>
      <w:r>
        <w:rPr>
          <w:sz w:val="24"/>
          <w:szCs w:val="24"/>
          <w:highlight w:val="none"/>
        </w:rPr>
        <w:t>。</w:t>
      </w:r>
      <w:r>
        <w:rPr>
          <w:rFonts w:hint="eastAsia"/>
          <w:sz w:val="24"/>
          <w:szCs w:val="24"/>
          <w:highlight w:val="none"/>
        </w:rPr>
        <w:t>项目自运营期（202</w:t>
      </w:r>
      <w:r>
        <w:rPr>
          <w:sz w:val="24"/>
          <w:szCs w:val="24"/>
          <w:highlight w:val="none"/>
        </w:rPr>
        <w:t>7年</w:t>
      </w:r>
      <w:r>
        <w:rPr>
          <w:rFonts w:hint="eastAsia"/>
          <w:sz w:val="24"/>
          <w:szCs w:val="24"/>
          <w:highlight w:val="none"/>
        </w:rPr>
        <w:t>1月）开始至债券到期的项目收益年度分布情况如下：</w:t>
      </w:r>
    </w:p>
    <w:p w14:paraId="161B6906">
      <w:pPr>
        <w:pStyle w:val="20"/>
        <w:keepNext/>
        <w:spacing w:before="0" w:beforeAutospacing="0" w:after="0" w:afterAutospacing="0" w:line="360" w:lineRule="exact"/>
        <w:jc w:val="center"/>
        <w:rPr>
          <w:b/>
          <w:sz w:val="21"/>
          <w:szCs w:val="21"/>
          <w:highlight w:val="none"/>
        </w:rPr>
      </w:pPr>
      <w:r>
        <w:rPr>
          <w:rFonts w:hint="eastAsia"/>
          <w:b/>
          <w:sz w:val="21"/>
          <w:szCs w:val="21"/>
          <w:highlight w:val="none"/>
        </w:rPr>
        <w:t>表3-</w:t>
      </w:r>
      <w:r>
        <w:rPr>
          <w:b/>
          <w:sz w:val="21"/>
          <w:szCs w:val="21"/>
          <w:highlight w:val="none"/>
        </w:rPr>
        <w:t xml:space="preserve">1  </w:t>
      </w:r>
      <w:r>
        <w:rPr>
          <w:rFonts w:hint="eastAsia"/>
          <w:b/>
          <w:sz w:val="21"/>
          <w:szCs w:val="21"/>
          <w:highlight w:val="none"/>
        </w:rPr>
        <w:t>项目收益年度分布情况分析</w:t>
      </w:r>
    </w:p>
    <w:p w14:paraId="7AD53AA4">
      <w:pPr>
        <w:pStyle w:val="20"/>
        <w:keepNext/>
        <w:spacing w:before="0" w:beforeAutospacing="0" w:after="0" w:afterAutospacing="0" w:line="360" w:lineRule="exact"/>
        <w:ind w:right="54" w:rightChars="26" w:firstLine="360" w:firstLineChars="200"/>
        <w:jc w:val="right"/>
        <w:rPr>
          <w:sz w:val="18"/>
          <w:szCs w:val="18"/>
          <w:highlight w:val="none"/>
        </w:rPr>
      </w:pPr>
      <w:r>
        <w:rPr>
          <w:rFonts w:hint="eastAsia"/>
          <w:sz w:val="18"/>
          <w:szCs w:val="18"/>
          <w:highlight w:val="none"/>
        </w:rPr>
        <w:t>单位：万元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55"/>
        <w:gridCol w:w="3570"/>
        <w:gridCol w:w="2999"/>
      </w:tblGrid>
      <w:tr w14:paraId="535E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blHeader/>
          <w:jc w:val="center"/>
        </w:trPr>
        <w:tc>
          <w:tcPr>
            <w:tcW w:w="1147" w:type="pct"/>
            <w:shd w:val="clear" w:color="auto" w:fill="auto"/>
            <w:noWrap/>
            <w:tcMar>
              <w:top w:w="10" w:type="dxa"/>
              <w:left w:w="10" w:type="dxa"/>
              <w:right w:w="10" w:type="dxa"/>
            </w:tcMar>
            <w:vAlign w:val="center"/>
          </w:tcPr>
          <w:p w14:paraId="65D943D1">
            <w:pPr>
              <w:widowControl/>
              <w:jc w:val="center"/>
              <w:textAlignment w:val="center"/>
              <w:rPr>
                <w:rFonts w:ascii="宋体" w:hAnsi="宋体" w:cs="宋体"/>
                <w:b/>
                <w:sz w:val="18"/>
                <w:szCs w:val="18"/>
                <w:highlight w:val="none"/>
              </w:rPr>
            </w:pPr>
            <w:r>
              <w:rPr>
                <w:rFonts w:hint="eastAsia" w:ascii="宋体" w:hAnsi="宋体" w:cs="宋体"/>
                <w:b/>
                <w:kern w:val="0"/>
                <w:sz w:val="18"/>
                <w:szCs w:val="18"/>
                <w:highlight w:val="none"/>
                <w:lang w:bidi="ar"/>
              </w:rPr>
              <w:t>年份</w:t>
            </w:r>
          </w:p>
        </w:tc>
        <w:tc>
          <w:tcPr>
            <w:tcW w:w="2094" w:type="pct"/>
            <w:shd w:val="clear" w:color="auto" w:fill="auto"/>
            <w:noWrap/>
            <w:tcMar>
              <w:top w:w="10" w:type="dxa"/>
              <w:left w:w="10" w:type="dxa"/>
              <w:right w:w="10" w:type="dxa"/>
            </w:tcMar>
            <w:vAlign w:val="center"/>
          </w:tcPr>
          <w:p w14:paraId="3B5D7C5E">
            <w:pPr>
              <w:widowControl/>
              <w:jc w:val="center"/>
              <w:textAlignment w:val="center"/>
              <w:rPr>
                <w:rFonts w:ascii="宋体" w:hAnsi="宋体" w:cs="宋体"/>
                <w:b/>
                <w:sz w:val="18"/>
                <w:szCs w:val="18"/>
                <w:highlight w:val="none"/>
              </w:rPr>
            </w:pPr>
            <w:r>
              <w:rPr>
                <w:rFonts w:hint="eastAsia" w:ascii="宋体" w:hAnsi="宋体" w:cs="宋体"/>
                <w:b/>
                <w:kern w:val="0"/>
                <w:sz w:val="18"/>
                <w:szCs w:val="18"/>
                <w:highlight w:val="none"/>
                <w:lang w:bidi="ar"/>
              </w:rPr>
              <w:t>土地出让收入收入</w:t>
            </w:r>
          </w:p>
        </w:tc>
        <w:tc>
          <w:tcPr>
            <w:tcW w:w="1759" w:type="pct"/>
            <w:shd w:val="clear" w:color="auto" w:fill="auto"/>
            <w:noWrap/>
            <w:tcMar>
              <w:top w:w="10" w:type="dxa"/>
              <w:left w:w="10" w:type="dxa"/>
              <w:right w:w="10" w:type="dxa"/>
            </w:tcMar>
            <w:vAlign w:val="center"/>
          </w:tcPr>
          <w:p w14:paraId="5D8441E6">
            <w:pPr>
              <w:widowControl/>
              <w:jc w:val="center"/>
              <w:textAlignment w:val="center"/>
              <w:rPr>
                <w:rFonts w:ascii="宋体" w:hAnsi="宋体" w:cs="宋体"/>
                <w:b/>
                <w:sz w:val="18"/>
                <w:szCs w:val="18"/>
                <w:highlight w:val="none"/>
              </w:rPr>
            </w:pPr>
            <w:r>
              <w:rPr>
                <w:rFonts w:hint="eastAsia" w:ascii="宋体" w:hAnsi="宋体" w:cs="宋体"/>
                <w:b/>
                <w:kern w:val="0"/>
                <w:sz w:val="18"/>
                <w:szCs w:val="18"/>
                <w:highlight w:val="none"/>
                <w:lang w:bidi="ar"/>
              </w:rPr>
              <w:t>合计</w:t>
            </w:r>
          </w:p>
        </w:tc>
      </w:tr>
      <w:tr w14:paraId="7445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147" w:type="pct"/>
            <w:shd w:val="clear" w:color="auto" w:fill="auto"/>
            <w:noWrap/>
            <w:tcMar>
              <w:top w:w="10" w:type="dxa"/>
              <w:left w:w="10" w:type="dxa"/>
              <w:right w:w="10" w:type="dxa"/>
            </w:tcMar>
            <w:vAlign w:val="center"/>
          </w:tcPr>
          <w:p w14:paraId="4A4EAE80">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2027年</w:t>
            </w:r>
          </w:p>
        </w:tc>
        <w:tc>
          <w:tcPr>
            <w:tcW w:w="2094" w:type="pct"/>
            <w:shd w:val="clear" w:color="auto" w:fill="auto"/>
            <w:noWrap/>
            <w:tcMar>
              <w:top w:w="10" w:type="dxa"/>
              <w:left w:w="10" w:type="dxa"/>
              <w:right w:w="10" w:type="dxa"/>
            </w:tcMar>
            <w:vAlign w:val="center"/>
          </w:tcPr>
          <w:p w14:paraId="21C4E36B">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37,595.56</w:t>
            </w:r>
          </w:p>
        </w:tc>
        <w:tc>
          <w:tcPr>
            <w:tcW w:w="1759" w:type="pct"/>
            <w:shd w:val="clear" w:color="auto" w:fill="auto"/>
            <w:noWrap/>
            <w:tcMar>
              <w:top w:w="10" w:type="dxa"/>
              <w:left w:w="10" w:type="dxa"/>
              <w:right w:w="10" w:type="dxa"/>
            </w:tcMar>
            <w:vAlign w:val="center"/>
          </w:tcPr>
          <w:p w14:paraId="562BDA4C">
            <w:pPr>
              <w:widowControl/>
              <w:jc w:val="center"/>
              <w:textAlignment w:val="bottom"/>
              <w:rPr>
                <w:rFonts w:ascii="宋体" w:hAnsi="宋体" w:cs="宋体"/>
                <w:b/>
                <w:bCs/>
                <w:sz w:val="18"/>
                <w:szCs w:val="18"/>
                <w:highlight w:val="none"/>
              </w:rPr>
            </w:pPr>
            <w:r>
              <w:rPr>
                <w:rFonts w:ascii="宋体" w:hAnsi="宋体" w:cs="宋体"/>
                <w:b/>
                <w:bCs/>
                <w:kern w:val="0"/>
                <w:sz w:val="18"/>
                <w:szCs w:val="18"/>
                <w:highlight w:val="none"/>
                <w:lang w:bidi="ar"/>
              </w:rPr>
              <w:t>37,595.56</w:t>
            </w:r>
          </w:p>
        </w:tc>
      </w:tr>
      <w:tr w14:paraId="39D9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147" w:type="pct"/>
            <w:shd w:val="clear" w:color="auto" w:fill="auto"/>
            <w:noWrap/>
            <w:tcMar>
              <w:top w:w="10" w:type="dxa"/>
              <w:left w:w="10" w:type="dxa"/>
              <w:right w:w="10" w:type="dxa"/>
            </w:tcMar>
            <w:vAlign w:val="center"/>
          </w:tcPr>
          <w:p w14:paraId="4521772B">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2028年</w:t>
            </w:r>
          </w:p>
        </w:tc>
        <w:tc>
          <w:tcPr>
            <w:tcW w:w="2094" w:type="pct"/>
            <w:shd w:val="clear" w:color="auto" w:fill="auto"/>
            <w:noWrap/>
            <w:tcMar>
              <w:top w:w="10" w:type="dxa"/>
              <w:left w:w="10" w:type="dxa"/>
              <w:right w:w="10" w:type="dxa"/>
            </w:tcMar>
            <w:vAlign w:val="center"/>
          </w:tcPr>
          <w:p w14:paraId="49339F73">
            <w:pPr>
              <w:widowControl/>
              <w:jc w:val="center"/>
              <w:textAlignment w:val="bottom"/>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17D7A6BC">
            <w:pPr>
              <w:widowControl/>
              <w:jc w:val="center"/>
              <w:textAlignment w:val="bottom"/>
              <w:rPr>
                <w:rFonts w:ascii="宋体" w:hAnsi="宋体" w:cs="宋体"/>
                <w:b/>
                <w:bCs/>
                <w:sz w:val="18"/>
                <w:szCs w:val="18"/>
                <w:highlight w:val="none"/>
              </w:rPr>
            </w:pPr>
          </w:p>
        </w:tc>
      </w:tr>
      <w:tr w14:paraId="3D6A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 w:hRule="atLeast"/>
          <w:jc w:val="center"/>
        </w:trPr>
        <w:tc>
          <w:tcPr>
            <w:tcW w:w="1147" w:type="pct"/>
            <w:shd w:val="clear" w:color="auto" w:fill="auto"/>
            <w:noWrap/>
            <w:tcMar>
              <w:top w:w="10" w:type="dxa"/>
              <w:left w:w="10" w:type="dxa"/>
              <w:right w:w="10" w:type="dxa"/>
            </w:tcMar>
            <w:vAlign w:val="center"/>
          </w:tcPr>
          <w:p w14:paraId="5FDC14D7">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2029年</w:t>
            </w:r>
          </w:p>
        </w:tc>
        <w:tc>
          <w:tcPr>
            <w:tcW w:w="2094" w:type="pct"/>
            <w:shd w:val="clear" w:color="auto" w:fill="auto"/>
            <w:noWrap/>
            <w:tcMar>
              <w:top w:w="10" w:type="dxa"/>
              <w:left w:w="10" w:type="dxa"/>
              <w:right w:w="10" w:type="dxa"/>
            </w:tcMar>
            <w:vAlign w:val="center"/>
          </w:tcPr>
          <w:p w14:paraId="7C791074">
            <w:pPr>
              <w:widowControl/>
              <w:jc w:val="center"/>
              <w:textAlignment w:val="bottom"/>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7E26243E">
            <w:pPr>
              <w:widowControl/>
              <w:jc w:val="center"/>
              <w:textAlignment w:val="bottom"/>
              <w:rPr>
                <w:rFonts w:ascii="宋体" w:hAnsi="宋体" w:cs="宋体"/>
                <w:b/>
                <w:bCs/>
                <w:sz w:val="18"/>
                <w:szCs w:val="18"/>
                <w:highlight w:val="none"/>
              </w:rPr>
            </w:pPr>
          </w:p>
        </w:tc>
      </w:tr>
      <w:tr w14:paraId="5157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147" w:type="pct"/>
            <w:shd w:val="clear" w:color="auto" w:fill="auto"/>
            <w:noWrap/>
            <w:tcMar>
              <w:top w:w="10" w:type="dxa"/>
              <w:left w:w="10" w:type="dxa"/>
              <w:right w:w="10" w:type="dxa"/>
            </w:tcMar>
            <w:vAlign w:val="center"/>
          </w:tcPr>
          <w:p w14:paraId="168F98AE">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2030年</w:t>
            </w:r>
          </w:p>
        </w:tc>
        <w:tc>
          <w:tcPr>
            <w:tcW w:w="2094" w:type="pct"/>
            <w:shd w:val="clear" w:color="auto" w:fill="auto"/>
            <w:noWrap/>
            <w:tcMar>
              <w:top w:w="10" w:type="dxa"/>
              <w:left w:w="10" w:type="dxa"/>
              <w:right w:w="10" w:type="dxa"/>
            </w:tcMar>
            <w:vAlign w:val="center"/>
          </w:tcPr>
          <w:p w14:paraId="0446A01C">
            <w:pPr>
              <w:widowControl/>
              <w:jc w:val="center"/>
              <w:textAlignment w:val="center"/>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722D1DFA">
            <w:pPr>
              <w:widowControl/>
              <w:jc w:val="center"/>
              <w:textAlignment w:val="bottom"/>
              <w:rPr>
                <w:rFonts w:ascii="宋体" w:hAnsi="宋体" w:cs="宋体"/>
                <w:b/>
                <w:bCs/>
                <w:sz w:val="18"/>
                <w:szCs w:val="18"/>
                <w:highlight w:val="none"/>
              </w:rPr>
            </w:pPr>
          </w:p>
        </w:tc>
      </w:tr>
      <w:tr w14:paraId="645E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jc w:val="center"/>
        </w:trPr>
        <w:tc>
          <w:tcPr>
            <w:tcW w:w="1147" w:type="pct"/>
            <w:shd w:val="clear" w:color="auto" w:fill="auto"/>
            <w:noWrap/>
            <w:tcMar>
              <w:top w:w="10" w:type="dxa"/>
              <w:left w:w="10" w:type="dxa"/>
              <w:right w:w="10" w:type="dxa"/>
            </w:tcMar>
            <w:vAlign w:val="center"/>
          </w:tcPr>
          <w:p w14:paraId="342FD760">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2031年</w:t>
            </w:r>
          </w:p>
        </w:tc>
        <w:tc>
          <w:tcPr>
            <w:tcW w:w="2094" w:type="pct"/>
            <w:shd w:val="clear" w:color="auto" w:fill="auto"/>
            <w:noWrap/>
            <w:tcMar>
              <w:top w:w="10" w:type="dxa"/>
              <w:left w:w="10" w:type="dxa"/>
              <w:right w:w="10" w:type="dxa"/>
            </w:tcMar>
            <w:vAlign w:val="center"/>
          </w:tcPr>
          <w:p w14:paraId="14B13494">
            <w:pPr>
              <w:widowControl/>
              <w:jc w:val="center"/>
              <w:textAlignment w:val="center"/>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4F846C25">
            <w:pPr>
              <w:widowControl/>
              <w:jc w:val="center"/>
              <w:textAlignment w:val="bottom"/>
              <w:rPr>
                <w:rFonts w:ascii="宋体" w:hAnsi="宋体" w:cs="宋体"/>
                <w:b/>
                <w:bCs/>
                <w:sz w:val="18"/>
                <w:szCs w:val="18"/>
                <w:highlight w:val="none"/>
              </w:rPr>
            </w:pPr>
          </w:p>
        </w:tc>
      </w:tr>
      <w:tr w14:paraId="79B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147" w:type="pct"/>
            <w:shd w:val="clear" w:color="auto" w:fill="auto"/>
            <w:noWrap/>
            <w:tcMar>
              <w:top w:w="10" w:type="dxa"/>
              <w:left w:w="10" w:type="dxa"/>
              <w:right w:w="10" w:type="dxa"/>
            </w:tcMar>
            <w:vAlign w:val="center"/>
          </w:tcPr>
          <w:p w14:paraId="1F6718CC">
            <w:pPr>
              <w:widowControl/>
              <w:jc w:val="center"/>
              <w:textAlignment w:val="bottom"/>
              <w:rPr>
                <w:rFonts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2032年</w:t>
            </w:r>
          </w:p>
        </w:tc>
        <w:tc>
          <w:tcPr>
            <w:tcW w:w="2094" w:type="pct"/>
            <w:shd w:val="clear" w:color="auto" w:fill="auto"/>
            <w:noWrap/>
            <w:tcMar>
              <w:top w:w="10" w:type="dxa"/>
              <w:left w:w="10" w:type="dxa"/>
              <w:right w:w="10" w:type="dxa"/>
            </w:tcMar>
            <w:vAlign w:val="center"/>
          </w:tcPr>
          <w:p w14:paraId="5C5C4702">
            <w:pPr>
              <w:widowControl/>
              <w:jc w:val="center"/>
              <w:textAlignment w:val="center"/>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3B4E0F5A">
            <w:pPr>
              <w:widowControl/>
              <w:jc w:val="center"/>
              <w:textAlignment w:val="bottom"/>
              <w:rPr>
                <w:rFonts w:ascii="宋体" w:hAnsi="宋体" w:cs="宋体"/>
                <w:b/>
                <w:bCs/>
                <w:sz w:val="18"/>
                <w:szCs w:val="18"/>
                <w:highlight w:val="none"/>
              </w:rPr>
            </w:pPr>
          </w:p>
        </w:tc>
      </w:tr>
      <w:tr w14:paraId="6590B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1147" w:type="pct"/>
            <w:shd w:val="clear" w:color="auto" w:fill="auto"/>
            <w:noWrap/>
            <w:tcMar>
              <w:top w:w="10" w:type="dxa"/>
              <w:left w:w="10" w:type="dxa"/>
              <w:right w:w="10" w:type="dxa"/>
            </w:tcMar>
            <w:vAlign w:val="center"/>
          </w:tcPr>
          <w:p w14:paraId="49EE32A9">
            <w:pPr>
              <w:widowControl/>
              <w:jc w:val="center"/>
              <w:textAlignment w:val="bottom"/>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2033年</w:t>
            </w:r>
          </w:p>
        </w:tc>
        <w:tc>
          <w:tcPr>
            <w:tcW w:w="2094" w:type="pct"/>
            <w:shd w:val="clear" w:color="auto" w:fill="auto"/>
            <w:noWrap/>
            <w:tcMar>
              <w:top w:w="10" w:type="dxa"/>
              <w:left w:w="10" w:type="dxa"/>
              <w:right w:w="10" w:type="dxa"/>
            </w:tcMar>
            <w:vAlign w:val="center"/>
          </w:tcPr>
          <w:p w14:paraId="7E3BCF94">
            <w:pPr>
              <w:widowControl/>
              <w:jc w:val="center"/>
              <w:textAlignment w:val="center"/>
              <w:rPr>
                <w:rFonts w:ascii="宋体" w:hAnsi="宋体" w:cs="宋体"/>
                <w:sz w:val="18"/>
                <w:szCs w:val="18"/>
                <w:highlight w:val="none"/>
              </w:rPr>
            </w:pPr>
          </w:p>
        </w:tc>
        <w:tc>
          <w:tcPr>
            <w:tcW w:w="1759" w:type="pct"/>
            <w:shd w:val="clear" w:color="auto" w:fill="auto"/>
            <w:noWrap/>
            <w:tcMar>
              <w:top w:w="10" w:type="dxa"/>
              <w:left w:w="10" w:type="dxa"/>
              <w:right w:w="10" w:type="dxa"/>
            </w:tcMar>
            <w:vAlign w:val="center"/>
          </w:tcPr>
          <w:p w14:paraId="3C9557DB">
            <w:pPr>
              <w:widowControl/>
              <w:jc w:val="center"/>
              <w:textAlignment w:val="bottom"/>
              <w:rPr>
                <w:rFonts w:ascii="宋体" w:hAnsi="宋体" w:cs="宋体"/>
                <w:b/>
                <w:bCs/>
                <w:sz w:val="18"/>
                <w:szCs w:val="18"/>
                <w:highlight w:val="none"/>
              </w:rPr>
            </w:pPr>
          </w:p>
        </w:tc>
      </w:tr>
      <w:tr w14:paraId="613A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jc w:val="center"/>
        </w:trPr>
        <w:tc>
          <w:tcPr>
            <w:tcW w:w="1147" w:type="pct"/>
            <w:shd w:val="clear" w:color="auto" w:fill="auto"/>
            <w:noWrap/>
            <w:tcMar>
              <w:top w:w="10" w:type="dxa"/>
              <w:left w:w="10" w:type="dxa"/>
              <w:right w:w="10" w:type="dxa"/>
            </w:tcMar>
            <w:vAlign w:val="center"/>
          </w:tcPr>
          <w:p w14:paraId="51972F53">
            <w:pPr>
              <w:widowControl/>
              <w:jc w:val="center"/>
              <w:textAlignment w:val="bottom"/>
              <w:rPr>
                <w:rFonts w:ascii="宋体" w:hAnsi="宋体" w:cs="宋体"/>
                <w:sz w:val="18"/>
                <w:szCs w:val="18"/>
                <w:highlight w:val="none"/>
              </w:rPr>
            </w:pPr>
            <w:r>
              <w:rPr>
                <w:rFonts w:hint="eastAsia" w:ascii="宋体" w:hAnsi="宋体" w:cs="宋体"/>
                <w:kern w:val="0"/>
                <w:sz w:val="18"/>
                <w:szCs w:val="18"/>
                <w:highlight w:val="none"/>
                <w:lang w:bidi="ar"/>
              </w:rPr>
              <w:t>合计</w:t>
            </w:r>
          </w:p>
        </w:tc>
        <w:tc>
          <w:tcPr>
            <w:tcW w:w="2094" w:type="pct"/>
            <w:shd w:val="clear" w:color="auto" w:fill="auto"/>
            <w:noWrap/>
            <w:tcMar>
              <w:top w:w="10" w:type="dxa"/>
              <w:left w:w="10" w:type="dxa"/>
              <w:right w:w="10" w:type="dxa"/>
            </w:tcMar>
            <w:vAlign w:val="center"/>
          </w:tcPr>
          <w:p w14:paraId="2ED745B8">
            <w:pPr>
              <w:widowControl/>
              <w:jc w:val="center"/>
              <w:textAlignment w:val="bottom"/>
              <w:rPr>
                <w:rFonts w:ascii="宋体" w:hAnsi="宋体" w:cs="宋体"/>
                <w:b/>
                <w:bCs/>
                <w:sz w:val="18"/>
                <w:szCs w:val="18"/>
                <w:highlight w:val="none"/>
              </w:rPr>
            </w:pPr>
            <w:r>
              <w:rPr>
                <w:rFonts w:ascii="宋体" w:hAnsi="宋体" w:cs="宋体"/>
                <w:b/>
                <w:bCs/>
                <w:kern w:val="0"/>
                <w:sz w:val="18"/>
                <w:szCs w:val="18"/>
                <w:highlight w:val="none"/>
                <w:lang w:bidi="ar"/>
              </w:rPr>
              <w:t>37,595.56</w:t>
            </w:r>
          </w:p>
        </w:tc>
        <w:tc>
          <w:tcPr>
            <w:tcW w:w="1759" w:type="pct"/>
            <w:shd w:val="clear" w:color="auto" w:fill="auto"/>
            <w:noWrap/>
            <w:tcMar>
              <w:top w:w="10" w:type="dxa"/>
              <w:left w:w="10" w:type="dxa"/>
              <w:right w:w="10" w:type="dxa"/>
            </w:tcMar>
            <w:vAlign w:val="center"/>
          </w:tcPr>
          <w:p w14:paraId="39A11E2D">
            <w:pPr>
              <w:widowControl/>
              <w:jc w:val="center"/>
              <w:textAlignment w:val="bottom"/>
              <w:rPr>
                <w:rFonts w:ascii="宋体" w:hAnsi="宋体" w:cs="宋体"/>
                <w:b/>
                <w:bCs/>
                <w:sz w:val="18"/>
                <w:szCs w:val="18"/>
                <w:highlight w:val="none"/>
              </w:rPr>
            </w:pPr>
            <w:r>
              <w:rPr>
                <w:rFonts w:ascii="宋体" w:hAnsi="宋体" w:cs="宋体"/>
                <w:b/>
                <w:bCs/>
                <w:kern w:val="0"/>
                <w:sz w:val="18"/>
                <w:szCs w:val="18"/>
                <w:highlight w:val="none"/>
                <w:lang w:bidi="ar"/>
              </w:rPr>
              <w:t>37,595.56</w:t>
            </w:r>
          </w:p>
        </w:tc>
      </w:tr>
    </w:tbl>
    <w:p w14:paraId="34B1377F">
      <w:pPr>
        <w:pStyle w:val="20"/>
        <w:spacing w:before="0" w:beforeAutospacing="0" w:after="156" w:afterLines="50" w:afterAutospacing="0" w:line="360" w:lineRule="exact"/>
        <w:ind w:firstLine="360" w:firstLineChars="200"/>
        <w:rPr>
          <w:sz w:val="18"/>
          <w:szCs w:val="18"/>
          <w:highlight w:val="none"/>
        </w:rPr>
      </w:pPr>
      <w:r>
        <w:rPr>
          <w:rFonts w:hint="eastAsia"/>
          <w:sz w:val="18"/>
          <w:szCs w:val="18"/>
          <w:highlight w:val="none"/>
        </w:rPr>
        <w:t>注：2</w:t>
      </w:r>
      <w:r>
        <w:rPr>
          <w:sz w:val="18"/>
          <w:szCs w:val="18"/>
          <w:highlight w:val="none"/>
        </w:rPr>
        <w:t>023</w:t>
      </w:r>
      <w:r>
        <w:rPr>
          <w:rFonts w:hint="eastAsia"/>
          <w:sz w:val="18"/>
          <w:szCs w:val="18"/>
          <w:highlight w:val="none"/>
        </w:rPr>
        <w:t>年-202</w:t>
      </w:r>
      <w:r>
        <w:rPr>
          <w:sz w:val="18"/>
          <w:szCs w:val="18"/>
          <w:highlight w:val="none"/>
        </w:rPr>
        <w:t>6</w:t>
      </w:r>
      <w:r>
        <w:rPr>
          <w:rFonts w:hint="eastAsia"/>
          <w:sz w:val="18"/>
          <w:szCs w:val="18"/>
          <w:highlight w:val="none"/>
        </w:rPr>
        <w:t>年发行债券，最后一期债券到期年份为2</w:t>
      </w:r>
      <w:r>
        <w:rPr>
          <w:sz w:val="18"/>
          <w:szCs w:val="18"/>
          <w:highlight w:val="none"/>
        </w:rPr>
        <w:t>034年</w:t>
      </w:r>
      <w:r>
        <w:rPr>
          <w:rFonts w:hint="eastAsia"/>
          <w:sz w:val="18"/>
          <w:szCs w:val="18"/>
          <w:highlight w:val="none"/>
        </w:rPr>
        <w:t>。因此，2</w:t>
      </w:r>
      <w:r>
        <w:rPr>
          <w:sz w:val="18"/>
          <w:szCs w:val="18"/>
          <w:highlight w:val="none"/>
        </w:rPr>
        <w:t>034年</w:t>
      </w:r>
      <w:r>
        <w:rPr>
          <w:rFonts w:hint="eastAsia"/>
          <w:sz w:val="18"/>
          <w:szCs w:val="18"/>
          <w:highlight w:val="none"/>
        </w:rPr>
        <w:t>及以后的收入成本暂忽略不计，故上表中仅列示从运营期（202</w:t>
      </w:r>
      <w:r>
        <w:rPr>
          <w:sz w:val="18"/>
          <w:szCs w:val="18"/>
          <w:highlight w:val="none"/>
        </w:rPr>
        <w:t>7</w:t>
      </w:r>
      <w:r>
        <w:rPr>
          <w:rFonts w:hint="eastAsia"/>
          <w:sz w:val="18"/>
          <w:szCs w:val="18"/>
          <w:highlight w:val="none"/>
        </w:rPr>
        <w:t>年1月）开始至2</w:t>
      </w:r>
      <w:r>
        <w:rPr>
          <w:sz w:val="18"/>
          <w:szCs w:val="18"/>
          <w:highlight w:val="none"/>
        </w:rPr>
        <w:t>033年12</w:t>
      </w:r>
      <w:r>
        <w:rPr>
          <w:rFonts w:hint="eastAsia"/>
          <w:sz w:val="18"/>
          <w:szCs w:val="18"/>
          <w:highlight w:val="none"/>
        </w:rPr>
        <w:t>月的收入数据。</w:t>
      </w:r>
    </w:p>
    <w:p w14:paraId="25343D6C">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本项目经营收入的估算依据如下：</w:t>
      </w:r>
    </w:p>
    <w:p w14:paraId="667CC3B2">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土地出让收入</w:t>
      </w:r>
    </w:p>
    <w:p w14:paraId="2F476469">
      <w:pPr>
        <w:pStyle w:val="20"/>
        <w:spacing w:before="0" w:beforeAutospacing="0" w:after="156" w:afterLines="50" w:afterAutospacing="0" w:line="360" w:lineRule="auto"/>
        <w:ind w:firstLine="480" w:firstLineChars="200"/>
        <w:rPr>
          <w:rFonts w:hint="eastAsia"/>
          <w:sz w:val="24"/>
          <w:szCs w:val="24"/>
          <w:highlight w:val="none"/>
        </w:rPr>
      </w:pPr>
      <w:r>
        <w:rPr>
          <w:rFonts w:hint="eastAsia"/>
          <w:sz w:val="24"/>
          <w:szCs w:val="24"/>
          <w:highlight w:val="none"/>
        </w:rPr>
        <w:t>本项目经营收入的估算依据如下：</w:t>
      </w:r>
    </w:p>
    <w:p w14:paraId="2245D212">
      <w:pPr>
        <w:pStyle w:val="20"/>
        <w:spacing w:before="0" w:beforeAutospacing="0" w:after="156" w:afterLines="50" w:afterAutospacing="0" w:line="360" w:lineRule="auto"/>
        <w:ind w:firstLine="480" w:firstLineChars="200"/>
        <w:rPr>
          <w:rFonts w:hint="eastAsia"/>
          <w:sz w:val="24"/>
          <w:szCs w:val="24"/>
          <w:highlight w:val="none"/>
        </w:rPr>
      </w:pPr>
      <w:r>
        <w:rPr>
          <w:rFonts w:hint="eastAsia"/>
          <w:sz w:val="24"/>
          <w:szCs w:val="24"/>
          <w:highlight w:val="none"/>
        </w:rPr>
        <w:t>（1）土地市场情况和土地出让价格预测</w:t>
      </w:r>
    </w:p>
    <w:p w14:paraId="00DB05C9">
      <w:pPr>
        <w:pStyle w:val="20"/>
        <w:spacing w:before="0" w:beforeAutospacing="0" w:after="156" w:afterLines="50" w:afterAutospacing="0" w:line="360" w:lineRule="auto"/>
        <w:ind w:firstLine="480" w:firstLineChars="200"/>
        <w:rPr>
          <w:sz w:val="24"/>
          <w:szCs w:val="24"/>
          <w:highlight w:val="none"/>
        </w:rPr>
      </w:pPr>
      <w:r>
        <w:rPr>
          <w:rFonts w:hint="eastAsia"/>
          <w:sz w:val="24"/>
          <w:szCs w:val="24"/>
          <w:highlight w:val="none"/>
        </w:rPr>
        <w:t>项目地块价格参照南昌县2019年成交地块南昌县范围内东岳四路以南，滨江西路以西，沿江南大道以东（E4）地块成交价为422万元/亩，结合时间因素，配套因素和地块的区位因素，并考虑地理位置及土地性质、使用年限等考虑地块在2027年出让时间低价上涨10%。则计算出让区域内商住用土地2027年综合地价。根据项目建设及出让计划，拟2027年进行土地出让。得出本项目2027年土地出让价格为464.20万元。</w:t>
      </w:r>
    </w:p>
    <w:p w14:paraId="232FAEC6">
      <w:pPr>
        <w:pStyle w:val="20"/>
        <w:spacing w:before="0" w:beforeAutospacing="0" w:after="156" w:afterLines="50" w:afterAutospacing="0" w:line="360" w:lineRule="auto"/>
        <w:ind w:firstLine="480" w:firstLineChars="200"/>
        <w:rPr>
          <w:rFonts w:hint="eastAsia"/>
          <w:sz w:val="24"/>
          <w:szCs w:val="24"/>
          <w:highlight w:val="none"/>
        </w:rPr>
      </w:pPr>
      <w:r>
        <w:rPr>
          <w:rFonts w:hint="eastAsia"/>
          <w:sz w:val="24"/>
          <w:szCs w:val="24"/>
          <w:highlight w:val="none"/>
        </w:rPr>
        <w:t>（2）土地出让面积</w:t>
      </w:r>
    </w:p>
    <w:p w14:paraId="7B811141">
      <w:pPr>
        <w:pStyle w:val="20"/>
        <w:spacing w:before="0" w:beforeAutospacing="0" w:after="156" w:afterLines="50" w:afterAutospacing="0" w:line="360" w:lineRule="auto"/>
        <w:ind w:firstLine="480" w:firstLineChars="200"/>
        <w:rPr>
          <w:rFonts w:hint="eastAsia"/>
          <w:sz w:val="24"/>
          <w:szCs w:val="24"/>
          <w:highlight w:val="none"/>
        </w:rPr>
      </w:pPr>
      <w:r>
        <w:rPr>
          <w:rFonts w:hint="eastAsia"/>
          <w:sz w:val="24"/>
          <w:szCs w:val="24"/>
          <w:highlight w:val="none"/>
        </w:rPr>
        <w:t>东新乡大洲村三期安置房（城市棚户区改造）项目根据建设及出让计划，可出让土地约80.99亩。</w:t>
      </w:r>
    </w:p>
    <w:p w14:paraId="04F9E2BC">
      <w:pPr>
        <w:pStyle w:val="20"/>
        <w:spacing w:before="0" w:beforeAutospacing="0" w:after="156" w:afterLines="50" w:afterAutospacing="0" w:line="360" w:lineRule="auto"/>
        <w:ind w:firstLine="480" w:firstLineChars="200"/>
        <w:rPr>
          <w:rFonts w:hint="eastAsia"/>
          <w:sz w:val="24"/>
          <w:szCs w:val="24"/>
          <w:highlight w:val="none"/>
        </w:rPr>
      </w:pPr>
      <w:r>
        <w:rPr>
          <w:rFonts w:hint="eastAsia"/>
          <w:sz w:val="24"/>
          <w:szCs w:val="24"/>
          <w:highlight w:val="none"/>
        </w:rPr>
        <w:t>南昌县城市建设投资发展有限公司综合考虑适度增长因素，保守预测了运营期间的收入、支出，在本项目的实施过程中，可以产生持续稳定的收益，各年现金流入及现金流出均保持了稳定的增长，且保持了现金结余的总体增长。则项目运营期间土地出让收入为37,595.56万元。</w:t>
      </w:r>
    </w:p>
    <w:p w14:paraId="430FA497">
      <w:pPr>
        <w:pStyle w:val="20"/>
        <w:spacing w:before="0" w:beforeAutospacing="0" w:after="156" w:afterLines="50" w:afterAutospacing="0" w:line="360" w:lineRule="auto"/>
        <w:ind w:firstLine="480" w:firstLineChars="200"/>
        <w:jc w:val="both"/>
        <w:rPr>
          <w:sz w:val="24"/>
          <w:szCs w:val="24"/>
          <w:highlight w:val="none"/>
        </w:rPr>
      </w:pPr>
      <w:r>
        <w:rPr>
          <w:rFonts w:hint="eastAsia"/>
          <w:sz w:val="24"/>
          <w:szCs w:val="24"/>
          <w:highlight w:val="none"/>
        </w:rPr>
        <w:t>南昌县城市建设投资发展有限公司综合考虑适度增长因素，保守预测了202</w:t>
      </w:r>
      <w:r>
        <w:rPr>
          <w:sz w:val="24"/>
          <w:szCs w:val="24"/>
          <w:highlight w:val="none"/>
        </w:rPr>
        <w:t>7-</w:t>
      </w:r>
      <w:r>
        <w:rPr>
          <w:rFonts w:hint="eastAsia"/>
          <w:sz w:val="24"/>
          <w:szCs w:val="24"/>
          <w:highlight w:val="none"/>
        </w:rPr>
        <w:t>20</w:t>
      </w:r>
      <w:r>
        <w:rPr>
          <w:sz w:val="24"/>
          <w:szCs w:val="24"/>
          <w:highlight w:val="none"/>
        </w:rPr>
        <w:t>33</w:t>
      </w:r>
      <w:r>
        <w:rPr>
          <w:rFonts w:hint="eastAsia"/>
          <w:sz w:val="24"/>
          <w:szCs w:val="24"/>
          <w:highlight w:val="none"/>
        </w:rPr>
        <w:t>年的收入、支出，在本项目的实施过程中，可以产生持续稳定的收益，各年现金流入及现金流出均保持了稳定的增长，且保持了现金结余的总体增长。</w:t>
      </w:r>
    </w:p>
    <w:p w14:paraId="04AEFDCD">
      <w:pPr>
        <w:widowControl/>
        <w:spacing w:line="560" w:lineRule="exact"/>
        <w:ind w:firstLine="560" w:firstLineChars="200"/>
        <w:jc w:val="left"/>
        <w:outlineLvl w:val="1"/>
        <w:rPr>
          <w:rFonts w:ascii="楷体" w:hAnsi="楷体" w:eastAsia="楷体" w:cs="楷体"/>
          <w:b/>
          <w:bCs/>
          <w:sz w:val="28"/>
          <w:szCs w:val="28"/>
        </w:rPr>
      </w:pPr>
      <w:bookmarkStart w:id="147" w:name="_Toc20654"/>
      <w:r>
        <w:rPr>
          <w:rFonts w:hint="eastAsia" w:ascii="楷体" w:hAnsi="楷体" w:eastAsia="楷体" w:cs="楷体"/>
          <w:b/>
          <w:bCs/>
          <w:sz w:val="28"/>
          <w:szCs w:val="28"/>
        </w:rPr>
        <w:t>（二）项目运营成本测算</w:t>
      </w:r>
      <w:bookmarkEnd w:id="147"/>
    </w:p>
    <w:p w14:paraId="6F8CD2DE">
      <w:pPr>
        <w:ind w:left="-140" w:leftChars="-67" w:right="-98" w:rightChars="-47" w:firstLine="439" w:firstLineChars="157"/>
        <w:rPr>
          <w:rFonts w:hint="eastAsia" w:ascii="楷体" w:hAnsi="楷体" w:eastAsia="楷体" w:cs="楷体"/>
          <w:bCs/>
          <w:sz w:val="28"/>
          <w:szCs w:val="28"/>
        </w:rPr>
      </w:pPr>
      <w:r>
        <w:rPr>
          <w:rFonts w:hint="eastAsia" w:ascii="楷体" w:hAnsi="楷体" w:eastAsia="楷体" w:cs="楷体"/>
          <w:bCs/>
          <w:sz w:val="28"/>
          <w:szCs w:val="28"/>
        </w:rPr>
        <w:t>1、运营成本</w:t>
      </w:r>
    </w:p>
    <w:p w14:paraId="6876540B">
      <w:pPr>
        <w:spacing w:line="360" w:lineRule="auto"/>
        <w:ind w:left="-140" w:leftChars="-67" w:right="-98" w:rightChars="-47" w:firstLine="376" w:firstLineChars="157"/>
        <w:rPr>
          <w:rFonts w:hint="eastAsia" w:ascii="楷体" w:hAnsi="楷体" w:eastAsia="楷体" w:cs="楷体"/>
          <w:bCs/>
          <w:sz w:val="24"/>
          <w:szCs w:val="24"/>
        </w:rPr>
      </w:pPr>
      <w:r>
        <w:rPr>
          <w:rFonts w:hint="eastAsia"/>
          <w:sz w:val="24"/>
          <w:szCs w:val="24"/>
        </w:rPr>
        <w:t>本项目为土地出让，项目计算期内无运营成本。因充足性分析主要依据对现金流量进行分析，故对于不需付现的费用（如折旧摊销等）暂不在支出情况预测表中反映。</w:t>
      </w:r>
    </w:p>
    <w:p w14:paraId="03114116">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2、财务费用</w:t>
      </w:r>
    </w:p>
    <w:p w14:paraId="0726B0DC">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本次拟发行东新乡大洲村三期安置房（城市棚户区改造）项目地方政府专项债券以满足项目投资需求，债券计划在202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年发行，年利率按照3.7%计算。根据债券发行计划及利率计算每年财务费用。按照债券发行要求，专项债券每半年偿还债券利息，到期一次性偿还本金。</w:t>
      </w:r>
    </w:p>
    <w:p w14:paraId="4F49645C">
      <w:pPr>
        <w:widowControl/>
        <w:spacing w:line="560" w:lineRule="exact"/>
        <w:ind w:firstLine="560" w:firstLineChars="200"/>
        <w:jc w:val="left"/>
        <w:outlineLvl w:val="1"/>
        <w:rPr>
          <w:rFonts w:ascii="楷体" w:hAnsi="楷体" w:eastAsia="楷体" w:cs="楷体"/>
          <w:b/>
          <w:bCs/>
          <w:sz w:val="28"/>
          <w:szCs w:val="28"/>
        </w:rPr>
      </w:pPr>
      <w:bookmarkStart w:id="148" w:name="_Toc19742"/>
      <w:r>
        <w:rPr>
          <w:rFonts w:hint="eastAsia" w:ascii="楷体" w:hAnsi="楷体" w:eastAsia="楷体" w:cs="楷体"/>
          <w:b/>
          <w:bCs/>
          <w:sz w:val="28"/>
          <w:szCs w:val="28"/>
        </w:rPr>
        <w:t>（三）项目资金测算平衡表</w:t>
      </w:r>
      <w:bookmarkEnd w:id="148"/>
    </w:p>
    <w:p w14:paraId="07302C2E">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1．本期债券调整项目应付本息情况</w:t>
      </w:r>
    </w:p>
    <w:p w14:paraId="0C62F31A">
      <w:pPr>
        <w:pStyle w:val="20"/>
        <w:spacing w:before="0" w:beforeAutospacing="0" w:after="156" w:afterLines="50" w:afterAutospacing="0" w:line="360" w:lineRule="auto"/>
        <w:ind w:firstLine="480" w:firstLineChars="200"/>
        <w:jc w:val="both"/>
        <w:rPr>
          <w:sz w:val="24"/>
          <w:szCs w:val="24"/>
        </w:rPr>
      </w:pPr>
      <w:r>
        <w:rPr>
          <w:rFonts w:hint="eastAsia"/>
          <w:sz w:val="24"/>
          <w:szCs w:val="24"/>
        </w:rPr>
        <w:t>本次南昌县城市建设投资发展有限公司组织申报发行202</w:t>
      </w:r>
      <w:r>
        <w:rPr>
          <w:sz w:val="24"/>
          <w:szCs w:val="24"/>
        </w:rPr>
        <w:t>4</w:t>
      </w:r>
      <w:r>
        <w:rPr>
          <w:rFonts w:hint="eastAsia"/>
          <w:sz w:val="24"/>
          <w:szCs w:val="24"/>
        </w:rPr>
        <w:t>年江西省东新乡大洲村三期安置房（城市棚户区改造）项目的总投资额</w:t>
      </w:r>
      <w:r>
        <w:rPr>
          <w:sz w:val="24"/>
          <w:szCs w:val="24"/>
        </w:rPr>
        <w:t>54,424.70</w:t>
      </w:r>
      <w:r>
        <w:rPr>
          <w:rFonts w:hint="eastAsia"/>
          <w:sz w:val="24"/>
          <w:szCs w:val="24"/>
        </w:rPr>
        <w:t>万元。计划发行专项债券金额</w:t>
      </w:r>
      <w:r>
        <w:rPr>
          <w:sz w:val="24"/>
          <w:szCs w:val="24"/>
        </w:rPr>
        <w:t>24,000.00</w:t>
      </w:r>
      <w:r>
        <w:rPr>
          <w:rFonts w:hint="eastAsia"/>
          <w:sz w:val="24"/>
          <w:szCs w:val="24"/>
        </w:rPr>
        <w:t>万元，发行期限</w:t>
      </w:r>
      <w:r>
        <w:rPr>
          <w:sz w:val="24"/>
          <w:szCs w:val="24"/>
        </w:rPr>
        <w:t>7</w:t>
      </w:r>
      <w:r>
        <w:rPr>
          <w:rFonts w:hint="eastAsia"/>
          <w:sz w:val="24"/>
          <w:szCs w:val="24"/>
        </w:rPr>
        <w:t>年，其中：202</w:t>
      </w:r>
      <w:r>
        <w:rPr>
          <w:sz w:val="24"/>
          <w:szCs w:val="24"/>
        </w:rPr>
        <w:t>3</w:t>
      </w:r>
      <w:r>
        <w:rPr>
          <w:rFonts w:hint="eastAsia"/>
          <w:sz w:val="24"/>
          <w:szCs w:val="24"/>
        </w:rPr>
        <w:t>年已发行</w:t>
      </w:r>
      <w:r>
        <w:rPr>
          <w:sz w:val="24"/>
          <w:szCs w:val="24"/>
        </w:rPr>
        <w:t>1,000.00</w:t>
      </w:r>
      <w:r>
        <w:rPr>
          <w:rFonts w:hint="eastAsia"/>
          <w:sz w:val="24"/>
          <w:szCs w:val="24"/>
        </w:rPr>
        <w:t>万元，实际利率</w:t>
      </w:r>
      <w:r>
        <w:rPr>
          <w:sz w:val="24"/>
          <w:szCs w:val="24"/>
        </w:rPr>
        <w:t>2.79%</w:t>
      </w:r>
      <w:r>
        <w:rPr>
          <w:rFonts w:hint="eastAsia"/>
          <w:sz w:val="24"/>
          <w:szCs w:val="24"/>
        </w:rPr>
        <w:t>，发行时限</w:t>
      </w:r>
      <w:r>
        <w:rPr>
          <w:sz w:val="24"/>
          <w:szCs w:val="24"/>
        </w:rPr>
        <w:t>7</w:t>
      </w:r>
      <w:r>
        <w:rPr>
          <w:rFonts w:hint="eastAsia"/>
          <w:sz w:val="24"/>
          <w:szCs w:val="24"/>
        </w:rPr>
        <w:t>年，2024年计划发行4,000.00万元，2025年计划发行15,000.00万元，2026年计划发行4,000.00万元。根据目前</w:t>
      </w:r>
      <w:r>
        <w:rPr>
          <w:sz w:val="24"/>
          <w:szCs w:val="24"/>
        </w:rPr>
        <w:t>7</w:t>
      </w:r>
      <w:r>
        <w:rPr>
          <w:rFonts w:hint="eastAsia"/>
          <w:sz w:val="24"/>
          <w:szCs w:val="24"/>
        </w:rPr>
        <w:t>年期国债利率</w:t>
      </w:r>
      <w:r>
        <w:rPr>
          <w:sz w:val="24"/>
          <w:szCs w:val="24"/>
        </w:rPr>
        <w:t>1.99%</w:t>
      </w:r>
      <w:r>
        <w:rPr>
          <w:rFonts w:hint="eastAsia"/>
          <w:sz w:val="24"/>
          <w:szCs w:val="24"/>
        </w:rPr>
        <w:t>,从客观、谨慎角度出发，202</w:t>
      </w:r>
      <w:r>
        <w:rPr>
          <w:sz w:val="24"/>
          <w:szCs w:val="24"/>
        </w:rPr>
        <w:t>4</w:t>
      </w:r>
      <w:r>
        <w:rPr>
          <w:rFonts w:hint="eastAsia"/>
          <w:sz w:val="24"/>
          <w:szCs w:val="24"/>
        </w:rPr>
        <w:t>年发行的债券年利率暂取</w:t>
      </w:r>
      <w:r>
        <w:rPr>
          <w:sz w:val="24"/>
          <w:szCs w:val="24"/>
        </w:rPr>
        <w:t>3</w:t>
      </w:r>
      <w:r>
        <w:rPr>
          <w:rFonts w:hint="eastAsia"/>
          <w:sz w:val="24"/>
          <w:szCs w:val="24"/>
        </w:rPr>
        <w:t>.</w:t>
      </w:r>
      <w:r>
        <w:rPr>
          <w:sz w:val="24"/>
          <w:szCs w:val="24"/>
        </w:rPr>
        <w:t>90</w:t>
      </w:r>
      <w:r>
        <w:rPr>
          <w:rFonts w:hint="eastAsia"/>
          <w:sz w:val="24"/>
          <w:szCs w:val="24"/>
        </w:rPr>
        <w:t>%,发行费率暂按照0.10%测算，据此预计专项债券利息合计为</w:t>
      </w:r>
      <w:r>
        <w:rPr>
          <w:sz w:val="24"/>
          <w:szCs w:val="24"/>
        </w:rPr>
        <w:t>6,474.30</w:t>
      </w:r>
      <w:r>
        <w:rPr>
          <w:rFonts w:hint="eastAsia"/>
          <w:sz w:val="24"/>
          <w:szCs w:val="24"/>
        </w:rPr>
        <w:t>万元，预计发行费用为</w:t>
      </w:r>
      <w:r>
        <w:rPr>
          <w:sz w:val="24"/>
          <w:szCs w:val="24"/>
        </w:rPr>
        <w:t>24.00</w:t>
      </w:r>
      <w:r>
        <w:rPr>
          <w:rFonts w:hint="eastAsia"/>
          <w:sz w:val="24"/>
          <w:szCs w:val="24"/>
        </w:rPr>
        <w:t>万元。</w:t>
      </w:r>
    </w:p>
    <w:p w14:paraId="11159493">
      <w:pPr>
        <w:pStyle w:val="20"/>
        <w:spacing w:before="0" w:beforeAutospacing="0" w:after="156" w:afterLines="50" w:afterAutospacing="0" w:line="360" w:lineRule="auto"/>
        <w:ind w:firstLine="480" w:firstLineChars="200"/>
        <w:jc w:val="both"/>
        <w:rPr>
          <w:sz w:val="24"/>
          <w:szCs w:val="24"/>
        </w:rPr>
      </w:pPr>
      <w:r>
        <w:rPr>
          <w:rFonts w:hint="eastAsia"/>
          <w:sz w:val="24"/>
          <w:szCs w:val="24"/>
        </w:rPr>
        <w:t>按照该</w:t>
      </w:r>
      <w:r>
        <w:rPr>
          <w:sz w:val="24"/>
          <w:szCs w:val="24"/>
        </w:rPr>
        <w:t>项目</w:t>
      </w:r>
      <w:r>
        <w:rPr>
          <w:rFonts w:hint="eastAsia"/>
          <w:sz w:val="24"/>
          <w:szCs w:val="24"/>
        </w:rPr>
        <w:t>专项债券发行计划</w:t>
      </w:r>
      <w:r>
        <w:rPr>
          <w:sz w:val="24"/>
          <w:szCs w:val="24"/>
        </w:rPr>
        <w:t>，7</w:t>
      </w:r>
      <w:r>
        <w:rPr>
          <w:rFonts w:hint="eastAsia"/>
          <w:sz w:val="24"/>
          <w:szCs w:val="24"/>
        </w:rPr>
        <w:t>年期债券以年利率</w:t>
      </w:r>
      <w:r>
        <w:rPr>
          <w:sz w:val="24"/>
          <w:szCs w:val="24"/>
        </w:rPr>
        <w:t>3</w:t>
      </w:r>
      <w:r>
        <w:rPr>
          <w:rFonts w:hint="eastAsia"/>
          <w:sz w:val="24"/>
          <w:szCs w:val="24"/>
        </w:rPr>
        <w:t>.</w:t>
      </w:r>
      <w:r>
        <w:rPr>
          <w:sz w:val="24"/>
          <w:szCs w:val="24"/>
        </w:rPr>
        <w:t>90%</w:t>
      </w:r>
      <w:r>
        <w:rPr>
          <w:rFonts w:hint="eastAsia"/>
          <w:sz w:val="24"/>
          <w:szCs w:val="24"/>
        </w:rPr>
        <w:t>预计</w:t>
      </w:r>
      <w:r>
        <w:rPr>
          <w:sz w:val="24"/>
          <w:szCs w:val="24"/>
        </w:rPr>
        <w:t>每年</w:t>
      </w:r>
      <w:r>
        <w:rPr>
          <w:rFonts w:hint="eastAsia"/>
          <w:sz w:val="24"/>
          <w:szCs w:val="24"/>
        </w:rPr>
        <w:t>利息支出，每年支付一次利息，到期一次还本，本项目专项债券还本付息情况如下表所示：</w:t>
      </w:r>
    </w:p>
    <w:p w14:paraId="21ED2C0F">
      <w:pPr>
        <w:jc w:val="center"/>
        <w:rPr>
          <w:rFonts w:ascii="宋体" w:hAnsi="宋体" w:cs="仿宋"/>
          <w:b/>
          <w:szCs w:val="24"/>
        </w:rPr>
      </w:pPr>
      <w:r>
        <w:rPr>
          <w:rFonts w:hint="eastAsia" w:ascii="宋体" w:hAnsi="宋体" w:cs="仿宋"/>
          <w:b/>
          <w:szCs w:val="24"/>
        </w:rPr>
        <w:t>表3</w:t>
      </w:r>
      <w:r>
        <w:rPr>
          <w:rFonts w:hint="eastAsia" w:ascii="宋体" w:hAnsi="宋体"/>
          <w:b/>
          <w:szCs w:val="24"/>
        </w:rPr>
        <w:t>-</w:t>
      </w:r>
      <w:r>
        <w:rPr>
          <w:rFonts w:ascii="宋体" w:hAnsi="宋体"/>
          <w:b/>
          <w:szCs w:val="24"/>
        </w:rPr>
        <w:t>2</w:t>
      </w:r>
      <w:r>
        <w:rPr>
          <w:rFonts w:hint="eastAsia" w:ascii="宋体" w:hAnsi="宋体"/>
          <w:b/>
          <w:szCs w:val="24"/>
        </w:rPr>
        <w:t xml:space="preserve"> </w:t>
      </w:r>
      <w:r>
        <w:rPr>
          <w:rFonts w:ascii="宋体" w:hAnsi="宋体"/>
          <w:b/>
          <w:szCs w:val="24"/>
        </w:rPr>
        <w:t xml:space="preserve"> </w:t>
      </w:r>
      <w:r>
        <w:rPr>
          <w:rFonts w:hint="eastAsia" w:ascii="宋体" w:hAnsi="宋体" w:cs="仿宋"/>
          <w:b/>
          <w:szCs w:val="24"/>
        </w:rPr>
        <w:t>专项债券还本付息情况预测表</w:t>
      </w:r>
    </w:p>
    <w:p w14:paraId="6F94A14C">
      <w:pPr>
        <w:jc w:val="right"/>
        <w:rPr>
          <w:rFonts w:ascii="宋体" w:hAnsi="宋体" w:cs="仿宋"/>
          <w:sz w:val="18"/>
          <w:szCs w:val="18"/>
        </w:rPr>
      </w:pPr>
      <w:r>
        <w:rPr>
          <w:rFonts w:hint="eastAsia" w:ascii="宋体" w:hAnsi="宋体" w:cs="仿宋"/>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55"/>
        <w:gridCol w:w="1155"/>
        <w:gridCol w:w="1050"/>
        <w:gridCol w:w="1155"/>
        <w:gridCol w:w="1155"/>
        <w:gridCol w:w="1455"/>
      </w:tblGrid>
      <w:tr w14:paraId="7D0A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trPr>
        <w:tc>
          <w:tcPr>
            <w:tcW w:w="743" w:type="pct"/>
            <w:shd w:val="clear" w:color="auto" w:fill="auto"/>
            <w:vAlign w:val="center"/>
          </w:tcPr>
          <w:p w14:paraId="14A9EFE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834" w:type="pct"/>
            <w:shd w:val="clear" w:color="auto" w:fill="auto"/>
            <w:vAlign w:val="center"/>
          </w:tcPr>
          <w:p w14:paraId="4C32C13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662" w:type="pct"/>
            <w:shd w:val="clear" w:color="auto" w:fill="auto"/>
            <w:vAlign w:val="center"/>
          </w:tcPr>
          <w:p w14:paraId="5486BD5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602" w:type="pct"/>
            <w:shd w:val="clear" w:color="auto" w:fill="auto"/>
            <w:vAlign w:val="center"/>
          </w:tcPr>
          <w:p w14:paraId="62CB8CC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662" w:type="pct"/>
            <w:shd w:val="clear" w:color="auto" w:fill="auto"/>
            <w:vAlign w:val="center"/>
          </w:tcPr>
          <w:p w14:paraId="6150744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662" w:type="pct"/>
            <w:shd w:val="clear" w:color="auto" w:fill="auto"/>
            <w:vAlign w:val="center"/>
          </w:tcPr>
          <w:p w14:paraId="62C2EA8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834" w:type="pct"/>
            <w:shd w:val="clear" w:color="auto" w:fill="auto"/>
            <w:vAlign w:val="center"/>
          </w:tcPr>
          <w:p w14:paraId="067DB1B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5FED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0B08B57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834" w:type="pct"/>
            <w:shd w:val="clear" w:color="auto" w:fill="auto"/>
            <w:vAlign w:val="center"/>
          </w:tcPr>
          <w:p w14:paraId="6378E53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350222A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1,000.00</w:t>
            </w:r>
          </w:p>
        </w:tc>
        <w:tc>
          <w:tcPr>
            <w:tcW w:w="602" w:type="pct"/>
            <w:shd w:val="clear" w:color="auto" w:fill="auto"/>
            <w:vAlign w:val="center"/>
          </w:tcPr>
          <w:p w14:paraId="0CE468B5">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62" w:type="pct"/>
            <w:shd w:val="clear" w:color="auto" w:fill="auto"/>
            <w:vAlign w:val="center"/>
          </w:tcPr>
          <w:p w14:paraId="1EF598D1">
            <w:pPr>
              <w:widowControl/>
              <w:jc w:val="center"/>
              <w:rPr>
                <w:rFonts w:ascii="宋体" w:hAnsi="宋体" w:cs="宋体"/>
                <w:color w:val="000000"/>
                <w:kern w:val="0"/>
                <w:sz w:val="18"/>
                <w:szCs w:val="18"/>
              </w:rPr>
            </w:pPr>
          </w:p>
        </w:tc>
        <w:tc>
          <w:tcPr>
            <w:tcW w:w="662" w:type="pct"/>
            <w:shd w:val="clear" w:color="auto" w:fill="auto"/>
            <w:vAlign w:val="center"/>
          </w:tcPr>
          <w:p w14:paraId="0AC7948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17E9722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1,000.00</w:t>
            </w:r>
          </w:p>
        </w:tc>
      </w:tr>
      <w:tr w14:paraId="0EA8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0300EE2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834" w:type="pct"/>
            <w:shd w:val="clear" w:color="auto" w:fill="auto"/>
            <w:vAlign w:val="center"/>
          </w:tcPr>
          <w:p w14:paraId="49378E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1,000.00</w:t>
            </w:r>
          </w:p>
        </w:tc>
        <w:tc>
          <w:tcPr>
            <w:tcW w:w="662" w:type="pct"/>
            <w:shd w:val="clear" w:color="auto" w:fill="auto"/>
            <w:vAlign w:val="center"/>
          </w:tcPr>
          <w:p w14:paraId="419E3E0E">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02" w:type="pct"/>
            <w:shd w:val="clear" w:color="auto" w:fill="auto"/>
            <w:vAlign w:val="center"/>
          </w:tcPr>
          <w:p w14:paraId="502CF310">
            <w:pPr>
              <w:widowControl/>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662" w:type="pct"/>
            <w:shd w:val="clear" w:color="auto" w:fill="auto"/>
            <w:vAlign w:val="center"/>
          </w:tcPr>
          <w:p w14:paraId="05E5CA1B">
            <w:pPr>
              <w:widowControl/>
              <w:jc w:val="center"/>
              <w:rPr>
                <w:rFonts w:ascii="宋体" w:hAnsi="宋体" w:cs="宋体"/>
                <w:color w:val="000000"/>
                <w:kern w:val="0"/>
                <w:sz w:val="18"/>
                <w:szCs w:val="18"/>
              </w:rPr>
            </w:pPr>
            <w:r>
              <w:rPr>
                <w:rFonts w:hint="eastAsia" w:ascii="宋体" w:hAnsi="宋体" w:cs="宋体"/>
                <w:color w:val="000000"/>
                <w:kern w:val="0"/>
                <w:sz w:val="18"/>
                <w:szCs w:val="18"/>
              </w:rPr>
              <w:t>27.90</w:t>
            </w:r>
          </w:p>
        </w:tc>
        <w:tc>
          <w:tcPr>
            <w:tcW w:w="662" w:type="pct"/>
            <w:shd w:val="clear" w:color="auto" w:fill="auto"/>
            <w:vAlign w:val="center"/>
          </w:tcPr>
          <w:p w14:paraId="0A1C9FD0">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32B7A65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5,000.00</w:t>
            </w:r>
          </w:p>
        </w:tc>
      </w:tr>
      <w:tr w14:paraId="35BB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7A16AB2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834" w:type="pct"/>
            <w:shd w:val="clear" w:color="auto" w:fill="auto"/>
            <w:vAlign w:val="center"/>
          </w:tcPr>
          <w:p w14:paraId="624B16E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5,000.00</w:t>
            </w:r>
          </w:p>
        </w:tc>
        <w:tc>
          <w:tcPr>
            <w:tcW w:w="662" w:type="pct"/>
            <w:shd w:val="clear" w:color="auto" w:fill="auto"/>
            <w:vAlign w:val="center"/>
          </w:tcPr>
          <w:p w14:paraId="6D7F51CB">
            <w:pPr>
              <w:widowControl/>
              <w:jc w:val="center"/>
              <w:rPr>
                <w:rFonts w:ascii="宋体" w:hAnsi="宋体" w:cs="宋体"/>
                <w:color w:val="000000"/>
                <w:kern w:val="0"/>
                <w:sz w:val="18"/>
                <w:szCs w:val="18"/>
              </w:rPr>
            </w:pPr>
            <w:r>
              <w:rPr>
                <w:rFonts w:hint="eastAsia" w:ascii="宋体" w:hAnsi="宋体" w:cs="宋体"/>
                <w:color w:val="000000"/>
                <w:kern w:val="0"/>
                <w:sz w:val="18"/>
                <w:szCs w:val="18"/>
              </w:rPr>
              <w:t>15,000.00</w:t>
            </w:r>
          </w:p>
        </w:tc>
        <w:tc>
          <w:tcPr>
            <w:tcW w:w="602" w:type="pct"/>
            <w:shd w:val="clear" w:color="auto" w:fill="auto"/>
            <w:vAlign w:val="center"/>
          </w:tcPr>
          <w:p w14:paraId="73368A53">
            <w:pPr>
              <w:widowControl/>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662" w:type="pct"/>
            <w:shd w:val="clear" w:color="auto" w:fill="auto"/>
            <w:vAlign w:val="center"/>
          </w:tcPr>
          <w:p w14:paraId="6C59D6C5">
            <w:pPr>
              <w:widowControl/>
              <w:jc w:val="center"/>
              <w:rPr>
                <w:rFonts w:ascii="宋体" w:hAnsi="宋体" w:cs="宋体"/>
                <w:color w:val="000000"/>
                <w:kern w:val="0"/>
                <w:sz w:val="18"/>
                <w:szCs w:val="18"/>
              </w:rPr>
            </w:pPr>
            <w:r>
              <w:rPr>
                <w:rFonts w:hint="eastAsia" w:ascii="宋体" w:hAnsi="宋体" w:cs="宋体"/>
                <w:color w:val="000000"/>
                <w:kern w:val="0"/>
                <w:sz w:val="18"/>
                <w:szCs w:val="18"/>
              </w:rPr>
              <w:t>183.90</w:t>
            </w:r>
          </w:p>
        </w:tc>
        <w:tc>
          <w:tcPr>
            <w:tcW w:w="662" w:type="pct"/>
            <w:shd w:val="clear" w:color="auto" w:fill="auto"/>
            <w:vAlign w:val="center"/>
          </w:tcPr>
          <w:p w14:paraId="428FD63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2B61878E">
            <w:pPr>
              <w:widowControl/>
              <w:jc w:val="center"/>
              <w:rPr>
                <w:rFonts w:ascii="宋体" w:hAnsi="宋体" w:cs="宋体"/>
                <w:color w:val="000000"/>
                <w:kern w:val="0"/>
                <w:sz w:val="18"/>
                <w:szCs w:val="18"/>
              </w:rPr>
            </w:pPr>
            <w:r>
              <w:rPr>
                <w:rFonts w:hint="eastAsia" w:ascii="宋体" w:hAnsi="宋体" w:cs="宋体"/>
                <w:color w:val="000000"/>
                <w:kern w:val="0"/>
                <w:sz w:val="18"/>
                <w:szCs w:val="18"/>
              </w:rPr>
              <w:t>20,000.00</w:t>
            </w:r>
          </w:p>
        </w:tc>
      </w:tr>
      <w:tr w14:paraId="2723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43" w:type="pct"/>
            <w:shd w:val="clear" w:color="auto" w:fill="auto"/>
            <w:vAlign w:val="center"/>
          </w:tcPr>
          <w:p w14:paraId="3BA23D9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834" w:type="pct"/>
            <w:shd w:val="clear" w:color="auto" w:fill="auto"/>
            <w:vAlign w:val="center"/>
          </w:tcPr>
          <w:p w14:paraId="6BCCB0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20,000.00</w:t>
            </w:r>
          </w:p>
        </w:tc>
        <w:tc>
          <w:tcPr>
            <w:tcW w:w="662" w:type="pct"/>
            <w:shd w:val="clear" w:color="auto" w:fill="auto"/>
            <w:vAlign w:val="center"/>
          </w:tcPr>
          <w:p w14:paraId="730484E0">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02" w:type="pct"/>
            <w:shd w:val="clear" w:color="auto" w:fill="auto"/>
            <w:vAlign w:val="center"/>
          </w:tcPr>
          <w:p w14:paraId="796714F5">
            <w:pPr>
              <w:widowControl/>
              <w:jc w:val="center"/>
              <w:rPr>
                <w:rFonts w:ascii="宋体" w:hAnsi="宋体" w:cs="宋体"/>
                <w:color w:val="000000"/>
                <w:kern w:val="0"/>
                <w:sz w:val="18"/>
                <w:szCs w:val="18"/>
              </w:rPr>
            </w:pPr>
            <w:r>
              <w:rPr>
                <w:rFonts w:hint="eastAsia" w:ascii="宋体" w:hAnsi="宋体" w:cs="宋体"/>
                <w:color w:val="000000"/>
                <w:kern w:val="0"/>
                <w:sz w:val="18"/>
                <w:szCs w:val="18"/>
              </w:rPr>
              <w:t>4.00</w:t>
            </w:r>
          </w:p>
        </w:tc>
        <w:tc>
          <w:tcPr>
            <w:tcW w:w="662" w:type="pct"/>
            <w:shd w:val="clear" w:color="auto" w:fill="auto"/>
            <w:vAlign w:val="center"/>
          </w:tcPr>
          <w:p w14:paraId="5107CCE2">
            <w:pPr>
              <w:widowControl/>
              <w:jc w:val="center"/>
              <w:rPr>
                <w:rFonts w:ascii="宋体" w:hAnsi="宋体" w:cs="宋体"/>
                <w:color w:val="000000"/>
                <w:kern w:val="0"/>
                <w:sz w:val="18"/>
                <w:szCs w:val="18"/>
              </w:rPr>
            </w:pPr>
            <w:r>
              <w:rPr>
                <w:rFonts w:hint="eastAsia" w:ascii="宋体" w:hAnsi="宋体" w:cs="宋体"/>
                <w:color w:val="000000"/>
                <w:kern w:val="0"/>
                <w:sz w:val="18"/>
                <w:szCs w:val="18"/>
              </w:rPr>
              <w:t>768.90</w:t>
            </w:r>
          </w:p>
        </w:tc>
        <w:tc>
          <w:tcPr>
            <w:tcW w:w="662" w:type="pct"/>
            <w:shd w:val="clear" w:color="auto" w:fill="auto"/>
            <w:vAlign w:val="center"/>
          </w:tcPr>
          <w:p w14:paraId="4378E8B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4253C8F8">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r>
      <w:tr w14:paraId="59D6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43" w:type="pct"/>
            <w:shd w:val="clear" w:color="auto" w:fill="auto"/>
            <w:vAlign w:val="center"/>
          </w:tcPr>
          <w:p w14:paraId="71966F3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834" w:type="pct"/>
            <w:shd w:val="clear" w:color="auto" w:fill="auto"/>
            <w:vAlign w:val="center"/>
          </w:tcPr>
          <w:p w14:paraId="4A832A5D">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c>
          <w:tcPr>
            <w:tcW w:w="662" w:type="pct"/>
            <w:shd w:val="clear" w:color="auto" w:fill="auto"/>
            <w:vAlign w:val="center"/>
          </w:tcPr>
          <w:p w14:paraId="6F0D0594">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1EAF30F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32B7336C">
            <w:pPr>
              <w:widowControl/>
              <w:jc w:val="center"/>
              <w:rPr>
                <w:rFonts w:ascii="宋体" w:hAnsi="宋体" w:cs="宋体"/>
                <w:color w:val="000000"/>
                <w:kern w:val="0"/>
                <w:sz w:val="18"/>
                <w:szCs w:val="18"/>
              </w:rPr>
            </w:pPr>
            <w:r>
              <w:rPr>
                <w:rFonts w:hint="eastAsia" w:ascii="宋体" w:hAnsi="宋体" w:cs="宋体"/>
                <w:color w:val="000000"/>
                <w:kern w:val="0"/>
                <w:sz w:val="18"/>
                <w:szCs w:val="18"/>
              </w:rPr>
              <w:t>924.90</w:t>
            </w:r>
          </w:p>
        </w:tc>
        <w:tc>
          <w:tcPr>
            <w:tcW w:w="662" w:type="pct"/>
            <w:shd w:val="clear" w:color="auto" w:fill="auto"/>
            <w:vAlign w:val="center"/>
          </w:tcPr>
          <w:p w14:paraId="590DC81A">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744934D3">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r>
      <w:tr w14:paraId="0BFC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43" w:type="pct"/>
            <w:shd w:val="clear" w:color="auto" w:fill="auto"/>
            <w:vAlign w:val="center"/>
          </w:tcPr>
          <w:p w14:paraId="24F98B0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834" w:type="pct"/>
            <w:shd w:val="clear" w:color="auto" w:fill="auto"/>
            <w:vAlign w:val="center"/>
          </w:tcPr>
          <w:p w14:paraId="3A079E41">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c>
          <w:tcPr>
            <w:tcW w:w="662" w:type="pct"/>
            <w:shd w:val="clear" w:color="auto" w:fill="auto"/>
            <w:vAlign w:val="center"/>
          </w:tcPr>
          <w:p w14:paraId="49E58ECF">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0980168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3CACFAE3">
            <w:pPr>
              <w:widowControl/>
              <w:jc w:val="center"/>
              <w:rPr>
                <w:rFonts w:ascii="宋体" w:hAnsi="宋体" w:cs="宋体"/>
                <w:color w:val="000000"/>
                <w:kern w:val="0"/>
                <w:sz w:val="18"/>
                <w:szCs w:val="18"/>
              </w:rPr>
            </w:pPr>
            <w:r>
              <w:rPr>
                <w:rFonts w:hint="eastAsia" w:ascii="宋体" w:hAnsi="宋体" w:cs="宋体"/>
                <w:color w:val="000000"/>
                <w:kern w:val="0"/>
                <w:sz w:val="18"/>
                <w:szCs w:val="18"/>
              </w:rPr>
              <w:t>924.90</w:t>
            </w:r>
          </w:p>
        </w:tc>
        <w:tc>
          <w:tcPr>
            <w:tcW w:w="662" w:type="pct"/>
            <w:shd w:val="clear" w:color="auto" w:fill="auto"/>
            <w:vAlign w:val="center"/>
          </w:tcPr>
          <w:p w14:paraId="34D6B17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632E1E71">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r>
      <w:tr w14:paraId="7923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4FC81C0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834" w:type="pct"/>
            <w:shd w:val="clear" w:color="auto" w:fill="auto"/>
            <w:vAlign w:val="center"/>
          </w:tcPr>
          <w:p w14:paraId="2AC55D6F">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c>
          <w:tcPr>
            <w:tcW w:w="662" w:type="pct"/>
            <w:shd w:val="clear" w:color="auto" w:fill="auto"/>
            <w:vAlign w:val="center"/>
          </w:tcPr>
          <w:p w14:paraId="4901FD9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261F621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6FF60DEE">
            <w:pPr>
              <w:widowControl/>
              <w:jc w:val="center"/>
              <w:rPr>
                <w:rFonts w:ascii="宋体" w:hAnsi="宋体" w:cs="宋体"/>
                <w:color w:val="000000"/>
                <w:kern w:val="0"/>
                <w:sz w:val="18"/>
                <w:szCs w:val="18"/>
              </w:rPr>
            </w:pPr>
            <w:r>
              <w:rPr>
                <w:rFonts w:hint="eastAsia" w:ascii="宋体" w:hAnsi="宋体" w:cs="宋体"/>
                <w:color w:val="000000"/>
                <w:kern w:val="0"/>
                <w:sz w:val="18"/>
                <w:szCs w:val="18"/>
              </w:rPr>
              <w:t>924.90</w:t>
            </w:r>
          </w:p>
        </w:tc>
        <w:tc>
          <w:tcPr>
            <w:tcW w:w="662" w:type="pct"/>
            <w:shd w:val="clear" w:color="auto" w:fill="auto"/>
            <w:vAlign w:val="center"/>
          </w:tcPr>
          <w:p w14:paraId="427449ED">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834" w:type="pct"/>
            <w:shd w:val="clear" w:color="auto" w:fill="auto"/>
            <w:vAlign w:val="center"/>
          </w:tcPr>
          <w:p w14:paraId="456723B2">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r>
      <w:tr w14:paraId="2082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4988A54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834" w:type="pct"/>
            <w:shd w:val="clear" w:color="auto" w:fill="auto"/>
            <w:vAlign w:val="center"/>
          </w:tcPr>
          <w:p w14:paraId="33E635BB">
            <w:pPr>
              <w:widowControl/>
              <w:jc w:val="center"/>
              <w:rPr>
                <w:rFonts w:ascii="宋体" w:hAnsi="宋体" w:cs="宋体"/>
                <w:color w:val="000000"/>
                <w:kern w:val="0"/>
                <w:sz w:val="18"/>
                <w:szCs w:val="18"/>
              </w:rPr>
            </w:pPr>
            <w:r>
              <w:rPr>
                <w:rFonts w:hint="eastAsia" w:ascii="宋体" w:hAnsi="宋体" w:cs="宋体"/>
                <w:color w:val="000000"/>
                <w:kern w:val="0"/>
                <w:sz w:val="18"/>
                <w:szCs w:val="18"/>
              </w:rPr>
              <w:t>24,000.00</w:t>
            </w:r>
          </w:p>
        </w:tc>
        <w:tc>
          <w:tcPr>
            <w:tcW w:w="662" w:type="pct"/>
            <w:shd w:val="clear" w:color="auto" w:fill="auto"/>
            <w:vAlign w:val="center"/>
          </w:tcPr>
          <w:p w14:paraId="5F9E3788">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75AE5F3C">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6E0BC95D">
            <w:pPr>
              <w:widowControl/>
              <w:jc w:val="center"/>
              <w:rPr>
                <w:rFonts w:ascii="宋体" w:hAnsi="宋体" w:cs="宋体"/>
                <w:color w:val="000000"/>
                <w:kern w:val="0"/>
                <w:sz w:val="18"/>
                <w:szCs w:val="18"/>
              </w:rPr>
            </w:pPr>
            <w:r>
              <w:rPr>
                <w:rFonts w:hint="eastAsia" w:ascii="宋体" w:hAnsi="宋体" w:cs="宋体"/>
                <w:color w:val="000000"/>
                <w:kern w:val="0"/>
                <w:sz w:val="18"/>
                <w:szCs w:val="18"/>
              </w:rPr>
              <w:t>924.90</w:t>
            </w:r>
          </w:p>
        </w:tc>
        <w:tc>
          <w:tcPr>
            <w:tcW w:w="662" w:type="pct"/>
            <w:shd w:val="clear" w:color="auto" w:fill="auto"/>
            <w:vAlign w:val="center"/>
          </w:tcPr>
          <w:p w14:paraId="7114C4DC">
            <w:pPr>
              <w:widowControl/>
              <w:jc w:val="center"/>
              <w:rPr>
                <w:rFonts w:ascii="宋体" w:hAnsi="宋体" w:cs="宋体"/>
                <w:color w:val="000000"/>
                <w:kern w:val="0"/>
                <w:sz w:val="18"/>
                <w:szCs w:val="18"/>
              </w:rPr>
            </w:pPr>
            <w:r>
              <w:rPr>
                <w:rFonts w:hint="eastAsia" w:ascii="宋体" w:hAnsi="宋体" w:cs="宋体"/>
                <w:color w:val="000000"/>
                <w:kern w:val="0"/>
                <w:sz w:val="18"/>
                <w:szCs w:val="18"/>
              </w:rPr>
              <w:t>1,000.00</w:t>
            </w:r>
          </w:p>
        </w:tc>
        <w:tc>
          <w:tcPr>
            <w:tcW w:w="834" w:type="pct"/>
            <w:shd w:val="clear" w:color="auto" w:fill="auto"/>
            <w:vAlign w:val="center"/>
          </w:tcPr>
          <w:p w14:paraId="084C6D6E">
            <w:pPr>
              <w:widowControl/>
              <w:jc w:val="center"/>
              <w:rPr>
                <w:rFonts w:ascii="宋体" w:hAnsi="宋体" w:cs="宋体"/>
                <w:color w:val="000000"/>
                <w:kern w:val="0"/>
                <w:sz w:val="18"/>
                <w:szCs w:val="18"/>
              </w:rPr>
            </w:pPr>
            <w:r>
              <w:rPr>
                <w:rFonts w:hint="eastAsia" w:ascii="宋体" w:hAnsi="宋体" w:cs="宋体"/>
                <w:color w:val="000000"/>
                <w:kern w:val="0"/>
                <w:sz w:val="18"/>
                <w:szCs w:val="18"/>
              </w:rPr>
              <w:t>23,000.00</w:t>
            </w:r>
          </w:p>
        </w:tc>
      </w:tr>
      <w:tr w14:paraId="3710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7BEA0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2031年</w:t>
            </w:r>
          </w:p>
        </w:tc>
        <w:tc>
          <w:tcPr>
            <w:tcW w:w="834" w:type="pct"/>
            <w:shd w:val="clear" w:color="auto" w:fill="auto"/>
            <w:vAlign w:val="center"/>
          </w:tcPr>
          <w:p w14:paraId="3CD55102">
            <w:pPr>
              <w:widowControl/>
              <w:jc w:val="center"/>
              <w:rPr>
                <w:rFonts w:ascii="宋体" w:hAnsi="宋体" w:cs="宋体"/>
                <w:color w:val="000000"/>
                <w:kern w:val="0"/>
                <w:sz w:val="18"/>
                <w:szCs w:val="18"/>
              </w:rPr>
            </w:pPr>
            <w:r>
              <w:rPr>
                <w:rFonts w:hint="eastAsia" w:ascii="宋体" w:hAnsi="宋体" w:cs="宋体"/>
                <w:color w:val="000000"/>
                <w:kern w:val="0"/>
                <w:sz w:val="18"/>
                <w:szCs w:val="18"/>
              </w:rPr>
              <w:t>23,000.00</w:t>
            </w:r>
          </w:p>
        </w:tc>
        <w:tc>
          <w:tcPr>
            <w:tcW w:w="662" w:type="pct"/>
            <w:shd w:val="clear" w:color="auto" w:fill="auto"/>
            <w:vAlign w:val="center"/>
          </w:tcPr>
          <w:p w14:paraId="3E0CED7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609B1BA2">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2CDF846E">
            <w:pPr>
              <w:widowControl/>
              <w:jc w:val="center"/>
              <w:rPr>
                <w:rFonts w:ascii="宋体" w:hAnsi="宋体" w:cs="宋体"/>
                <w:color w:val="000000"/>
                <w:kern w:val="0"/>
                <w:sz w:val="18"/>
                <w:szCs w:val="18"/>
              </w:rPr>
            </w:pPr>
            <w:r>
              <w:rPr>
                <w:rFonts w:hint="eastAsia" w:ascii="宋体" w:hAnsi="宋体" w:cs="宋体"/>
                <w:color w:val="000000"/>
                <w:kern w:val="0"/>
                <w:sz w:val="18"/>
                <w:szCs w:val="18"/>
              </w:rPr>
              <w:t>897.00</w:t>
            </w:r>
          </w:p>
        </w:tc>
        <w:tc>
          <w:tcPr>
            <w:tcW w:w="662" w:type="pct"/>
            <w:shd w:val="clear" w:color="auto" w:fill="auto"/>
            <w:vAlign w:val="center"/>
          </w:tcPr>
          <w:p w14:paraId="6C545ABA">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834" w:type="pct"/>
            <w:shd w:val="clear" w:color="auto" w:fill="auto"/>
            <w:vAlign w:val="center"/>
          </w:tcPr>
          <w:p w14:paraId="368B2771">
            <w:pPr>
              <w:widowControl/>
              <w:jc w:val="center"/>
              <w:rPr>
                <w:rFonts w:ascii="宋体" w:hAnsi="宋体" w:cs="宋体"/>
                <w:color w:val="000000"/>
                <w:kern w:val="0"/>
                <w:sz w:val="18"/>
                <w:szCs w:val="18"/>
              </w:rPr>
            </w:pPr>
            <w:r>
              <w:rPr>
                <w:rFonts w:hint="eastAsia" w:ascii="宋体" w:hAnsi="宋体" w:cs="宋体"/>
                <w:color w:val="000000"/>
                <w:kern w:val="0"/>
                <w:sz w:val="18"/>
                <w:szCs w:val="18"/>
              </w:rPr>
              <w:t>19,000.00</w:t>
            </w:r>
          </w:p>
        </w:tc>
      </w:tr>
      <w:tr w14:paraId="7184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73F52CC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2032年</w:t>
            </w:r>
          </w:p>
        </w:tc>
        <w:tc>
          <w:tcPr>
            <w:tcW w:w="834" w:type="pct"/>
            <w:shd w:val="clear" w:color="auto" w:fill="auto"/>
            <w:vAlign w:val="center"/>
          </w:tcPr>
          <w:p w14:paraId="5D13AF48">
            <w:pPr>
              <w:widowControl/>
              <w:jc w:val="center"/>
              <w:rPr>
                <w:rFonts w:ascii="宋体" w:hAnsi="宋体" w:cs="宋体"/>
                <w:color w:val="000000"/>
                <w:kern w:val="0"/>
                <w:sz w:val="18"/>
                <w:szCs w:val="18"/>
              </w:rPr>
            </w:pPr>
            <w:r>
              <w:rPr>
                <w:rFonts w:hint="eastAsia" w:ascii="宋体" w:hAnsi="宋体" w:cs="宋体"/>
                <w:color w:val="000000"/>
                <w:kern w:val="0"/>
                <w:sz w:val="18"/>
                <w:szCs w:val="18"/>
              </w:rPr>
              <w:t>19,000.00</w:t>
            </w:r>
          </w:p>
        </w:tc>
        <w:tc>
          <w:tcPr>
            <w:tcW w:w="662" w:type="pct"/>
            <w:shd w:val="clear" w:color="auto" w:fill="auto"/>
            <w:vAlign w:val="center"/>
          </w:tcPr>
          <w:p w14:paraId="6E861629">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6D31B557">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70D8CFE9">
            <w:pPr>
              <w:widowControl/>
              <w:jc w:val="center"/>
              <w:rPr>
                <w:rFonts w:ascii="宋体" w:hAnsi="宋体" w:cs="宋体"/>
                <w:color w:val="000000"/>
                <w:kern w:val="0"/>
                <w:sz w:val="18"/>
                <w:szCs w:val="18"/>
              </w:rPr>
            </w:pPr>
            <w:r>
              <w:rPr>
                <w:rFonts w:hint="eastAsia" w:ascii="宋体" w:hAnsi="宋体" w:cs="宋体"/>
                <w:color w:val="000000"/>
                <w:kern w:val="0"/>
                <w:sz w:val="18"/>
                <w:szCs w:val="18"/>
              </w:rPr>
              <w:t>741.00</w:t>
            </w:r>
          </w:p>
        </w:tc>
        <w:tc>
          <w:tcPr>
            <w:tcW w:w="662" w:type="pct"/>
            <w:shd w:val="clear" w:color="auto" w:fill="auto"/>
            <w:vAlign w:val="center"/>
          </w:tcPr>
          <w:p w14:paraId="06E00573">
            <w:pPr>
              <w:widowControl/>
              <w:jc w:val="center"/>
              <w:rPr>
                <w:rFonts w:ascii="宋体" w:hAnsi="宋体" w:cs="宋体"/>
                <w:color w:val="000000"/>
                <w:kern w:val="0"/>
                <w:sz w:val="18"/>
                <w:szCs w:val="18"/>
              </w:rPr>
            </w:pPr>
            <w:r>
              <w:rPr>
                <w:rFonts w:hint="eastAsia" w:ascii="宋体" w:hAnsi="宋体" w:cs="宋体"/>
                <w:color w:val="000000"/>
                <w:kern w:val="0"/>
                <w:sz w:val="18"/>
                <w:szCs w:val="18"/>
              </w:rPr>
              <w:t>15,000.00</w:t>
            </w:r>
          </w:p>
        </w:tc>
        <w:tc>
          <w:tcPr>
            <w:tcW w:w="834" w:type="pct"/>
            <w:shd w:val="clear" w:color="auto" w:fill="auto"/>
            <w:vAlign w:val="center"/>
          </w:tcPr>
          <w:p w14:paraId="48A78C3E">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r>
      <w:tr w14:paraId="55A5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43" w:type="pct"/>
            <w:shd w:val="clear" w:color="auto" w:fill="auto"/>
            <w:vAlign w:val="center"/>
          </w:tcPr>
          <w:p w14:paraId="28A10B3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2033年</w:t>
            </w:r>
          </w:p>
        </w:tc>
        <w:tc>
          <w:tcPr>
            <w:tcW w:w="834" w:type="pct"/>
            <w:shd w:val="clear" w:color="auto" w:fill="auto"/>
            <w:vAlign w:val="center"/>
          </w:tcPr>
          <w:p w14:paraId="691ECC1A">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662" w:type="pct"/>
            <w:shd w:val="clear" w:color="auto" w:fill="auto"/>
            <w:vAlign w:val="center"/>
          </w:tcPr>
          <w:p w14:paraId="33BAD2F1">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02" w:type="pct"/>
            <w:shd w:val="clear" w:color="auto" w:fill="auto"/>
            <w:vAlign w:val="center"/>
          </w:tcPr>
          <w:p w14:paraId="2FD1EB3B">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62" w:type="pct"/>
            <w:shd w:val="clear" w:color="auto" w:fill="auto"/>
            <w:vAlign w:val="center"/>
          </w:tcPr>
          <w:p w14:paraId="38413705">
            <w:pPr>
              <w:widowControl/>
              <w:jc w:val="center"/>
              <w:rPr>
                <w:rFonts w:ascii="宋体" w:hAnsi="宋体" w:cs="宋体"/>
                <w:color w:val="000000"/>
                <w:kern w:val="0"/>
                <w:sz w:val="18"/>
                <w:szCs w:val="18"/>
              </w:rPr>
            </w:pPr>
            <w:r>
              <w:rPr>
                <w:rFonts w:hint="eastAsia" w:ascii="宋体" w:hAnsi="宋体" w:cs="宋体"/>
                <w:color w:val="000000"/>
                <w:kern w:val="0"/>
                <w:sz w:val="18"/>
                <w:szCs w:val="18"/>
              </w:rPr>
              <w:t>156.00</w:t>
            </w:r>
          </w:p>
        </w:tc>
        <w:tc>
          <w:tcPr>
            <w:tcW w:w="662" w:type="pct"/>
            <w:shd w:val="clear" w:color="auto" w:fill="auto"/>
            <w:vAlign w:val="center"/>
          </w:tcPr>
          <w:p w14:paraId="6BCCD907">
            <w:pPr>
              <w:widowControl/>
              <w:jc w:val="center"/>
              <w:rPr>
                <w:rFonts w:ascii="宋体" w:hAnsi="宋体" w:cs="宋体"/>
                <w:color w:val="000000"/>
                <w:kern w:val="0"/>
                <w:sz w:val="18"/>
                <w:szCs w:val="18"/>
              </w:rPr>
            </w:pPr>
            <w:r>
              <w:rPr>
                <w:rFonts w:hint="eastAsia" w:ascii="宋体" w:hAnsi="宋体" w:cs="宋体"/>
                <w:color w:val="000000"/>
                <w:kern w:val="0"/>
                <w:sz w:val="18"/>
                <w:szCs w:val="18"/>
              </w:rPr>
              <w:t>4,000.00</w:t>
            </w:r>
          </w:p>
        </w:tc>
        <w:tc>
          <w:tcPr>
            <w:tcW w:w="834" w:type="pct"/>
            <w:shd w:val="clear" w:color="auto" w:fill="auto"/>
            <w:vAlign w:val="center"/>
          </w:tcPr>
          <w:p w14:paraId="44B3D225">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14:paraId="26CB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43" w:type="pct"/>
            <w:shd w:val="clear" w:color="auto" w:fill="auto"/>
            <w:vAlign w:val="center"/>
          </w:tcPr>
          <w:p w14:paraId="0797836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834" w:type="pct"/>
            <w:shd w:val="clear" w:color="auto" w:fill="auto"/>
            <w:vAlign w:val="center"/>
          </w:tcPr>
          <w:p w14:paraId="0938754F">
            <w:pPr>
              <w:widowControl/>
              <w:jc w:val="center"/>
              <w:rPr>
                <w:rFonts w:ascii="宋体" w:hAnsi="宋体" w:cs="宋体"/>
                <w:b/>
                <w:bCs/>
                <w:color w:val="000000"/>
                <w:kern w:val="0"/>
                <w:sz w:val="18"/>
                <w:szCs w:val="18"/>
              </w:rPr>
            </w:pPr>
          </w:p>
        </w:tc>
        <w:tc>
          <w:tcPr>
            <w:tcW w:w="662" w:type="pct"/>
            <w:shd w:val="clear" w:color="auto" w:fill="auto"/>
            <w:vAlign w:val="center"/>
          </w:tcPr>
          <w:p w14:paraId="03A553E8">
            <w:pPr>
              <w:widowControl/>
              <w:jc w:val="center"/>
              <w:rPr>
                <w:rFonts w:ascii="宋体" w:hAnsi="宋体" w:cs="宋体"/>
                <w:b/>
                <w:bCs/>
                <w:color w:val="000000"/>
                <w:kern w:val="0"/>
                <w:sz w:val="18"/>
                <w:szCs w:val="18"/>
              </w:rPr>
            </w:pPr>
            <w:r>
              <w:rPr>
                <w:rFonts w:ascii="宋体" w:hAnsi="宋体" w:cs="宋体"/>
                <w:b/>
                <w:bCs/>
                <w:color w:val="000000"/>
                <w:kern w:val="0"/>
                <w:sz w:val="18"/>
                <w:szCs w:val="18"/>
              </w:rPr>
              <w:t>24,000.00</w:t>
            </w:r>
          </w:p>
        </w:tc>
        <w:tc>
          <w:tcPr>
            <w:tcW w:w="602" w:type="pct"/>
            <w:shd w:val="clear" w:color="auto" w:fill="auto"/>
            <w:vAlign w:val="center"/>
          </w:tcPr>
          <w:p w14:paraId="204C063E">
            <w:pPr>
              <w:widowControl/>
              <w:jc w:val="center"/>
              <w:rPr>
                <w:rFonts w:ascii="宋体" w:hAnsi="宋体" w:cs="宋体"/>
                <w:b/>
                <w:bCs/>
                <w:color w:val="000000"/>
                <w:kern w:val="0"/>
                <w:sz w:val="18"/>
                <w:szCs w:val="18"/>
              </w:rPr>
            </w:pPr>
            <w:r>
              <w:rPr>
                <w:rFonts w:ascii="宋体" w:hAnsi="宋体" w:cs="宋体"/>
                <w:b/>
                <w:bCs/>
                <w:color w:val="000000"/>
                <w:kern w:val="0"/>
                <w:sz w:val="18"/>
                <w:szCs w:val="18"/>
              </w:rPr>
              <w:t>24.00</w:t>
            </w:r>
          </w:p>
        </w:tc>
        <w:tc>
          <w:tcPr>
            <w:tcW w:w="662" w:type="pct"/>
            <w:shd w:val="clear" w:color="auto" w:fill="auto"/>
            <w:vAlign w:val="center"/>
          </w:tcPr>
          <w:p w14:paraId="1242A82A">
            <w:pPr>
              <w:widowControl/>
              <w:jc w:val="center"/>
              <w:rPr>
                <w:rFonts w:ascii="宋体" w:hAnsi="宋体" w:cs="宋体"/>
                <w:b/>
                <w:bCs/>
                <w:color w:val="000000"/>
                <w:kern w:val="0"/>
                <w:sz w:val="18"/>
                <w:szCs w:val="18"/>
              </w:rPr>
            </w:pPr>
            <w:r>
              <w:rPr>
                <w:rFonts w:ascii="宋体" w:hAnsi="宋体" w:cs="宋体"/>
                <w:b/>
                <w:bCs/>
                <w:color w:val="000000"/>
                <w:kern w:val="0"/>
                <w:sz w:val="18"/>
                <w:szCs w:val="18"/>
              </w:rPr>
              <w:t>6,474.30</w:t>
            </w:r>
          </w:p>
        </w:tc>
        <w:tc>
          <w:tcPr>
            <w:tcW w:w="662" w:type="pct"/>
            <w:shd w:val="clear" w:color="auto" w:fill="auto"/>
            <w:vAlign w:val="center"/>
          </w:tcPr>
          <w:p w14:paraId="298E3E3D">
            <w:pPr>
              <w:widowControl/>
              <w:jc w:val="center"/>
              <w:rPr>
                <w:rFonts w:ascii="宋体" w:hAnsi="宋体" w:cs="宋体"/>
                <w:b/>
                <w:bCs/>
                <w:color w:val="000000"/>
                <w:kern w:val="0"/>
                <w:sz w:val="18"/>
                <w:szCs w:val="18"/>
              </w:rPr>
            </w:pPr>
            <w:r>
              <w:rPr>
                <w:rFonts w:ascii="宋体" w:hAnsi="宋体" w:cs="宋体"/>
                <w:b/>
                <w:bCs/>
                <w:color w:val="000000"/>
                <w:kern w:val="0"/>
                <w:sz w:val="18"/>
                <w:szCs w:val="18"/>
              </w:rPr>
              <w:t>24,000.00</w:t>
            </w:r>
          </w:p>
        </w:tc>
        <w:tc>
          <w:tcPr>
            <w:tcW w:w="834" w:type="pct"/>
            <w:shd w:val="clear" w:color="auto" w:fill="auto"/>
            <w:vAlign w:val="center"/>
          </w:tcPr>
          <w:p w14:paraId="3377B91E">
            <w:pPr>
              <w:widowControl/>
              <w:jc w:val="center"/>
              <w:rPr>
                <w:rFonts w:ascii="宋体" w:hAnsi="宋体" w:cs="宋体"/>
                <w:b/>
                <w:bCs/>
                <w:color w:val="000000"/>
                <w:kern w:val="0"/>
                <w:sz w:val="18"/>
                <w:szCs w:val="18"/>
              </w:rPr>
            </w:pPr>
          </w:p>
        </w:tc>
      </w:tr>
    </w:tbl>
    <w:p w14:paraId="2305E342">
      <w:pPr>
        <w:pStyle w:val="20"/>
        <w:spacing w:before="0" w:beforeAutospacing="0" w:after="156" w:afterLines="50" w:afterAutospacing="0" w:line="360" w:lineRule="exact"/>
        <w:ind w:firstLine="360" w:firstLineChars="200"/>
        <w:jc w:val="both"/>
        <w:rPr>
          <w:rFonts w:hint="eastAsia" w:cs="Times New Roman"/>
          <w:sz w:val="18"/>
          <w:szCs w:val="18"/>
        </w:rPr>
      </w:pPr>
      <w:r>
        <w:rPr>
          <w:rFonts w:hint="eastAsia" w:cs="Times New Roman"/>
          <w:sz w:val="18"/>
          <w:szCs w:val="18"/>
        </w:rPr>
        <w:t>注：</w:t>
      </w:r>
      <w:r>
        <w:rPr>
          <w:sz w:val="18"/>
          <w:szCs w:val="18"/>
        </w:rPr>
        <w:t>7年</w:t>
      </w:r>
      <w:r>
        <w:rPr>
          <w:rFonts w:hint="eastAsia"/>
          <w:sz w:val="18"/>
          <w:szCs w:val="18"/>
        </w:rPr>
        <w:t>期债券分别从债券发行年（</w:t>
      </w:r>
      <w:r>
        <w:rPr>
          <w:sz w:val="18"/>
          <w:szCs w:val="18"/>
        </w:rPr>
        <w:t>2023</w:t>
      </w:r>
      <w:r>
        <w:rPr>
          <w:rFonts w:hint="eastAsia"/>
          <w:sz w:val="18"/>
          <w:szCs w:val="18"/>
        </w:rPr>
        <w:t>年、202</w:t>
      </w:r>
      <w:r>
        <w:rPr>
          <w:sz w:val="18"/>
          <w:szCs w:val="18"/>
        </w:rPr>
        <w:t>4</w:t>
      </w:r>
      <w:r>
        <w:rPr>
          <w:rFonts w:hint="eastAsia"/>
          <w:sz w:val="18"/>
          <w:szCs w:val="18"/>
        </w:rPr>
        <w:t>年、202</w:t>
      </w:r>
      <w:r>
        <w:rPr>
          <w:sz w:val="18"/>
          <w:szCs w:val="18"/>
        </w:rPr>
        <w:t>5</w:t>
      </w:r>
      <w:r>
        <w:rPr>
          <w:rFonts w:hint="eastAsia"/>
          <w:sz w:val="18"/>
          <w:szCs w:val="18"/>
        </w:rPr>
        <w:t>年、202</w:t>
      </w:r>
      <w:r>
        <w:rPr>
          <w:sz w:val="18"/>
          <w:szCs w:val="18"/>
        </w:rPr>
        <w:t>6</w:t>
      </w:r>
      <w:r>
        <w:rPr>
          <w:rFonts w:hint="eastAsia"/>
          <w:sz w:val="18"/>
          <w:szCs w:val="18"/>
        </w:rPr>
        <w:t>年）起按照每年支付一次债券利息</w:t>
      </w:r>
      <w:r>
        <w:rPr>
          <w:rFonts w:hint="eastAsia" w:cs="Times New Roman"/>
          <w:sz w:val="18"/>
          <w:szCs w:val="18"/>
        </w:rPr>
        <w:t>。</w:t>
      </w:r>
    </w:p>
    <w:p w14:paraId="14255187">
      <w:pPr>
        <w:pStyle w:val="20"/>
        <w:spacing w:before="0" w:beforeAutospacing="0" w:after="156" w:afterLines="50" w:afterAutospacing="0" w:line="360" w:lineRule="exact"/>
        <w:ind w:firstLine="420" w:firstLineChars="200"/>
        <w:jc w:val="both"/>
        <w:rPr>
          <w:sz w:val="21"/>
          <w:szCs w:val="21"/>
        </w:rPr>
      </w:pPr>
      <w:r>
        <w:rPr>
          <w:rFonts w:hint="eastAsia"/>
          <w:sz w:val="21"/>
          <w:szCs w:val="21"/>
        </w:rPr>
        <w:t>202</w:t>
      </w:r>
      <w:r>
        <w:rPr>
          <w:sz w:val="21"/>
          <w:szCs w:val="21"/>
        </w:rPr>
        <w:t>4</w:t>
      </w:r>
      <w:r>
        <w:rPr>
          <w:rFonts w:hint="eastAsia"/>
          <w:sz w:val="21"/>
          <w:szCs w:val="21"/>
        </w:rPr>
        <w:t>年江西省东新乡大洲村三期安置房（城市棚户区改造）项目专项债券项目实施方案资金充足性分析情况具体如下表3</w:t>
      </w:r>
      <w:r>
        <w:rPr>
          <w:sz w:val="21"/>
          <w:szCs w:val="21"/>
        </w:rPr>
        <w:t>-4</w:t>
      </w:r>
      <w:r>
        <w:rPr>
          <w:rFonts w:hint="eastAsia"/>
          <w:sz w:val="21"/>
          <w:szCs w:val="21"/>
        </w:rPr>
        <w:t>及图3-</w:t>
      </w:r>
      <w:r>
        <w:rPr>
          <w:sz w:val="21"/>
          <w:szCs w:val="21"/>
        </w:rPr>
        <w:t>1</w:t>
      </w:r>
      <w:r>
        <w:rPr>
          <w:rFonts w:hint="eastAsia"/>
          <w:sz w:val="21"/>
          <w:szCs w:val="21"/>
        </w:rPr>
        <w:t>所示：</w:t>
      </w:r>
    </w:p>
    <w:p w14:paraId="7D45D30E">
      <w:pPr>
        <w:pStyle w:val="20"/>
        <w:spacing w:after="156" w:afterLines="50" w:afterAutospacing="0" w:line="360" w:lineRule="exact"/>
        <w:ind w:firstLine="440" w:firstLineChars="200"/>
        <w:jc w:val="center"/>
        <w:rPr>
          <w:b/>
        </w:rPr>
        <w:sectPr>
          <w:pgSz w:w="11906" w:h="16838"/>
          <w:pgMar w:top="1531" w:right="1701" w:bottom="1418" w:left="1701" w:header="851" w:footer="992" w:gutter="0"/>
          <w:pgNumType w:fmt="decimal"/>
          <w:cols w:space="425" w:num="1"/>
          <w:docGrid w:type="linesAndChars" w:linePitch="312" w:charSpace="0"/>
        </w:sectPr>
      </w:pPr>
    </w:p>
    <w:p w14:paraId="5DB36627">
      <w:pPr>
        <w:pStyle w:val="20"/>
        <w:spacing w:before="0" w:beforeAutospacing="0" w:after="156" w:afterLines="50" w:afterAutospacing="0" w:line="360" w:lineRule="exact"/>
        <w:ind w:firstLine="420" w:firstLineChars="200"/>
        <w:jc w:val="center"/>
        <w:rPr>
          <w:b/>
          <w:sz w:val="21"/>
          <w:szCs w:val="21"/>
        </w:rPr>
      </w:pPr>
      <w:r>
        <w:rPr>
          <w:rFonts w:hint="eastAsia"/>
          <w:b/>
          <w:sz w:val="21"/>
          <w:szCs w:val="21"/>
        </w:rPr>
        <w:t>表3-</w:t>
      </w:r>
      <w:r>
        <w:rPr>
          <w:b/>
          <w:sz w:val="21"/>
          <w:szCs w:val="21"/>
        </w:rPr>
        <w:t xml:space="preserve">4  </w:t>
      </w:r>
      <w:r>
        <w:rPr>
          <w:rFonts w:hint="eastAsia"/>
          <w:b/>
          <w:sz w:val="21"/>
          <w:szCs w:val="21"/>
        </w:rPr>
        <w:t>202</w:t>
      </w:r>
      <w:r>
        <w:rPr>
          <w:b/>
          <w:sz w:val="21"/>
          <w:szCs w:val="21"/>
        </w:rPr>
        <w:t>4</w:t>
      </w:r>
      <w:r>
        <w:rPr>
          <w:rFonts w:hint="eastAsia"/>
          <w:b/>
          <w:sz w:val="21"/>
          <w:szCs w:val="21"/>
        </w:rPr>
        <w:t>年江西省东新乡大洲村三期安置房（城市棚户区改造）项目实施方案资金充足性分析情况表</w:t>
      </w:r>
    </w:p>
    <w:p w14:paraId="7BEE0C24">
      <w:pPr>
        <w:pStyle w:val="20"/>
        <w:spacing w:before="0" w:beforeAutospacing="0" w:after="50" w:afterAutospacing="0" w:line="360" w:lineRule="exact"/>
        <w:ind w:right="-510" w:rightChars="-243" w:firstLine="360" w:firstLineChars="200"/>
        <w:jc w:val="right"/>
        <w:rPr>
          <w:sz w:val="18"/>
          <w:szCs w:val="18"/>
        </w:rPr>
      </w:pPr>
      <w:r>
        <w:rPr>
          <w:rFonts w:hint="eastAsia"/>
          <w:sz w:val="18"/>
          <w:szCs w:val="18"/>
        </w:rPr>
        <w:t>单位：万元</w:t>
      </w:r>
    </w:p>
    <w:tbl>
      <w:tblPr>
        <w:tblStyle w:val="24"/>
        <w:tblW w:w="5260" w:type="pct"/>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1359"/>
        <w:gridCol w:w="1083"/>
        <w:gridCol w:w="1089"/>
        <w:gridCol w:w="1045"/>
        <w:gridCol w:w="1145"/>
        <w:gridCol w:w="1148"/>
        <w:gridCol w:w="1083"/>
        <w:gridCol w:w="1042"/>
        <w:gridCol w:w="1042"/>
        <w:gridCol w:w="1042"/>
        <w:gridCol w:w="1042"/>
        <w:gridCol w:w="1042"/>
        <w:gridCol w:w="1048"/>
      </w:tblGrid>
      <w:tr w14:paraId="5FA1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trPr>
        <w:tc>
          <w:tcPr>
            <w:tcW w:w="212" w:type="pct"/>
            <w:shd w:val="clear" w:color="auto" w:fill="auto"/>
            <w:vAlign w:val="center"/>
          </w:tcPr>
          <w:p w14:paraId="2DFD8C4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458" w:type="pct"/>
            <w:shd w:val="clear" w:color="auto" w:fill="auto"/>
            <w:vAlign w:val="center"/>
          </w:tcPr>
          <w:p w14:paraId="6464F96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365" w:type="pct"/>
            <w:shd w:val="clear" w:color="auto" w:fill="auto"/>
            <w:vAlign w:val="center"/>
          </w:tcPr>
          <w:p w14:paraId="0F13F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67" w:type="pct"/>
            <w:shd w:val="clear" w:color="auto" w:fill="auto"/>
            <w:vAlign w:val="center"/>
          </w:tcPr>
          <w:p w14:paraId="77DAAD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351" w:type="pct"/>
            <w:shd w:val="clear" w:color="auto" w:fill="auto"/>
            <w:vAlign w:val="center"/>
          </w:tcPr>
          <w:p w14:paraId="1C5C465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386" w:type="pct"/>
            <w:shd w:val="clear" w:color="auto" w:fill="auto"/>
            <w:vAlign w:val="center"/>
          </w:tcPr>
          <w:p w14:paraId="3E7BC32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387" w:type="pct"/>
            <w:shd w:val="clear" w:color="auto" w:fill="auto"/>
            <w:vAlign w:val="center"/>
          </w:tcPr>
          <w:p w14:paraId="291C563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365" w:type="pct"/>
            <w:shd w:val="clear" w:color="auto" w:fill="auto"/>
            <w:vAlign w:val="center"/>
          </w:tcPr>
          <w:p w14:paraId="7E46F90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351" w:type="pct"/>
            <w:shd w:val="clear" w:color="auto" w:fill="auto"/>
            <w:vAlign w:val="center"/>
          </w:tcPr>
          <w:p w14:paraId="3D2E9E2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351" w:type="pct"/>
            <w:shd w:val="clear" w:color="auto" w:fill="auto"/>
            <w:vAlign w:val="center"/>
          </w:tcPr>
          <w:p w14:paraId="6535AE8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351" w:type="pct"/>
            <w:shd w:val="clear" w:color="auto" w:fill="auto"/>
            <w:vAlign w:val="center"/>
          </w:tcPr>
          <w:p w14:paraId="174AA95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351" w:type="pct"/>
            <w:shd w:val="clear" w:color="auto" w:fill="auto"/>
            <w:vAlign w:val="center"/>
          </w:tcPr>
          <w:p w14:paraId="06B0D66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2031年</w:t>
            </w:r>
          </w:p>
        </w:tc>
        <w:tc>
          <w:tcPr>
            <w:tcW w:w="351" w:type="pct"/>
            <w:shd w:val="clear" w:color="auto" w:fill="auto"/>
            <w:vAlign w:val="center"/>
          </w:tcPr>
          <w:p w14:paraId="1562215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2032年</w:t>
            </w:r>
          </w:p>
        </w:tc>
        <w:tc>
          <w:tcPr>
            <w:tcW w:w="351" w:type="pct"/>
            <w:vAlign w:val="center"/>
          </w:tcPr>
          <w:p w14:paraId="49E5456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2033年</w:t>
            </w:r>
          </w:p>
        </w:tc>
      </w:tr>
      <w:tr w14:paraId="1859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65E3774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458" w:type="pct"/>
            <w:shd w:val="clear" w:color="auto" w:fill="auto"/>
            <w:vAlign w:val="center"/>
          </w:tcPr>
          <w:p w14:paraId="472DCE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365" w:type="pct"/>
            <w:shd w:val="clear" w:color="auto" w:fill="auto"/>
            <w:vAlign w:val="center"/>
          </w:tcPr>
          <w:p w14:paraId="64678570">
            <w:pPr>
              <w:widowControl/>
              <w:jc w:val="right"/>
              <w:rPr>
                <w:rFonts w:ascii="宋体" w:hAnsi="宋体" w:cs="宋体"/>
                <w:color w:val="000000"/>
                <w:kern w:val="0"/>
                <w:sz w:val="18"/>
                <w:szCs w:val="18"/>
              </w:rPr>
            </w:pPr>
            <w:r>
              <w:rPr>
                <w:rFonts w:ascii="宋体" w:hAnsi="宋体" w:cs="宋体"/>
                <w:color w:val="000000"/>
                <w:kern w:val="0"/>
                <w:sz w:val="18"/>
                <w:szCs w:val="18"/>
              </w:rPr>
              <w:t>92,020.26</w:t>
            </w:r>
          </w:p>
        </w:tc>
        <w:tc>
          <w:tcPr>
            <w:tcW w:w="367" w:type="pct"/>
            <w:shd w:val="clear" w:color="auto" w:fill="auto"/>
            <w:vAlign w:val="center"/>
          </w:tcPr>
          <w:p w14:paraId="4EB87FAF">
            <w:pPr>
              <w:widowControl/>
              <w:jc w:val="right"/>
              <w:rPr>
                <w:rFonts w:ascii="宋体" w:hAnsi="宋体" w:cs="宋体"/>
                <w:color w:val="000000"/>
                <w:kern w:val="0"/>
                <w:sz w:val="18"/>
                <w:szCs w:val="18"/>
              </w:rPr>
            </w:pPr>
            <w:r>
              <w:rPr>
                <w:rFonts w:ascii="宋体" w:hAnsi="宋体" w:cs="宋体"/>
                <w:color w:val="000000"/>
                <w:kern w:val="0"/>
                <w:sz w:val="18"/>
                <w:szCs w:val="18"/>
              </w:rPr>
              <w:t>1,220.00</w:t>
            </w:r>
          </w:p>
        </w:tc>
        <w:tc>
          <w:tcPr>
            <w:tcW w:w="351" w:type="pct"/>
            <w:shd w:val="clear" w:color="auto" w:fill="auto"/>
            <w:vAlign w:val="center"/>
          </w:tcPr>
          <w:p w14:paraId="60BCBACF">
            <w:pPr>
              <w:widowControl/>
              <w:jc w:val="right"/>
              <w:rPr>
                <w:rFonts w:ascii="宋体" w:hAnsi="宋体" w:cs="宋体"/>
                <w:color w:val="000000"/>
                <w:kern w:val="0"/>
                <w:sz w:val="18"/>
                <w:szCs w:val="18"/>
              </w:rPr>
            </w:pPr>
            <w:r>
              <w:rPr>
                <w:rFonts w:ascii="宋体" w:hAnsi="宋体" w:cs="宋体"/>
                <w:color w:val="000000"/>
                <w:kern w:val="0"/>
                <w:sz w:val="18"/>
                <w:szCs w:val="18"/>
              </w:rPr>
              <w:t>23,131.90</w:t>
            </w:r>
          </w:p>
        </w:tc>
        <w:tc>
          <w:tcPr>
            <w:tcW w:w="386" w:type="pct"/>
            <w:shd w:val="clear" w:color="auto" w:fill="auto"/>
            <w:vAlign w:val="center"/>
          </w:tcPr>
          <w:p w14:paraId="28A59BC0">
            <w:pPr>
              <w:widowControl/>
              <w:jc w:val="right"/>
              <w:rPr>
                <w:rFonts w:ascii="宋体" w:hAnsi="宋体" w:cs="宋体"/>
                <w:color w:val="000000"/>
                <w:kern w:val="0"/>
                <w:sz w:val="18"/>
                <w:szCs w:val="18"/>
              </w:rPr>
            </w:pPr>
            <w:r>
              <w:rPr>
                <w:rFonts w:ascii="宋体" w:hAnsi="宋体" w:cs="宋体"/>
                <w:color w:val="000000"/>
                <w:kern w:val="0"/>
                <w:sz w:val="18"/>
                <w:szCs w:val="18"/>
              </w:rPr>
              <w:t>23,298.90</w:t>
            </w:r>
          </w:p>
        </w:tc>
        <w:tc>
          <w:tcPr>
            <w:tcW w:w="387" w:type="pct"/>
            <w:shd w:val="clear" w:color="auto" w:fill="auto"/>
            <w:vAlign w:val="center"/>
          </w:tcPr>
          <w:p w14:paraId="12A97D86">
            <w:pPr>
              <w:widowControl/>
              <w:jc w:val="right"/>
              <w:rPr>
                <w:rFonts w:ascii="宋体" w:hAnsi="宋体" w:cs="宋体"/>
                <w:color w:val="000000"/>
                <w:kern w:val="0"/>
                <w:sz w:val="18"/>
                <w:szCs w:val="18"/>
              </w:rPr>
            </w:pPr>
            <w:r>
              <w:rPr>
                <w:rFonts w:ascii="宋体" w:hAnsi="宋体" w:cs="宋体"/>
                <w:color w:val="000000"/>
                <w:kern w:val="0"/>
                <w:sz w:val="18"/>
                <w:szCs w:val="18"/>
              </w:rPr>
              <w:t>6,773.90</w:t>
            </w:r>
          </w:p>
        </w:tc>
        <w:tc>
          <w:tcPr>
            <w:tcW w:w="365" w:type="pct"/>
            <w:shd w:val="clear" w:color="auto" w:fill="auto"/>
            <w:vAlign w:val="center"/>
          </w:tcPr>
          <w:p w14:paraId="4017614B">
            <w:pPr>
              <w:widowControl/>
              <w:jc w:val="right"/>
              <w:rPr>
                <w:rFonts w:ascii="宋体" w:hAnsi="宋体" w:cs="宋体"/>
                <w:color w:val="000000"/>
                <w:kern w:val="0"/>
                <w:sz w:val="18"/>
                <w:szCs w:val="18"/>
              </w:rPr>
            </w:pPr>
            <w:r>
              <w:rPr>
                <w:rFonts w:ascii="宋体" w:hAnsi="宋体" w:cs="宋体"/>
                <w:color w:val="000000"/>
                <w:kern w:val="0"/>
                <w:sz w:val="18"/>
                <w:szCs w:val="18"/>
              </w:rPr>
              <w:t>37,595.56</w:t>
            </w:r>
          </w:p>
        </w:tc>
        <w:tc>
          <w:tcPr>
            <w:tcW w:w="351" w:type="pct"/>
            <w:shd w:val="clear" w:color="auto" w:fill="auto"/>
            <w:vAlign w:val="center"/>
          </w:tcPr>
          <w:p w14:paraId="70FB714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E331C0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718DD62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9A0349E">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641138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00B89D86">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681C1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701D34E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8" w:type="pct"/>
            <w:shd w:val="clear" w:color="auto" w:fill="auto"/>
            <w:vAlign w:val="center"/>
          </w:tcPr>
          <w:p w14:paraId="1DFA0035">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365" w:type="pct"/>
            <w:shd w:val="clear" w:color="auto" w:fill="auto"/>
            <w:vAlign w:val="center"/>
          </w:tcPr>
          <w:p w14:paraId="7014A8B8">
            <w:pPr>
              <w:widowControl/>
              <w:jc w:val="right"/>
              <w:rPr>
                <w:rFonts w:ascii="宋体" w:hAnsi="宋体" w:cs="宋体"/>
                <w:color w:val="000000"/>
                <w:kern w:val="0"/>
                <w:sz w:val="18"/>
                <w:szCs w:val="18"/>
              </w:rPr>
            </w:pPr>
            <w:r>
              <w:rPr>
                <w:rFonts w:ascii="宋体" w:hAnsi="宋体" w:cs="宋体"/>
                <w:color w:val="000000"/>
                <w:kern w:val="0"/>
                <w:sz w:val="18"/>
                <w:szCs w:val="18"/>
              </w:rPr>
              <w:t>37,595.56</w:t>
            </w:r>
          </w:p>
        </w:tc>
        <w:tc>
          <w:tcPr>
            <w:tcW w:w="367" w:type="pct"/>
            <w:shd w:val="clear" w:color="auto" w:fill="auto"/>
            <w:vAlign w:val="center"/>
          </w:tcPr>
          <w:p w14:paraId="61E4DBA9">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4ED3DC9">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7B55CEAA">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59F0C51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6B4F3C17">
            <w:pPr>
              <w:widowControl/>
              <w:jc w:val="right"/>
              <w:rPr>
                <w:rFonts w:ascii="宋体" w:hAnsi="宋体" w:cs="宋体"/>
                <w:color w:val="000000"/>
                <w:kern w:val="0"/>
                <w:sz w:val="18"/>
                <w:szCs w:val="18"/>
              </w:rPr>
            </w:pPr>
            <w:r>
              <w:rPr>
                <w:rFonts w:ascii="宋体" w:hAnsi="宋体" w:cs="宋体"/>
                <w:color w:val="000000"/>
                <w:kern w:val="0"/>
                <w:sz w:val="18"/>
                <w:szCs w:val="18"/>
              </w:rPr>
              <w:t>37,595.56</w:t>
            </w:r>
          </w:p>
        </w:tc>
        <w:tc>
          <w:tcPr>
            <w:tcW w:w="351" w:type="pct"/>
            <w:shd w:val="clear" w:color="auto" w:fill="auto"/>
            <w:vAlign w:val="center"/>
          </w:tcPr>
          <w:p w14:paraId="600E61A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EB0A173">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3A81A40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7E8A836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C96053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09C2E01C">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7D7C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33E10603">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458" w:type="pct"/>
            <w:shd w:val="clear" w:color="auto" w:fill="auto"/>
            <w:vAlign w:val="center"/>
          </w:tcPr>
          <w:p w14:paraId="6F32D4B5">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365" w:type="pct"/>
            <w:shd w:val="clear" w:color="auto" w:fill="auto"/>
            <w:vAlign w:val="center"/>
          </w:tcPr>
          <w:p w14:paraId="5495835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2EC88C2D">
            <w:pPr>
              <w:widowControl/>
              <w:jc w:val="right"/>
              <w:rPr>
                <w:rFonts w:ascii="宋体" w:hAnsi="宋体" w:cs="宋体"/>
                <w:color w:val="000000"/>
                <w:kern w:val="0"/>
                <w:sz w:val="18"/>
                <w:szCs w:val="18"/>
              </w:rPr>
            </w:pPr>
          </w:p>
        </w:tc>
        <w:tc>
          <w:tcPr>
            <w:tcW w:w="351" w:type="pct"/>
            <w:shd w:val="clear" w:color="auto" w:fill="auto"/>
            <w:vAlign w:val="center"/>
          </w:tcPr>
          <w:p w14:paraId="602C2A21">
            <w:pPr>
              <w:widowControl/>
              <w:jc w:val="right"/>
              <w:rPr>
                <w:rFonts w:ascii="宋体" w:hAnsi="宋体" w:cs="宋体"/>
                <w:color w:val="000000"/>
                <w:kern w:val="0"/>
                <w:sz w:val="18"/>
                <w:szCs w:val="18"/>
              </w:rPr>
            </w:pPr>
          </w:p>
        </w:tc>
        <w:tc>
          <w:tcPr>
            <w:tcW w:w="386" w:type="pct"/>
            <w:shd w:val="clear" w:color="auto" w:fill="auto"/>
            <w:vAlign w:val="center"/>
          </w:tcPr>
          <w:p w14:paraId="62AD55C7">
            <w:pPr>
              <w:widowControl/>
              <w:jc w:val="right"/>
              <w:rPr>
                <w:rFonts w:ascii="宋体" w:hAnsi="宋体" w:cs="宋体"/>
                <w:color w:val="000000"/>
                <w:kern w:val="0"/>
                <w:sz w:val="18"/>
                <w:szCs w:val="18"/>
              </w:rPr>
            </w:pPr>
          </w:p>
        </w:tc>
        <w:tc>
          <w:tcPr>
            <w:tcW w:w="387" w:type="pct"/>
            <w:shd w:val="clear" w:color="auto" w:fill="auto"/>
            <w:vAlign w:val="center"/>
          </w:tcPr>
          <w:p w14:paraId="7C91FAF9">
            <w:pPr>
              <w:widowControl/>
              <w:jc w:val="right"/>
              <w:rPr>
                <w:rFonts w:ascii="宋体" w:hAnsi="宋体" w:cs="宋体"/>
                <w:color w:val="000000"/>
                <w:kern w:val="0"/>
                <w:sz w:val="18"/>
                <w:szCs w:val="18"/>
              </w:rPr>
            </w:pPr>
          </w:p>
        </w:tc>
        <w:tc>
          <w:tcPr>
            <w:tcW w:w="365" w:type="pct"/>
            <w:shd w:val="clear" w:color="auto" w:fill="auto"/>
            <w:vAlign w:val="center"/>
          </w:tcPr>
          <w:p w14:paraId="17A4BBB1">
            <w:pPr>
              <w:widowControl/>
              <w:jc w:val="right"/>
              <w:rPr>
                <w:rFonts w:ascii="宋体" w:hAnsi="宋体" w:cs="宋体"/>
                <w:color w:val="000000"/>
                <w:kern w:val="0"/>
                <w:sz w:val="18"/>
                <w:szCs w:val="18"/>
              </w:rPr>
            </w:pPr>
          </w:p>
        </w:tc>
        <w:tc>
          <w:tcPr>
            <w:tcW w:w="351" w:type="pct"/>
            <w:shd w:val="clear" w:color="auto" w:fill="auto"/>
            <w:vAlign w:val="center"/>
          </w:tcPr>
          <w:p w14:paraId="23074129">
            <w:pPr>
              <w:widowControl/>
              <w:jc w:val="right"/>
              <w:rPr>
                <w:rFonts w:ascii="宋体" w:hAnsi="宋体" w:cs="宋体"/>
                <w:color w:val="000000"/>
                <w:kern w:val="0"/>
                <w:sz w:val="18"/>
                <w:szCs w:val="18"/>
              </w:rPr>
            </w:pPr>
          </w:p>
        </w:tc>
        <w:tc>
          <w:tcPr>
            <w:tcW w:w="351" w:type="pct"/>
            <w:shd w:val="clear" w:color="auto" w:fill="auto"/>
            <w:vAlign w:val="center"/>
          </w:tcPr>
          <w:p w14:paraId="3321D0B3">
            <w:pPr>
              <w:widowControl/>
              <w:jc w:val="right"/>
              <w:rPr>
                <w:rFonts w:ascii="宋体" w:hAnsi="宋体" w:cs="宋体"/>
                <w:color w:val="000000"/>
                <w:kern w:val="0"/>
                <w:sz w:val="18"/>
                <w:szCs w:val="18"/>
              </w:rPr>
            </w:pPr>
          </w:p>
        </w:tc>
        <w:tc>
          <w:tcPr>
            <w:tcW w:w="351" w:type="pct"/>
            <w:shd w:val="clear" w:color="auto" w:fill="auto"/>
            <w:vAlign w:val="center"/>
          </w:tcPr>
          <w:p w14:paraId="0C6794FD">
            <w:pPr>
              <w:widowControl/>
              <w:jc w:val="right"/>
              <w:rPr>
                <w:rFonts w:ascii="宋体" w:hAnsi="宋体" w:cs="宋体"/>
                <w:color w:val="000000"/>
                <w:kern w:val="0"/>
                <w:sz w:val="18"/>
                <w:szCs w:val="18"/>
              </w:rPr>
            </w:pPr>
          </w:p>
        </w:tc>
        <w:tc>
          <w:tcPr>
            <w:tcW w:w="351" w:type="pct"/>
            <w:shd w:val="clear" w:color="auto" w:fill="auto"/>
            <w:vAlign w:val="center"/>
          </w:tcPr>
          <w:p w14:paraId="5CCCE47A">
            <w:pPr>
              <w:widowControl/>
              <w:jc w:val="right"/>
              <w:rPr>
                <w:rFonts w:ascii="宋体" w:hAnsi="宋体" w:cs="宋体"/>
                <w:color w:val="000000"/>
                <w:kern w:val="0"/>
                <w:sz w:val="18"/>
                <w:szCs w:val="18"/>
              </w:rPr>
            </w:pPr>
          </w:p>
        </w:tc>
        <w:tc>
          <w:tcPr>
            <w:tcW w:w="351" w:type="pct"/>
            <w:shd w:val="clear" w:color="auto" w:fill="auto"/>
            <w:vAlign w:val="center"/>
          </w:tcPr>
          <w:p w14:paraId="194310CC">
            <w:pPr>
              <w:widowControl/>
              <w:jc w:val="right"/>
              <w:rPr>
                <w:rFonts w:ascii="宋体" w:hAnsi="宋体" w:cs="宋体"/>
                <w:color w:val="000000"/>
                <w:kern w:val="0"/>
                <w:sz w:val="18"/>
                <w:szCs w:val="18"/>
              </w:rPr>
            </w:pPr>
          </w:p>
        </w:tc>
        <w:tc>
          <w:tcPr>
            <w:tcW w:w="351" w:type="pct"/>
            <w:vAlign w:val="center"/>
          </w:tcPr>
          <w:p w14:paraId="69D2E088">
            <w:pPr>
              <w:widowControl/>
              <w:jc w:val="right"/>
              <w:rPr>
                <w:rFonts w:ascii="宋体" w:hAnsi="宋体" w:cs="宋体"/>
                <w:color w:val="000000"/>
                <w:kern w:val="0"/>
                <w:sz w:val="18"/>
                <w:szCs w:val="18"/>
              </w:rPr>
            </w:pPr>
          </w:p>
        </w:tc>
      </w:tr>
      <w:tr w14:paraId="5481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00A148B5">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58" w:type="pct"/>
            <w:shd w:val="clear" w:color="auto" w:fill="auto"/>
            <w:vAlign w:val="center"/>
          </w:tcPr>
          <w:p w14:paraId="38E1282E">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365" w:type="pct"/>
            <w:shd w:val="clear" w:color="auto" w:fill="auto"/>
            <w:vAlign w:val="center"/>
          </w:tcPr>
          <w:p w14:paraId="1290D77E">
            <w:pPr>
              <w:widowControl/>
              <w:jc w:val="right"/>
              <w:rPr>
                <w:rFonts w:ascii="宋体" w:hAnsi="宋体" w:cs="宋体"/>
                <w:color w:val="000000"/>
                <w:kern w:val="0"/>
                <w:sz w:val="18"/>
                <w:szCs w:val="18"/>
              </w:rPr>
            </w:pPr>
            <w:r>
              <w:rPr>
                <w:rFonts w:ascii="宋体" w:hAnsi="宋体" w:cs="宋体"/>
                <w:color w:val="000000"/>
                <w:kern w:val="0"/>
                <w:sz w:val="18"/>
                <w:szCs w:val="18"/>
              </w:rPr>
              <w:t>37,595.56</w:t>
            </w:r>
          </w:p>
        </w:tc>
        <w:tc>
          <w:tcPr>
            <w:tcW w:w="367" w:type="pct"/>
            <w:shd w:val="clear" w:color="auto" w:fill="auto"/>
            <w:vAlign w:val="center"/>
          </w:tcPr>
          <w:p w14:paraId="6EE57EF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3A06B9A">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1C93A7E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3AF7AA21">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412DE0A1">
            <w:pPr>
              <w:widowControl/>
              <w:jc w:val="right"/>
              <w:rPr>
                <w:rFonts w:ascii="宋体" w:hAnsi="宋体" w:cs="宋体"/>
                <w:color w:val="000000"/>
                <w:kern w:val="0"/>
                <w:sz w:val="18"/>
                <w:szCs w:val="18"/>
              </w:rPr>
            </w:pPr>
            <w:r>
              <w:rPr>
                <w:rFonts w:ascii="宋体" w:hAnsi="宋体" w:cs="宋体"/>
                <w:color w:val="000000"/>
                <w:kern w:val="0"/>
                <w:sz w:val="18"/>
                <w:szCs w:val="18"/>
              </w:rPr>
              <w:t>37,595.56</w:t>
            </w:r>
          </w:p>
        </w:tc>
        <w:tc>
          <w:tcPr>
            <w:tcW w:w="351" w:type="pct"/>
            <w:shd w:val="clear" w:color="auto" w:fill="auto"/>
            <w:vAlign w:val="center"/>
          </w:tcPr>
          <w:p w14:paraId="22A13DF7">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22839B57">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A06368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E812A4C">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C052BC8">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64EC8F09">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6A14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5C393167">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58" w:type="pct"/>
            <w:shd w:val="clear" w:color="auto" w:fill="auto"/>
            <w:vAlign w:val="center"/>
          </w:tcPr>
          <w:p w14:paraId="6FB6758F">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365" w:type="pct"/>
            <w:shd w:val="clear" w:color="auto" w:fill="auto"/>
            <w:vAlign w:val="center"/>
          </w:tcPr>
          <w:p w14:paraId="7CDB48DE">
            <w:pPr>
              <w:widowControl/>
              <w:jc w:val="right"/>
              <w:rPr>
                <w:rFonts w:ascii="宋体" w:hAnsi="宋体" w:cs="宋体"/>
                <w:color w:val="000000"/>
                <w:kern w:val="0"/>
                <w:sz w:val="18"/>
                <w:szCs w:val="18"/>
              </w:rPr>
            </w:pPr>
            <w:r>
              <w:rPr>
                <w:rFonts w:ascii="宋体" w:hAnsi="宋体" w:cs="宋体"/>
                <w:color w:val="000000"/>
                <w:kern w:val="0"/>
                <w:sz w:val="18"/>
                <w:szCs w:val="18"/>
              </w:rPr>
              <w:t>24,000.00</w:t>
            </w:r>
          </w:p>
        </w:tc>
        <w:tc>
          <w:tcPr>
            <w:tcW w:w="367" w:type="pct"/>
            <w:shd w:val="clear" w:color="auto" w:fill="auto"/>
            <w:vAlign w:val="center"/>
          </w:tcPr>
          <w:p w14:paraId="2C964EB5">
            <w:pPr>
              <w:widowControl/>
              <w:jc w:val="right"/>
              <w:rPr>
                <w:rFonts w:ascii="宋体" w:hAnsi="宋体" w:cs="宋体"/>
                <w:color w:val="000000"/>
                <w:kern w:val="0"/>
                <w:sz w:val="18"/>
                <w:szCs w:val="18"/>
              </w:rPr>
            </w:pPr>
            <w:r>
              <w:rPr>
                <w:rFonts w:ascii="宋体" w:hAnsi="宋体" w:cs="宋体"/>
                <w:color w:val="000000"/>
                <w:kern w:val="0"/>
                <w:sz w:val="18"/>
                <w:szCs w:val="18"/>
              </w:rPr>
              <w:t>1,000.00</w:t>
            </w:r>
          </w:p>
        </w:tc>
        <w:tc>
          <w:tcPr>
            <w:tcW w:w="351" w:type="pct"/>
            <w:shd w:val="clear" w:color="auto" w:fill="auto"/>
            <w:vAlign w:val="center"/>
          </w:tcPr>
          <w:p w14:paraId="17E8E02D">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c>
          <w:tcPr>
            <w:tcW w:w="386" w:type="pct"/>
            <w:shd w:val="clear" w:color="auto" w:fill="auto"/>
            <w:vAlign w:val="center"/>
          </w:tcPr>
          <w:p w14:paraId="371CEAD0">
            <w:pPr>
              <w:widowControl/>
              <w:jc w:val="right"/>
              <w:rPr>
                <w:rFonts w:ascii="宋体" w:hAnsi="宋体" w:cs="宋体"/>
                <w:color w:val="000000"/>
                <w:kern w:val="0"/>
                <w:sz w:val="18"/>
                <w:szCs w:val="18"/>
              </w:rPr>
            </w:pPr>
            <w:r>
              <w:rPr>
                <w:rFonts w:ascii="宋体" w:hAnsi="宋体" w:cs="宋体"/>
                <w:color w:val="000000"/>
                <w:kern w:val="0"/>
                <w:sz w:val="18"/>
                <w:szCs w:val="18"/>
              </w:rPr>
              <w:t>15,000.00</w:t>
            </w:r>
          </w:p>
        </w:tc>
        <w:tc>
          <w:tcPr>
            <w:tcW w:w="387" w:type="pct"/>
            <w:shd w:val="clear" w:color="auto" w:fill="auto"/>
            <w:vAlign w:val="center"/>
          </w:tcPr>
          <w:p w14:paraId="7F5871D2">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c>
          <w:tcPr>
            <w:tcW w:w="365" w:type="pct"/>
            <w:shd w:val="clear" w:color="auto" w:fill="auto"/>
            <w:vAlign w:val="center"/>
          </w:tcPr>
          <w:p w14:paraId="345CB9F0">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5EAF8D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8447878">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5C9A07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2BBDFB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0E786B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004AA550">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77C6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6C8FE272">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458" w:type="pct"/>
            <w:shd w:val="clear" w:color="auto" w:fill="auto"/>
            <w:vAlign w:val="center"/>
          </w:tcPr>
          <w:p w14:paraId="1775DD19">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365" w:type="pct"/>
            <w:shd w:val="clear" w:color="auto" w:fill="auto"/>
            <w:vAlign w:val="center"/>
          </w:tcPr>
          <w:p w14:paraId="26E79284">
            <w:pPr>
              <w:widowControl/>
              <w:jc w:val="right"/>
              <w:rPr>
                <w:rFonts w:ascii="宋体" w:hAnsi="宋体" w:cs="宋体"/>
                <w:color w:val="000000"/>
                <w:kern w:val="0"/>
                <w:sz w:val="18"/>
                <w:szCs w:val="18"/>
              </w:rPr>
            </w:pPr>
            <w:r>
              <w:rPr>
                <w:rFonts w:ascii="宋体" w:hAnsi="宋体" w:cs="宋体"/>
                <w:color w:val="000000"/>
                <w:kern w:val="0"/>
                <w:sz w:val="18"/>
                <w:szCs w:val="18"/>
              </w:rPr>
              <w:t>24,000.00</w:t>
            </w:r>
          </w:p>
        </w:tc>
        <w:tc>
          <w:tcPr>
            <w:tcW w:w="367" w:type="pct"/>
            <w:shd w:val="clear" w:color="auto" w:fill="auto"/>
            <w:vAlign w:val="center"/>
          </w:tcPr>
          <w:p w14:paraId="1BC74213">
            <w:pPr>
              <w:widowControl/>
              <w:jc w:val="right"/>
              <w:rPr>
                <w:rFonts w:ascii="宋体" w:hAnsi="宋体" w:cs="宋体"/>
                <w:color w:val="000000"/>
                <w:kern w:val="0"/>
                <w:sz w:val="18"/>
                <w:szCs w:val="18"/>
              </w:rPr>
            </w:pPr>
            <w:r>
              <w:rPr>
                <w:rFonts w:ascii="宋体" w:hAnsi="宋体" w:cs="宋体"/>
                <w:color w:val="000000"/>
                <w:kern w:val="0"/>
                <w:sz w:val="18"/>
                <w:szCs w:val="18"/>
              </w:rPr>
              <w:t>1,000.00</w:t>
            </w:r>
          </w:p>
        </w:tc>
        <w:tc>
          <w:tcPr>
            <w:tcW w:w="351" w:type="pct"/>
            <w:shd w:val="clear" w:color="auto" w:fill="auto"/>
            <w:vAlign w:val="center"/>
          </w:tcPr>
          <w:p w14:paraId="0F48246F">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c>
          <w:tcPr>
            <w:tcW w:w="386" w:type="pct"/>
            <w:shd w:val="clear" w:color="auto" w:fill="auto"/>
            <w:vAlign w:val="center"/>
          </w:tcPr>
          <w:p w14:paraId="21A9145E">
            <w:pPr>
              <w:widowControl/>
              <w:jc w:val="right"/>
              <w:rPr>
                <w:rFonts w:ascii="宋体" w:hAnsi="宋体" w:cs="宋体"/>
                <w:color w:val="000000"/>
                <w:kern w:val="0"/>
                <w:sz w:val="18"/>
                <w:szCs w:val="18"/>
              </w:rPr>
            </w:pPr>
            <w:r>
              <w:rPr>
                <w:rFonts w:ascii="宋体" w:hAnsi="宋体" w:cs="宋体"/>
                <w:color w:val="000000"/>
                <w:kern w:val="0"/>
                <w:sz w:val="18"/>
                <w:szCs w:val="18"/>
              </w:rPr>
              <w:t>15,000.00</w:t>
            </w:r>
          </w:p>
        </w:tc>
        <w:tc>
          <w:tcPr>
            <w:tcW w:w="387" w:type="pct"/>
            <w:shd w:val="clear" w:color="auto" w:fill="auto"/>
            <w:vAlign w:val="center"/>
          </w:tcPr>
          <w:p w14:paraId="5C20EE8E">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c>
          <w:tcPr>
            <w:tcW w:w="365" w:type="pct"/>
            <w:shd w:val="clear" w:color="auto" w:fill="auto"/>
            <w:vAlign w:val="center"/>
          </w:tcPr>
          <w:p w14:paraId="41F81760">
            <w:pPr>
              <w:widowControl/>
              <w:jc w:val="right"/>
              <w:rPr>
                <w:rFonts w:ascii="宋体" w:hAnsi="宋体" w:cs="宋体"/>
                <w:color w:val="000000"/>
                <w:kern w:val="0"/>
                <w:sz w:val="18"/>
                <w:szCs w:val="18"/>
              </w:rPr>
            </w:pPr>
          </w:p>
        </w:tc>
        <w:tc>
          <w:tcPr>
            <w:tcW w:w="351" w:type="pct"/>
            <w:shd w:val="clear" w:color="auto" w:fill="auto"/>
            <w:vAlign w:val="center"/>
          </w:tcPr>
          <w:p w14:paraId="0752C251">
            <w:pPr>
              <w:widowControl/>
              <w:jc w:val="right"/>
              <w:rPr>
                <w:rFonts w:ascii="宋体" w:hAnsi="宋体" w:cs="宋体"/>
                <w:color w:val="000000"/>
                <w:kern w:val="0"/>
                <w:sz w:val="18"/>
                <w:szCs w:val="18"/>
              </w:rPr>
            </w:pPr>
          </w:p>
        </w:tc>
        <w:tc>
          <w:tcPr>
            <w:tcW w:w="351" w:type="pct"/>
            <w:shd w:val="clear" w:color="auto" w:fill="auto"/>
            <w:vAlign w:val="center"/>
          </w:tcPr>
          <w:p w14:paraId="5F9355C7">
            <w:pPr>
              <w:widowControl/>
              <w:jc w:val="right"/>
              <w:rPr>
                <w:rFonts w:ascii="宋体" w:hAnsi="宋体" w:cs="宋体"/>
                <w:color w:val="000000"/>
                <w:kern w:val="0"/>
                <w:sz w:val="18"/>
                <w:szCs w:val="18"/>
              </w:rPr>
            </w:pPr>
          </w:p>
        </w:tc>
        <w:tc>
          <w:tcPr>
            <w:tcW w:w="351" w:type="pct"/>
            <w:shd w:val="clear" w:color="auto" w:fill="auto"/>
            <w:vAlign w:val="center"/>
          </w:tcPr>
          <w:p w14:paraId="255798A7">
            <w:pPr>
              <w:widowControl/>
              <w:jc w:val="right"/>
              <w:rPr>
                <w:rFonts w:ascii="宋体" w:hAnsi="宋体" w:cs="宋体"/>
                <w:color w:val="000000"/>
                <w:kern w:val="0"/>
                <w:sz w:val="18"/>
                <w:szCs w:val="18"/>
              </w:rPr>
            </w:pPr>
          </w:p>
        </w:tc>
        <w:tc>
          <w:tcPr>
            <w:tcW w:w="351" w:type="pct"/>
            <w:shd w:val="clear" w:color="auto" w:fill="auto"/>
            <w:vAlign w:val="center"/>
          </w:tcPr>
          <w:p w14:paraId="6A762164">
            <w:pPr>
              <w:widowControl/>
              <w:jc w:val="right"/>
              <w:rPr>
                <w:rFonts w:ascii="宋体" w:hAnsi="宋体" w:cs="宋体"/>
                <w:color w:val="000000"/>
                <w:kern w:val="0"/>
                <w:sz w:val="18"/>
                <w:szCs w:val="18"/>
              </w:rPr>
            </w:pPr>
          </w:p>
        </w:tc>
        <w:tc>
          <w:tcPr>
            <w:tcW w:w="351" w:type="pct"/>
            <w:shd w:val="clear" w:color="auto" w:fill="auto"/>
            <w:vAlign w:val="center"/>
          </w:tcPr>
          <w:p w14:paraId="1E24B6C9">
            <w:pPr>
              <w:widowControl/>
              <w:jc w:val="right"/>
              <w:rPr>
                <w:rFonts w:ascii="宋体" w:hAnsi="宋体" w:cs="宋体"/>
                <w:color w:val="000000"/>
                <w:kern w:val="0"/>
                <w:sz w:val="18"/>
                <w:szCs w:val="18"/>
              </w:rPr>
            </w:pPr>
          </w:p>
        </w:tc>
        <w:tc>
          <w:tcPr>
            <w:tcW w:w="351" w:type="pct"/>
            <w:vAlign w:val="center"/>
          </w:tcPr>
          <w:p w14:paraId="51393FE6">
            <w:pPr>
              <w:widowControl/>
              <w:jc w:val="right"/>
              <w:rPr>
                <w:rFonts w:ascii="宋体" w:hAnsi="宋体" w:cs="宋体"/>
                <w:color w:val="000000"/>
                <w:kern w:val="0"/>
                <w:sz w:val="18"/>
                <w:szCs w:val="18"/>
              </w:rPr>
            </w:pPr>
          </w:p>
        </w:tc>
      </w:tr>
      <w:tr w14:paraId="07B1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33018063">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458" w:type="pct"/>
            <w:shd w:val="clear" w:color="auto" w:fill="auto"/>
            <w:vAlign w:val="center"/>
          </w:tcPr>
          <w:p w14:paraId="7F14E90B">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365" w:type="pct"/>
            <w:shd w:val="clear" w:color="auto" w:fill="auto"/>
            <w:vAlign w:val="center"/>
          </w:tcPr>
          <w:p w14:paraId="6572807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36576543">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20E6737B">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733143BE">
            <w:pPr>
              <w:widowControl/>
              <w:jc w:val="right"/>
              <w:rPr>
                <w:rFonts w:ascii="宋体" w:hAnsi="宋体" w:cs="宋体"/>
                <w:color w:val="000000"/>
                <w:kern w:val="0"/>
                <w:sz w:val="18"/>
                <w:szCs w:val="18"/>
              </w:rPr>
            </w:pPr>
          </w:p>
        </w:tc>
        <w:tc>
          <w:tcPr>
            <w:tcW w:w="387" w:type="pct"/>
            <w:shd w:val="clear" w:color="auto" w:fill="auto"/>
            <w:vAlign w:val="center"/>
          </w:tcPr>
          <w:p w14:paraId="4EC37D07">
            <w:pPr>
              <w:widowControl/>
              <w:jc w:val="right"/>
              <w:rPr>
                <w:rFonts w:ascii="宋体" w:hAnsi="宋体" w:cs="宋体"/>
                <w:color w:val="000000"/>
                <w:kern w:val="0"/>
                <w:sz w:val="18"/>
                <w:szCs w:val="18"/>
              </w:rPr>
            </w:pPr>
          </w:p>
        </w:tc>
        <w:tc>
          <w:tcPr>
            <w:tcW w:w="365" w:type="pct"/>
            <w:shd w:val="clear" w:color="auto" w:fill="auto"/>
            <w:vAlign w:val="center"/>
          </w:tcPr>
          <w:p w14:paraId="65728BF9">
            <w:pPr>
              <w:widowControl/>
              <w:jc w:val="right"/>
              <w:rPr>
                <w:rFonts w:ascii="宋体" w:hAnsi="宋体" w:cs="宋体"/>
                <w:color w:val="000000"/>
                <w:kern w:val="0"/>
                <w:sz w:val="18"/>
                <w:szCs w:val="18"/>
              </w:rPr>
            </w:pPr>
          </w:p>
        </w:tc>
        <w:tc>
          <w:tcPr>
            <w:tcW w:w="351" w:type="pct"/>
            <w:shd w:val="clear" w:color="auto" w:fill="auto"/>
            <w:vAlign w:val="center"/>
          </w:tcPr>
          <w:p w14:paraId="2B595454">
            <w:pPr>
              <w:widowControl/>
              <w:jc w:val="right"/>
              <w:rPr>
                <w:rFonts w:ascii="宋体" w:hAnsi="宋体" w:cs="宋体"/>
                <w:color w:val="000000"/>
                <w:kern w:val="0"/>
                <w:sz w:val="18"/>
                <w:szCs w:val="18"/>
              </w:rPr>
            </w:pPr>
          </w:p>
        </w:tc>
        <w:tc>
          <w:tcPr>
            <w:tcW w:w="351" w:type="pct"/>
            <w:shd w:val="clear" w:color="auto" w:fill="auto"/>
            <w:vAlign w:val="center"/>
          </w:tcPr>
          <w:p w14:paraId="1DA391CE">
            <w:pPr>
              <w:widowControl/>
              <w:jc w:val="right"/>
              <w:rPr>
                <w:rFonts w:ascii="宋体" w:hAnsi="宋体" w:cs="宋体"/>
                <w:color w:val="000000"/>
                <w:kern w:val="0"/>
                <w:sz w:val="18"/>
                <w:szCs w:val="18"/>
              </w:rPr>
            </w:pPr>
          </w:p>
        </w:tc>
        <w:tc>
          <w:tcPr>
            <w:tcW w:w="351" w:type="pct"/>
            <w:shd w:val="clear" w:color="auto" w:fill="auto"/>
            <w:vAlign w:val="center"/>
          </w:tcPr>
          <w:p w14:paraId="7148BB33">
            <w:pPr>
              <w:widowControl/>
              <w:jc w:val="right"/>
              <w:rPr>
                <w:rFonts w:ascii="宋体" w:hAnsi="宋体" w:cs="宋体"/>
                <w:color w:val="000000"/>
                <w:kern w:val="0"/>
                <w:sz w:val="18"/>
                <w:szCs w:val="18"/>
              </w:rPr>
            </w:pPr>
          </w:p>
        </w:tc>
        <w:tc>
          <w:tcPr>
            <w:tcW w:w="351" w:type="pct"/>
            <w:shd w:val="clear" w:color="auto" w:fill="auto"/>
            <w:vAlign w:val="center"/>
          </w:tcPr>
          <w:p w14:paraId="10B56EAC">
            <w:pPr>
              <w:widowControl/>
              <w:jc w:val="right"/>
              <w:rPr>
                <w:rFonts w:ascii="宋体" w:hAnsi="宋体" w:cs="宋体"/>
                <w:color w:val="000000"/>
                <w:kern w:val="0"/>
                <w:sz w:val="18"/>
                <w:szCs w:val="18"/>
              </w:rPr>
            </w:pPr>
          </w:p>
        </w:tc>
        <w:tc>
          <w:tcPr>
            <w:tcW w:w="351" w:type="pct"/>
            <w:shd w:val="clear" w:color="auto" w:fill="auto"/>
            <w:vAlign w:val="center"/>
          </w:tcPr>
          <w:p w14:paraId="75672E02">
            <w:pPr>
              <w:widowControl/>
              <w:jc w:val="right"/>
              <w:rPr>
                <w:rFonts w:ascii="宋体" w:hAnsi="宋体" w:cs="宋体"/>
                <w:color w:val="000000"/>
                <w:kern w:val="0"/>
                <w:sz w:val="18"/>
                <w:szCs w:val="18"/>
              </w:rPr>
            </w:pPr>
          </w:p>
        </w:tc>
        <w:tc>
          <w:tcPr>
            <w:tcW w:w="351" w:type="pct"/>
            <w:vAlign w:val="center"/>
          </w:tcPr>
          <w:p w14:paraId="32F92F8C">
            <w:pPr>
              <w:widowControl/>
              <w:jc w:val="right"/>
              <w:rPr>
                <w:rFonts w:ascii="宋体" w:hAnsi="宋体" w:cs="宋体"/>
                <w:color w:val="000000"/>
                <w:kern w:val="0"/>
                <w:sz w:val="18"/>
                <w:szCs w:val="18"/>
              </w:rPr>
            </w:pPr>
          </w:p>
        </w:tc>
      </w:tr>
      <w:tr w14:paraId="2217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6FE5D90D">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58" w:type="pct"/>
            <w:shd w:val="clear" w:color="auto" w:fill="auto"/>
            <w:vAlign w:val="center"/>
          </w:tcPr>
          <w:p w14:paraId="710EF2ED">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365" w:type="pct"/>
            <w:shd w:val="clear" w:color="auto" w:fill="auto"/>
            <w:vAlign w:val="center"/>
          </w:tcPr>
          <w:p w14:paraId="75209D17">
            <w:pPr>
              <w:widowControl/>
              <w:jc w:val="right"/>
              <w:rPr>
                <w:rFonts w:ascii="宋体" w:hAnsi="宋体" w:cs="宋体"/>
                <w:color w:val="000000"/>
                <w:kern w:val="0"/>
                <w:sz w:val="18"/>
                <w:szCs w:val="18"/>
              </w:rPr>
            </w:pPr>
            <w:r>
              <w:rPr>
                <w:rFonts w:ascii="宋体" w:hAnsi="宋体" w:cs="宋体"/>
                <w:color w:val="000000"/>
                <w:kern w:val="0"/>
                <w:sz w:val="18"/>
                <w:szCs w:val="18"/>
              </w:rPr>
              <w:t>30,424.70</w:t>
            </w:r>
          </w:p>
        </w:tc>
        <w:tc>
          <w:tcPr>
            <w:tcW w:w="367" w:type="pct"/>
            <w:shd w:val="clear" w:color="auto" w:fill="auto"/>
            <w:vAlign w:val="center"/>
          </w:tcPr>
          <w:p w14:paraId="106B43AA">
            <w:pPr>
              <w:widowControl/>
              <w:jc w:val="right"/>
              <w:rPr>
                <w:rFonts w:ascii="宋体" w:hAnsi="宋体" w:cs="宋体"/>
                <w:color w:val="000000"/>
                <w:kern w:val="0"/>
                <w:sz w:val="18"/>
                <w:szCs w:val="18"/>
              </w:rPr>
            </w:pPr>
            <w:r>
              <w:rPr>
                <w:rFonts w:ascii="宋体" w:hAnsi="宋体" w:cs="宋体"/>
                <w:color w:val="000000"/>
                <w:kern w:val="0"/>
                <w:sz w:val="18"/>
                <w:szCs w:val="18"/>
              </w:rPr>
              <w:t>220.00</w:t>
            </w:r>
          </w:p>
        </w:tc>
        <w:tc>
          <w:tcPr>
            <w:tcW w:w="351" w:type="pct"/>
            <w:shd w:val="clear" w:color="auto" w:fill="auto"/>
            <w:vAlign w:val="center"/>
          </w:tcPr>
          <w:p w14:paraId="6FD2B8C1">
            <w:pPr>
              <w:widowControl/>
              <w:jc w:val="right"/>
              <w:rPr>
                <w:rFonts w:ascii="宋体" w:hAnsi="宋体" w:cs="宋体"/>
                <w:color w:val="000000"/>
                <w:kern w:val="0"/>
                <w:sz w:val="18"/>
                <w:szCs w:val="18"/>
              </w:rPr>
            </w:pPr>
            <w:r>
              <w:rPr>
                <w:rFonts w:ascii="宋体" w:hAnsi="宋体" w:cs="宋体"/>
                <w:color w:val="000000"/>
                <w:kern w:val="0"/>
                <w:sz w:val="18"/>
                <w:szCs w:val="18"/>
              </w:rPr>
              <w:t>19,131.90</w:t>
            </w:r>
          </w:p>
        </w:tc>
        <w:tc>
          <w:tcPr>
            <w:tcW w:w="386" w:type="pct"/>
            <w:shd w:val="clear" w:color="auto" w:fill="auto"/>
            <w:vAlign w:val="center"/>
          </w:tcPr>
          <w:p w14:paraId="1E797BBC">
            <w:pPr>
              <w:widowControl/>
              <w:jc w:val="right"/>
              <w:rPr>
                <w:rFonts w:ascii="宋体" w:hAnsi="宋体" w:cs="宋体"/>
                <w:color w:val="000000"/>
                <w:kern w:val="0"/>
                <w:sz w:val="18"/>
                <w:szCs w:val="18"/>
              </w:rPr>
            </w:pPr>
            <w:r>
              <w:rPr>
                <w:rFonts w:ascii="宋体" w:hAnsi="宋体" w:cs="宋体"/>
                <w:color w:val="000000"/>
                <w:kern w:val="0"/>
                <w:sz w:val="18"/>
                <w:szCs w:val="18"/>
              </w:rPr>
              <w:t>8,298.90</w:t>
            </w:r>
          </w:p>
        </w:tc>
        <w:tc>
          <w:tcPr>
            <w:tcW w:w="387" w:type="pct"/>
            <w:shd w:val="clear" w:color="auto" w:fill="auto"/>
            <w:vAlign w:val="center"/>
          </w:tcPr>
          <w:p w14:paraId="0501208E">
            <w:pPr>
              <w:widowControl/>
              <w:jc w:val="right"/>
              <w:rPr>
                <w:rFonts w:ascii="宋体" w:hAnsi="宋体" w:cs="宋体"/>
                <w:color w:val="000000"/>
                <w:kern w:val="0"/>
                <w:sz w:val="18"/>
                <w:szCs w:val="18"/>
              </w:rPr>
            </w:pPr>
            <w:r>
              <w:rPr>
                <w:rFonts w:ascii="宋体" w:hAnsi="宋体" w:cs="宋体"/>
                <w:color w:val="000000"/>
                <w:kern w:val="0"/>
                <w:sz w:val="18"/>
                <w:szCs w:val="18"/>
              </w:rPr>
              <w:t>2,773.90</w:t>
            </w:r>
          </w:p>
        </w:tc>
        <w:tc>
          <w:tcPr>
            <w:tcW w:w="365" w:type="pct"/>
            <w:shd w:val="clear" w:color="auto" w:fill="auto"/>
            <w:vAlign w:val="center"/>
          </w:tcPr>
          <w:p w14:paraId="6CEFC64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36BF2736">
            <w:pPr>
              <w:widowControl/>
              <w:jc w:val="right"/>
              <w:rPr>
                <w:rFonts w:ascii="宋体" w:hAnsi="宋体" w:cs="宋体"/>
                <w:color w:val="000000"/>
                <w:kern w:val="0"/>
                <w:sz w:val="18"/>
                <w:szCs w:val="18"/>
              </w:rPr>
            </w:pPr>
          </w:p>
        </w:tc>
        <w:tc>
          <w:tcPr>
            <w:tcW w:w="351" w:type="pct"/>
            <w:shd w:val="clear" w:color="auto" w:fill="auto"/>
            <w:vAlign w:val="center"/>
          </w:tcPr>
          <w:p w14:paraId="79D1749C">
            <w:pPr>
              <w:widowControl/>
              <w:jc w:val="right"/>
              <w:rPr>
                <w:rFonts w:ascii="宋体" w:hAnsi="宋体" w:cs="宋体"/>
                <w:color w:val="000000"/>
                <w:kern w:val="0"/>
                <w:sz w:val="18"/>
                <w:szCs w:val="18"/>
              </w:rPr>
            </w:pPr>
          </w:p>
        </w:tc>
        <w:tc>
          <w:tcPr>
            <w:tcW w:w="351" w:type="pct"/>
            <w:shd w:val="clear" w:color="auto" w:fill="auto"/>
            <w:vAlign w:val="center"/>
          </w:tcPr>
          <w:p w14:paraId="3A807B7B">
            <w:pPr>
              <w:widowControl/>
              <w:jc w:val="right"/>
              <w:rPr>
                <w:rFonts w:ascii="宋体" w:hAnsi="宋体" w:cs="宋体"/>
                <w:color w:val="000000"/>
                <w:kern w:val="0"/>
                <w:sz w:val="18"/>
                <w:szCs w:val="18"/>
              </w:rPr>
            </w:pPr>
          </w:p>
        </w:tc>
        <w:tc>
          <w:tcPr>
            <w:tcW w:w="351" w:type="pct"/>
            <w:shd w:val="clear" w:color="auto" w:fill="auto"/>
            <w:vAlign w:val="center"/>
          </w:tcPr>
          <w:p w14:paraId="6F3717E9">
            <w:pPr>
              <w:widowControl/>
              <w:jc w:val="right"/>
              <w:rPr>
                <w:rFonts w:ascii="宋体" w:hAnsi="宋体" w:cs="宋体"/>
                <w:color w:val="000000"/>
                <w:kern w:val="0"/>
                <w:sz w:val="18"/>
                <w:szCs w:val="18"/>
              </w:rPr>
            </w:pPr>
          </w:p>
        </w:tc>
        <w:tc>
          <w:tcPr>
            <w:tcW w:w="351" w:type="pct"/>
            <w:shd w:val="clear" w:color="auto" w:fill="auto"/>
            <w:vAlign w:val="center"/>
          </w:tcPr>
          <w:p w14:paraId="6CC9D22E">
            <w:pPr>
              <w:widowControl/>
              <w:jc w:val="right"/>
              <w:rPr>
                <w:rFonts w:ascii="宋体" w:hAnsi="宋体" w:cs="宋体"/>
                <w:color w:val="000000"/>
                <w:kern w:val="0"/>
                <w:sz w:val="18"/>
                <w:szCs w:val="18"/>
              </w:rPr>
            </w:pPr>
          </w:p>
        </w:tc>
        <w:tc>
          <w:tcPr>
            <w:tcW w:w="351" w:type="pct"/>
            <w:vAlign w:val="center"/>
          </w:tcPr>
          <w:p w14:paraId="26284FA5">
            <w:pPr>
              <w:widowControl/>
              <w:jc w:val="right"/>
              <w:rPr>
                <w:rFonts w:ascii="宋体" w:hAnsi="宋体" w:cs="宋体"/>
                <w:color w:val="000000"/>
                <w:kern w:val="0"/>
                <w:sz w:val="18"/>
                <w:szCs w:val="18"/>
              </w:rPr>
            </w:pPr>
          </w:p>
        </w:tc>
      </w:tr>
      <w:tr w14:paraId="0BF9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5D5519D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458" w:type="pct"/>
            <w:shd w:val="clear" w:color="auto" w:fill="auto"/>
            <w:vAlign w:val="center"/>
          </w:tcPr>
          <w:p w14:paraId="6637990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365" w:type="pct"/>
            <w:shd w:val="clear" w:color="auto" w:fill="auto"/>
            <w:vAlign w:val="center"/>
          </w:tcPr>
          <w:p w14:paraId="1F8D8985">
            <w:pPr>
              <w:widowControl/>
              <w:jc w:val="right"/>
              <w:rPr>
                <w:rFonts w:ascii="宋体" w:hAnsi="宋体" w:cs="宋体"/>
                <w:color w:val="000000"/>
                <w:kern w:val="0"/>
                <w:sz w:val="18"/>
                <w:szCs w:val="18"/>
              </w:rPr>
            </w:pPr>
            <w:r>
              <w:rPr>
                <w:rFonts w:ascii="宋体" w:hAnsi="宋体" w:cs="宋体"/>
                <w:color w:val="000000"/>
                <w:kern w:val="0"/>
                <w:sz w:val="18"/>
                <w:szCs w:val="18"/>
              </w:rPr>
              <w:t>84,670.21</w:t>
            </w:r>
          </w:p>
        </w:tc>
        <w:tc>
          <w:tcPr>
            <w:tcW w:w="367" w:type="pct"/>
            <w:shd w:val="clear" w:color="auto" w:fill="auto"/>
            <w:vAlign w:val="center"/>
          </w:tcPr>
          <w:p w14:paraId="189A2747">
            <w:pPr>
              <w:widowControl/>
              <w:jc w:val="right"/>
              <w:rPr>
                <w:rFonts w:ascii="宋体" w:hAnsi="宋体" w:cs="宋体"/>
                <w:color w:val="000000"/>
                <w:kern w:val="0"/>
                <w:sz w:val="18"/>
                <w:szCs w:val="18"/>
              </w:rPr>
            </w:pPr>
            <w:r>
              <w:rPr>
                <w:rFonts w:ascii="宋体" w:hAnsi="宋体" w:cs="宋体"/>
                <w:color w:val="000000"/>
                <w:kern w:val="0"/>
                <w:sz w:val="18"/>
                <w:szCs w:val="18"/>
              </w:rPr>
              <w:t>1,220.00</w:t>
            </w:r>
          </w:p>
        </w:tc>
        <w:tc>
          <w:tcPr>
            <w:tcW w:w="351" w:type="pct"/>
            <w:shd w:val="clear" w:color="auto" w:fill="auto"/>
            <w:vAlign w:val="center"/>
          </w:tcPr>
          <w:p w14:paraId="2DC93922">
            <w:pPr>
              <w:widowControl/>
              <w:jc w:val="right"/>
              <w:rPr>
                <w:rFonts w:ascii="宋体" w:hAnsi="宋体" w:cs="宋体"/>
                <w:color w:val="000000"/>
                <w:kern w:val="0"/>
                <w:sz w:val="18"/>
                <w:szCs w:val="18"/>
              </w:rPr>
            </w:pPr>
            <w:r>
              <w:rPr>
                <w:rFonts w:ascii="宋体" w:hAnsi="宋体" w:cs="宋体"/>
                <w:color w:val="000000"/>
                <w:kern w:val="0"/>
                <w:sz w:val="18"/>
                <w:szCs w:val="18"/>
              </w:rPr>
              <w:t>23,131.90</w:t>
            </w:r>
          </w:p>
        </w:tc>
        <w:tc>
          <w:tcPr>
            <w:tcW w:w="386" w:type="pct"/>
            <w:shd w:val="clear" w:color="auto" w:fill="auto"/>
            <w:vAlign w:val="center"/>
          </w:tcPr>
          <w:p w14:paraId="147C0117">
            <w:pPr>
              <w:widowControl/>
              <w:jc w:val="right"/>
              <w:rPr>
                <w:rFonts w:ascii="宋体" w:hAnsi="宋体" w:cs="宋体"/>
                <w:color w:val="000000"/>
                <w:kern w:val="0"/>
                <w:sz w:val="18"/>
                <w:szCs w:val="18"/>
              </w:rPr>
            </w:pPr>
            <w:r>
              <w:rPr>
                <w:rFonts w:ascii="宋体" w:hAnsi="宋体" w:cs="宋体"/>
                <w:color w:val="000000"/>
                <w:kern w:val="0"/>
                <w:sz w:val="18"/>
                <w:szCs w:val="18"/>
              </w:rPr>
              <w:t>23,298.90</w:t>
            </w:r>
          </w:p>
        </w:tc>
        <w:tc>
          <w:tcPr>
            <w:tcW w:w="387" w:type="pct"/>
            <w:shd w:val="clear" w:color="auto" w:fill="auto"/>
            <w:vAlign w:val="center"/>
          </w:tcPr>
          <w:p w14:paraId="484C4C73">
            <w:pPr>
              <w:widowControl/>
              <w:jc w:val="right"/>
              <w:rPr>
                <w:rFonts w:ascii="宋体" w:hAnsi="宋体" w:cs="宋体"/>
                <w:color w:val="000000"/>
                <w:kern w:val="0"/>
                <w:sz w:val="18"/>
                <w:szCs w:val="18"/>
              </w:rPr>
            </w:pPr>
            <w:r>
              <w:rPr>
                <w:rFonts w:ascii="宋体" w:hAnsi="宋体" w:cs="宋体"/>
                <w:color w:val="000000"/>
                <w:kern w:val="0"/>
                <w:sz w:val="18"/>
                <w:szCs w:val="18"/>
              </w:rPr>
              <w:t>6,773.90</w:t>
            </w:r>
          </w:p>
        </w:tc>
        <w:tc>
          <w:tcPr>
            <w:tcW w:w="365" w:type="pct"/>
            <w:shd w:val="clear" w:color="auto" w:fill="auto"/>
            <w:vAlign w:val="center"/>
          </w:tcPr>
          <w:p w14:paraId="0B17721C">
            <w:pPr>
              <w:widowControl/>
              <w:jc w:val="right"/>
              <w:rPr>
                <w:rFonts w:ascii="宋体" w:hAnsi="宋体" w:cs="宋体"/>
                <w:color w:val="000000"/>
                <w:kern w:val="0"/>
                <w:sz w:val="18"/>
                <w:szCs w:val="18"/>
              </w:rPr>
            </w:pPr>
            <w:r>
              <w:rPr>
                <w:rFonts w:ascii="宋体" w:hAnsi="宋体" w:cs="宋体"/>
                <w:color w:val="000000"/>
                <w:kern w:val="0"/>
                <w:sz w:val="18"/>
                <w:szCs w:val="18"/>
              </w:rPr>
              <w:t>1,676.81</w:t>
            </w:r>
          </w:p>
        </w:tc>
        <w:tc>
          <w:tcPr>
            <w:tcW w:w="351" w:type="pct"/>
            <w:shd w:val="clear" w:color="auto" w:fill="auto"/>
            <w:vAlign w:val="center"/>
          </w:tcPr>
          <w:p w14:paraId="38B6F77E">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7616C596">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4676269C">
            <w:pPr>
              <w:widowControl/>
              <w:jc w:val="right"/>
              <w:rPr>
                <w:rFonts w:ascii="宋体" w:hAnsi="宋体" w:cs="宋体"/>
                <w:color w:val="000000"/>
                <w:kern w:val="0"/>
                <w:sz w:val="18"/>
                <w:szCs w:val="18"/>
              </w:rPr>
            </w:pPr>
            <w:r>
              <w:rPr>
                <w:rFonts w:ascii="宋体" w:hAnsi="宋体" w:cs="宋体"/>
                <w:color w:val="000000"/>
                <w:kern w:val="0"/>
                <w:sz w:val="18"/>
                <w:szCs w:val="18"/>
              </w:rPr>
              <w:t>1,924.90</w:t>
            </w:r>
          </w:p>
        </w:tc>
        <w:tc>
          <w:tcPr>
            <w:tcW w:w="351" w:type="pct"/>
            <w:shd w:val="clear" w:color="auto" w:fill="auto"/>
            <w:vAlign w:val="center"/>
          </w:tcPr>
          <w:p w14:paraId="0B70AE0D">
            <w:pPr>
              <w:widowControl/>
              <w:jc w:val="right"/>
              <w:rPr>
                <w:rFonts w:ascii="宋体" w:hAnsi="宋体" w:cs="宋体"/>
                <w:color w:val="000000"/>
                <w:kern w:val="0"/>
                <w:sz w:val="18"/>
                <w:szCs w:val="18"/>
              </w:rPr>
            </w:pPr>
            <w:r>
              <w:rPr>
                <w:rFonts w:ascii="宋体" w:hAnsi="宋体" w:cs="宋体"/>
                <w:color w:val="000000"/>
                <w:kern w:val="0"/>
                <w:sz w:val="18"/>
                <w:szCs w:val="18"/>
              </w:rPr>
              <w:t>4,897.00</w:t>
            </w:r>
          </w:p>
        </w:tc>
        <w:tc>
          <w:tcPr>
            <w:tcW w:w="351" w:type="pct"/>
            <w:shd w:val="clear" w:color="auto" w:fill="auto"/>
            <w:vAlign w:val="center"/>
          </w:tcPr>
          <w:p w14:paraId="25F7FCD3">
            <w:pPr>
              <w:widowControl/>
              <w:jc w:val="right"/>
              <w:rPr>
                <w:rFonts w:ascii="宋体" w:hAnsi="宋体" w:cs="宋体"/>
                <w:color w:val="000000"/>
                <w:kern w:val="0"/>
                <w:sz w:val="18"/>
                <w:szCs w:val="18"/>
              </w:rPr>
            </w:pPr>
            <w:r>
              <w:rPr>
                <w:rFonts w:ascii="宋体" w:hAnsi="宋体" w:cs="宋体"/>
                <w:color w:val="000000"/>
                <w:kern w:val="0"/>
                <w:sz w:val="18"/>
                <w:szCs w:val="18"/>
              </w:rPr>
              <w:t>15,741.00</w:t>
            </w:r>
          </w:p>
        </w:tc>
        <w:tc>
          <w:tcPr>
            <w:tcW w:w="351" w:type="pct"/>
            <w:vAlign w:val="center"/>
          </w:tcPr>
          <w:p w14:paraId="69E0EF18">
            <w:pPr>
              <w:widowControl/>
              <w:jc w:val="right"/>
              <w:rPr>
                <w:rFonts w:ascii="宋体" w:hAnsi="宋体" w:cs="宋体"/>
                <w:color w:val="000000"/>
                <w:kern w:val="0"/>
                <w:sz w:val="18"/>
                <w:szCs w:val="18"/>
              </w:rPr>
            </w:pPr>
            <w:r>
              <w:rPr>
                <w:rFonts w:ascii="宋体" w:hAnsi="宋体" w:cs="宋体"/>
                <w:color w:val="000000"/>
                <w:kern w:val="0"/>
                <w:sz w:val="18"/>
                <w:szCs w:val="18"/>
              </w:rPr>
              <w:t>4,156.00</w:t>
            </w:r>
          </w:p>
        </w:tc>
      </w:tr>
      <w:tr w14:paraId="67BE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467FF69F">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458" w:type="pct"/>
            <w:shd w:val="clear" w:color="auto" w:fill="auto"/>
            <w:vAlign w:val="center"/>
          </w:tcPr>
          <w:p w14:paraId="2BC139C5">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365" w:type="pct"/>
            <w:shd w:val="clear" w:color="auto" w:fill="auto"/>
            <w:vAlign w:val="center"/>
          </w:tcPr>
          <w:p w14:paraId="75217F59">
            <w:pPr>
              <w:widowControl/>
              <w:jc w:val="right"/>
              <w:rPr>
                <w:rFonts w:ascii="宋体" w:hAnsi="宋体" w:cs="宋体"/>
                <w:color w:val="000000"/>
                <w:kern w:val="0"/>
                <w:sz w:val="18"/>
                <w:szCs w:val="18"/>
              </w:rPr>
            </w:pPr>
            <w:r>
              <w:rPr>
                <w:rFonts w:ascii="宋体" w:hAnsi="宋体" w:cs="宋体"/>
                <w:color w:val="000000"/>
                <w:kern w:val="0"/>
                <w:sz w:val="18"/>
                <w:szCs w:val="18"/>
              </w:rPr>
              <w:t>751.91</w:t>
            </w:r>
          </w:p>
        </w:tc>
        <w:tc>
          <w:tcPr>
            <w:tcW w:w="367" w:type="pct"/>
            <w:shd w:val="clear" w:color="auto" w:fill="auto"/>
            <w:vAlign w:val="center"/>
          </w:tcPr>
          <w:p w14:paraId="4705482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CCE5DB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7003D5F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706AB070">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69A01824">
            <w:pPr>
              <w:widowControl/>
              <w:jc w:val="right"/>
              <w:rPr>
                <w:rFonts w:ascii="宋体" w:hAnsi="宋体" w:cs="宋体"/>
                <w:color w:val="000000"/>
                <w:kern w:val="0"/>
                <w:sz w:val="18"/>
                <w:szCs w:val="18"/>
              </w:rPr>
            </w:pPr>
            <w:r>
              <w:rPr>
                <w:rFonts w:ascii="宋体" w:hAnsi="宋体" w:cs="宋体"/>
                <w:color w:val="000000"/>
                <w:kern w:val="0"/>
                <w:sz w:val="18"/>
                <w:szCs w:val="18"/>
              </w:rPr>
              <w:t>751.91</w:t>
            </w:r>
          </w:p>
        </w:tc>
        <w:tc>
          <w:tcPr>
            <w:tcW w:w="351" w:type="pct"/>
            <w:shd w:val="clear" w:color="auto" w:fill="auto"/>
            <w:vAlign w:val="center"/>
          </w:tcPr>
          <w:p w14:paraId="6ECD6B30">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1C607DB">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246FD1E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050421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76B517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22C72383">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169B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583F2B96">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458" w:type="pct"/>
            <w:shd w:val="clear" w:color="auto" w:fill="auto"/>
            <w:vAlign w:val="center"/>
          </w:tcPr>
          <w:p w14:paraId="436ABA2B">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365" w:type="pct"/>
            <w:shd w:val="clear" w:color="auto" w:fill="auto"/>
            <w:vAlign w:val="center"/>
          </w:tcPr>
          <w:p w14:paraId="56CABF60">
            <w:pPr>
              <w:widowControl/>
              <w:jc w:val="right"/>
              <w:rPr>
                <w:rFonts w:ascii="宋体" w:hAnsi="宋体" w:cs="宋体"/>
                <w:color w:val="000000"/>
                <w:kern w:val="0"/>
                <w:sz w:val="18"/>
                <w:szCs w:val="18"/>
              </w:rPr>
            </w:pPr>
            <w:r>
              <w:rPr>
                <w:rFonts w:ascii="宋体" w:hAnsi="宋体" w:cs="宋体"/>
                <w:color w:val="000000"/>
                <w:kern w:val="0"/>
                <w:sz w:val="18"/>
                <w:szCs w:val="18"/>
              </w:rPr>
              <w:t>751.91</w:t>
            </w:r>
          </w:p>
        </w:tc>
        <w:tc>
          <w:tcPr>
            <w:tcW w:w="367" w:type="pct"/>
            <w:shd w:val="clear" w:color="auto" w:fill="auto"/>
            <w:vAlign w:val="center"/>
          </w:tcPr>
          <w:p w14:paraId="4FF254D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2A2FEEE">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647D566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4264E5F8">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61B6789A">
            <w:pPr>
              <w:widowControl/>
              <w:jc w:val="right"/>
              <w:rPr>
                <w:rFonts w:ascii="宋体" w:hAnsi="宋体" w:cs="宋体"/>
                <w:color w:val="000000"/>
                <w:kern w:val="0"/>
                <w:sz w:val="18"/>
                <w:szCs w:val="18"/>
              </w:rPr>
            </w:pPr>
            <w:r>
              <w:rPr>
                <w:rFonts w:ascii="宋体" w:hAnsi="宋体" w:cs="宋体"/>
                <w:color w:val="000000"/>
                <w:kern w:val="0"/>
                <w:sz w:val="18"/>
                <w:szCs w:val="18"/>
              </w:rPr>
              <w:t>751.91</w:t>
            </w:r>
          </w:p>
        </w:tc>
        <w:tc>
          <w:tcPr>
            <w:tcW w:w="351" w:type="pct"/>
            <w:shd w:val="clear" w:color="auto" w:fill="auto"/>
            <w:vAlign w:val="center"/>
          </w:tcPr>
          <w:p w14:paraId="461AA9F1">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532B011">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D674671">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FB62A1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2F2C63B">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0C50F85B">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05B0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1201A660">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458" w:type="pct"/>
            <w:shd w:val="clear" w:color="auto" w:fill="auto"/>
            <w:vAlign w:val="center"/>
          </w:tcPr>
          <w:p w14:paraId="208285C6">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365" w:type="pct"/>
            <w:shd w:val="clear" w:color="auto" w:fill="auto"/>
            <w:vAlign w:val="center"/>
          </w:tcPr>
          <w:p w14:paraId="37F077E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4F4C6CB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74369F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6BAEDA2C">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34810781">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2B08E7D7">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45AD408">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0031BCB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4604F1B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21C06F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F3747A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6F7355B6">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5E27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062C0842">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458" w:type="pct"/>
            <w:shd w:val="clear" w:color="auto" w:fill="auto"/>
            <w:vAlign w:val="center"/>
          </w:tcPr>
          <w:p w14:paraId="19A39CAB">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365" w:type="pct"/>
            <w:shd w:val="clear" w:color="auto" w:fill="auto"/>
            <w:vAlign w:val="center"/>
          </w:tcPr>
          <w:p w14:paraId="0DAE752A">
            <w:pPr>
              <w:widowControl/>
              <w:jc w:val="right"/>
              <w:rPr>
                <w:rFonts w:ascii="宋体" w:hAnsi="宋体" w:cs="宋体"/>
                <w:color w:val="000000"/>
                <w:kern w:val="0"/>
                <w:sz w:val="18"/>
                <w:szCs w:val="18"/>
              </w:rPr>
            </w:pPr>
            <w:r>
              <w:rPr>
                <w:rFonts w:ascii="宋体" w:hAnsi="宋体" w:cs="宋体"/>
                <w:color w:val="000000"/>
                <w:kern w:val="0"/>
                <w:sz w:val="18"/>
                <w:szCs w:val="18"/>
              </w:rPr>
              <w:t>53,420.00</w:t>
            </w:r>
          </w:p>
        </w:tc>
        <w:tc>
          <w:tcPr>
            <w:tcW w:w="367" w:type="pct"/>
            <w:shd w:val="clear" w:color="auto" w:fill="auto"/>
            <w:vAlign w:val="center"/>
          </w:tcPr>
          <w:p w14:paraId="62882D2F">
            <w:pPr>
              <w:widowControl/>
              <w:jc w:val="right"/>
              <w:rPr>
                <w:rFonts w:ascii="宋体" w:hAnsi="宋体" w:cs="宋体"/>
                <w:color w:val="000000"/>
                <w:kern w:val="0"/>
                <w:sz w:val="18"/>
                <w:szCs w:val="18"/>
              </w:rPr>
            </w:pPr>
            <w:r>
              <w:rPr>
                <w:rFonts w:ascii="宋体" w:hAnsi="宋体" w:cs="宋体"/>
                <w:color w:val="000000"/>
                <w:kern w:val="0"/>
                <w:sz w:val="18"/>
                <w:szCs w:val="18"/>
              </w:rPr>
              <w:t>1,219.00</w:t>
            </w:r>
          </w:p>
        </w:tc>
        <w:tc>
          <w:tcPr>
            <w:tcW w:w="351" w:type="pct"/>
            <w:shd w:val="clear" w:color="auto" w:fill="auto"/>
            <w:vAlign w:val="center"/>
          </w:tcPr>
          <w:p w14:paraId="7DBF4BE0">
            <w:pPr>
              <w:widowControl/>
              <w:jc w:val="right"/>
              <w:rPr>
                <w:rFonts w:ascii="宋体" w:hAnsi="宋体" w:cs="宋体"/>
                <w:color w:val="000000"/>
                <w:kern w:val="0"/>
                <w:sz w:val="18"/>
                <w:szCs w:val="18"/>
              </w:rPr>
            </w:pPr>
            <w:r>
              <w:rPr>
                <w:rFonts w:ascii="宋体" w:hAnsi="宋体" w:cs="宋体"/>
                <w:color w:val="000000"/>
                <w:kern w:val="0"/>
                <w:sz w:val="18"/>
                <w:szCs w:val="18"/>
              </w:rPr>
              <w:t>23,100.00</w:t>
            </w:r>
          </w:p>
        </w:tc>
        <w:tc>
          <w:tcPr>
            <w:tcW w:w="386" w:type="pct"/>
            <w:shd w:val="clear" w:color="auto" w:fill="auto"/>
            <w:vAlign w:val="center"/>
          </w:tcPr>
          <w:p w14:paraId="48F5A18F">
            <w:pPr>
              <w:widowControl/>
              <w:jc w:val="right"/>
              <w:rPr>
                <w:rFonts w:ascii="宋体" w:hAnsi="宋体" w:cs="宋体"/>
                <w:color w:val="000000"/>
                <w:kern w:val="0"/>
                <w:sz w:val="18"/>
                <w:szCs w:val="18"/>
              </w:rPr>
            </w:pPr>
            <w:r>
              <w:rPr>
                <w:rFonts w:ascii="宋体" w:hAnsi="宋体" w:cs="宋体"/>
                <w:color w:val="000000"/>
                <w:kern w:val="0"/>
                <w:sz w:val="18"/>
                <w:szCs w:val="18"/>
              </w:rPr>
              <w:t>23,100.00</w:t>
            </w:r>
          </w:p>
        </w:tc>
        <w:tc>
          <w:tcPr>
            <w:tcW w:w="387" w:type="pct"/>
            <w:shd w:val="clear" w:color="auto" w:fill="auto"/>
            <w:vAlign w:val="center"/>
          </w:tcPr>
          <w:p w14:paraId="6198AA6D">
            <w:pPr>
              <w:widowControl/>
              <w:jc w:val="right"/>
              <w:rPr>
                <w:rFonts w:ascii="宋体" w:hAnsi="宋体" w:cs="宋体"/>
                <w:color w:val="000000"/>
                <w:kern w:val="0"/>
                <w:sz w:val="18"/>
                <w:szCs w:val="18"/>
              </w:rPr>
            </w:pPr>
            <w:r>
              <w:rPr>
                <w:rFonts w:ascii="宋体" w:hAnsi="宋体" w:cs="宋体"/>
                <w:color w:val="000000"/>
                <w:kern w:val="0"/>
                <w:sz w:val="18"/>
                <w:szCs w:val="18"/>
              </w:rPr>
              <w:t>6,001.00</w:t>
            </w:r>
          </w:p>
        </w:tc>
        <w:tc>
          <w:tcPr>
            <w:tcW w:w="365" w:type="pct"/>
            <w:shd w:val="clear" w:color="auto" w:fill="auto"/>
            <w:vAlign w:val="center"/>
          </w:tcPr>
          <w:p w14:paraId="5AAE2E18">
            <w:pPr>
              <w:widowControl/>
              <w:jc w:val="right"/>
              <w:rPr>
                <w:rFonts w:ascii="宋体" w:hAnsi="宋体" w:cs="宋体"/>
                <w:color w:val="000000"/>
                <w:kern w:val="0"/>
                <w:sz w:val="18"/>
                <w:szCs w:val="18"/>
              </w:rPr>
            </w:pPr>
          </w:p>
        </w:tc>
        <w:tc>
          <w:tcPr>
            <w:tcW w:w="351" w:type="pct"/>
            <w:shd w:val="clear" w:color="auto" w:fill="auto"/>
            <w:vAlign w:val="center"/>
          </w:tcPr>
          <w:p w14:paraId="70FAFE66">
            <w:pPr>
              <w:widowControl/>
              <w:jc w:val="right"/>
              <w:rPr>
                <w:rFonts w:ascii="宋体" w:hAnsi="宋体" w:cs="宋体"/>
                <w:color w:val="000000"/>
                <w:kern w:val="0"/>
                <w:sz w:val="18"/>
                <w:szCs w:val="18"/>
              </w:rPr>
            </w:pPr>
          </w:p>
        </w:tc>
        <w:tc>
          <w:tcPr>
            <w:tcW w:w="351" w:type="pct"/>
            <w:shd w:val="clear" w:color="auto" w:fill="auto"/>
            <w:vAlign w:val="center"/>
          </w:tcPr>
          <w:p w14:paraId="62CB274A">
            <w:pPr>
              <w:widowControl/>
              <w:jc w:val="right"/>
              <w:rPr>
                <w:rFonts w:ascii="宋体" w:hAnsi="宋体" w:cs="宋体"/>
                <w:color w:val="000000"/>
                <w:kern w:val="0"/>
                <w:sz w:val="18"/>
                <w:szCs w:val="18"/>
              </w:rPr>
            </w:pPr>
          </w:p>
        </w:tc>
        <w:tc>
          <w:tcPr>
            <w:tcW w:w="351" w:type="pct"/>
            <w:shd w:val="clear" w:color="auto" w:fill="auto"/>
            <w:vAlign w:val="center"/>
          </w:tcPr>
          <w:p w14:paraId="60777016">
            <w:pPr>
              <w:widowControl/>
              <w:jc w:val="right"/>
              <w:rPr>
                <w:rFonts w:ascii="宋体" w:hAnsi="宋体" w:cs="宋体"/>
                <w:color w:val="000000"/>
                <w:kern w:val="0"/>
                <w:sz w:val="18"/>
                <w:szCs w:val="18"/>
              </w:rPr>
            </w:pPr>
          </w:p>
        </w:tc>
        <w:tc>
          <w:tcPr>
            <w:tcW w:w="351" w:type="pct"/>
            <w:shd w:val="clear" w:color="auto" w:fill="auto"/>
            <w:vAlign w:val="center"/>
          </w:tcPr>
          <w:p w14:paraId="3E3AF64D">
            <w:pPr>
              <w:widowControl/>
              <w:jc w:val="right"/>
              <w:rPr>
                <w:rFonts w:ascii="宋体" w:hAnsi="宋体" w:cs="宋体"/>
                <w:color w:val="000000"/>
                <w:kern w:val="0"/>
                <w:sz w:val="18"/>
                <w:szCs w:val="18"/>
              </w:rPr>
            </w:pPr>
          </w:p>
        </w:tc>
        <w:tc>
          <w:tcPr>
            <w:tcW w:w="351" w:type="pct"/>
            <w:shd w:val="clear" w:color="auto" w:fill="auto"/>
            <w:vAlign w:val="center"/>
          </w:tcPr>
          <w:p w14:paraId="0A448617">
            <w:pPr>
              <w:widowControl/>
              <w:jc w:val="right"/>
              <w:rPr>
                <w:rFonts w:ascii="宋体" w:hAnsi="宋体" w:cs="宋体"/>
                <w:color w:val="000000"/>
                <w:kern w:val="0"/>
                <w:sz w:val="18"/>
                <w:szCs w:val="18"/>
              </w:rPr>
            </w:pPr>
          </w:p>
        </w:tc>
        <w:tc>
          <w:tcPr>
            <w:tcW w:w="351" w:type="pct"/>
            <w:vAlign w:val="center"/>
          </w:tcPr>
          <w:p w14:paraId="5A05D620">
            <w:pPr>
              <w:widowControl/>
              <w:jc w:val="right"/>
              <w:rPr>
                <w:rFonts w:ascii="宋体" w:hAnsi="宋体" w:cs="宋体"/>
                <w:color w:val="000000"/>
                <w:kern w:val="0"/>
                <w:sz w:val="18"/>
                <w:szCs w:val="18"/>
              </w:rPr>
            </w:pPr>
          </w:p>
        </w:tc>
      </w:tr>
      <w:tr w14:paraId="3F38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76516097">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458" w:type="pct"/>
            <w:shd w:val="clear" w:color="auto" w:fill="auto"/>
            <w:vAlign w:val="center"/>
          </w:tcPr>
          <w:p w14:paraId="0CEC34AA">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365" w:type="pct"/>
            <w:shd w:val="clear" w:color="auto" w:fill="auto"/>
            <w:vAlign w:val="center"/>
          </w:tcPr>
          <w:p w14:paraId="6E17CF99">
            <w:pPr>
              <w:widowControl/>
              <w:jc w:val="right"/>
              <w:rPr>
                <w:rFonts w:ascii="宋体" w:hAnsi="宋体" w:cs="宋体"/>
                <w:color w:val="000000"/>
                <w:kern w:val="0"/>
                <w:sz w:val="18"/>
                <w:szCs w:val="18"/>
              </w:rPr>
            </w:pPr>
            <w:r>
              <w:rPr>
                <w:rFonts w:ascii="宋体" w:hAnsi="宋体" w:cs="宋体"/>
                <w:color w:val="000000"/>
                <w:kern w:val="0"/>
                <w:sz w:val="18"/>
                <w:szCs w:val="18"/>
              </w:rPr>
              <w:t>30,498.30</w:t>
            </w:r>
          </w:p>
        </w:tc>
        <w:tc>
          <w:tcPr>
            <w:tcW w:w="367" w:type="pct"/>
            <w:shd w:val="clear" w:color="auto" w:fill="auto"/>
            <w:vAlign w:val="center"/>
          </w:tcPr>
          <w:p w14:paraId="14F47774">
            <w:pPr>
              <w:widowControl/>
              <w:jc w:val="right"/>
              <w:rPr>
                <w:rFonts w:ascii="宋体" w:hAnsi="宋体" w:cs="宋体"/>
                <w:color w:val="000000"/>
                <w:kern w:val="0"/>
                <w:sz w:val="18"/>
                <w:szCs w:val="18"/>
              </w:rPr>
            </w:pPr>
            <w:r>
              <w:rPr>
                <w:rFonts w:ascii="宋体" w:hAnsi="宋体" w:cs="宋体"/>
                <w:color w:val="000000"/>
                <w:kern w:val="0"/>
                <w:sz w:val="18"/>
                <w:szCs w:val="18"/>
              </w:rPr>
              <w:t>1.00</w:t>
            </w:r>
          </w:p>
        </w:tc>
        <w:tc>
          <w:tcPr>
            <w:tcW w:w="351" w:type="pct"/>
            <w:shd w:val="clear" w:color="auto" w:fill="auto"/>
            <w:vAlign w:val="center"/>
          </w:tcPr>
          <w:p w14:paraId="7E590C7D">
            <w:pPr>
              <w:widowControl/>
              <w:jc w:val="right"/>
              <w:rPr>
                <w:rFonts w:ascii="宋体" w:hAnsi="宋体" w:cs="宋体"/>
                <w:color w:val="000000"/>
                <w:kern w:val="0"/>
                <w:sz w:val="18"/>
                <w:szCs w:val="18"/>
              </w:rPr>
            </w:pPr>
            <w:r>
              <w:rPr>
                <w:rFonts w:ascii="宋体" w:hAnsi="宋体" w:cs="宋体"/>
                <w:color w:val="000000"/>
                <w:kern w:val="0"/>
                <w:sz w:val="18"/>
                <w:szCs w:val="18"/>
              </w:rPr>
              <w:t>31.90</w:t>
            </w:r>
          </w:p>
        </w:tc>
        <w:tc>
          <w:tcPr>
            <w:tcW w:w="386" w:type="pct"/>
            <w:shd w:val="clear" w:color="auto" w:fill="auto"/>
            <w:vAlign w:val="center"/>
          </w:tcPr>
          <w:p w14:paraId="3A3638B9">
            <w:pPr>
              <w:widowControl/>
              <w:jc w:val="right"/>
              <w:rPr>
                <w:rFonts w:ascii="宋体" w:hAnsi="宋体" w:cs="宋体"/>
                <w:color w:val="000000"/>
                <w:kern w:val="0"/>
                <w:sz w:val="18"/>
                <w:szCs w:val="18"/>
              </w:rPr>
            </w:pPr>
            <w:r>
              <w:rPr>
                <w:rFonts w:ascii="宋体" w:hAnsi="宋体" w:cs="宋体"/>
                <w:color w:val="000000"/>
                <w:kern w:val="0"/>
                <w:sz w:val="18"/>
                <w:szCs w:val="18"/>
              </w:rPr>
              <w:t>198.90</w:t>
            </w:r>
          </w:p>
        </w:tc>
        <w:tc>
          <w:tcPr>
            <w:tcW w:w="387" w:type="pct"/>
            <w:shd w:val="clear" w:color="auto" w:fill="auto"/>
            <w:vAlign w:val="center"/>
          </w:tcPr>
          <w:p w14:paraId="40C866FB">
            <w:pPr>
              <w:widowControl/>
              <w:jc w:val="right"/>
              <w:rPr>
                <w:rFonts w:ascii="宋体" w:hAnsi="宋体" w:cs="宋体"/>
                <w:color w:val="000000"/>
                <w:kern w:val="0"/>
                <w:sz w:val="18"/>
                <w:szCs w:val="18"/>
              </w:rPr>
            </w:pPr>
            <w:r>
              <w:rPr>
                <w:rFonts w:ascii="宋体" w:hAnsi="宋体" w:cs="宋体"/>
                <w:color w:val="000000"/>
                <w:kern w:val="0"/>
                <w:sz w:val="18"/>
                <w:szCs w:val="18"/>
              </w:rPr>
              <w:t>772.90</w:t>
            </w:r>
          </w:p>
        </w:tc>
        <w:tc>
          <w:tcPr>
            <w:tcW w:w="365" w:type="pct"/>
            <w:shd w:val="clear" w:color="auto" w:fill="auto"/>
            <w:vAlign w:val="center"/>
          </w:tcPr>
          <w:p w14:paraId="7649B04D">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619717BE">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2413F389">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1E2528B0">
            <w:pPr>
              <w:widowControl/>
              <w:jc w:val="right"/>
              <w:rPr>
                <w:rFonts w:ascii="宋体" w:hAnsi="宋体" w:cs="宋体"/>
                <w:color w:val="000000"/>
                <w:kern w:val="0"/>
                <w:sz w:val="18"/>
                <w:szCs w:val="18"/>
              </w:rPr>
            </w:pPr>
            <w:r>
              <w:rPr>
                <w:rFonts w:ascii="宋体" w:hAnsi="宋体" w:cs="宋体"/>
                <w:color w:val="000000"/>
                <w:kern w:val="0"/>
                <w:sz w:val="18"/>
                <w:szCs w:val="18"/>
              </w:rPr>
              <w:t>1,924.90</w:t>
            </w:r>
          </w:p>
        </w:tc>
        <w:tc>
          <w:tcPr>
            <w:tcW w:w="351" w:type="pct"/>
            <w:shd w:val="clear" w:color="auto" w:fill="auto"/>
            <w:vAlign w:val="center"/>
          </w:tcPr>
          <w:p w14:paraId="0AE542A9">
            <w:pPr>
              <w:widowControl/>
              <w:jc w:val="right"/>
              <w:rPr>
                <w:rFonts w:ascii="宋体" w:hAnsi="宋体" w:cs="宋体"/>
                <w:color w:val="000000"/>
                <w:kern w:val="0"/>
                <w:sz w:val="18"/>
                <w:szCs w:val="18"/>
              </w:rPr>
            </w:pPr>
            <w:r>
              <w:rPr>
                <w:rFonts w:ascii="宋体" w:hAnsi="宋体" w:cs="宋体"/>
                <w:color w:val="000000"/>
                <w:kern w:val="0"/>
                <w:sz w:val="18"/>
                <w:szCs w:val="18"/>
              </w:rPr>
              <w:t>4,897.00</w:t>
            </w:r>
          </w:p>
        </w:tc>
        <w:tc>
          <w:tcPr>
            <w:tcW w:w="351" w:type="pct"/>
            <w:shd w:val="clear" w:color="auto" w:fill="auto"/>
            <w:vAlign w:val="center"/>
          </w:tcPr>
          <w:p w14:paraId="20248DFC">
            <w:pPr>
              <w:widowControl/>
              <w:jc w:val="right"/>
              <w:rPr>
                <w:rFonts w:ascii="宋体" w:hAnsi="宋体" w:cs="宋体"/>
                <w:color w:val="000000"/>
                <w:kern w:val="0"/>
                <w:sz w:val="18"/>
                <w:szCs w:val="18"/>
              </w:rPr>
            </w:pPr>
            <w:r>
              <w:rPr>
                <w:rFonts w:ascii="宋体" w:hAnsi="宋体" w:cs="宋体"/>
                <w:color w:val="000000"/>
                <w:kern w:val="0"/>
                <w:sz w:val="18"/>
                <w:szCs w:val="18"/>
              </w:rPr>
              <w:t>15,741.00</w:t>
            </w:r>
          </w:p>
        </w:tc>
        <w:tc>
          <w:tcPr>
            <w:tcW w:w="351" w:type="pct"/>
            <w:vAlign w:val="center"/>
          </w:tcPr>
          <w:p w14:paraId="2146C197">
            <w:pPr>
              <w:widowControl/>
              <w:jc w:val="right"/>
              <w:rPr>
                <w:rFonts w:ascii="宋体" w:hAnsi="宋体" w:cs="宋体"/>
                <w:color w:val="000000"/>
                <w:kern w:val="0"/>
                <w:sz w:val="18"/>
                <w:szCs w:val="18"/>
              </w:rPr>
            </w:pPr>
            <w:r>
              <w:rPr>
                <w:rFonts w:ascii="宋体" w:hAnsi="宋体" w:cs="宋体"/>
                <w:color w:val="000000"/>
                <w:kern w:val="0"/>
                <w:sz w:val="18"/>
                <w:szCs w:val="18"/>
              </w:rPr>
              <w:t>4,156.00</w:t>
            </w:r>
          </w:p>
        </w:tc>
      </w:tr>
      <w:tr w14:paraId="671D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5531F28C">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458" w:type="pct"/>
            <w:shd w:val="clear" w:color="auto" w:fill="auto"/>
            <w:vAlign w:val="center"/>
          </w:tcPr>
          <w:p w14:paraId="04BE9428">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365" w:type="pct"/>
            <w:shd w:val="clear" w:color="auto" w:fill="auto"/>
            <w:vAlign w:val="center"/>
          </w:tcPr>
          <w:p w14:paraId="1CB26B84">
            <w:pPr>
              <w:widowControl/>
              <w:jc w:val="right"/>
              <w:rPr>
                <w:rFonts w:ascii="宋体" w:hAnsi="宋体" w:cs="宋体"/>
                <w:color w:val="000000"/>
                <w:kern w:val="0"/>
                <w:sz w:val="18"/>
                <w:szCs w:val="18"/>
              </w:rPr>
            </w:pPr>
            <w:r>
              <w:rPr>
                <w:rFonts w:ascii="宋体" w:hAnsi="宋体" w:cs="宋体"/>
                <w:color w:val="000000"/>
                <w:kern w:val="0"/>
                <w:sz w:val="18"/>
                <w:szCs w:val="18"/>
              </w:rPr>
              <w:t>24.00</w:t>
            </w:r>
          </w:p>
        </w:tc>
        <w:tc>
          <w:tcPr>
            <w:tcW w:w="367" w:type="pct"/>
            <w:shd w:val="clear" w:color="auto" w:fill="auto"/>
            <w:vAlign w:val="center"/>
          </w:tcPr>
          <w:p w14:paraId="0E390057">
            <w:pPr>
              <w:widowControl/>
              <w:jc w:val="right"/>
              <w:rPr>
                <w:rFonts w:ascii="宋体" w:hAnsi="宋体" w:cs="宋体"/>
                <w:color w:val="000000"/>
                <w:kern w:val="0"/>
                <w:sz w:val="18"/>
                <w:szCs w:val="18"/>
              </w:rPr>
            </w:pPr>
            <w:r>
              <w:rPr>
                <w:rFonts w:ascii="宋体" w:hAnsi="宋体" w:cs="宋体"/>
                <w:color w:val="000000"/>
                <w:kern w:val="0"/>
                <w:sz w:val="18"/>
                <w:szCs w:val="18"/>
              </w:rPr>
              <w:t>1.00</w:t>
            </w:r>
          </w:p>
        </w:tc>
        <w:tc>
          <w:tcPr>
            <w:tcW w:w="351" w:type="pct"/>
            <w:shd w:val="clear" w:color="auto" w:fill="auto"/>
            <w:vAlign w:val="center"/>
          </w:tcPr>
          <w:p w14:paraId="56369E4A">
            <w:pPr>
              <w:widowControl/>
              <w:jc w:val="right"/>
              <w:rPr>
                <w:rFonts w:ascii="宋体" w:hAnsi="宋体" w:cs="宋体"/>
                <w:color w:val="000000"/>
                <w:kern w:val="0"/>
                <w:sz w:val="18"/>
                <w:szCs w:val="18"/>
              </w:rPr>
            </w:pPr>
            <w:r>
              <w:rPr>
                <w:rFonts w:ascii="宋体" w:hAnsi="宋体" w:cs="宋体"/>
                <w:color w:val="000000"/>
                <w:kern w:val="0"/>
                <w:sz w:val="18"/>
                <w:szCs w:val="18"/>
              </w:rPr>
              <w:t>4.00</w:t>
            </w:r>
          </w:p>
        </w:tc>
        <w:tc>
          <w:tcPr>
            <w:tcW w:w="386" w:type="pct"/>
            <w:shd w:val="clear" w:color="auto" w:fill="auto"/>
            <w:vAlign w:val="center"/>
          </w:tcPr>
          <w:p w14:paraId="518A1F9D">
            <w:pPr>
              <w:widowControl/>
              <w:jc w:val="right"/>
              <w:rPr>
                <w:rFonts w:ascii="宋体" w:hAnsi="宋体" w:cs="宋体"/>
                <w:color w:val="000000"/>
                <w:kern w:val="0"/>
                <w:sz w:val="18"/>
                <w:szCs w:val="18"/>
              </w:rPr>
            </w:pPr>
            <w:r>
              <w:rPr>
                <w:rFonts w:ascii="宋体" w:hAnsi="宋体" w:cs="宋体"/>
                <w:color w:val="000000"/>
                <w:kern w:val="0"/>
                <w:sz w:val="18"/>
                <w:szCs w:val="18"/>
              </w:rPr>
              <w:t>15.00</w:t>
            </w:r>
          </w:p>
        </w:tc>
        <w:tc>
          <w:tcPr>
            <w:tcW w:w="387" w:type="pct"/>
            <w:shd w:val="clear" w:color="auto" w:fill="auto"/>
            <w:vAlign w:val="center"/>
          </w:tcPr>
          <w:p w14:paraId="1D2D1F75">
            <w:pPr>
              <w:widowControl/>
              <w:jc w:val="right"/>
              <w:rPr>
                <w:rFonts w:ascii="宋体" w:hAnsi="宋体" w:cs="宋体"/>
                <w:color w:val="000000"/>
                <w:kern w:val="0"/>
                <w:sz w:val="18"/>
                <w:szCs w:val="18"/>
              </w:rPr>
            </w:pPr>
            <w:r>
              <w:rPr>
                <w:rFonts w:ascii="宋体" w:hAnsi="宋体" w:cs="宋体"/>
                <w:color w:val="000000"/>
                <w:kern w:val="0"/>
                <w:sz w:val="18"/>
                <w:szCs w:val="18"/>
              </w:rPr>
              <w:t>4.00</w:t>
            </w:r>
          </w:p>
        </w:tc>
        <w:tc>
          <w:tcPr>
            <w:tcW w:w="365" w:type="pct"/>
            <w:shd w:val="clear" w:color="auto" w:fill="auto"/>
            <w:vAlign w:val="center"/>
          </w:tcPr>
          <w:p w14:paraId="491A60F4">
            <w:pPr>
              <w:widowControl/>
              <w:jc w:val="right"/>
              <w:rPr>
                <w:rFonts w:ascii="宋体" w:hAnsi="宋体" w:cs="宋体"/>
                <w:color w:val="000000"/>
                <w:kern w:val="0"/>
                <w:sz w:val="18"/>
                <w:szCs w:val="18"/>
              </w:rPr>
            </w:pPr>
          </w:p>
        </w:tc>
        <w:tc>
          <w:tcPr>
            <w:tcW w:w="351" w:type="pct"/>
            <w:shd w:val="clear" w:color="auto" w:fill="auto"/>
            <w:vAlign w:val="center"/>
          </w:tcPr>
          <w:p w14:paraId="63820BEA">
            <w:pPr>
              <w:widowControl/>
              <w:jc w:val="right"/>
              <w:rPr>
                <w:rFonts w:ascii="宋体" w:hAnsi="宋体" w:cs="宋体"/>
                <w:color w:val="000000"/>
                <w:kern w:val="0"/>
                <w:sz w:val="18"/>
                <w:szCs w:val="18"/>
              </w:rPr>
            </w:pPr>
          </w:p>
        </w:tc>
        <w:tc>
          <w:tcPr>
            <w:tcW w:w="351" w:type="pct"/>
            <w:shd w:val="clear" w:color="auto" w:fill="auto"/>
            <w:vAlign w:val="center"/>
          </w:tcPr>
          <w:p w14:paraId="09DB7E2F">
            <w:pPr>
              <w:widowControl/>
              <w:jc w:val="right"/>
              <w:rPr>
                <w:rFonts w:ascii="宋体" w:hAnsi="宋体" w:cs="宋体"/>
                <w:color w:val="000000"/>
                <w:kern w:val="0"/>
                <w:sz w:val="18"/>
                <w:szCs w:val="18"/>
              </w:rPr>
            </w:pPr>
          </w:p>
        </w:tc>
        <w:tc>
          <w:tcPr>
            <w:tcW w:w="351" w:type="pct"/>
            <w:shd w:val="clear" w:color="auto" w:fill="auto"/>
            <w:vAlign w:val="center"/>
          </w:tcPr>
          <w:p w14:paraId="2FC64D67">
            <w:pPr>
              <w:widowControl/>
              <w:jc w:val="right"/>
              <w:rPr>
                <w:rFonts w:ascii="宋体" w:hAnsi="宋体" w:cs="宋体"/>
                <w:color w:val="000000"/>
                <w:kern w:val="0"/>
                <w:sz w:val="18"/>
                <w:szCs w:val="18"/>
              </w:rPr>
            </w:pPr>
          </w:p>
        </w:tc>
        <w:tc>
          <w:tcPr>
            <w:tcW w:w="351" w:type="pct"/>
            <w:shd w:val="clear" w:color="auto" w:fill="auto"/>
            <w:vAlign w:val="center"/>
          </w:tcPr>
          <w:p w14:paraId="137C3C1E">
            <w:pPr>
              <w:widowControl/>
              <w:jc w:val="right"/>
              <w:rPr>
                <w:rFonts w:ascii="宋体" w:hAnsi="宋体" w:cs="宋体"/>
                <w:color w:val="000000"/>
                <w:kern w:val="0"/>
                <w:sz w:val="18"/>
                <w:szCs w:val="18"/>
              </w:rPr>
            </w:pPr>
          </w:p>
        </w:tc>
        <w:tc>
          <w:tcPr>
            <w:tcW w:w="351" w:type="pct"/>
            <w:shd w:val="clear" w:color="auto" w:fill="auto"/>
            <w:vAlign w:val="center"/>
          </w:tcPr>
          <w:p w14:paraId="7A8C626A">
            <w:pPr>
              <w:widowControl/>
              <w:jc w:val="right"/>
              <w:rPr>
                <w:rFonts w:ascii="宋体" w:hAnsi="宋体" w:cs="宋体"/>
                <w:color w:val="000000"/>
                <w:kern w:val="0"/>
                <w:sz w:val="18"/>
                <w:szCs w:val="18"/>
              </w:rPr>
            </w:pPr>
          </w:p>
        </w:tc>
        <w:tc>
          <w:tcPr>
            <w:tcW w:w="351" w:type="pct"/>
            <w:vAlign w:val="center"/>
          </w:tcPr>
          <w:p w14:paraId="3A98A7E2">
            <w:pPr>
              <w:widowControl/>
              <w:jc w:val="right"/>
              <w:rPr>
                <w:rFonts w:ascii="宋体" w:hAnsi="宋体" w:cs="宋体"/>
                <w:color w:val="000000"/>
                <w:kern w:val="0"/>
                <w:sz w:val="18"/>
                <w:szCs w:val="18"/>
              </w:rPr>
            </w:pPr>
          </w:p>
        </w:tc>
      </w:tr>
      <w:tr w14:paraId="201F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43CC7710">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458" w:type="pct"/>
            <w:shd w:val="clear" w:color="auto" w:fill="auto"/>
            <w:vAlign w:val="center"/>
          </w:tcPr>
          <w:p w14:paraId="68C817D8">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365" w:type="pct"/>
            <w:shd w:val="clear" w:color="auto" w:fill="auto"/>
            <w:vAlign w:val="center"/>
          </w:tcPr>
          <w:p w14:paraId="39B1BA64">
            <w:pPr>
              <w:widowControl/>
              <w:jc w:val="right"/>
              <w:rPr>
                <w:rFonts w:ascii="宋体" w:hAnsi="宋体" w:cs="宋体"/>
                <w:color w:val="000000"/>
                <w:kern w:val="0"/>
                <w:sz w:val="18"/>
                <w:szCs w:val="18"/>
              </w:rPr>
            </w:pPr>
            <w:r>
              <w:rPr>
                <w:rFonts w:ascii="宋体" w:hAnsi="宋体" w:cs="宋体"/>
                <w:color w:val="000000"/>
                <w:kern w:val="0"/>
                <w:sz w:val="18"/>
                <w:szCs w:val="18"/>
              </w:rPr>
              <w:t>24,000.00</w:t>
            </w:r>
          </w:p>
        </w:tc>
        <w:tc>
          <w:tcPr>
            <w:tcW w:w="367" w:type="pct"/>
            <w:shd w:val="clear" w:color="auto" w:fill="auto"/>
            <w:vAlign w:val="center"/>
          </w:tcPr>
          <w:p w14:paraId="01DBF4DE">
            <w:pPr>
              <w:widowControl/>
              <w:jc w:val="right"/>
              <w:rPr>
                <w:rFonts w:ascii="宋体" w:hAnsi="宋体" w:cs="宋体"/>
                <w:color w:val="000000"/>
                <w:kern w:val="0"/>
                <w:sz w:val="18"/>
                <w:szCs w:val="18"/>
              </w:rPr>
            </w:pPr>
          </w:p>
        </w:tc>
        <w:tc>
          <w:tcPr>
            <w:tcW w:w="351" w:type="pct"/>
            <w:shd w:val="clear" w:color="auto" w:fill="auto"/>
            <w:vAlign w:val="center"/>
          </w:tcPr>
          <w:p w14:paraId="4FC5507B">
            <w:pPr>
              <w:widowControl/>
              <w:jc w:val="right"/>
              <w:rPr>
                <w:rFonts w:ascii="宋体" w:hAnsi="宋体" w:cs="宋体"/>
                <w:color w:val="000000"/>
                <w:kern w:val="0"/>
                <w:sz w:val="18"/>
                <w:szCs w:val="18"/>
              </w:rPr>
            </w:pPr>
          </w:p>
        </w:tc>
        <w:tc>
          <w:tcPr>
            <w:tcW w:w="386" w:type="pct"/>
            <w:shd w:val="clear" w:color="auto" w:fill="auto"/>
            <w:vAlign w:val="center"/>
          </w:tcPr>
          <w:p w14:paraId="2502DCD0">
            <w:pPr>
              <w:widowControl/>
              <w:jc w:val="right"/>
              <w:rPr>
                <w:rFonts w:ascii="宋体" w:hAnsi="宋体" w:cs="宋体"/>
                <w:color w:val="000000"/>
                <w:kern w:val="0"/>
                <w:sz w:val="18"/>
                <w:szCs w:val="18"/>
              </w:rPr>
            </w:pPr>
          </w:p>
        </w:tc>
        <w:tc>
          <w:tcPr>
            <w:tcW w:w="387" w:type="pct"/>
            <w:shd w:val="clear" w:color="auto" w:fill="auto"/>
            <w:vAlign w:val="center"/>
          </w:tcPr>
          <w:p w14:paraId="4F22EE54">
            <w:pPr>
              <w:widowControl/>
              <w:jc w:val="right"/>
              <w:rPr>
                <w:rFonts w:ascii="宋体" w:hAnsi="宋体" w:cs="宋体"/>
                <w:color w:val="000000"/>
                <w:kern w:val="0"/>
                <w:sz w:val="18"/>
                <w:szCs w:val="18"/>
              </w:rPr>
            </w:pPr>
          </w:p>
        </w:tc>
        <w:tc>
          <w:tcPr>
            <w:tcW w:w="365" w:type="pct"/>
            <w:shd w:val="clear" w:color="auto" w:fill="auto"/>
            <w:vAlign w:val="center"/>
          </w:tcPr>
          <w:p w14:paraId="328E8007">
            <w:pPr>
              <w:widowControl/>
              <w:jc w:val="right"/>
              <w:rPr>
                <w:rFonts w:ascii="宋体" w:hAnsi="宋体" w:cs="宋体"/>
                <w:color w:val="000000"/>
                <w:kern w:val="0"/>
                <w:sz w:val="18"/>
                <w:szCs w:val="18"/>
              </w:rPr>
            </w:pPr>
          </w:p>
        </w:tc>
        <w:tc>
          <w:tcPr>
            <w:tcW w:w="351" w:type="pct"/>
            <w:shd w:val="clear" w:color="auto" w:fill="auto"/>
            <w:vAlign w:val="center"/>
          </w:tcPr>
          <w:p w14:paraId="64474BAD">
            <w:pPr>
              <w:widowControl/>
              <w:jc w:val="right"/>
              <w:rPr>
                <w:rFonts w:ascii="宋体" w:hAnsi="宋体" w:cs="宋体"/>
                <w:color w:val="000000"/>
                <w:kern w:val="0"/>
                <w:sz w:val="18"/>
                <w:szCs w:val="18"/>
              </w:rPr>
            </w:pPr>
          </w:p>
        </w:tc>
        <w:tc>
          <w:tcPr>
            <w:tcW w:w="351" w:type="pct"/>
            <w:shd w:val="clear" w:color="auto" w:fill="auto"/>
            <w:vAlign w:val="center"/>
          </w:tcPr>
          <w:p w14:paraId="0A08EB10">
            <w:pPr>
              <w:widowControl/>
              <w:jc w:val="right"/>
              <w:rPr>
                <w:rFonts w:ascii="宋体" w:hAnsi="宋体" w:cs="宋体"/>
                <w:color w:val="000000"/>
                <w:kern w:val="0"/>
                <w:sz w:val="18"/>
                <w:szCs w:val="18"/>
              </w:rPr>
            </w:pPr>
          </w:p>
        </w:tc>
        <w:tc>
          <w:tcPr>
            <w:tcW w:w="351" w:type="pct"/>
            <w:shd w:val="clear" w:color="auto" w:fill="auto"/>
            <w:vAlign w:val="center"/>
          </w:tcPr>
          <w:p w14:paraId="5523636A">
            <w:pPr>
              <w:widowControl/>
              <w:jc w:val="right"/>
              <w:rPr>
                <w:rFonts w:ascii="宋体" w:hAnsi="宋体" w:cs="宋体"/>
                <w:color w:val="000000"/>
                <w:kern w:val="0"/>
                <w:sz w:val="18"/>
                <w:szCs w:val="18"/>
              </w:rPr>
            </w:pPr>
            <w:r>
              <w:rPr>
                <w:rFonts w:ascii="宋体" w:hAnsi="宋体" w:cs="宋体"/>
                <w:color w:val="000000"/>
                <w:kern w:val="0"/>
                <w:sz w:val="18"/>
                <w:szCs w:val="18"/>
              </w:rPr>
              <w:t>1,000.00</w:t>
            </w:r>
          </w:p>
        </w:tc>
        <w:tc>
          <w:tcPr>
            <w:tcW w:w="351" w:type="pct"/>
            <w:shd w:val="clear" w:color="auto" w:fill="auto"/>
            <w:vAlign w:val="center"/>
          </w:tcPr>
          <w:p w14:paraId="5831FDA8">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c>
          <w:tcPr>
            <w:tcW w:w="351" w:type="pct"/>
            <w:shd w:val="clear" w:color="auto" w:fill="auto"/>
            <w:vAlign w:val="center"/>
          </w:tcPr>
          <w:p w14:paraId="4A231394">
            <w:pPr>
              <w:widowControl/>
              <w:jc w:val="right"/>
              <w:rPr>
                <w:rFonts w:ascii="宋体" w:hAnsi="宋体" w:cs="宋体"/>
                <w:color w:val="000000"/>
                <w:kern w:val="0"/>
                <w:sz w:val="18"/>
                <w:szCs w:val="18"/>
              </w:rPr>
            </w:pPr>
            <w:r>
              <w:rPr>
                <w:rFonts w:ascii="宋体" w:hAnsi="宋体" w:cs="宋体"/>
                <w:color w:val="000000"/>
                <w:kern w:val="0"/>
                <w:sz w:val="18"/>
                <w:szCs w:val="18"/>
              </w:rPr>
              <w:t>15,000.00</w:t>
            </w:r>
          </w:p>
        </w:tc>
        <w:tc>
          <w:tcPr>
            <w:tcW w:w="351" w:type="pct"/>
            <w:vAlign w:val="center"/>
          </w:tcPr>
          <w:p w14:paraId="0FF77AD4">
            <w:pPr>
              <w:widowControl/>
              <w:jc w:val="right"/>
              <w:rPr>
                <w:rFonts w:ascii="宋体" w:hAnsi="宋体" w:cs="宋体"/>
                <w:color w:val="000000"/>
                <w:kern w:val="0"/>
                <w:sz w:val="18"/>
                <w:szCs w:val="18"/>
              </w:rPr>
            </w:pPr>
            <w:r>
              <w:rPr>
                <w:rFonts w:ascii="宋体" w:hAnsi="宋体" w:cs="宋体"/>
                <w:color w:val="000000"/>
                <w:kern w:val="0"/>
                <w:sz w:val="18"/>
                <w:szCs w:val="18"/>
              </w:rPr>
              <w:t>4,000.00</w:t>
            </w:r>
          </w:p>
        </w:tc>
      </w:tr>
      <w:tr w14:paraId="6F93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711EFDDB">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458" w:type="pct"/>
            <w:shd w:val="clear" w:color="auto" w:fill="auto"/>
            <w:vAlign w:val="center"/>
          </w:tcPr>
          <w:p w14:paraId="0B993FCE">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365" w:type="pct"/>
            <w:shd w:val="clear" w:color="auto" w:fill="auto"/>
            <w:vAlign w:val="center"/>
          </w:tcPr>
          <w:p w14:paraId="0B1B8280">
            <w:pPr>
              <w:widowControl/>
              <w:jc w:val="right"/>
              <w:rPr>
                <w:rFonts w:ascii="宋体" w:hAnsi="宋体" w:cs="宋体"/>
                <w:color w:val="000000"/>
                <w:kern w:val="0"/>
                <w:sz w:val="18"/>
                <w:szCs w:val="18"/>
              </w:rPr>
            </w:pPr>
            <w:r>
              <w:rPr>
                <w:rFonts w:ascii="宋体" w:hAnsi="宋体" w:cs="宋体"/>
                <w:color w:val="000000"/>
                <w:kern w:val="0"/>
                <w:sz w:val="18"/>
                <w:szCs w:val="18"/>
              </w:rPr>
              <w:t>6,474.30</w:t>
            </w:r>
          </w:p>
        </w:tc>
        <w:tc>
          <w:tcPr>
            <w:tcW w:w="367" w:type="pct"/>
            <w:shd w:val="clear" w:color="auto" w:fill="auto"/>
            <w:vAlign w:val="center"/>
          </w:tcPr>
          <w:p w14:paraId="37913E3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35611728">
            <w:pPr>
              <w:widowControl/>
              <w:jc w:val="right"/>
              <w:rPr>
                <w:rFonts w:ascii="宋体" w:hAnsi="宋体" w:cs="宋体"/>
                <w:color w:val="000000"/>
                <w:kern w:val="0"/>
                <w:sz w:val="18"/>
                <w:szCs w:val="18"/>
              </w:rPr>
            </w:pPr>
            <w:r>
              <w:rPr>
                <w:rFonts w:ascii="宋体" w:hAnsi="宋体" w:cs="宋体"/>
                <w:color w:val="000000"/>
                <w:kern w:val="0"/>
                <w:sz w:val="18"/>
                <w:szCs w:val="18"/>
              </w:rPr>
              <w:t>27.90</w:t>
            </w:r>
          </w:p>
        </w:tc>
        <w:tc>
          <w:tcPr>
            <w:tcW w:w="386" w:type="pct"/>
            <w:shd w:val="clear" w:color="auto" w:fill="auto"/>
            <w:vAlign w:val="center"/>
          </w:tcPr>
          <w:p w14:paraId="3B3397EC">
            <w:pPr>
              <w:widowControl/>
              <w:jc w:val="right"/>
              <w:rPr>
                <w:rFonts w:ascii="宋体" w:hAnsi="宋体" w:cs="宋体"/>
                <w:color w:val="000000"/>
                <w:kern w:val="0"/>
                <w:sz w:val="18"/>
                <w:szCs w:val="18"/>
              </w:rPr>
            </w:pPr>
            <w:r>
              <w:rPr>
                <w:rFonts w:ascii="宋体" w:hAnsi="宋体" w:cs="宋体"/>
                <w:color w:val="000000"/>
                <w:kern w:val="0"/>
                <w:sz w:val="18"/>
                <w:szCs w:val="18"/>
              </w:rPr>
              <w:t>183.90</w:t>
            </w:r>
          </w:p>
        </w:tc>
        <w:tc>
          <w:tcPr>
            <w:tcW w:w="387" w:type="pct"/>
            <w:shd w:val="clear" w:color="auto" w:fill="auto"/>
            <w:vAlign w:val="center"/>
          </w:tcPr>
          <w:p w14:paraId="3E429DA9">
            <w:pPr>
              <w:widowControl/>
              <w:jc w:val="right"/>
              <w:rPr>
                <w:rFonts w:ascii="宋体" w:hAnsi="宋体" w:cs="宋体"/>
                <w:color w:val="000000"/>
                <w:kern w:val="0"/>
                <w:sz w:val="18"/>
                <w:szCs w:val="18"/>
              </w:rPr>
            </w:pPr>
            <w:r>
              <w:rPr>
                <w:rFonts w:ascii="宋体" w:hAnsi="宋体" w:cs="宋体"/>
                <w:color w:val="000000"/>
                <w:kern w:val="0"/>
                <w:sz w:val="18"/>
                <w:szCs w:val="18"/>
              </w:rPr>
              <w:t>768.90</w:t>
            </w:r>
          </w:p>
        </w:tc>
        <w:tc>
          <w:tcPr>
            <w:tcW w:w="365" w:type="pct"/>
            <w:shd w:val="clear" w:color="auto" w:fill="auto"/>
            <w:vAlign w:val="center"/>
          </w:tcPr>
          <w:p w14:paraId="7EECB33A">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51394006">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1ED03F1D">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1221B7B0">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4AE35D1F">
            <w:pPr>
              <w:widowControl/>
              <w:jc w:val="right"/>
              <w:rPr>
                <w:rFonts w:ascii="宋体" w:hAnsi="宋体" w:cs="宋体"/>
                <w:color w:val="000000"/>
                <w:kern w:val="0"/>
                <w:sz w:val="18"/>
                <w:szCs w:val="18"/>
              </w:rPr>
            </w:pPr>
            <w:r>
              <w:rPr>
                <w:rFonts w:ascii="宋体" w:hAnsi="宋体" w:cs="宋体"/>
                <w:color w:val="000000"/>
                <w:kern w:val="0"/>
                <w:sz w:val="18"/>
                <w:szCs w:val="18"/>
              </w:rPr>
              <w:t>897.00</w:t>
            </w:r>
          </w:p>
        </w:tc>
        <w:tc>
          <w:tcPr>
            <w:tcW w:w="351" w:type="pct"/>
            <w:shd w:val="clear" w:color="auto" w:fill="auto"/>
            <w:vAlign w:val="center"/>
          </w:tcPr>
          <w:p w14:paraId="63F3D63F">
            <w:pPr>
              <w:widowControl/>
              <w:jc w:val="right"/>
              <w:rPr>
                <w:rFonts w:ascii="宋体" w:hAnsi="宋体" w:cs="宋体"/>
                <w:color w:val="000000"/>
                <w:kern w:val="0"/>
                <w:sz w:val="18"/>
                <w:szCs w:val="18"/>
              </w:rPr>
            </w:pPr>
            <w:r>
              <w:rPr>
                <w:rFonts w:ascii="宋体" w:hAnsi="宋体" w:cs="宋体"/>
                <w:color w:val="000000"/>
                <w:kern w:val="0"/>
                <w:sz w:val="18"/>
                <w:szCs w:val="18"/>
              </w:rPr>
              <w:t>741.00</w:t>
            </w:r>
          </w:p>
        </w:tc>
        <w:tc>
          <w:tcPr>
            <w:tcW w:w="351" w:type="pct"/>
            <w:vAlign w:val="center"/>
          </w:tcPr>
          <w:p w14:paraId="78A778EF">
            <w:pPr>
              <w:widowControl/>
              <w:jc w:val="right"/>
              <w:rPr>
                <w:rFonts w:ascii="宋体" w:hAnsi="宋体" w:cs="宋体"/>
                <w:color w:val="000000"/>
                <w:kern w:val="0"/>
                <w:sz w:val="18"/>
                <w:szCs w:val="18"/>
              </w:rPr>
            </w:pPr>
            <w:r>
              <w:rPr>
                <w:rFonts w:ascii="宋体" w:hAnsi="宋体" w:cs="宋体"/>
                <w:color w:val="000000"/>
                <w:kern w:val="0"/>
                <w:sz w:val="18"/>
                <w:szCs w:val="18"/>
              </w:rPr>
              <w:t>156.00</w:t>
            </w:r>
          </w:p>
        </w:tc>
      </w:tr>
      <w:tr w14:paraId="19FE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5B0BDF77">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458" w:type="pct"/>
            <w:shd w:val="clear" w:color="auto" w:fill="auto"/>
            <w:vAlign w:val="center"/>
          </w:tcPr>
          <w:p w14:paraId="002E7B13">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365" w:type="pct"/>
            <w:shd w:val="clear" w:color="auto" w:fill="auto"/>
            <w:vAlign w:val="center"/>
          </w:tcPr>
          <w:p w14:paraId="6696AEC0">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0D25B422">
            <w:pPr>
              <w:widowControl/>
              <w:jc w:val="right"/>
              <w:rPr>
                <w:rFonts w:ascii="宋体" w:hAnsi="宋体" w:cs="宋体"/>
                <w:color w:val="000000"/>
                <w:kern w:val="0"/>
                <w:sz w:val="18"/>
                <w:szCs w:val="18"/>
              </w:rPr>
            </w:pPr>
          </w:p>
        </w:tc>
        <w:tc>
          <w:tcPr>
            <w:tcW w:w="351" w:type="pct"/>
            <w:shd w:val="clear" w:color="auto" w:fill="auto"/>
            <w:vAlign w:val="center"/>
          </w:tcPr>
          <w:p w14:paraId="4BC6E22B">
            <w:pPr>
              <w:widowControl/>
              <w:jc w:val="right"/>
              <w:rPr>
                <w:rFonts w:ascii="宋体" w:hAnsi="宋体" w:cs="宋体"/>
                <w:color w:val="000000"/>
                <w:kern w:val="0"/>
                <w:sz w:val="18"/>
                <w:szCs w:val="18"/>
              </w:rPr>
            </w:pPr>
          </w:p>
        </w:tc>
        <w:tc>
          <w:tcPr>
            <w:tcW w:w="386" w:type="pct"/>
            <w:shd w:val="clear" w:color="auto" w:fill="auto"/>
            <w:vAlign w:val="center"/>
          </w:tcPr>
          <w:p w14:paraId="64B4AADE">
            <w:pPr>
              <w:widowControl/>
              <w:jc w:val="right"/>
              <w:rPr>
                <w:rFonts w:ascii="宋体" w:hAnsi="宋体" w:cs="宋体"/>
                <w:color w:val="000000"/>
                <w:kern w:val="0"/>
                <w:sz w:val="18"/>
                <w:szCs w:val="18"/>
              </w:rPr>
            </w:pPr>
          </w:p>
        </w:tc>
        <w:tc>
          <w:tcPr>
            <w:tcW w:w="387" w:type="pct"/>
            <w:shd w:val="clear" w:color="auto" w:fill="auto"/>
            <w:vAlign w:val="center"/>
          </w:tcPr>
          <w:p w14:paraId="35A78AAA">
            <w:pPr>
              <w:widowControl/>
              <w:jc w:val="right"/>
              <w:rPr>
                <w:rFonts w:ascii="宋体" w:hAnsi="宋体" w:cs="宋体"/>
                <w:color w:val="000000"/>
                <w:kern w:val="0"/>
                <w:sz w:val="18"/>
                <w:szCs w:val="18"/>
              </w:rPr>
            </w:pPr>
          </w:p>
        </w:tc>
        <w:tc>
          <w:tcPr>
            <w:tcW w:w="365" w:type="pct"/>
            <w:shd w:val="clear" w:color="auto" w:fill="auto"/>
            <w:vAlign w:val="center"/>
          </w:tcPr>
          <w:p w14:paraId="29F15C61">
            <w:pPr>
              <w:widowControl/>
              <w:jc w:val="right"/>
              <w:rPr>
                <w:rFonts w:ascii="宋体" w:hAnsi="宋体" w:cs="宋体"/>
                <w:color w:val="000000"/>
                <w:kern w:val="0"/>
                <w:sz w:val="18"/>
                <w:szCs w:val="18"/>
              </w:rPr>
            </w:pPr>
          </w:p>
        </w:tc>
        <w:tc>
          <w:tcPr>
            <w:tcW w:w="351" w:type="pct"/>
            <w:shd w:val="clear" w:color="auto" w:fill="auto"/>
            <w:vAlign w:val="center"/>
          </w:tcPr>
          <w:p w14:paraId="617E30FE">
            <w:pPr>
              <w:widowControl/>
              <w:jc w:val="right"/>
              <w:rPr>
                <w:rFonts w:ascii="宋体" w:hAnsi="宋体" w:cs="宋体"/>
                <w:color w:val="000000"/>
                <w:kern w:val="0"/>
                <w:sz w:val="18"/>
                <w:szCs w:val="18"/>
              </w:rPr>
            </w:pPr>
          </w:p>
        </w:tc>
        <w:tc>
          <w:tcPr>
            <w:tcW w:w="351" w:type="pct"/>
            <w:shd w:val="clear" w:color="auto" w:fill="auto"/>
            <w:vAlign w:val="center"/>
          </w:tcPr>
          <w:p w14:paraId="084DD195">
            <w:pPr>
              <w:widowControl/>
              <w:jc w:val="right"/>
              <w:rPr>
                <w:rFonts w:ascii="宋体" w:hAnsi="宋体" w:cs="宋体"/>
                <w:color w:val="000000"/>
                <w:kern w:val="0"/>
                <w:sz w:val="18"/>
                <w:szCs w:val="18"/>
              </w:rPr>
            </w:pPr>
          </w:p>
        </w:tc>
        <w:tc>
          <w:tcPr>
            <w:tcW w:w="351" w:type="pct"/>
            <w:shd w:val="clear" w:color="auto" w:fill="auto"/>
            <w:vAlign w:val="center"/>
          </w:tcPr>
          <w:p w14:paraId="0236C4BD">
            <w:pPr>
              <w:widowControl/>
              <w:jc w:val="right"/>
              <w:rPr>
                <w:rFonts w:ascii="宋体" w:hAnsi="宋体" w:cs="宋体"/>
                <w:color w:val="000000"/>
                <w:kern w:val="0"/>
                <w:sz w:val="18"/>
                <w:szCs w:val="18"/>
              </w:rPr>
            </w:pPr>
          </w:p>
        </w:tc>
        <w:tc>
          <w:tcPr>
            <w:tcW w:w="351" w:type="pct"/>
            <w:shd w:val="clear" w:color="auto" w:fill="auto"/>
            <w:vAlign w:val="center"/>
          </w:tcPr>
          <w:p w14:paraId="3E4A29D6">
            <w:pPr>
              <w:widowControl/>
              <w:jc w:val="right"/>
              <w:rPr>
                <w:rFonts w:ascii="宋体" w:hAnsi="宋体" w:cs="宋体"/>
                <w:color w:val="000000"/>
                <w:kern w:val="0"/>
                <w:sz w:val="18"/>
                <w:szCs w:val="18"/>
              </w:rPr>
            </w:pPr>
          </w:p>
        </w:tc>
        <w:tc>
          <w:tcPr>
            <w:tcW w:w="351" w:type="pct"/>
            <w:shd w:val="clear" w:color="auto" w:fill="auto"/>
            <w:vAlign w:val="center"/>
          </w:tcPr>
          <w:p w14:paraId="09A1E1E4">
            <w:pPr>
              <w:widowControl/>
              <w:jc w:val="right"/>
              <w:rPr>
                <w:rFonts w:ascii="宋体" w:hAnsi="宋体" w:cs="宋体"/>
                <w:color w:val="000000"/>
                <w:kern w:val="0"/>
                <w:sz w:val="18"/>
                <w:szCs w:val="18"/>
              </w:rPr>
            </w:pPr>
          </w:p>
        </w:tc>
        <w:tc>
          <w:tcPr>
            <w:tcW w:w="351" w:type="pct"/>
            <w:vAlign w:val="center"/>
          </w:tcPr>
          <w:p w14:paraId="1099F2FE">
            <w:pPr>
              <w:widowControl/>
              <w:jc w:val="right"/>
              <w:rPr>
                <w:rFonts w:ascii="宋体" w:hAnsi="宋体" w:cs="宋体"/>
                <w:color w:val="000000"/>
                <w:kern w:val="0"/>
                <w:sz w:val="18"/>
                <w:szCs w:val="18"/>
              </w:rPr>
            </w:pPr>
          </w:p>
        </w:tc>
      </w:tr>
      <w:tr w14:paraId="29D2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212" w:type="pct"/>
            <w:shd w:val="clear" w:color="auto" w:fill="auto"/>
            <w:vAlign w:val="center"/>
          </w:tcPr>
          <w:p w14:paraId="353231AE">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458" w:type="pct"/>
            <w:shd w:val="clear" w:color="auto" w:fill="auto"/>
            <w:vAlign w:val="center"/>
          </w:tcPr>
          <w:p w14:paraId="3D807429">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365" w:type="pct"/>
            <w:shd w:val="clear" w:color="auto" w:fill="auto"/>
            <w:vAlign w:val="center"/>
          </w:tcPr>
          <w:p w14:paraId="71C408B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noWrap/>
            <w:vAlign w:val="center"/>
          </w:tcPr>
          <w:p w14:paraId="6D979DD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689F862A">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7EF21DA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52C45649">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72E35565">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7E581DD3">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3A6C8B4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7CF652F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7B36544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277CA84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vAlign w:val="center"/>
          </w:tcPr>
          <w:p w14:paraId="217EC409">
            <w:pPr>
              <w:widowControl/>
              <w:jc w:val="right"/>
              <w:rPr>
                <w:rFonts w:ascii="宋体" w:hAnsi="宋体" w:cs="宋体"/>
                <w:color w:val="000000"/>
                <w:kern w:val="0"/>
                <w:sz w:val="18"/>
                <w:szCs w:val="18"/>
              </w:rPr>
            </w:pPr>
            <w:r>
              <w:rPr>
                <w:rFonts w:ascii="宋体" w:hAnsi="宋体" w:cs="宋体"/>
                <w:color w:val="000000"/>
                <w:kern w:val="0"/>
                <w:sz w:val="18"/>
                <w:szCs w:val="18"/>
              </w:rPr>
              <w:t>-</w:t>
            </w:r>
          </w:p>
        </w:tc>
      </w:tr>
      <w:tr w14:paraId="5DDF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703F0DD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458" w:type="pct"/>
            <w:shd w:val="clear" w:color="auto" w:fill="auto"/>
            <w:vAlign w:val="center"/>
          </w:tcPr>
          <w:p w14:paraId="4CA8384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365" w:type="pct"/>
            <w:shd w:val="clear" w:color="auto" w:fill="auto"/>
            <w:vAlign w:val="center"/>
          </w:tcPr>
          <w:p w14:paraId="573E89F5">
            <w:pPr>
              <w:widowControl/>
              <w:jc w:val="right"/>
              <w:rPr>
                <w:rFonts w:ascii="宋体" w:hAnsi="宋体" w:cs="宋体"/>
                <w:color w:val="000000"/>
                <w:kern w:val="0"/>
                <w:sz w:val="18"/>
                <w:szCs w:val="18"/>
              </w:rPr>
            </w:pPr>
            <w:r>
              <w:rPr>
                <w:rFonts w:ascii="宋体" w:hAnsi="宋体" w:cs="宋体"/>
                <w:color w:val="000000"/>
                <w:kern w:val="0"/>
                <w:sz w:val="18"/>
                <w:szCs w:val="18"/>
              </w:rPr>
              <w:t>7,350.05</w:t>
            </w:r>
          </w:p>
        </w:tc>
        <w:tc>
          <w:tcPr>
            <w:tcW w:w="367" w:type="pct"/>
            <w:shd w:val="clear" w:color="auto" w:fill="auto"/>
            <w:vAlign w:val="center"/>
          </w:tcPr>
          <w:p w14:paraId="71481A5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700BA94">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38006412">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70090BAB">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3176E32B">
            <w:pPr>
              <w:widowControl/>
              <w:jc w:val="right"/>
              <w:rPr>
                <w:rFonts w:ascii="宋体" w:hAnsi="宋体" w:cs="宋体"/>
                <w:color w:val="000000"/>
                <w:kern w:val="0"/>
                <w:sz w:val="18"/>
                <w:szCs w:val="18"/>
              </w:rPr>
            </w:pPr>
            <w:r>
              <w:rPr>
                <w:rFonts w:ascii="宋体" w:hAnsi="宋体" w:cs="宋体"/>
                <w:color w:val="000000"/>
                <w:kern w:val="0"/>
                <w:sz w:val="18"/>
                <w:szCs w:val="18"/>
              </w:rPr>
              <w:t>35,918.75</w:t>
            </w:r>
          </w:p>
        </w:tc>
        <w:tc>
          <w:tcPr>
            <w:tcW w:w="351" w:type="pct"/>
            <w:shd w:val="clear" w:color="auto" w:fill="auto"/>
            <w:vAlign w:val="center"/>
          </w:tcPr>
          <w:p w14:paraId="3CD87036">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66C97FFE">
            <w:pPr>
              <w:widowControl/>
              <w:jc w:val="right"/>
              <w:rPr>
                <w:rFonts w:ascii="宋体" w:hAnsi="宋体" w:cs="宋体"/>
                <w:color w:val="000000"/>
                <w:kern w:val="0"/>
                <w:sz w:val="18"/>
                <w:szCs w:val="18"/>
              </w:rPr>
            </w:pPr>
            <w:r>
              <w:rPr>
                <w:rFonts w:ascii="宋体" w:hAnsi="宋体" w:cs="宋体"/>
                <w:color w:val="000000"/>
                <w:kern w:val="0"/>
                <w:sz w:val="18"/>
                <w:szCs w:val="18"/>
              </w:rPr>
              <w:t>-924.90</w:t>
            </w:r>
          </w:p>
        </w:tc>
        <w:tc>
          <w:tcPr>
            <w:tcW w:w="351" w:type="pct"/>
            <w:shd w:val="clear" w:color="auto" w:fill="auto"/>
            <w:vAlign w:val="center"/>
          </w:tcPr>
          <w:p w14:paraId="3CE57F30">
            <w:pPr>
              <w:widowControl/>
              <w:jc w:val="right"/>
              <w:rPr>
                <w:rFonts w:ascii="宋体" w:hAnsi="宋体" w:cs="宋体"/>
                <w:color w:val="000000"/>
                <w:kern w:val="0"/>
                <w:sz w:val="18"/>
                <w:szCs w:val="18"/>
              </w:rPr>
            </w:pPr>
            <w:r>
              <w:rPr>
                <w:rFonts w:ascii="宋体" w:hAnsi="宋体" w:cs="宋体"/>
                <w:color w:val="000000"/>
                <w:kern w:val="0"/>
                <w:sz w:val="18"/>
                <w:szCs w:val="18"/>
              </w:rPr>
              <w:t>-1,924.90</w:t>
            </w:r>
          </w:p>
        </w:tc>
        <w:tc>
          <w:tcPr>
            <w:tcW w:w="351" w:type="pct"/>
            <w:shd w:val="clear" w:color="auto" w:fill="auto"/>
            <w:vAlign w:val="center"/>
          </w:tcPr>
          <w:p w14:paraId="2A20BE98">
            <w:pPr>
              <w:widowControl/>
              <w:jc w:val="right"/>
              <w:rPr>
                <w:rFonts w:ascii="宋体" w:hAnsi="宋体" w:cs="宋体"/>
                <w:color w:val="000000"/>
                <w:kern w:val="0"/>
                <w:sz w:val="18"/>
                <w:szCs w:val="18"/>
              </w:rPr>
            </w:pPr>
            <w:r>
              <w:rPr>
                <w:rFonts w:ascii="宋体" w:hAnsi="宋体" w:cs="宋体"/>
                <w:color w:val="000000"/>
                <w:kern w:val="0"/>
                <w:sz w:val="18"/>
                <w:szCs w:val="18"/>
              </w:rPr>
              <w:t>-4,897.00</w:t>
            </w:r>
          </w:p>
        </w:tc>
        <w:tc>
          <w:tcPr>
            <w:tcW w:w="351" w:type="pct"/>
            <w:shd w:val="clear" w:color="auto" w:fill="auto"/>
            <w:vAlign w:val="center"/>
          </w:tcPr>
          <w:p w14:paraId="56DAF4FA">
            <w:pPr>
              <w:widowControl/>
              <w:jc w:val="right"/>
              <w:rPr>
                <w:rFonts w:ascii="宋体" w:hAnsi="宋体" w:cs="宋体"/>
                <w:color w:val="000000"/>
                <w:kern w:val="0"/>
                <w:sz w:val="18"/>
                <w:szCs w:val="18"/>
              </w:rPr>
            </w:pPr>
            <w:r>
              <w:rPr>
                <w:rFonts w:ascii="宋体" w:hAnsi="宋体" w:cs="宋体"/>
                <w:color w:val="000000"/>
                <w:kern w:val="0"/>
                <w:sz w:val="18"/>
                <w:szCs w:val="18"/>
              </w:rPr>
              <w:t>-15,741.00</w:t>
            </w:r>
          </w:p>
        </w:tc>
        <w:tc>
          <w:tcPr>
            <w:tcW w:w="351" w:type="pct"/>
            <w:vAlign w:val="center"/>
          </w:tcPr>
          <w:p w14:paraId="45ED2E0E">
            <w:pPr>
              <w:widowControl/>
              <w:jc w:val="right"/>
              <w:rPr>
                <w:rFonts w:ascii="宋体" w:hAnsi="宋体" w:cs="宋体"/>
                <w:color w:val="000000"/>
                <w:kern w:val="0"/>
                <w:sz w:val="18"/>
                <w:szCs w:val="18"/>
              </w:rPr>
            </w:pPr>
            <w:r>
              <w:rPr>
                <w:rFonts w:ascii="宋体" w:hAnsi="宋体" w:cs="宋体"/>
                <w:color w:val="000000"/>
                <w:kern w:val="0"/>
                <w:sz w:val="18"/>
                <w:szCs w:val="18"/>
              </w:rPr>
              <w:t>-4,156.00</w:t>
            </w:r>
          </w:p>
        </w:tc>
      </w:tr>
      <w:tr w14:paraId="31C5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4C004CF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458" w:type="pct"/>
            <w:shd w:val="clear" w:color="auto" w:fill="auto"/>
            <w:vAlign w:val="center"/>
          </w:tcPr>
          <w:p w14:paraId="0BB264F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365" w:type="pct"/>
            <w:shd w:val="clear" w:color="auto" w:fill="auto"/>
            <w:vAlign w:val="center"/>
          </w:tcPr>
          <w:p w14:paraId="635A0ADA">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341323E9">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A91D69F">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18ACD1E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4FD6248C">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31FAA7D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15049F27">
            <w:pPr>
              <w:widowControl/>
              <w:jc w:val="right"/>
              <w:rPr>
                <w:rFonts w:ascii="宋体" w:hAnsi="宋体" w:cs="宋体"/>
                <w:color w:val="000000"/>
                <w:kern w:val="0"/>
                <w:sz w:val="18"/>
                <w:szCs w:val="18"/>
              </w:rPr>
            </w:pPr>
            <w:r>
              <w:rPr>
                <w:rFonts w:ascii="宋体" w:hAnsi="宋体" w:cs="宋体"/>
                <w:color w:val="000000"/>
                <w:kern w:val="0"/>
                <w:sz w:val="18"/>
                <w:szCs w:val="18"/>
              </w:rPr>
              <w:t>35,918.75</w:t>
            </w:r>
          </w:p>
        </w:tc>
        <w:tc>
          <w:tcPr>
            <w:tcW w:w="351" w:type="pct"/>
            <w:shd w:val="clear" w:color="auto" w:fill="auto"/>
            <w:vAlign w:val="center"/>
          </w:tcPr>
          <w:p w14:paraId="13240E50">
            <w:pPr>
              <w:widowControl/>
              <w:jc w:val="right"/>
              <w:rPr>
                <w:rFonts w:ascii="宋体" w:hAnsi="宋体" w:cs="宋体"/>
                <w:color w:val="000000"/>
                <w:kern w:val="0"/>
                <w:sz w:val="18"/>
                <w:szCs w:val="18"/>
              </w:rPr>
            </w:pPr>
            <w:r>
              <w:rPr>
                <w:rFonts w:ascii="宋体" w:hAnsi="宋体" w:cs="宋体"/>
                <w:color w:val="000000"/>
                <w:kern w:val="0"/>
                <w:sz w:val="18"/>
                <w:szCs w:val="18"/>
              </w:rPr>
              <w:t>34,993.85</w:t>
            </w:r>
          </w:p>
        </w:tc>
        <w:tc>
          <w:tcPr>
            <w:tcW w:w="351" w:type="pct"/>
            <w:shd w:val="clear" w:color="auto" w:fill="auto"/>
            <w:vAlign w:val="center"/>
          </w:tcPr>
          <w:p w14:paraId="15E23D3C">
            <w:pPr>
              <w:widowControl/>
              <w:jc w:val="right"/>
              <w:rPr>
                <w:rFonts w:ascii="宋体" w:hAnsi="宋体" w:cs="宋体"/>
                <w:color w:val="000000"/>
                <w:kern w:val="0"/>
                <w:sz w:val="18"/>
                <w:szCs w:val="18"/>
              </w:rPr>
            </w:pPr>
            <w:r>
              <w:rPr>
                <w:rFonts w:ascii="宋体" w:hAnsi="宋体" w:cs="宋体"/>
                <w:color w:val="000000"/>
                <w:kern w:val="0"/>
                <w:sz w:val="18"/>
                <w:szCs w:val="18"/>
              </w:rPr>
              <w:t>34,068.95</w:t>
            </w:r>
          </w:p>
        </w:tc>
        <w:tc>
          <w:tcPr>
            <w:tcW w:w="351" w:type="pct"/>
            <w:shd w:val="clear" w:color="auto" w:fill="auto"/>
            <w:vAlign w:val="center"/>
          </w:tcPr>
          <w:p w14:paraId="07D4F8EE">
            <w:pPr>
              <w:widowControl/>
              <w:jc w:val="right"/>
              <w:rPr>
                <w:rFonts w:ascii="宋体" w:hAnsi="宋体" w:cs="宋体"/>
                <w:color w:val="000000"/>
                <w:kern w:val="0"/>
                <w:sz w:val="18"/>
                <w:szCs w:val="18"/>
              </w:rPr>
            </w:pPr>
            <w:r>
              <w:rPr>
                <w:rFonts w:ascii="宋体" w:hAnsi="宋体" w:cs="宋体"/>
                <w:color w:val="000000"/>
                <w:kern w:val="0"/>
                <w:sz w:val="18"/>
                <w:szCs w:val="18"/>
              </w:rPr>
              <w:t>32,144.05</w:t>
            </w:r>
          </w:p>
        </w:tc>
        <w:tc>
          <w:tcPr>
            <w:tcW w:w="351" w:type="pct"/>
            <w:shd w:val="clear" w:color="auto" w:fill="auto"/>
            <w:vAlign w:val="center"/>
          </w:tcPr>
          <w:p w14:paraId="0A56210C">
            <w:pPr>
              <w:widowControl/>
              <w:jc w:val="right"/>
              <w:rPr>
                <w:rFonts w:ascii="宋体" w:hAnsi="宋体" w:cs="宋体"/>
                <w:color w:val="000000"/>
                <w:kern w:val="0"/>
                <w:sz w:val="18"/>
                <w:szCs w:val="18"/>
              </w:rPr>
            </w:pPr>
            <w:r>
              <w:rPr>
                <w:rFonts w:ascii="宋体" w:hAnsi="宋体" w:cs="宋体"/>
                <w:color w:val="000000"/>
                <w:kern w:val="0"/>
                <w:sz w:val="18"/>
                <w:szCs w:val="18"/>
              </w:rPr>
              <w:t>27,247.05</w:t>
            </w:r>
          </w:p>
        </w:tc>
        <w:tc>
          <w:tcPr>
            <w:tcW w:w="351" w:type="pct"/>
            <w:vAlign w:val="center"/>
          </w:tcPr>
          <w:p w14:paraId="24FA8236">
            <w:pPr>
              <w:widowControl/>
              <w:jc w:val="right"/>
              <w:rPr>
                <w:rFonts w:ascii="宋体" w:hAnsi="宋体" w:cs="宋体"/>
                <w:color w:val="000000"/>
                <w:kern w:val="0"/>
                <w:sz w:val="18"/>
                <w:szCs w:val="18"/>
              </w:rPr>
            </w:pPr>
            <w:r>
              <w:rPr>
                <w:rFonts w:ascii="宋体" w:hAnsi="宋体" w:cs="宋体"/>
                <w:color w:val="000000"/>
                <w:kern w:val="0"/>
                <w:sz w:val="18"/>
                <w:szCs w:val="18"/>
              </w:rPr>
              <w:t>11,506.05</w:t>
            </w:r>
          </w:p>
        </w:tc>
      </w:tr>
      <w:tr w14:paraId="0EA7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12" w:type="pct"/>
            <w:shd w:val="clear" w:color="auto" w:fill="auto"/>
            <w:vAlign w:val="center"/>
          </w:tcPr>
          <w:p w14:paraId="43B5281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458" w:type="pct"/>
            <w:shd w:val="clear" w:color="auto" w:fill="auto"/>
            <w:vAlign w:val="center"/>
          </w:tcPr>
          <w:p w14:paraId="24EA212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365" w:type="pct"/>
            <w:shd w:val="clear" w:color="auto" w:fill="auto"/>
            <w:vAlign w:val="center"/>
          </w:tcPr>
          <w:p w14:paraId="11D369E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7" w:type="pct"/>
            <w:shd w:val="clear" w:color="auto" w:fill="auto"/>
            <w:vAlign w:val="center"/>
          </w:tcPr>
          <w:p w14:paraId="1B9D35CA">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51" w:type="pct"/>
            <w:shd w:val="clear" w:color="auto" w:fill="auto"/>
            <w:vAlign w:val="center"/>
          </w:tcPr>
          <w:p w14:paraId="5E3CAE16">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6" w:type="pct"/>
            <w:shd w:val="clear" w:color="auto" w:fill="auto"/>
            <w:vAlign w:val="center"/>
          </w:tcPr>
          <w:p w14:paraId="3F60B6EE">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87" w:type="pct"/>
            <w:shd w:val="clear" w:color="auto" w:fill="auto"/>
            <w:vAlign w:val="center"/>
          </w:tcPr>
          <w:p w14:paraId="2C2A1A1D">
            <w:pPr>
              <w:widowControl/>
              <w:jc w:val="right"/>
              <w:rPr>
                <w:rFonts w:ascii="宋体" w:hAnsi="宋体" w:cs="宋体"/>
                <w:color w:val="000000"/>
                <w:kern w:val="0"/>
                <w:sz w:val="18"/>
                <w:szCs w:val="18"/>
              </w:rPr>
            </w:pPr>
            <w:r>
              <w:rPr>
                <w:rFonts w:ascii="宋体" w:hAnsi="宋体" w:cs="宋体"/>
                <w:color w:val="000000"/>
                <w:kern w:val="0"/>
                <w:sz w:val="18"/>
                <w:szCs w:val="18"/>
              </w:rPr>
              <w:t>-</w:t>
            </w:r>
          </w:p>
        </w:tc>
        <w:tc>
          <w:tcPr>
            <w:tcW w:w="365" w:type="pct"/>
            <w:shd w:val="clear" w:color="auto" w:fill="auto"/>
            <w:vAlign w:val="center"/>
          </w:tcPr>
          <w:p w14:paraId="03269DBD">
            <w:pPr>
              <w:widowControl/>
              <w:jc w:val="right"/>
              <w:rPr>
                <w:rFonts w:ascii="宋体" w:hAnsi="宋体" w:cs="宋体"/>
                <w:color w:val="000000"/>
                <w:kern w:val="0"/>
                <w:sz w:val="18"/>
                <w:szCs w:val="18"/>
              </w:rPr>
            </w:pPr>
            <w:r>
              <w:rPr>
                <w:rFonts w:ascii="宋体" w:hAnsi="宋体" w:cs="宋体"/>
                <w:color w:val="000000"/>
                <w:kern w:val="0"/>
                <w:sz w:val="18"/>
                <w:szCs w:val="18"/>
              </w:rPr>
              <w:t>35,918.75</w:t>
            </w:r>
          </w:p>
        </w:tc>
        <w:tc>
          <w:tcPr>
            <w:tcW w:w="351" w:type="pct"/>
            <w:shd w:val="clear" w:color="auto" w:fill="auto"/>
            <w:vAlign w:val="center"/>
          </w:tcPr>
          <w:p w14:paraId="270A3D86">
            <w:pPr>
              <w:widowControl/>
              <w:jc w:val="right"/>
              <w:rPr>
                <w:rFonts w:ascii="宋体" w:hAnsi="宋体" w:cs="宋体"/>
                <w:color w:val="000000"/>
                <w:kern w:val="0"/>
                <w:sz w:val="18"/>
                <w:szCs w:val="18"/>
              </w:rPr>
            </w:pPr>
            <w:r>
              <w:rPr>
                <w:rFonts w:ascii="宋体" w:hAnsi="宋体" w:cs="宋体"/>
                <w:color w:val="000000"/>
                <w:kern w:val="0"/>
                <w:sz w:val="18"/>
                <w:szCs w:val="18"/>
              </w:rPr>
              <w:t>34,993.85</w:t>
            </w:r>
          </w:p>
        </w:tc>
        <w:tc>
          <w:tcPr>
            <w:tcW w:w="351" w:type="pct"/>
            <w:shd w:val="clear" w:color="auto" w:fill="auto"/>
            <w:vAlign w:val="center"/>
          </w:tcPr>
          <w:p w14:paraId="765A3D72">
            <w:pPr>
              <w:widowControl/>
              <w:jc w:val="right"/>
              <w:rPr>
                <w:rFonts w:ascii="宋体" w:hAnsi="宋体" w:cs="宋体"/>
                <w:color w:val="000000"/>
                <w:kern w:val="0"/>
                <w:sz w:val="18"/>
                <w:szCs w:val="18"/>
              </w:rPr>
            </w:pPr>
            <w:r>
              <w:rPr>
                <w:rFonts w:ascii="宋体" w:hAnsi="宋体" w:cs="宋体"/>
                <w:color w:val="000000"/>
                <w:kern w:val="0"/>
                <w:sz w:val="18"/>
                <w:szCs w:val="18"/>
              </w:rPr>
              <w:t>34,068.95</w:t>
            </w:r>
          </w:p>
        </w:tc>
        <w:tc>
          <w:tcPr>
            <w:tcW w:w="351" w:type="pct"/>
            <w:shd w:val="clear" w:color="auto" w:fill="auto"/>
            <w:vAlign w:val="center"/>
          </w:tcPr>
          <w:p w14:paraId="234EFB0A">
            <w:pPr>
              <w:widowControl/>
              <w:jc w:val="right"/>
              <w:rPr>
                <w:rFonts w:ascii="宋体" w:hAnsi="宋体" w:cs="宋体"/>
                <w:color w:val="000000"/>
                <w:kern w:val="0"/>
                <w:sz w:val="18"/>
                <w:szCs w:val="18"/>
              </w:rPr>
            </w:pPr>
            <w:r>
              <w:rPr>
                <w:rFonts w:ascii="宋体" w:hAnsi="宋体" w:cs="宋体"/>
                <w:color w:val="000000"/>
                <w:kern w:val="0"/>
                <w:sz w:val="18"/>
                <w:szCs w:val="18"/>
              </w:rPr>
              <w:t>32,144.05</w:t>
            </w:r>
          </w:p>
        </w:tc>
        <w:tc>
          <w:tcPr>
            <w:tcW w:w="351" w:type="pct"/>
            <w:shd w:val="clear" w:color="auto" w:fill="auto"/>
            <w:vAlign w:val="center"/>
          </w:tcPr>
          <w:p w14:paraId="719D72E4">
            <w:pPr>
              <w:widowControl/>
              <w:jc w:val="right"/>
              <w:rPr>
                <w:rFonts w:ascii="宋体" w:hAnsi="宋体" w:cs="宋体"/>
                <w:color w:val="000000"/>
                <w:kern w:val="0"/>
                <w:sz w:val="18"/>
                <w:szCs w:val="18"/>
              </w:rPr>
            </w:pPr>
            <w:r>
              <w:rPr>
                <w:rFonts w:ascii="宋体" w:hAnsi="宋体" w:cs="宋体"/>
                <w:color w:val="000000"/>
                <w:kern w:val="0"/>
                <w:sz w:val="18"/>
                <w:szCs w:val="18"/>
              </w:rPr>
              <w:t>27,247.05</w:t>
            </w:r>
          </w:p>
        </w:tc>
        <w:tc>
          <w:tcPr>
            <w:tcW w:w="351" w:type="pct"/>
            <w:shd w:val="clear" w:color="auto" w:fill="auto"/>
            <w:vAlign w:val="center"/>
          </w:tcPr>
          <w:p w14:paraId="7E807939">
            <w:pPr>
              <w:widowControl/>
              <w:jc w:val="right"/>
              <w:rPr>
                <w:rFonts w:ascii="宋体" w:hAnsi="宋体" w:cs="宋体"/>
                <w:color w:val="000000"/>
                <w:kern w:val="0"/>
                <w:sz w:val="18"/>
                <w:szCs w:val="18"/>
              </w:rPr>
            </w:pPr>
            <w:r>
              <w:rPr>
                <w:rFonts w:ascii="宋体" w:hAnsi="宋体" w:cs="宋体"/>
                <w:color w:val="000000"/>
                <w:kern w:val="0"/>
                <w:sz w:val="18"/>
                <w:szCs w:val="18"/>
              </w:rPr>
              <w:t>11,506.05</w:t>
            </w:r>
          </w:p>
        </w:tc>
        <w:tc>
          <w:tcPr>
            <w:tcW w:w="351" w:type="pct"/>
            <w:vAlign w:val="center"/>
          </w:tcPr>
          <w:p w14:paraId="45D8E76D">
            <w:pPr>
              <w:widowControl/>
              <w:jc w:val="right"/>
              <w:rPr>
                <w:rFonts w:ascii="宋体" w:hAnsi="宋体" w:cs="宋体"/>
                <w:color w:val="000000"/>
                <w:kern w:val="0"/>
                <w:sz w:val="18"/>
                <w:szCs w:val="18"/>
              </w:rPr>
            </w:pPr>
            <w:r>
              <w:rPr>
                <w:rFonts w:ascii="宋体" w:hAnsi="宋体" w:cs="宋体"/>
                <w:color w:val="000000"/>
                <w:kern w:val="0"/>
                <w:sz w:val="18"/>
                <w:szCs w:val="18"/>
              </w:rPr>
              <w:t>7,350.05</w:t>
            </w:r>
          </w:p>
        </w:tc>
      </w:tr>
      <w:tr w14:paraId="1602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754" w:type="pct"/>
            <w:gridSpan w:val="5"/>
            <w:shd w:val="clear" w:color="auto" w:fill="auto"/>
            <w:vAlign w:val="center"/>
          </w:tcPr>
          <w:p w14:paraId="32C49568">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3246" w:type="pct"/>
            <w:gridSpan w:val="9"/>
            <w:shd w:val="clear" w:color="auto" w:fill="auto"/>
            <w:vAlign w:val="center"/>
          </w:tcPr>
          <w:p w14:paraId="6786C251">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.21</w:t>
            </w:r>
          </w:p>
        </w:tc>
      </w:tr>
    </w:tbl>
    <w:p w14:paraId="4D25373F">
      <w:pPr>
        <w:pStyle w:val="20"/>
        <w:spacing w:before="0" w:beforeAutospacing="0" w:after="0" w:afterAutospacing="0" w:line="360" w:lineRule="exact"/>
        <w:ind w:firstLine="360" w:firstLineChars="200"/>
        <w:rPr>
          <w:sz w:val="18"/>
          <w:szCs w:val="18"/>
        </w:rPr>
      </w:pPr>
      <w:r>
        <w:rPr>
          <w:rFonts w:hint="eastAsia"/>
          <w:sz w:val="18"/>
          <w:szCs w:val="18"/>
        </w:rPr>
        <w:t>注：按照在存续期内预期收入和预期支出测算，本项目在存续期间能够产生持续稳定的净现金流。按照预计条件估算的资金平衡结果，项目存续期内可达到的偿债资金覆盖倍数为</w:t>
      </w:r>
      <w:r>
        <w:rPr>
          <w:sz w:val="18"/>
          <w:szCs w:val="18"/>
        </w:rPr>
        <w:t>1</w:t>
      </w:r>
      <w:r>
        <w:rPr>
          <w:rFonts w:hint="eastAsia"/>
          <w:sz w:val="18"/>
          <w:szCs w:val="18"/>
        </w:rPr>
        <w:t>.</w:t>
      </w:r>
      <w:r>
        <w:rPr>
          <w:sz w:val="18"/>
          <w:szCs w:val="18"/>
        </w:rPr>
        <w:t>21</w:t>
      </w:r>
      <w:r>
        <w:rPr>
          <w:rFonts w:hint="eastAsia"/>
          <w:sz w:val="18"/>
          <w:szCs w:val="18"/>
        </w:rPr>
        <w:t>倍，还本付息资金有充分保障。</w:t>
      </w:r>
    </w:p>
    <w:p w14:paraId="65C0151D">
      <w:pPr>
        <w:pStyle w:val="20"/>
        <w:spacing w:before="0" w:beforeAutospacing="0" w:after="0" w:afterAutospacing="0" w:line="360" w:lineRule="exact"/>
        <w:ind w:firstLine="360" w:firstLineChars="200"/>
        <w:rPr>
          <w:sz w:val="18"/>
          <w:szCs w:val="18"/>
        </w:rPr>
        <w:sectPr>
          <w:pgSz w:w="16838" w:h="11906" w:orient="landscape"/>
          <w:pgMar w:top="1701" w:right="1531" w:bottom="1701" w:left="1418" w:header="851" w:footer="992" w:gutter="0"/>
          <w:pgNumType w:fmt="decimal"/>
          <w:cols w:space="425" w:num="1"/>
          <w:docGrid w:type="linesAndChars" w:linePitch="312" w:charSpace="0"/>
        </w:sectPr>
      </w:pPr>
    </w:p>
    <w:p w14:paraId="02589F74">
      <w:pPr>
        <w:pStyle w:val="20"/>
        <w:spacing w:before="0" w:beforeAutospacing="0" w:after="156" w:afterLines="50" w:afterAutospacing="0" w:line="360" w:lineRule="auto"/>
        <w:ind w:firstLine="480" w:firstLineChars="200"/>
        <w:jc w:val="both"/>
        <w:rPr>
          <w:sz w:val="24"/>
          <w:szCs w:val="24"/>
        </w:rPr>
      </w:pPr>
      <w:r>
        <w:rPr>
          <w:rFonts w:hint="eastAsia"/>
          <w:sz w:val="24"/>
          <w:szCs w:val="24"/>
        </w:rPr>
        <w:t>本次发行专项债券各项目预期运营现金流入合计</w:t>
      </w:r>
      <w:r>
        <w:rPr>
          <w:sz w:val="24"/>
          <w:szCs w:val="24"/>
        </w:rPr>
        <w:t>37,595.56</w:t>
      </w:r>
      <w:r>
        <w:rPr>
          <w:rFonts w:hint="eastAsia"/>
          <w:sz w:val="24"/>
          <w:szCs w:val="24"/>
        </w:rPr>
        <w:t>万元，运营现金流出合计</w:t>
      </w:r>
      <w:r>
        <w:rPr>
          <w:sz w:val="24"/>
          <w:szCs w:val="24"/>
        </w:rPr>
        <w:t>751.91</w:t>
      </w:r>
      <w:r>
        <w:rPr>
          <w:rFonts w:hint="eastAsia"/>
          <w:sz w:val="24"/>
          <w:szCs w:val="24"/>
        </w:rPr>
        <w:t>万元，债券存续期内债券本金与利息合计</w:t>
      </w:r>
      <w:r>
        <w:rPr>
          <w:sz w:val="24"/>
          <w:szCs w:val="24"/>
        </w:rPr>
        <w:t>30,474.30</w:t>
      </w:r>
      <w:r>
        <w:rPr>
          <w:rFonts w:hint="eastAsia"/>
          <w:sz w:val="24"/>
          <w:szCs w:val="24"/>
        </w:rPr>
        <w:t>万元，项目存续期内偿债资金覆盖倍数为1.</w:t>
      </w:r>
      <w:r>
        <w:rPr>
          <w:sz w:val="24"/>
          <w:szCs w:val="24"/>
        </w:rPr>
        <w:t>21</w:t>
      </w:r>
      <w:r>
        <w:rPr>
          <w:rFonts w:hint="eastAsia"/>
          <w:sz w:val="24"/>
          <w:szCs w:val="24"/>
        </w:rPr>
        <w:t>倍，还本付息资金有充分保障，项目实施方案资金计划能够满足发行专项债券资金充足性要求。债券存续期间现金流入、流出与期末累计现金结存额如图所示：</w:t>
      </w:r>
    </w:p>
    <w:p w14:paraId="35D9A700">
      <w:pPr>
        <w:pStyle w:val="20"/>
        <w:spacing w:before="0" w:beforeAutospacing="0" w:after="0" w:afterAutospacing="0"/>
        <w:ind w:firstLine="360" w:firstLineChars="200"/>
        <w:jc w:val="right"/>
        <w:rPr>
          <w:sz w:val="21"/>
          <w:szCs w:val="21"/>
        </w:rPr>
      </w:pPr>
      <w:r>
        <w:rPr>
          <w:rFonts w:hint="eastAsia"/>
          <w:sz w:val="18"/>
          <w:szCs w:val="18"/>
        </w:rPr>
        <w:t>单位：万元</w:t>
      </w:r>
    </w:p>
    <w:p w14:paraId="51A9DD26">
      <w:pPr>
        <w:pStyle w:val="20"/>
        <w:spacing w:before="0" w:beforeAutospacing="0" w:after="0" w:afterAutospacing="0"/>
        <w:jc w:val="center"/>
        <w:rPr>
          <w:sz w:val="18"/>
          <w:szCs w:val="18"/>
        </w:rPr>
      </w:pPr>
      <w:r>
        <w:drawing>
          <wp:inline distT="0" distB="0" distL="0" distR="0">
            <wp:extent cx="4529455" cy="3065145"/>
            <wp:effectExtent l="4445" t="4445" r="1905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7616B75F">
      <w:pPr>
        <w:pStyle w:val="20"/>
        <w:spacing w:before="0" w:beforeAutospacing="0" w:after="156" w:afterLines="50" w:afterAutospacing="0" w:line="360" w:lineRule="exact"/>
        <w:ind w:firstLine="420" w:firstLineChars="200"/>
        <w:jc w:val="center"/>
        <w:rPr>
          <w:sz w:val="21"/>
          <w:szCs w:val="21"/>
        </w:rPr>
      </w:pPr>
      <w:r>
        <w:rPr>
          <w:rFonts w:hint="eastAsia"/>
          <w:sz w:val="21"/>
          <w:szCs w:val="21"/>
        </w:rPr>
        <w:t>图3-</w:t>
      </w:r>
      <w:r>
        <w:rPr>
          <w:sz w:val="21"/>
          <w:szCs w:val="21"/>
        </w:rPr>
        <w:t xml:space="preserve">1  </w:t>
      </w:r>
      <w:r>
        <w:rPr>
          <w:rFonts w:hint="eastAsia"/>
          <w:sz w:val="21"/>
          <w:szCs w:val="21"/>
        </w:rPr>
        <w:t>债券存续期间现金流情况图</w:t>
      </w:r>
    </w:p>
    <w:p w14:paraId="150D56A4">
      <w:pPr>
        <w:pStyle w:val="20"/>
        <w:spacing w:before="0" w:beforeAutospacing="0" w:after="156" w:afterLines="50" w:afterAutospacing="0" w:line="360" w:lineRule="exact"/>
        <w:ind w:firstLine="360" w:firstLineChars="200"/>
        <w:jc w:val="both"/>
        <w:rPr>
          <w:rFonts w:hint="eastAsia" w:cs="Times New Roman"/>
          <w:sz w:val="18"/>
          <w:szCs w:val="18"/>
        </w:rPr>
      </w:pPr>
    </w:p>
    <w:p w14:paraId="7AEAF2EB">
      <w:pPr>
        <w:widowControl/>
        <w:spacing w:line="560" w:lineRule="exact"/>
        <w:ind w:firstLine="561" w:firstLineChars="200"/>
        <w:jc w:val="left"/>
        <w:outlineLvl w:val="1"/>
        <w:rPr>
          <w:rFonts w:ascii="楷体" w:hAnsi="楷体" w:eastAsia="楷体" w:cs="楷体"/>
          <w:b/>
          <w:bCs/>
          <w:sz w:val="28"/>
          <w:szCs w:val="28"/>
        </w:rPr>
      </w:pPr>
      <w:bookmarkStart w:id="149" w:name="_Toc17989"/>
      <w:r>
        <w:rPr>
          <w:rFonts w:hint="eastAsia" w:ascii="楷体" w:hAnsi="楷体" w:eastAsia="楷体" w:cs="楷体"/>
          <w:b/>
          <w:bCs/>
          <w:sz w:val="28"/>
          <w:szCs w:val="28"/>
        </w:rPr>
        <w:t>（五）压力测试</w:t>
      </w:r>
      <w:bookmarkEnd w:id="149"/>
    </w:p>
    <w:p w14:paraId="4A547EB6">
      <w:pPr>
        <w:pStyle w:val="20"/>
        <w:spacing w:before="0" w:beforeAutospacing="0" w:after="156" w:afterLines="50" w:afterAutospacing="0" w:line="360" w:lineRule="auto"/>
        <w:ind w:firstLine="480" w:firstLineChars="200"/>
        <w:jc w:val="both"/>
        <w:rPr>
          <w:sz w:val="24"/>
          <w:szCs w:val="24"/>
        </w:rPr>
      </w:pPr>
      <w:r>
        <w:rPr>
          <w:rFonts w:hint="eastAsia"/>
          <w:sz w:val="24"/>
          <w:szCs w:val="24"/>
        </w:rPr>
        <w:t>考虑项目收入变动、成本变动和债券利率变动因素，分析专项债券本金覆盖率和本息资金覆盖倍数，见下表4-</w:t>
      </w:r>
      <w:r>
        <w:rPr>
          <w:sz w:val="24"/>
          <w:szCs w:val="24"/>
        </w:rPr>
        <w:t>1</w:t>
      </w:r>
      <w:r>
        <w:rPr>
          <w:rFonts w:hint="eastAsia"/>
          <w:sz w:val="24"/>
          <w:szCs w:val="24"/>
        </w:rPr>
        <w:t>：</w:t>
      </w:r>
    </w:p>
    <w:p w14:paraId="430492C2">
      <w:pPr>
        <w:pStyle w:val="20"/>
        <w:spacing w:before="0" w:beforeAutospacing="0" w:after="156" w:afterLines="50" w:afterAutospacing="0" w:line="360" w:lineRule="exact"/>
        <w:ind w:firstLine="420" w:firstLineChars="200"/>
        <w:contextualSpacing/>
        <w:jc w:val="center"/>
        <w:rPr>
          <w:b/>
          <w:sz w:val="21"/>
          <w:szCs w:val="21"/>
        </w:rPr>
      </w:pPr>
      <w:r>
        <w:rPr>
          <w:rFonts w:hint="eastAsia"/>
          <w:b/>
          <w:sz w:val="21"/>
          <w:szCs w:val="21"/>
        </w:rPr>
        <w:t>表4-</w:t>
      </w:r>
      <w:r>
        <w:rPr>
          <w:b/>
          <w:sz w:val="21"/>
          <w:szCs w:val="21"/>
        </w:rPr>
        <w:t>1</w:t>
      </w:r>
      <w:r>
        <w:rPr>
          <w:rFonts w:hint="eastAsia"/>
          <w:b/>
          <w:sz w:val="21"/>
          <w:szCs w:val="21"/>
        </w:rPr>
        <w:t xml:space="preserve">      单因素变动压力测试表</w:t>
      </w:r>
    </w:p>
    <w:p w14:paraId="711072B3">
      <w:pPr>
        <w:pStyle w:val="20"/>
        <w:spacing w:before="0" w:beforeAutospacing="0" w:after="156" w:afterLines="50" w:afterAutospacing="0" w:line="360" w:lineRule="exact"/>
        <w:ind w:right="1440" w:firstLine="360" w:firstLineChars="200"/>
        <w:contextualSpacing/>
        <w:jc w:val="right"/>
        <w:rPr>
          <w:sz w:val="18"/>
          <w:szCs w:val="18"/>
        </w:rPr>
      </w:pPr>
      <w:r>
        <w:rPr>
          <w:rFonts w:hint="eastAsia"/>
          <w:sz w:val="18"/>
          <w:szCs w:val="18"/>
        </w:rPr>
        <w:t>单位：万元</w:t>
      </w:r>
    </w:p>
    <w:tbl>
      <w:tblPr>
        <w:tblStyle w:val="24"/>
        <w:tblW w:w="5000" w:type="pct"/>
        <w:tblInd w:w="0" w:type="dxa"/>
        <w:tblLayout w:type="autofit"/>
        <w:tblCellMar>
          <w:top w:w="0" w:type="dxa"/>
          <w:left w:w="108" w:type="dxa"/>
          <w:bottom w:w="0" w:type="dxa"/>
          <w:right w:w="108" w:type="dxa"/>
        </w:tblCellMar>
      </w:tblPr>
      <w:tblGrid>
        <w:gridCol w:w="2623"/>
        <w:gridCol w:w="938"/>
        <w:gridCol w:w="938"/>
        <w:gridCol w:w="938"/>
        <w:gridCol w:w="938"/>
        <w:gridCol w:w="938"/>
        <w:gridCol w:w="938"/>
        <w:gridCol w:w="938"/>
      </w:tblGrid>
      <w:tr w14:paraId="039A4871">
        <w:trPr>
          <w:trHeight w:val="270" w:hRule="atLeast"/>
        </w:trPr>
        <w:tc>
          <w:tcPr>
            <w:tcW w:w="1619" w:type="pct"/>
            <w:tcBorders>
              <w:top w:val="single" w:color="auto" w:sz="4" w:space="0"/>
              <w:left w:val="single" w:color="auto" w:sz="4" w:space="0"/>
              <w:bottom w:val="single" w:color="auto" w:sz="4" w:space="0"/>
              <w:right w:val="single" w:color="auto" w:sz="4" w:space="0"/>
            </w:tcBorders>
            <w:shd w:val="clear" w:color="auto" w:fill="auto"/>
            <w:vAlign w:val="center"/>
          </w:tcPr>
          <w:p w14:paraId="7BA6480F">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资金覆盖率-压力测试（单因素敏感性分析）</w:t>
            </w:r>
          </w:p>
        </w:tc>
        <w:tc>
          <w:tcPr>
            <w:tcW w:w="483" w:type="pct"/>
            <w:tcBorders>
              <w:top w:val="single" w:color="auto" w:sz="4" w:space="0"/>
              <w:left w:val="nil"/>
              <w:bottom w:val="single" w:color="auto" w:sz="4" w:space="0"/>
              <w:right w:val="single" w:color="auto" w:sz="4" w:space="0"/>
            </w:tcBorders>
            <w:shd w:val="clear" w:color="auto" w:fill="auto"/>
            <w:noWrap/>
          </w:tcPr>
          <w:p w14:paraId="0CA9C87B">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-8%</w:t>
            </w:r>
          </w:p>
        </w:tc>
        <w:tc>
          <w:tcPr>
            <w:tcW w:w="483" w:type="pct"/>
            <w:tcBorders>
              <w:top w:val="single" w:color="auto" w:sz="4" w:space="0"/>
              <w:left w:val="nil"/>
              <w:bottom w:val="single" w:color="auto" w:sz="4" w:space="0"/>
              <w:right w:val="single" w:color="auto" w:sz="4" w:space="0"/>
            </w:tcBorders>
            <w:shd w:val="clear" w:color="auto" w:fill="auto"/>
            <w:noWrap/>
          </w:tcPr>
          <w:p w14:paraId="53EAD883">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-5%</w:t>
            </w:r>
          </w:p>
        </w:tc>
        <w:tc>
          <w:tcPr>
            <w:tcW w:w="483" w:type="pct"/>
            <w:tcBorders>
              <w:top w:val="single" w:color="auto" w:sz="4" w:space="0"/>
              <w:left w:val="nil"/>
              <w:bottom w:val="single" w:color="auto" w:sz="4" w:space="0"/>
              <w:right w:val="single" w:color="auto" w:sz="4" w:space="0"/>
            </w:tcBorders>
            <w:shd w:val="clear" w:color="auto" w:fill="auto"/>
            <w:noWrap/>
          </w:tcPr>
          <w:p w14:paraId="5E728FD4">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-3%</w:t>
            </w:r>
          </w:p>
        </w:tc>
        <w:tc>
          <w:tcPr>
            <w:tcW w:w="483" w:type="pct"/>
            <w:tcBorders>
              <w:top w:val="single" w:color="auto" w:sz="4" w:space="0"/>
              <w:left w:val="nil"/>
              <w:bottom w:val="single" w:color="auto" w:sz="4" w:space="0"/>
              <w:right w:val="single" w:color="auto" w:sz="4" w:space="0"/>
            </w:tcBorders>
            <w:shd w:val="clear" w:color="auto" w:fill="auto"/>
            <w:noWrap/>
          </w:tcPr>
          <w:p w14:paraId="3963494D">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0%</w:t>
            </w:r>
          </w:p>
        </w:tc>
        <w:tc>
          <w:tcPr>
            <w:tcW w:w="483" w:type="pct"/>
            <w:tcBorders>
              <w:top w:val="single" w:color="auto" w:sz="4" w:space="0"/>
              <w:left w:val="nil"/>
              <w:bottom w:val="single" w:color="auto" w:sz="4" w:space="0"/>
              <w:right w:val="single" w:color="auto" w:sz="4" w:space="0"/>
            </w:tcBorders>
            <w:shd w:val="clear" w:color="auto" w:fill="auto"/>
            <w:noWrap/>
          </w:tcPr>
          <w:p w14:paraId="2A90ED19">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3%</w:t>
            </w:r>
          </w:p>
        </w:tc>
        <w:tc>
          <w:tcPr>
            <w:tcW w:w="483" w:type="pct"/>
            <w:tcBorders>
              <w:top w:val="single" w:color="auto" w:sz="4" w:space="0"/>
              <w:left w:val="nil"/>
              <w:bottom w:val="single" w:color="auto" w:sz="4" w:space="0"/>
              <w:right w:val="single" w:color="auto" w:sz="4" w:space="0"/>
            </w:tcBorders>
            <w:shd w:val="clear" w:color="auto" w:fill="auto"/>
            <w:noWrap/>
          </w:tcPr>
          <w:p w14:paraId="7BB02A71">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5%</w:t>
            </w:r>
          </w:p>
        </w:tc>
        <w:tc>
          <w:tcPr>
            <w:tcW w:w="483" w:type="pct"/>
            <w:tcBorders>
              <w:top w:val="single" w:color="auto" w:sz="4" w:space="0"/>
              <w:left w:val="nil"/>
              <w:bottom w:val="single" w:color="auto" w:sz="4" w:space="0"/>
              <w:right w:val="single" w:color="auto" w:sz="4" w:space="0"/>
            </w:tcBorders>
            <w:shd w:val="clear" w:color="auto" w:fill="auto"/>
            <w:noWrap/>
          </w:tcPr>
          <w:p w14:paraId="4AD1CB55">
            <w:pPr>
              <w:widowControl/>
              <w:jc w:val="center"/>
              <w:rPr>
                <w:rFonts w:ascii="宋体" w:hAnsi="宋体" w:cs="宋体"/>
                <w:b/>
                <w:bCs/>
                <w:color w:val="000000" w:themeColor="text1"/>
                <w:kern w:val="0"/>
                <w:sz w:val="18"/>
                <w:szCs w:val="18"/>
                <w14:textFill>
                  <w14:solidFill>
                    <w14:schemeClr w14:val="tx1"/>
                  </w14:solidFill>
                </w14:textFill>
              </w:rPr>
            </w:pPr>
            <w:r>
              <w:rPr>
                <w:rFonts w:ascii="宋体" w:hAnsi="宋体" w:cs="宋体"/>
                <w:b/>
                <w:bCs/>
                <w:color w:val="000000" w:themeColor="text1"/>
                <w:kern w:val="0"/>
                <w:sz w:val="18"/>
                <w:szCs w:val="18"/>
                <w14:textFill>
                  <w14:solidFill>
                    <w14:schemeClr w14:val="tx1"/>
                  </w14:solidFill>
                </w14:textFill>
              </w:rPr>
              <w:t>8%</w:t>
            </w:r>
          </w:p>
        </w:tc>
      </w:tr>
      <w:tr w14:paraId="45FD9D9D">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1B640F6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业务活动现金流入变动后金额</w:t>
            </w:r>
          </w:p>
        </w:tc>
        <w:tc>
          <w:tcPr>
            <w:tcW w:w="483" w:type="pct"/>
            <w:tcBorders>
              <w:top w:val="nil"/>
              <w:left w:val="nil"/>
              <w:bottom w:val="single" w:color="auto" w:sz="4" w:space="0"/>
              <w:right w:val="single" w:color="auto" w:sz="4" w:space="0"/>
            </w:tcBorders>
            <w:shd w:val="clear" w:color="auto" w:fill="auto"/>
            <w:noWrap/>
          </w:tcPr>
          <w:p w14:paraId="272CC14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34,587.92 </w:t>
            </w:r>
          </w:p>
        </w:tc>
        <w:tc>
          <w:tcPr>
            <w:tcW w:w="483" w:type="pct"/>
            <w:tcBorders>
              <w:top w:val="nil"/>
              <w:left w:val="nil"/>
              <w:bottom w:val="single" w:color="auto" w:sz="4" w:space="0"/>
              <w:right w:val="single" w:color="auto" w:sz="4" w:space="0"/>
            </w:tcBorders>
            <w:shd w:val="clear" w:color="auto" w:fill="auto"/>
            <w:noWrap/>
          </w:tcPr>
          <w:p w14:paraId="3264CB9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35,715.78 </w:t>
            </w:r>
          </w:p>
        </w:tc>
        <w:tc>
          <w:tcPr>
            <w:tcW w:w="483" w:type="pct"/>
            <w:tcBorders>
              <w:top w:val="nil"/>
              <w:left w:val="nil"/>
              <w:bottom w:val="single" w:color="auto" w:sz="4" w:space="0"/>
              <w:right w:val="single" w:color="auto" w:sz="4" w:space="0"/>
            </w:tcBorders>
            <w:shd w:val="clear" w:color="auto" w:fill="auto"/>
            <w:noWrap/>
          </w:tcPr>
          <w:p w14:paraId="65F1F44D">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36,467.69 </w:t>
            </w:r>
          </w:p>
        </w:tc>
        <w:tc>
          <w:tcPr>
            <w:tcW w:w="483" w:type="pct"/>
            <w:tcBorders>
              <w:top w:val="nil"/>
              <w:left w:val="nil"/>
              <w:bottom w:val="single" w:color="auto" w:sz="4" w:space="0"/>
              <w:right w:val="single" w:color="auto" w:sz="4" w:space="0"/>
            </w:tcBorders>
            <w:shd w:val="clear" w:color="auto" w:fill="auto"/>
            <w:noWrap/>
          </w:tcPr>
          <w:p w14:paraId="7BFAB1F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37,595.56 </w:t>
            </w:r>
          </w:p>
        </w:tc>
        <w:tc>
          <w:tcPr>
            <w:tcW w:w="483" w:type="pct"/>
            <w:tcBorders>
              <w:top w:val="nil"/>
              <w:left w:val="nil"/>
              <w:bottom w:val="single" w:color="auto" w:sz="4" w:space="0"/>
              <w:right w:val="single" w:color="auto" w:sz="4" w:space="0"/>
            </w:tcBorders>
            <w:shd w:val="clear" w:color="auto" w:fill="auto"/>
            <w:noWrap/>
          </w:tcPr>
          <w:p w14:paraId="4B2A701C">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38,723.43 </w:t>
            </w:r>
          </w:p>
        </w:tc>
        <w:tc>
          <w:tcPr>
            <w:tcW w:w="483" w:type="pct"/>
            <w:tcBorders>
              <w:top w:val="nil"/>
              <w:left w:val="nil"/>
              <w:bottom w:val="single" w:color="auto" w:sz="4" w:space="0"/>
              <w:right w:val="single" w:color="auto" w:sz="4" w:space="0"/>
            </w:tcBorders>
            <w:shd w:val="clear" w:color="auto" w:fill="auto"/>
            <w:noWrap/>
          </w:tcPr>
          <w:p w14:paraId="2C6DB75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39,475.34 </w:t>
            </w:r>
          </w:p>
        </w:tc>
        <w:tc>
          <w:tcPr>
            <w:tcW w:w="483" w:type="pct"/>
            <w:tcBorders>
              <w:top w:val="nil"/>
              <w:left w:val="nil"/>
              <w:bottom w:val="single" w:color="auto" w:sz="4" w:space="0"/>
              <w:right w:val="single" w:color="auto" w:sz="4" w:space="0"/>
            </w:tcBorders>
            <w:shd w:val="clear" w:color="auto" w:fill="auto"/>
            <w:noWrap/>
          </w:tcPr>
          <w:p w14:paraId="29D0DA3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40,603.20 </w:t>
            </w:r>
          </w:p>
        </w:tc>
      </w:tr>
      <w:tr w14:paraId="2615CF29">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37BFA04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业务活动现金流出成本变动后金额</w:t>
            </w:r>
          </w:p>
        </w:tc>
        <w:tc>
          <w:tcPr>
            <w:tcW w:w="483" w:type="pct"/>
            <w:tcBorders>
              <w:top w:val="nil"/>
              <w:left w:val="nil"/>
              <w:bottom w:val="single" w:color="auto" w:sz="4" w:space="0"/>
              <w:right w:val="single" w:color="auto" w:sz="4" w:space="0"/>
            </w:tcBorders>
            <w:shd w:val="clear" w:color="auto" w:fill="auto"/>
            <w:noWrap/>
          </w:tcPr>
          <w:p w14:paraId="3F1B7AFA">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691.76 </w:t>
            </w:r>
          </w:p>
        </w:tc>
        <w:tc>
          <w:tcPr>
            <w:tcW w:w="483" w:type="pct"/>
            <w:tcBorders>
              <w:top w:val="nil"/>
              <w:left w:val="nil"/>
              <w:bottom w:val="single" w:color="auto" w:sz="4" w:space="0"/>
              <w:right w:val="single" w:color="auto" w:sz="4" w:space="0"/>
            </w:tcBorders>
            <w:shd w:val="clear" w:color="auto" w:fill="auto"/>
            <w:noWrap/>
          </w:tcPr>
          <w:p w14:paraId="48905CFA">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714.32 </w:t>
            </w:r>
          </w:p>
        </w:tc>
        <w:tc>
          <w:tcPr>
            <w:tcW w:w="483" w:type="pct"/>
            <w:tcBorders>
              <w:top w:val="nil"/>
              <w:left w:val="nil"/>
              <w:bottom w:val="single" w:color="auto" w:sz="4" w:space="0"/>
              <w:right w:val="single" w:color="auto" w:sz="4" w:space="0"/>
            </w:tcBorders>
            <w:shd w:val="clear" w:color="auto" w:fill="auto"/>
            <w:noWrap/>
          </w:tcPr>
          <w:p w14:paraId="701D471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729.35 </w:t>
            </w:r>
          </w:p>
        </w:tc>
        <w:tc>
          <w:tcPr>
            <w:tcW w:w="483" w:type="pct"/>
            <w:tcBorders>
              <w:top w:val="nil"/>
              <w:left w:val="nil"/>
              <w:bottom w:val="single" w:color="auto" w:sz="4" w:space="0"/>
              <w:right w:val="single" w:color="auto" w:sz="4" w:space="0"/>
            </w:tcBorders>
            <w:shd w:val="clear" w:color="auto" w:fill="auto"/>
            <w:noWrap/>
          </w:tcPr>
          <w:p w14:paraId="43FE085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751.91 </w:t>
            </w:r>
          </w:p>
        </w:tc>
        <w:tc>
          <w:tcPr>
            <w:tcW w:w="483" w:type="pct"/>
            <w:tcBorders>
              <w:top w:val="nil"/>
              <w:left w:val="nil"/>
              <w:bottom w:val="single" w:color="auto" w:sz="4" w:space="0"/>
              <w:right w:val="single" w:color="auto" w:sz="4" w:space="0"/>
            </w:tcBorders>
            <w:shd w:val="clear" w:color="auto" w:fill="auto"/>
            <w:noWrap/>
          </w:tcPr>
          <w:p w14:paraId="25047138">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774.47 </w:t>
            </w:r>
          </w:p>
        </w:tc>
        <w:tc>
          <w:tcPr>
            <w:tcW w:w="483" w:type="pct"/>
            <w:tcBorders>
              <w:top w:val="nil"/>
              <w:left w:val="nil"/>
              <w:bottom w:val="single" w:color="auto" w:sz="4" w:space="0"/>
              <w:right w:val="single" w:color="auto" w:sz="4" w:space="0"/>
            </w:tcBorders>
            <w:shd w:val="clear" w:color="auto" w:fill="auto"/>
            <w:noWrap/>
          </w:tcPr>
          <w:p w14:paraId="19F8345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789.51 </w:t>
            </w:r>
          </w:p>
        </w:tc>
        <w:tc>
          <w:tcPr>
            <w:tcW w:w="483" w:type="pct"/>
            <w:tcBorders>
              <w:top w:val="nil"/>
              <w:left w:val="nil"/>
              <w:bottom w:val="single" w:color="auto" w:sz="4" w:space="0"/>
              <w:right w:val="single" w:color="auto" w:sz="4" w:space="0"/>
            </w:tcBorders>
            <w:shd w:val="clear" w:color="auto" w:fill="auto"/>
            <w:noWrap/>
          </w:tcPr>
          <w:p w14:paraId="47DF1B0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812.06 </w:t>
            </w:r>
          </w:p>
        </w:tc>
      </w:tr>
      <w:tr w14:paraId="5410C6BE">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2CA16F9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w:t>
            </w:r>
          </w:p>
        </w:tc>
        <w:tc>
          <w:tcPr>
            <w:tcW w:w="483" w:type="pct"/>
            <w:tcBorders>
              <w:top w:val="nil"/>
              <w:left w:val="nil"/>
              <w:bottom w:val="single" w:color="auto" w:sz="4" w:space="0"/>
              <w:right w:val="single" w:color="auto" w:sz="4" w:space="0"/>
            </w:tcBorders>
            <w:shd w:val="clear" w:color="auto" w:fill="auto"/>
            <w:noWrap/>
          </w:tcPr>
          <w:p w14:paraId="620C738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3.59%</w:t>
            </w:r>
          </w:p>
        </w:tc>
        <w:tc>
          <w:tcPr>
            <w:tcW w:w="483" w:type="pct"/>
            <w:tcBorders>
              <w:top w:val="nil"/>
              <w:left w:val="nil"/>
              <w:bottom w:val="single" w:color="auto" w:sz="4" w:space="0"/>
              <w:right w:val="single" w:color="auto" w:sz="4" w:space="0"/>
            </w:tcBorders>
            <w:shd w:val="clear" w:color="auto" w:fill="auto"/>
            <w:noWrap/>
          </w:tcPr>
          <w:p w14:paraId="7FF9F21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3.71%</w:t>
            </w:r>
          </w:p>
        </w:tc>
        <w:tc>
          <w:tcPr>
            <w:tcW w:w="483" w:type="pct"/>
            <w:tcBorders>
              <w:top w:val="nil"/>
              <w:left w:val="nil"/>
              <w:bottom w:val="single" w:color="auto" w:sz="4" w:space="0"/>
              <w:right w:val="single" w:color="auto" w:sz="4" w:space="0"/>
            </w:tcBorders>
            <w:shd w:val="clear" w:color="auto" w:fill="auto"/>
            <w:noWrap/>
          </w:tcPr>
          <w:p w14:paraId="43707278">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3.78%</w:t>
            </w:r>
          </w:p>
        </w:tc>
        <w:tc>
          <w:tcPr>
            <w:tcW w:w="483" w:type="pct"/>
            <w:tcBorders>
              <w:top w:val="nil"/>
              <w:left w:val="nil"/>
              <w:bottom w:val="single" w:color="auto" w:sz="4" w:space="0"/>
              <w:right w:val="single" w:color="auto" w:sz="4" w:space="0"/>
            </w:tcBorders>
            <w:shd w:val="clear" w:color="auto" w:fill="auto"/>
            <w:noWrap/>
          </w:tcPr>
          <w:p w14:paraId="7E9B216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3.90%</w:t>
            </w:r>
          </w:p>
        </w:tc>
        <w:tc>
          <w:tcPr>
            <w:tcW w:w="483" w:type="pct"/>
            <w:tcBorders>
              <w:top w:val="nil"/>
              <w:left w:val="nil"/>
              <w:bottom w:val="single" w:color="auto" w:sz="4" w:space="0"/>
              <w:right w:val="single" w:color="auto" w:sz="4" w:space="0"/>
            </w:tcBorders>
            <w:shd w:val="clear" w:color="auto" w:fill="auto"/>
            <w:noWrap/>
          </w:tcPr>
          <w:p w14:paraId="64CBAED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4.02%</w:t>
            </w:r>
          </w:p>
        </w:tc>
        <w:tc>
          <w:tcPr>
            <w:tcW w:w="483" w:type="pct"/>
            <w:tcBorders>
              <w:top w:val="nil"/>
              <w:left w:val="nil"/>
              <w:bottom w:val="single" w:color="auto" w:sz="4" w:space="0"/>
              <w:right w:val="single" w:color="auto" w:sz="4" w:space="0"/>
            </w:tcBorders>
            <w:shd w:val="clear" w:color="auto" w:fill="auto"/>
            <w:noWrap/>
          </w:tcPr>
          <w:p w14:paraId="4A11251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4.10%</w:t>
            </w:r>
          </w:p>
        </w:tc>
        <w:tc>
          <w:tcPr>
            <w:tcW w:w="483" w:type="pct"/>
            <w:tcBorders>
              <w:top w:val="nil"/>
              <w:left w:val="nil"/>
              <w:bottom w:val="single" w:color="auto" w:sz="4" w:space="0"/>
              <w:right w:val="single" w:color="auto" w:sz="4" w:space="0"/>
            </w:tcBorders>
            <w:shd w:val="clear" w:color="auto" w:fill="auto"/>
            <w:noWrap/>
          </w:tcPr>
          <w:p w14:paraId="59804DF8">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4.21%</w:t>
            </w:r>
          </w:p>
        </w:tc>
      </w:tr>
      <w:tr w14:paraId="74B4C9A4">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39CB849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利率变动债券利息</w:t>
            </w:r>
          </w:p>
        </w:tc>
        <w:tc>
          <w:tcPr>
            <w:tcW w:w="483" w:type="pct"/>
            <w:tcBorders>
              <w:top w:val="nil"/>
              <w:left w:val="nil"/>
              <w:bottom w:val="single" w:color="auto" w:sz="4" w:space="0"/>
              <w:right w:val="single" w:color="auto" w:sz="4" w:space="0"/>
            </w:tcBorders>
            <w:shd w:val="clear" w:color="auto" w:fill="auto"/>
            <w:noWrap/>
          </w:tcPr>
          <w:p w14:paraId="711A46B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5,956.36 </w:t>
            </w:r>
          </w:p>
        </w:tc>
        <w:tc>
          <w:tcPr>
            <w:tcW w:w="483" w:type="pct"/>
            <w:tcBorders>
              <w:top w:val="nil"/>
              <w:left w:val="nil"/>
              <w:bottom w:val="single" w:color="auto" w:sz="4" w:space="0"/>
              <w:right w:val="single" w:color="auto" w:sz="4" w:space="0"/>
            </w:tcBorders>
            <w:shd w:val="clear" w:color="auto" w:fill="auto"/>
            <w:noWrap/>
          </w:tcPr>
          <w:p w14:paraId="20FA7603">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6,150.59 </w:t>
            </w:r>
          </w:p>
        </w:tc>
        <w:tc>
          <w:tcPr>
            <w:tcW w:w="483" w:type="pct"/>
            <w:tcBorders>
              <w:top w:val="nil"/>
              <w:left w:val="nil"/>
              <w:bottom w:val="single" w:color="auto" w:sz="4" w:space="0"/>
              <w:right w:val="single" w:color="auto" w:sz="4" w:space="0"/>
            </w:tcBorders>
            <w:shd w:val="clear" w:color="auto" w:fill="auto"/>
            <w:noWrap/>
          </w:tcPr>
          <w:p w14:paraId="5BB72EC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6,280.07 </w:t>
            </w:r>
          </w:p>
        </w:tc>
        <w:tc>
          <w:tcPr>
            <w:tcW w:w="483" w:type="pct"/>
            <w:tcBorders>
              <w:top w:val="nil"/>
              <w:left w:val="nil"/>
              <w:bottom w:val="single" w:color="auto" w:sz="4" w:space="0"/>
              <w:right w:val="single" w:color="auto" w:sz="4" w:space="0"/>
            </w:tcBorders>
            <w:shd w:val="clear" w:color="auto" w:fill="auto"/>
            <w:noWrap/>
          </w:tcPr>
          <w:p w14:paraId="3536CE4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6,474.30 </w:t>
            </w:r>
          </w:p>
        </w:tc>
        <w:tc>
          <w:tcPr>
            <w:tcW w:w="483" w:type="pct"/>
            <w:tcBorders>
              <w:top w:val="nil"/>
              <w:left w:val="nil"/>
              <w:bottom w:val="single" w:color="auto" w:sz="4" w:space="0"/>
              <w:right w:val="single" w:color="auto" w:sz="4" w:space="0"/>
            </w:tcBorders>
            <w:shd w:val="clear" w:color="auto" w:fill="auto"/>
            <w:noWrap/>
          </w:tcPr>
          <w:p w14:paraId="3D8CCCF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6,668.53 </w:t>
            </w:r>
          </w:p>
        </w:tc>
        <w:tc>
          <w:tcPr>
            <w:tcW w:w="483" w:type="pct"/>
            <w:tcBorders>
              <w:top w:val="nil"/>
              <w:left w:val="nil"/>
              <w:bottom w:val="single" w:color="auto" w:sz="4" w:space="0"/>
              <w:right w:val="single" w:color="auto" w:sz="4" w:space="0"/>
            </w:tcBorders>
            <w:shd w:val="clear" w:color="auto" w:fill="auto"/>
            <w:noWrap/>
          </w:tcPr>
          <w:p w14:paraId="304D41C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6,798.02 </w:t>
            </w:r>
          </w:p>
        </w:tc>
        <w:tc>
          <w:tcPr>
            <w:tcW w:w="483" w:type="pct"/>
            <w:tcBorders>
              <w:top w:val="nil"/>
              <w:left w:val="nil"/>
              <w:bottom w:val="single" w:color="auto" w:sz="4" w:space="0"/>
              <w:right w:val="single" w:color="auto" w:sz="4" w:space="0"/>
            </w:tcBorders>
            <w:shd w:val="clear" w:color="auto" w:fill="auto"/>
            <w:noWrap/>
          </w:tcPr>
          <w:p w14:paraId="363BFEC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6,992.24 </w:t>
            </w:r>
          </w:p>
        </w:tc>
      </w:tr>
      <w:tr w14:paraId="47D1852F">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4D5027CA">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1.收入变动敏感性分析</w:t>
            </w:r>
          </w:p>
        </w:tc>
        <w:tc>
          <w:tcPr>
            <w:tcW w:w="483" w:type="pct"/>
            <w:tcBorders>
              <w:top w:val="nil"/>
              <w:left w:val="nil"/>
              <w:bottom w:val="single" w:color="auto" w:sz="4" w:space="0"/>
              <w:right w:val="single" w:color="auto" w:sz="4" w:space="0"/>
            </w:tcBorders>
            <w:shd w:val="clear" w:color="auto" w:fill="auto"/>
            <w:noWrap/>
          </w:tcPr>
          <w:p w14:paraId="62C47909">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5AB6E52">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1D8246E9">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BE5F009">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FEAAE40">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62E0E5A0">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1E0DF279">
            <w:pPr>
              <w:widowControl/>
              <w:jc w:val="center"/>
              <w:rPr>
                <w:rFonts w:ascii="宋体" w:hAnsi="宋体" w:cs="宋体"/>
                <w:color w:val="000000" w:themeColor="text1"/>
                <w:kern w:val="0"/>
                <w:sz w:val="18"/>
                <w:szCs w:val="18"/>
                <w14:textFill>
                  <w14:solidFill>
                    <w14:schemeClr w14:val="tx1"/>
                  </w14:solidFill>
                </w14:textFill>
              </w:rPr>
            </w:pPr>
          </w:p>
        </w:tc>
      </w:tr>
      <w:tr w14:paraId="57AB2EEB">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22214B9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偿债资金覆盖倍数变化</w:t>
            </w:r>
          </w:p>
        </w:tc>
        <w:tc>
          <w:tcPr>
            <w:tcW w:w="483" w:type="pct"/>
            <w:tcBorders>
              <w:top w:val="nil"/>
              <w:left w:val="nil"/>
              <w:bottom w:val="single" w:color="auto" w:sz="4" w:space="0"/>
              <w:right w:val="single" w:color="auto" w:sz="4" w:space="0"/>
            </w:tcBorders>
            <w:shd w:val="clear" w:color="auto" w:fill="auto"/>
            <w:noWrap/>
          </w:tcPr>
          <w:p w14:paraId="6A94BAA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1.11 </w:t>
            </w:r>
          </w:p>
        </w:tc>
        <w:tc>
          <w:tcPr>
            <w:tcW w:w="483" w:type="pct"/>
            <w:tcBorders>
              <w:top w:val="nil"/>
              <w:left w:val="nil"/>
              <w:bottom w:val="single" w:color="auto" w:sz="4" w:space="0"/>
              <w:right w:val="single" w:color="auto" w:sz="4" w:space="0"/>
            </w:tcBorders>
            <w:shd w:val="clear" w:color="auto" w:fill="auto"/>
            <w:noWrap/>
          </w:tcPr>
          <w:p w14:paraId="47789B6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1.15 </w:t>
            </w:r>
          </w:p>
        </w:tc>
        <w:tc>
          <w:tcPr>
            <w:tcW w:w="483" w:type="pct"/>
            <w:tcBorders>
              <w:top w:val="nil"/>
              <w:left w:val="nil"/>
              <w:bottom w:val="single" w:color="auto" w:sz="4" w:space="0"/>
              <w:right w:val="single" w:color="auto" w:sz="4" w:space="0"/>
            </w:tcBorders>
            <w:shd w:val="clear" w:color="auto" w:fill="auto"/>
            <w:noWrap/>
          </w:tcPr>
          <w:p w14:paraId="1D59F24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1.17 </w:t>
            </w:r>
          </w:p>
        </w:tc>
        <w:tc>
          <w:tcPr>
            <w:tcW w:w="483" w:type="pct"/>
            <w:tcBorders>
              <w:top w:val="nil"/>
              <w:left w:val="nil"/>
              <w:bottom w:val="single" w:color="auto" w:sz="4" w:space="0"/>
              <w:right w:val="single" w:color="auto" w:sz="4" w:space="0"/>
            </w:tcBorders>
            <w:shd w:val="clear" w:color="auto" w:fill="auto"/>
            <w:noWrap/>
          </w:tcPr>
          <w:p w14:paraId="73ABCEA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6ADCC1B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1.25 </w:t>
            </w:r>
          </w:p>
        </w:tc>
        <w:tc>
          <w:tcPr>
            <w:tcW w:w="483" w:type="pct"/>
            <w:tcBorders>
              <w:top w:val="nil"/>
              <w:left w:val="nil"/>
              <w:bottom w:val="single" w:color="auto" w:sz="4" w:space="0"/>
              <w:right w:val="single" w:color="auto" w:sz="4" w:space="0"/>
            </w:tcBorders>
            <w:shd w:val="clear" w:color="auto" w:fill="auto"/>
            <w:noWrap/>
          </w:tcPr>
          <w:p w14:paraId="0443AD8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1.27 </w:t>
            </w:r>
          </w:p>
        </w:tc>
        <w:tc>
          <w:tcPr>
            <w:tcW w:w="483" w:type="pct"/>
            <w:tcBorders>
              <w:top w:val="nil"/>
              <w:left w:val="nil"/>
              <w:bottom w:val="single" w:color="auto" w:sz="4" w:space="0"/>
              <w:right w:val="single" w:color="auto" w:sz="4" w:space="0"/>
            </w:tcBorders>
            <w:shd w:val="clear" w:color="auto" w:fill="auto"/>
            <w:noWrap/>
          </w:tcPr>
          <w:p w14:paraId="5B7C518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1.31 </w:t>
            </w:r>
          </w:p>
        </w:tc>
      </w:tr>
      <w:tr w14:paraId="3F05EE46">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055DE240">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2.成本变动敏感性分析</w:t>
            </w:r>
          </w:p>
        </w:tc>
        <w:tc>
          <w:tcPr>
            <w:tcW w:w="483" w:type="pct"/>
            <w:tcBorders>
              <w:top w:val="nil"/>
              <w:left w:val="nil"/>
              <w:bottom w:val="single" w:color="auto" w:sz="4" w:space="0"/>
              <w:right w:val="single" w:color="auto" w:sz="4" w:space="0"/>
            </w:tcBorders>
            <w:shd w:val="clear" w:color="auto" w:fill="auto"/>
            <w:noWrap/>
          </w:tcPr>
          <w:p w14:paraId="6BE50A35">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0208E770">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E25E3B7">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785D125E">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E29930F">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045BADF7">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06BCE0AF">
            <w:pPr>
              <w:widowControl/>
              <w:jc w:val="center"/>
              <w:rPr>
                <w:rFonts w:ascii="宋体" w:hAnsi="宋体" w:cs="宋体"/>
                <w:color w:val="000000" w:themeColor="text1"/>
                <w:kern w:val="0"/>
                <w:sz w:val="18"/>
                <w:szCs w:val="18"/>
                <w14:textFill>
                  <w14:solidFill>
                    <w14:schemeClr w14:val="tx1"/>
                  </w14:solidFill>
                </w14:textFill>
              </w:rPr>
            </w:pPr>
          </w:p>
        </w:tc>
      </w:tr>
      <w:tr w14:paraId="65618A35">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4D6CE6E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偿债资金覆盖倍数变化</w:t>
            </w:r>
          </w:p>
        </w:tc>
        <w:tc>
          <w:tcPr>
            <w:tcW w:w="483" w:type="pct"/>
            <w:tcBorders>
              <w:top w:val="nil"/>
              <w:left w:val="nil"/>
              <w:bottom w:val="single" w:color="auto" w:sz="4" w:space="0"/>
              <w:right w:val="single" w:color="auto" w:sz="4" w:space="0"/>
            </w:tcBorders>
            <w:shd w:val="clear" w:color="auto" w:fill="auto"/>
            <w:noWrap/>
          </w:tcPr>
          <w:p w14:paraId="23F3BA4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70BDAD7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1AEC0C7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63E146C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3EB790DA">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7CDC0B6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5650848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r>
      <w:tr w14:paraId="6084D38A">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0EF951AF">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3.利率变动敏感性分析</w:t>
            </w:r>
          </w:p>
        </w:tc>
        <w:tc>
          <w:tcPr>
            <w:tcW w:w="483" w:type="pct"/>
            <w:tcBorders>
              <w:top w:val="nil"/>
              <w:left w:val="nil"/>
              <w:bottom w:val="single" w:color="auto" w:sz="4" w:space="0"/>
              <w:right w:val="single" w:color="auto" w:sz="4" w:space="0"/>
            </w:tcBorders>
            <w:shd w:val="clear" w:color="auto" w:fill="auto"/>
            <w:noWrap/>
          </w:tcPr>
          <w:p w14:paraId="156C31FC">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AED2318">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79734823">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F9392EE">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6CAF391">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AE26B96">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700A572">
            <w:pPr>
              <w:widowControl/>
              <w:jc w:val="center"/>
              <w:rPr>
                <w:rFonts w:ascii="宋体" w:hAnsi="宋体" w:cs="宋体"/>
                <w:color w:val="000000" w:themeColor="text1"/>
                <w:kern w:val="0"/>
                <w:sz w:val="18"/>
                <w:szCs w:val="18"/>
                <w14:textFill>
                  <w14:solidFill>
                    <w14:schemeClr w14:val="tx1"/>
                  </w14:solidFill>
                </w14:textFill>
              </w:rPr>
            </w:pPr>
          </w:p>
        </w:tc>
      </w:tr>
      <w:tr w14:paraId="5C23B728">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0143EF4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利率变动偿债资金本息覆盖率</w:t>
            </w:r>
          </w:p>
        </w:tc>
        <w:tc>
          <w:tcPr>
            <w:tcW w:w="483" w:type="pct"/>
            <w:tcBorders>
              <w:top w:val="nil"/>
              <w:left w:val="nil"/>
              <w:bottom w:val="single" w:color="auto" w:sz="4" w:space="0"/>
              <w:right w:val="single" w:color="auto" w:sz="4" w:space="0"/>
            </w:tcBorders>
            <w:shd w:val="clear" w:color="auto" w:fill="auto"/>
            <w:noWrap/>
          </w:tcPr>
          <w:p w14:paraId="192C327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1.23 </w:t>
            </w:r>
          </w:p>
        </w:tc>
        <w:tc>
          <w:tcPr>
            <w:tcW w:w="483" w:type="pct"/>
            <w:tcBorders>
              <w:top w:val="nil"/>
              <w:left w:val="nil"/>
              <w:bottom w:val="single" w:color="auto" w:sz="4" w:space="0"/>
              <w:right w:val="single" w:color="auto" w:sz="4" w:space="0"/>
            </w:tcBorders>
            <w:shd w:val="clear" w:color="auto" w:fill="auto"/>
            <w:noWrap/>
          </w:tcPr>
          <w:p w14:paraId="0AFBC8B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1.22 </w:t>
            </w:r>
          </w:p>
        </w:tc>
        <w:tc>
          <w:tcPr>
            <w:tcW w:w="483" w:type="pct"/>
            <w:tcBorders>
              <w:top w:val="nil"/>
              <w:left w:val="nil"/>
              <w:bottom w:val="single" w:color="auto" w:sz="4" w:space="0"/>
              <w:right w:val="single" w:color="auto" w:sz="4" w:space="0"/>
            </w:tcBorders>
            <w:shd w:val="clear" w:color="auto" w:fill="auto"/>
            <w:noWrap/>
          </w:tcPr>
          <w:p w14:paraId="3F05B18C">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1.22 </w:t>
            </w:r>
          </w:p>
        </w:tc>
        <w:tc>
          <w:tcPr>
            <w:tcW w:w="483" w:type="pct"/>
            <w:tcBorders>
              <w:top w:val="nil"/>
              <w:left w:val="nil"/>
              <w:bottom w:val="single" w:color="auto" w:sz="4" w:space="0"/>
              <w:right w:val="single" w:color="auto" w:sz="4" w:space="0"/>
            </w:tcBorders>
            <w:shd w:val="clear" w:color="auto" w:fill="auto"/>
            <w:noWrap/>
          </w:tcPr>
          <w:p w14:paraId="225D61BD">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 </w:t>
            </w:r>
          </w:p>
        </w:tc>
        <w:tc>
          <w:tcPr>
            <w:tcW w:w="483" w:type="pct"/>
            <w:tcBorders>
              <w:top w:val="nil"/>
              <w:left w:val="nil"/>
              <w:bottom w:val="single" w:color="auto" w:sz="4" w:space="0"/>
              <w:right w:val="single" w:color="auto" w:sz="4" w:space="0"/>
            </w:tcBorders>
            <w:shd w:val="clear" w:color="auto" w:fill="auto"/>
            <w:noWrap/>
          </w:tcPr>
          <w:p w14:paraId="02F32B5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1.20 </w:t>
            </w:r>
          </w:p>
        </w:tc>
        <w:tc>
          <w:tcPr>
            <w:tcW w:w="483" w:type="pct"/>
            <w:tcBorders>
              <w:top w:val="nil"/>
              <w:left w:val="nil"/>
              <w:bottom w:val="single" w:color="auto" w:sz="4" w:space="0"/>
              <w:right w:val="single" w:color="auto" w:sz="4" w:space="0"/>
            </w:tcBorders>
            <w:shd w:val="clear" w:color="auto" w:fill="auto"/>
            <w:noWrap/>
          </w:tcPr>
          <w:p w14:paraId="584D413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1.20 </w:t>
            </w:r>
          </w:p>
        </w:tc>
        <w:tc>
          <w:tcPr>
            <w:tcW w:w="483" w:type="pct"/>
            <w:tcBorders>
              <w:top w:val="nil"/>
              <w:left w:val="nil"/>
              <w:bottom w:val="single" w:color="auto" w:sz="4" w:space="0"/>
              <w:right w:val="single" w:color="auto" w:sz="4" w:space="0"/>
            </w:tcBorders>
            <w:shd w:val="clear" w:color="auto" w:fill="auto"/>
            <w:noWrap/>
          </w:tcPr>
          <w:p w14:paraId="6307FAF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1.19 </w:t>
            </w:r>
          </w:p>
        </w:tc>
      </w:tr>
    </w:tbl>
    <w:p w14:paraId="1EDFC16A">
      <w:pPr>
        <w:pStyle w:val="20"/>
        <w:spacing w:before="0" w:beforeAutospacing="0" w:after="156" w:afterLines="50" w:afterAutospacing="0" w:line="360" w:lineRule="auto"/>
        <w:ind w:firstLine="480" w:firstLineChars="200"/>
        <w:jc w:val="both"/>
        <w:rPr>
          <w:sz w:val="24"/>
          <w:szCs w:val="24"/>
        </w:rPr>
      </w:pPr>
      <w:r>
        <w:rPr>
          <w:rFonts w:hint="eastAsia"/>
          <w:sz w:val="24"/>
          <w:szCs w:val="24"/>
        </w:rPr>
        <w:t>通过资金平衡测算分析，债务本息资金覆盖倍数可达到1.</w:t>
      </w:r>
      <w:r>
        <w:rPr>
          <w:sz w:val="24"/>
          <w:szCs w:val="24"/>
        </w:rPr>
        <w:t>21</w:t>
      </w:r>
      <w:r>
        <w:rPr>
          <w:rFonts w:hint="eastAsia"/>
          <w:sz w:val="24"/>
          <w:szCs w:val="24"/>
        </w:rPr>
        <w:t>倍，基于上表压力测试，本项目分别在收入下降8%、成本上浮</w:t>
      </w:r>
      <w:r>
        <w:rPr>
          <w:sz w:val="24"/>
          <w:szCs w:val="24"/>
        </w:rPr>
        <w:t>8</w:t>
      </w:r>
      <w:r>
        <w:rPr>
          <w:rFonts w:hint="eastAsia"/>
          <w:sz w:val="24"/>
          <w:szCs w:val="24"/>
        </w:rPr>
        <w:t>%、利率上浮</w:t>
      </w:r>
      <w:r>
        <w:rPr>
          <w:sz w:val="24"/>
          <w:szCs w:val="24"/>
        </w:rPr>
        <w:t>8</w:t>
      </w:r>
      <w:r>
        <w:rPr>
          <w:rFonts w:hint="eastAsia"/>
          <w:sz w:val="24"/>
          <w:szCs w:val="24"/>
        </w:rPr>
        <w:t>%的情况下的情况下，债券本息资金覆盖率仍大于1.</w:t>
      </w:r>
      <w:r>
        <w:rPr>
          <w:sz w:val="24"/>
          <w:szCs w:val="24"/>
        </w:rPr>
        <w:t>1</w:t>
      </w:r>
      <w:r>
        <w:rPr>
          <w:rFonts w:hint="eastAsia"/>
          <w:sz w:val="24"/>
          <w:szCs w:val="24"/>
        </w:rPr>
        <w:t>，能通过压力测试，项目收益仍然可以覆盖债券还本付息，因而项目具备一定的抗风险能力。</w:t>
      </w:r>
    </w:p>
    <w:p w14:paraId="43A99E76">
      <w:pPr>
        <w:widowControl/>
        <w:spacing w:line="560" w:lineRule="exact"/>
        <w:ind w:firstLine="560" w:firstLineChars="200"/>
        <w:jc w:val="left"/>
        <w:outlineLvl w:val="0"/>
        <w:rPr>
          <w:rFonts w:ascii="黑体" w:hAnsi="黑体" w:eastAsia="黑体" w:cs="黑体"/>
          <w:sz w:val="28"/>
          <w:szCs w:val="28"/>
        </w:rPr>
      </w:pPr>
      <w:bookmarkStart w:id="150" w:name="_Toc2397"/>
      <w:r>
        <w:rPr>
          <w:rFonts w:hint="eastAsia" w:ascii="黑体" w:hAnsi="黑体" w:eastAsia="黑体" w:cs="黑体"/>
          <w:sz w:val="28"/>
          <w:szCs w:val="28"/>
        </w:rPr>
        <w:t>四、事前绩效评价</w:t>
      </w:r>
      <w:bookmarkEnd w:id="150"/>
    </w:p>
    <w:p w14:paraId="161BD13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1、项目实施的必要性、公益性、收益性</w:t>
      </w:r>
    </w:p>
    <w:p w14:paraId="482CE1F8">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（1）必要性</w:t>
      </w:r>
    </w:p>
    <w:p w14:paraId="7B47782B">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1）项目建设是大力提高人民群众的居住水平，是全面建设小康社会和实现现代化的重要方面与重要内容之一。</w:t>
      </w:r>
    </w:p>
    <w:p w14:paraId="7A940DC3">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0DDA5EC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2416F9F8">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（2）公益性</w:t>
      </w:r>
    </w:p>
    <w:p w14:paraId="21907DF8">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35282D8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（3）收益性</w:t>
      </w:r>
    </w:p>
    <w:p w14:paraId="7525476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本项目实施后，可产生运营收益，根据测算收入约为37,595.56万元，可用于偿债的项目收益为37,595.56万元，满足资金平衡需求。</w:t>
      </w:r>
    </w:p>
    <w:p w14:paraId="3A9BE996">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2、项目建设投资合规性与项目成熟度</w:t>
      </w:r>
    </w:p>
    <w:p w14:paraId="33D695EC">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项目于2022年11月4日已获得南昌县行政审批局《关于东新乡大洲村三期安置房（城市棚户区改造）项目可行性研究报告的批复》（南行发改投字【2022】55号）。</w:t>
      </w:r>
    </w:p>
    <w:p w14:paraId="5E52353C">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项目建设有期充分的必要性，前期手续完善，项目资金为部分项目单位自筹，部分申请政府专项债券资金。项目成熟度、可靠度较高。</w:t>
      </w:r>
    </w:p>
    <w:p w14:paraId="014722A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项目资金来源和可到位性</w:t>
      </w:r>
    </w:p>
    <w:p w14:paraId="41CC17FB">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本项目资金筹措方式包括自筹资金及政府债券，自筹资金</w:t>
      </w:r>
      <w:r>
        <w:rPr>
          <w:rFonts w:hint="eastAsia" w:ascii="宋体" w:hAnsi="宋体" w:eastAsia="宋体" w:cs="宋体"/>
          <w:bCs/>
          <w:sz w:val="24"/>
          <w:szCs w:val="24"/>
          <w:lang w:val="en-US" w:eastAsia="zh-CN"/>
        </w:rPr>
        <w:t>30,424.7</w:t>
      </w:r>
      <w:r>
        <w:rPr>
          <w:rFonts w:hint="eastAsia" w:ascii="宋体" w:hAnsi="宋体" w:eastAsia="宋体" w:cs="宋体"/>
          <w:bCs/>
          <w:sz w:val="24"/>
          <w:szCs w:val="24"/>
        </w:rPr>
        <w:t>万元，占总投资比例5</w:t>
      </w:r>
      <w:r>
        <w:rPr>
          <w:rFonts w:hint="eastAsia" w:ascii="宋体" w:hAnsi="宋体" w:eastAsia="宋体" w:cs="宋体"/>
          <w:bCs/>
          <w:sz w:val="24"/>
          <w:szCs w:val="24"/>
          <w:lang w:val="en-US" w:eastAsia="zh-CN"/>
        </w:rPr>
        <w:t>5</w:t>
      </w:r>
      <w:r>
        <w:rPr>
          <w:rFonts w:hint="eastAsia" w:ascii="宋体" w:hAnsi="宋体" w:eastAsia="宋体" w:cs="宋体"/>
          <w:bCs/>
          <w:sz w:val="24"/>
          <w:szCs w:val="24"/>
        </w:rPr>
        <w:t>.</w:t>
      </w:r>
      <w:r>
        <w:rPr>
          <w:rFonts w:hint="eastAsia" w:ascii="宋体" w:hAnsi="宋体" w:eastAsia="宋体" w:cs="宋体"/>
          <w:bCs/>
          <w:sz w:val="24"/>
          <w:szCs w:val="24"/>
          <w:lang w:val="en-US" w:eastAsia="zh-CN"/>
        </w:rPr>
        <w:t>07</w:t>
      </w:r>
      <w:r>
        <w:rPr>
          <w:rFonts w:hint="eastAsia" w:ascii="宋体" w:hAnsi="宋体" w:eastAsia="宋体" w:cs="宋体"/>
          <w:bCs/>
          <w:sz w:val="24"/>
          <w:szCs w:val="24"/>
        </w:rPr>
        <w:t>%；发行专项债券2</w:t>
      </w:r>
      <w:r>
        <w:rPr>
          <w:rFonts w:hint="eastAsia" w:ascii="宋体" w:hAnsi="宋体" w:eastAsia="宋体" w:cs="宋体"/>
          <w:bCs/>
          <w:sz w:val="24"/>
          <w:szCs w:val="24"/>
          <w:lang w:val="en-US" w:eastAsia="zh-CN"/>
        </w:rPr>
        <w:t>4</w:t>
      </w:r>
      <w:r>
        <w:rPr>
          <w:rFonts w:hint="eastAsia" w:ascii="宋体" w:hAnsi="宋体" w:eastAsia="宋体" w:cs="宋体"/>
          <w:bCs/>
          <w:sz w:val="24"/>
          <w:szCs w:val="24"/>
        </w:rPr>
        <w:t>000.00万元，期限</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年，占总投资的4</w:t>
      </w:r>
      <w:r>
        <w:rPr>
          <w:rFonts w:hint="eastAsia" w:ascii="宋体" w:hAnsi="宋体" w:eastAsia="宋体" w:cs="宋体"/>
          <w:bCs/>
          <w:sz w:val="24"/>
          <w:szCs w:val="24"/>
          <w:lang w:val="en-US" w:eastAsia="zh-CN"/>
        </w:rPr>
        <w:t>4.93</w:t>
      </w:r>
      <w:r>
        <w:rPr>
          <w:rFonts w:hint="eastAsia" w:ascii="宋体" w:hAnsi="宋体" w:eastAsia="宋体" w:cs="宋体"/>
          <w:bCs/>
          <w:sz w:val="24"/>
          <w:szCs w:val="24"/>
        </w:rPr>
        <w:t>%。</w:t>
      </w:r>
    </w:p>
    <w:p w14:paraId="74817EE1">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4、项目收入、成本、收益预测合理性</w:t>
      </w:r>
    </w:p>
    <w:p w14:paraId="4870EF78">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根据项目可行性研究报告并结合实际情况进行测算，本项目债券存续期内收入包含土地出让收入万元。</w:t>
      </w:r>
    </w:p>
    <w:p w14:paraId="7317D2B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债券存续期收益已由业主单位盖章确认，预测合理性较高。</w:t>
      </w:r>
    </w:p>
    <w:p w14:paraId="0FBE7472">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5、债券资金需求合理性</w:t>
      </w:r>
    </w:p>
    <w:p w14:paraId="444287FA">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本项目资本金比例53.21%，满足国家发改委对固定资产投资项目资本金比例的要求。项目拟申请债券资金本息额共计30,474.30万元，项目收益预计为37,595.56万元，项目收益对债券本息的覆盖倍数计算为1.2</w:t>
      </w:r>
      <w:r>
        <w:rPr>
          <w:rFonts w:hint="eastAsia" w:ascii="宋体" w:hAnsi="宋体" w:eastAsia="宋体" w:cs="宋体"/>
          <w:bCs/>
          <w:sz w:val="24"/>
          <w:szCs w:val="24"/>
          <w:lang w:val="en-US" w:eastAsia="zh-CN"/>
        </w:rPr>
        <w:t>1</w:t>
      </w:r>
      <w:r>
        <w:rPr>
          <w:rFonts w:hint="eastAsia" w:ascii="宋体" w:hAnsi="宋体" w:eastAsia="宋体" w:cs="宋体"/>
          <w:bCs/>
          <w:sz w:val="24"/>
          <w:szCs w:val="24"/>
        </w:rPr>
        <w:t>，偿债保障性较高，债券需求额度合理。</w:t>
      </w:r>
    </w:p>
    <w:p w14:paraId="3B1DC85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6、项目偿债计划可行性和偿债风险</w:t>
      </w:r>
    </w:p>
    <w:p w14:paraId="26C9518B">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年本期拟申请发行</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年期专项债券</w:t>
      </w:r>
      <w:r>
        <w:rPr>
          <w:rFonts w:hint="eastAsia" w:ascii="宋体" w:hAnsi="宋体" w:eastAsia="宋体" w:cs="宋体"/>
          <w:bCs/>
          <w:sz w:val="24"/>
          <w:szCs w:val="24"/>
          <w:lang w:val="en-US" w:eastAsia="zh-CN"/>
        </w:rPr>
        <w:t>4</w:t>
      </w:r>
      <w:r>
        <w:rPr>
          <w:rFonts w:hint="eastAsia" w:ascii="宋体" w:hAnsi="宋体" w:eastAsia="宋体" w:cs="宋体"/>
          <w:bCs/>
          <w:sz w:val="24"/>
          <w:szCs w:val="24"/>
        </w:rPr>
        <w:t>000.00万元；每半年付息一次，到期一次偿还本金。其均以资本金偿还，可保障建设期利息可靠偿还。</w:t>
      </w:r>
    </w:p>
    <w:p w14:paraId="31BA9D0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项目自2027年可实现收益，可满足后续债券各年利息偿还，结余资金转账管理，用于到期一次还本，偿债计划可行。</w:t>
      </w:r>
    </w:p>
    <w:p w14:paraId="4694532D">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7、绩效目标合理性</w:t>
      </w:r>
    </w:p>
    <w:p w14:paraId="43B6CBF3">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20FE244B">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其他需要纳入其他绩效评估的事项</w:t>
      </w:r>
    </w:p>
    <w:p w14:paraId="181D90B5">
      <w:pPr>
        <w:widowControl/>
        <w:spacing w:line="560" w:lineRule="exact"/>
        <w:ind w:firstLine="560" w:firstLineChars="200"/>
        <w:jc w:val="left"/>
        <w:outlineLvl w:val="0"/>
        <w:rPr>
          <w:rFonts w:ascii="黑体" w:hAnsi="黑体" w:eastAsia="黑体" w:cs="黑体"/>
          <w:sz w:val="28"/>
          <w:szCs w:val="28"/>
        </w:rPr>
      </w:pPr>
      <w:bookmarkStart w:id="151" w:name="_Toc1691"/>
      <w:r>
        <w:rPr>
          <w:rFonts w:hint="eastAsia" w:ascii="黑体" w:hAnsi="黑体" w:eastAsia="黑体" w:cs="黑体"/>
          <w:sz w:val="28"/>
          <w:szCs w:val="28"/>
        </w:rPr>
        <w:t>五、项目风险分析</w:t>
      </w:r>
      <w:bookmarkEnd w:id="151"/>
    </w:p>
    <w:p w14:paraId="2170CD97">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1、投资估算风险</w:t>
      </w:r>
    </w:p>
    <w:p w14:paraId="385C171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0B81D952">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2、工程风险</w:t>
      </w:r>
    </w:p>
    <w:p w14:paraId="574E4C17">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6A7BA6E6">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4、融资风险</w:t>
      </w:r>
    </w:p>
    <w:p w14:paraId="63779D56">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114D7821">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5、财务风险</w:t>
      </w:r>
    </w:p>
    <w:p w14:paraId="7197871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3F078C2E">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7、自然风险</w:t>
      </w:r>
    </w:p>
    <w:p w14:paraId="73A61EBD">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本项目在经营期间遇到人力不可抗拒的自然灾害是完全可能的，为了降低此间风险，要根据项目的特点制定的相应的措施，以便使不可抗拒自然灾害的风险降到最低。</w:t>
      </w:r>
    </w:p>
    <w:p w14:paraId="7A401E47">
      <w:pPr>
        <w:widowControl/>
        <w:spacing w:line="560" w:lineRule="exact"/>
        <w:ind w:firstLine="560" w:firstLineChars="200"/>
        <w:jc w:val="left"/>
        <w:outlineLvl w:val="0"/>
        <w:rPr>
          <w:rFonts w:ascii="黑体" w:hAnsi="黑体" w:eastAsia="黑体" w:cs="黑体"/>
          <w:sz w:val="28"/>
          <w:szCs w:val="28"/>
        </w:rPr>
      </w:pPr>
      <w:bookmarkStart w:id="152" w:name="_Toc1222"/>
      <w:r>
        <w:rPr>
          <w:rFonts w:hint="eastAsia" w:ascii="黑体" w:hAnsi="黑体" w:eastAsia="黑体" w:cs="黑体"/>
          <w:sz w:val="28"/>
          <w:szCs w:val="28"/>
        </w:rPr>
        <w:t>六、专项债发行方案</w:t>
      </w:r>
      <w:bookmarkEnd w:id="152"/>
    </w:p>
    <w:p w14:paraId="11EE323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1、发行主体资格:根据《关于试点发展项目收益与融资自求平衡的地方政府专项债券品种的通知》（财预[2017]89号）之规定，地方政府专项债券需由江西省人民政府作为发行主体。本项目的实施机构为南昌县住</w:t>
      </w:r>
      <w:r>
        <w:rPr>
          <w:rFonts w:hint="eastAsia" w:ascii="宋体" w:hAnsi="宋体" w:eastAsia="宋体" w:cs="宋体"/>
          <w:bCs/>
          <w:sz w:val="24"/>
          <w:szCs w:val="24"/>
          <w:lang w:val="en-US" w:eastAsia="zh-CN"/>
        </w:rPr>
        <w:t>房</w:t>
      </w:r>
      <w:r>
        <w:rPr>
          <w:rFonts w:hint="eastAsia" w:ascii="宋体" w:hAnsi="宋体" w:eastAsia="宋体" w:cs="宋体"/>
          <w:bCs/>
          <w:sz w:val="24"/>
          <w:szCs w:val="24"/>
        </w:rPr>
        <w:t>和城乡建设局，是依法批准设立的机关单位，具备机关单位法人资格，具有相应的民事权利能力和民事行为能力；项目业主为南昌县城市建设投资发展有限公司,是依法批准设立的企业法人，具备作为项目业主的资格。</w:t>
      </w:r>
    </w:p>
    <w:p w14:paraId="641B9C42">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2、发行计划:东新乡大洲村三期安置房（城市棚户区改造）项目申请发行地方政府专项债券2</w:t>
      </w:r>
      <w:r>
        <w:rPr>
          <w:rFonts w:hint="eastAsia" w:ascii="宋体" w:hAnsi="宋体" w:eastAsia="宋体" w:cs="宋体"/>
          <w:bCs/>
          <w:sz w:val="24"/>
          <w:szCs w:val="24"/>
          <w:lang w:val="en-US" w:eastAsia="zh-CN"/>
        </w:rPr>
        <w:t>4</w:t>
      </w:r>
      <w:r>
        <w:rPr>
          <w:rFonts w:hint="eastAsia" w:ascii="宋体" w:hAnsi="宋体" w:eastAsia="宋体" w:cs="宋体"/>
          <w:bCs/>
          <w:sz w:val="24"/>
          <w:szCs w:val="24"/>
        </w:rPr>
        <w:t>000.00万元，202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年发行</w:t>
      </w:r>
      <w:r>
        <w:rPr>
          <w:rFonts w:hint="eastAsia" w:ascii="宋体" w:hAnsi="宋体" w:eastAsia="宋体" w:cs="宋体"/>
          <w:bCs/>
          <w:sz w:val="24"/>
          <w:szCs w:val="24"/>
          <w:lang w:val="en-US" w:eastAsia="zh-CN"/>
        </w:rPr>
        <w:t>4</w:t>
      </w:r>
      <w:r>
        <w:rPr>
          <w:rFonts w:hint="eastAsia" w:ascii="宋体" w:hAnsi="宋体" w:eastAsia="宋体" w:cs="宋体"/>
          <w:bCs/>
          <w:sz w:val="24"/>
          <w:szCs w:val="24"/>
        </w:rPr>
        <w:t>000万元，期限</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年，专项债券融资成本按3.</w:t>
      </w:r>
      <w:r>
        <w:rPr>
          <w:rFonts w:hint="eastAsia" w:ascii="宋体" w:hAnsi="宋体" w:eastAsia="宋体" w:cs="宋体"/>
          <w:bCs/>
          <w:sz w:val="24"/>
          <w:szCs w:val="24"/>
          <w:lang w:val="en-US" w:eastAsia="zh-CN"/>
        </w:rPr>
        <w:t>9</w:t>
      </w:r>
      <w:r>
        <w:rPr>
          <w:rFonts w:hint="eastAsia" w:ascii="宋体" w:hAnsi="宋体" w:eastAsia="宋体" w:cs="宋体"/>
          <w:bCs/>
          <w:sz w:val="24"/>
          <w:szCs w:val="24"/>
        </w:rPr>
        <w:t>%估算。</w:t>
      </w:r>
    </w:p>
    <w:p w14:paraId="159DC6F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3、发行场所:通过全国银行间债券市场、证券交易所债券市场发行。将来条件具备时也可在银行柜台债券市场发行。</w:t>
      </w:r>
    </w:p>
    <w:p w14:paraId="5BD120E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4、时间安排:计划发行时间为202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年0</w:t>
      </w:r>
      <w:r>
        <w:rPr>
          <w:rFonts w:hint="eastAsia" w:ascii="宋体" w:hAnsi="宋体" w:eastAsia="宋体" w:cs="宋体"/>
          <w:bCs/>
          <w:sz w:val="24"/>
          <w:szCs w:val="24"/>
          <w:lang w:val="en-US" w:eastAsia="zh-CN"/>
        </w:rPr>
        <w:t>9</w:t>
      </w:r>
      <w:r>
        <w:rPr>
          <w:rFonts w:hint="eastAsia" w:ascii="宋体" w:hAnsi="宋体" w:eastAsia="宋体" w:cs="宋体"/>
          <w:bCs/>
          <w:sz w:val="24"/>
          <w:szCs w:val="24"/>
        </w:rPr>
        <w:t>月，以后年度结合当年发债计划安排。</w:t>
      </w:r>
    </w:p>
    <w:p w14:paraId="06FB7DD4">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5、信息披露：在专项债发行日前5个工作日通过</w:t>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"https://www.sogou.com/link?url=DSOYnZeCC_pzE53eXNhcqFoov_MuMQYQreaVHN88tHY." \t "https://www.sogou.com/_blank" </w:instrText>
      </w:r>
      <w:r>
        <w:rPr>
          <w:rFonts w:hint="eastAsia" w:ascii="宋体" w:hAnsi="宋体" w:eastAsia="宋体" w:cs="宋体"/>
          <w:bCs/>
          <w:sz w:val="24"/>
          <w:szCs w:val="24"/>
        </w:rPr>
        <w:fldChar w:fldCharType="separate"/>
      </w:r>
      <w:r>
        <w:rPr>
          <w:rFonts w:hint="eastAsia" w:ascii="宋体" w:hAnsi="宋体" w:eastAsia="宋体" w:cs="宋体"/>
          <w:bCs/>
          <w:sz w:val="24"/>
          <w:szCs w:val="24"/>
        </w:rPr>
        <w:t>中国地方政府债券信息公开平台</w:t>
      </w:r>
      <w:r>
        <w:rPr>
          <w:rFonts w:hint="eastAsia" w:ascii="宋体" w:hAnsi="宋体" w:eastAsia="宋体" w:cs="宋体"/>
          <w:bCs/>
          <w:sz w:val="24"/>
          <w:szCs w:val="24"/>
        </w:rPr>
        <w:fldChar w:fldCharType="end"/>
      </w:r>
      <w:r>
        <w:rPr>
          <w:rFonts w:hint="eastAsia" w:ascii="宋体" w:hAnsi="宋体" w:eastAsia="宋体" w:cs="宋体"/>
          <w:bCs/>
          <w:sz w:val="24"/>
          <w:szCs w:val="24"/>
        </w:rPr>
        <w:t>、江西省财政厅官方网站和中国债券信息网-中央结算公司官方网站披露（http：//www.chinabond.com.cn/）详细披露债券发行全套信息披露文件。</w:t>
      </w:r>
    </w:p>
    <w:p w14:paraId="3D16587A">
      <w:pPr>
        <w:spacing w:line="360" w:lineRule="auto"/>
        <w:ind w:left="-141" w:leftChars="-67" w:right="-99" w:rightChars="-47" w:firstLine="376" w:firstLineChars="157"/>
        <w:rPr>
          <w:rFonts w:ascii="楷体" w:hAnsi="楷体" w:eastAsia="楷体" w:cs="楷体"/>
          <w:bCs/>
          <w:sz w:val="28"/>
          <w:szCs w:val="28"/>
        </w:rPr>
      </w:pPr>
      <w:r>
        <w:rPr>
          <w:rFonts w:hint="eastAsia" w:ascii="宋体" w:hAnsi="宋体" w:eastAsia="宋体" w:cs="宋体"/>
          <w:bCs/>
          <w:sz w:val="24"/>
          <w:szCs w:val="24"/>
        </w:rPr>
        <w:t>总体而言，东新乡大洲村三期安置房（城市棚户区改造）项目通过发行专项债可以降低项目融资成本，是现阶段解决建设资金问题的推荐方案。且基于财政部对地方政府发行项目收益与融资自求平衡专项债券的要求，并根据项目重大建设意义，东新乡大洲村三期安置房（城市棚户区改造）项目可以通过申请专项债券的方式进行融资以完成资金筹措。</w:t>
      </w:r>
    </w:p>
    <w:p w14:paraId="218A310A">
      <w:pPr>
        <w:rPr>
          <w:rFonts w:hint="eastAsia" w:ascii="仿宋" w:hAnsi="仿宋" w:eastAsia="楷体"/>
          <w:b/>
          <w:sz w:val="44"/>
          <w:szCs w:val="44"/>
          <w:lang w:eastAsia="zh-CN"/>
        </w:rPr>
      </w:pPr>
      <w:r>
        <w:rPr>
          <w:rFonts w:hint="eastAsia" w:ascii="仿宋" w:hAnsi="仿宋" w:eastAsia="楷体"/>
          <w:b/>
          <w:sz w:val="44"/>
          <w:szCs w:val="44"/>
          <w:lang w:eastAsia="zh-CN"/>
        </w:rPr>
        <w:br w:type="page"/>
      </w:r>
    </w:p>
    <w:p w14:paraId="6ADA45B5">
      <w:pPr>
        <w:spacing w:line="360" w:lineRule="auto"/>
        <w:jc w:val="center"/>
        <w:outlineLvl w:val="0"/>
        <w:rPr>
          <w:rFonts w:hint="eastAsia" w:ascii="仿宋" w:hAnsi="仿宋" w:eastAsia="楷体"/>
          <w:b/>
          <w:sz w:val="44"/>
          <w:szCs w:val="44"/>
          <w:lang w:eastAsia="zh-CN"/>
        </w:rPr>
      </w:pPr>
    </w:p>
    <w:p w14:paraId="30D9BC34">
      <w:pPr>
        <w:spacing w:line="360" w:lineRule="auto"/>
        <w:jc w:val="center"/>
        <w:outlineLvl w:val="0"/>
        <w:rPr>
          <w:rFonts w:hint="eastAsia" w:ascii="仿宋" w:hAnsi="仿宋" w:eastAsia="楷体"/>
          <w:b/>
          <w:sz w:val="44"/>
          <w:szCs w:val="44"/>
          <w:lang w:eastAsia="zh-CN"/>
        </w:rPr>
      </w:pPr>
    </w:p>
    <w:p w14:paraId="367F0AAD">
      <w:pPr>
        <w:spacing w:line="360" w:lineRule="auto"/>
        <w:jc w:val="center"/>
        <w:outlineLvl w:val="0"/>
        <w:rPr>
          <w:rFonts w:hint="eastAsia" w:ascii="仿宋" w:hAnsi="仿宋" w:eastAsia="楷体"/>
          <w:b/>
          <w:sz w:val="44"/>
          <w:szCs w:val="44"/>
          <w:lang w:val="en-US" w:eastAsia="zh-CN"/>
        </w:rPr>
      </w:pPr>
      <w:r>
        <w:rPr>
          <w:rFonts w:hint="eastAsia" w:ascii="仿宋" w:hAnsi="仿宋" w:eastAsia="楷体"/>
          <w:b/>
          <w:sz w:val="44"/>
          <w:szCs w:val="44"/>
          <w:lang w:val="en-US" w:eastAsia="zh-CN"/>
        </w:rPr>
        <w:t>南昌县金湖管理处柏林村 (城市棚户区改造) 一期安置房项目</w:t>
      </w:r>
    </w:p>
    <w:p w14:paraId="02CEE062">
      <w:pPr>
        <w:spacing w:line="360" w:lineRule="auto"/>
        <w:jc w:val="center"/>
        <w:outlineLvl w:val="0"/>
        <w:rPr>
          <w:rFonts w:hint="eastAsia" w:ascii="仿宋" w:hAnsi="仿宋" w:eastAsia="楷体"/>
          <w:b/>
          <w:sz w:val="44"/>
          <w:szCs w:val="44"/>
          <w:lang w:val="en-US" w:eastAsia="zh-CN"/>
        </w:rPr>
      </w:pPr>
      <w:r>
        <w:rPr>
          <w:rFonts w:hint="eastAsia" w:ascii="仿宋" w:hAnsi="仿宋" w:eastAsia="楷体"/>
          <w:b/>
          <w:sz w:val="44"/>
          <w:szCs w:val="44"/>
          <w:lang w:val="en-US" w:eastAsia="zh-CN"/>
        </w:rPr>
        <w:t>专项债券实施方案</w:t>
      </w:r>
    </w:p>
    <w:p w14:paraId="7C0D033E">
      <w:pPr>
        <w:ind w:left="-141" w:leftChars="-67" w:right="-99" w:rightChars="-47" w:firstLine="439" w:firstLineChars="157"/>
        <w:rPr>
          <w:rFonts w:ascii="宋体" w:hAnsi="宋体" w:eastAsia="宋体"/>
          <w:sz w:val="28"/>
          <w:szCs w:val="28"/>
        </w:rPr>
      </w:pPr>
    </w:p>
    <w:p w14:paraId="4CA1E5FE">
      <w:pPr>
        <w:ind w:left="-141" w:leftChars="-67" w:right="-99" w:rightChars="-47" w:firstLine="439" w:firstLineChars="157"/>
        <w:rPr>
          <w:rFonts w:ascii="宋体" w:hAnsi="宋体" w:eastAsia="宋体"/>
          <w:sz w:val="28"/>
          <w:szCs w:val="28"/>
        </w:rPr>
      </w:pPr>
    </w:p>
    <w:p w14:paraId="345857FB">
      <w:pPr>
        <w:ind w:left="-141" w:leftChars="-67" w:right="-99" w:rightChars="-47" w:firstLine="439" w:firstLineChars="157"/>
        <w:rPr>
          <w:rFonts w:ascii="宋体" w:hAnsi="宋体" w:eastAsia="宋体"/>
          <w:sz w:val="28"/>
          <w:szCs w:val="28"/>
        </w:rPr>
      </w:pPr>
    </w:p>
    <w:p w14:paraId="11FB2665">
      <w:pPr>
        <w:ind w:left="-141" w:leftChars="-67" w:right="-99" w:rightChars="-47" w:firstLine="439" w:firstLineChars="157"/>
        <w:rPr>
          <w:rFonts w:ascii="宋体" w:hAnsi="宋体" w:eastAsia="宋体"/>
          <w:sz w:val="28"/>
          <w:szCs w:val="28"/>
          <w:u w:val="single"/>
        </w:rPr>
      </w:pPr>
    </w:p>
    <w:p w14:paraId="1529F636">
      <w:pPr>
        <w:ind w:left="-141" w:leftChars="-67" w:right="-99" w:rightChars="-47" w:firstLine="439" w:firstLineChars="157"/>
        <w:rPr>
          <w:rFonts w:ascii="宋体" w:hAnsi="宋体" w:eastAsia="宋体"/>
          <w:sz w:val="28"/>
          <w:szCs w:val="28"/>
          <w:u w:val="single"/>
        </w:rPr>
      </w:pPr>
    </w:p>
    <w:p w14:paraId="54DD20DE">
      <w:pPr>
        <w:ind w:left="-141" w:leftChars="-67" w:right="-99" w:rightChars="-47" w:firstLine="502" w:firstLineChars="157"/>
        <w:rPr>
          <w:sz w:val="32"/>
          <w:szCs w:val="32"/>
          <w:u w:val="single"/>
        </w:rPr>
      </w:pPr>
    </w:p>
    <w:p w14:paraId="5E1CDC40">
      <w:pPr>
        <w:ind w:left="-141" w:leftChars="-67" w:right="-99" w:rightChars="-47" w:firstLine="502" w:firstLineChars="157"/>
        <w:rPr>
          <w:sz w:val="32"/>
          <w:szCs w:val="32"/>
          <w:u w:val="single"/>
        </w:rPr>
      </w:pPr>
    </w:p>
    <w:p w14:paraId="263F6579">
      <w:pPr>
        <w:spacing w:line="360" w:lineRule="auto"/>
        <w:jc w:val="center"/>
        <w:rPr>
          <w:rFonts w:ascii="仿宋" w:hAnsi="仿宋" w:eastAsia="楷体"/>
          <w:b/>
          <w:sz w:val="44"/>
          <w:szCs w:val="44"/>
        </w:rPr>
      </w:pPr>
    </w:p>
    <w:p w14:paraId="25EB1A20">
      <w:pPr>
        <w:spacing w:line="360" w:lineRule="auto"/>
        <w:jc w:val="center"/>
        <w:rPr>
          <w:rFonts w:ascii="仿宋" w:hAnsi="仿宋" w:eastAsia="楷体"/>
          <w:b/>
          <w:sz w:val="44"/>
          <w:szCs w:val="44"/>
        </w:rPr>
      </w:pPr>
    </w:p>
    <w:p w14:paraId="0CA25730">
      <w:pPr>
        <w:spacing w:line="360" w:lineRule="auto"/>
        <w:rPr>
          <w:rFonts w:hint="eastAsia" w:ascii="仿宋" w:hAnsi="仿宋" w:eastAsia="楷体"/>
          <w:b/>
          <w:sz w:val="44"/>
          <w:szCs w:val="44"/>
        </w:rPr>
      </w:pPr>
    </w:p>
    <w:p w14:paraId="2028A821">
      <w:pPr>
        <w:spacing w:line="360" w:lineRule="auto"/>
        <w:jc w:val="center"/>
        <w:rPr>
          <w:rFonts w:ascii="仿宋" w:hAnsi="仿宋" w:eastAsia="楷体"/>
          <w:b/>
          <w:sz w:val="44"/>
          <w:szCs w:val="44"/>
        </w:rPr>
      </w:pPr>
      <w:r>
        <w:rPr>
          <w:rFonts w:hint="eastAsia" w:ascii="仿宋" w:hAnsi="仿宋" w:eastAsia="楷体"/>
          <w:b/>
          <w:sz w:val="44"/>
          <w:szCs w:val="44"/>
        </w:rPr>
        <w:t>南昌县财政局</w:t>
      </w:r>
    </w:p>
    <w:p w14:paraId="7B6EB617">
      <w:pPr>
        <w:spacing w:line="360" w:lineRule="auto"/>
        <w:jc w:val="center"/>
        <w:rPr>
          <w:rFonts w:ascii="仿宋" w:hAnsi="仿宋" w:eastAsia="楷体"/>
          <w:b/>
          <w:sz w:val="44"/>
          <w:szCs w:val="44"/>
        </w:rPr>
      </w:pPr>
      <w:r>
        <w:rPr>
          <w:rFonts w:hint="eastAsia" w:ascii="仿宋" w:hAnsi="仿宋" w:eastAsia="楷体"/>
          <w:b/>
          <w:sz w:val="44"/>
          <w:szCs w:val="44"/>
        </w:rPr>
        <w:t>二〇二</w:t>
      </w:r>
      <w:r>
        <w:rPr>
          <w:rFonts w:hint="eastAsia" w:ascii="仿宋" w:hAnsi="仿宋" w:eastAsia="楷体"/>
          <w:b/>
          <w:sz w:val="44"/>
          <w:szCs w:val="44"/>
          <w:lang w:val="en-US" w:eastAsia="zh-CN"/>
        </w:rPr>
        <w:t>四</w:t>
      </w:r>
      <w:r>
        <w:rPr>
          <w:rFonts w:hint="eastAsia" w:ascii="仿宋" w:hAnsi="仿宋" w:eastAsia="楷体"/>
          <w:b/>
          <w:sz w:val="44"/>
          <w:szCs w:val="44"/>
        </w:rPr>
        <w:t>年</w:t>
      </w:r>
      <w:r>
        <w:rPr>
          <w:rFonts w:hint="eastAsia" w:ascii="仿宋" w:hAnsi="仿宋" w:eastAsia="楷体"/>
          <w:b/>
          <w:sz w:val="44"/>
          <w:szCs w:val="44"/>
          <w:lang w:val="en-US" w:eastAsia="zh-CN"/>
        </w:rPr>
        <w:t>九</w:t>
      </w:r>
      <w:r>
        <w:rPr>
          <w:rFonts w:hint="eastAsia" w:ascii="仿宋" w:hAnsi="仿宋" w:eastAsia="楷体"/>
          <w:b/>
          <w:sz w:val="44"/>
          <w:szCs w:val="44"/>
        </w:rPr>
        <w:t>月</w:t>
      </w:r>
    </w:p>
    <w:p w14:paraId="716E1C80">
      <w:pPr>
        <w:ind w:right="-99" w:rightChars="-47"/>
        <w:jc w:val="center"/>
        <w:rPr>
          <w:rFonts w:hint="eastAsia" w:ascii="楷体" w:hAnsi="楷体" w:eastAsia="楷体"/>
          <w:b/>
          <w:sz w:val="44"/>
          <w:szCs w:val="44"/>
        </w:rPr>
      </w:pPr>
    </w:p>
    <w:p w14:paraId="0E43E5C1">
      <w:pPr>
        <w:ind w:right="-99" w:rightChars="-47"/>
        <w:jc w:val="center"/>
        <w:rPr>
          <w:rFonts w:hint="eastAsia" w:ascii="楷体" w:hAnsi="楷体" w:eastAsia="楷体"/>
          <w:b/>
          <w:sz w:val="44"/>
          <w:szCs w:val="44"/>
        </w:rPr>
      </w:pPr>
    </w:p>
    <w:p w14:paraId="383DA1C1">
      <w:pPr>
        <w:ind w:right="-99" w:rightChars="-47"/>
        <w:jc w:val="both"/>
        <w:rPr>
          <w:rFonts w:hint="eastAsia" w:ascii="楷体" w:hAnsi="楷体" w:eastAsia="楷体"/>
          <w:b/>
          <w:sz w:val="44"/>
          <w:szCs w:val="44"/>
        </w:rPr>
        <w:sectPr>
          <w:pgSz w:w="11906" w:h="16838"/>
          <w:pgMar w:top="1440" w:right="1133" w:bottom="1440" w:left="1800" w:header="851" w:footer="992" w:gutter="0"/>
          <w:cols w:space="425" w:num="1"/>
          <w:docGrid w:type="lines" w:linePitch="312" w:charSpace="0"/>
        </w:sectPr>
      </w:pPr>
    </w:p>
    <w:p w14:paraId="0866FB84">
      <w:pPr>
        <w:ind w:right="-99" w:rightChars="-47"/>
        <w:jc w:val="center"/>
        <w:rPr>
          <w:rFonts w:hint="eastAsia" w:ascii="楷体" w:hAnsi="楷体" w:eastAsia="楷体"/>
          <w:b/>
          <w:sz w:val="44"/>
          <w:szCs w:val="44"/>
        </w:rPr>
      </w:pPr>
    </w:p>
    <w:p w14:paraId="2E59048D">
      <w:pPr>
        <w:ind w:right="-99" w:rightChars="-47"/>
        <w:jc w:val="center"/>
        <w:rPr>
          <w:rFonts w:ascii="楷体" w:hAnsi="楷体" w:eastAsia="楷体"/>
          <w:b/>
          <w:sz w:val="44"/>
          <w:szCs w:val="44"/>
        </w:rPr>
      </w:pPr>
      <w:r>
        <w:rPr>
          <w:rFonts w:hint="eastAsia" w:ascii="楷体" w:hAnsi="楷体" w:eastAsia="楷体"/>
          <w:b/>
          <w:sz w:val="44"/>
          <w:szCs w:val="44"/>
        </w:rPr>
        <w:t>前言</w:t>
      </w:r>
    </w:p>
    <w:p w14:paraId="4D5236F3">
      <w:pPr>
        <w:ind w:left="-141" w:leftChars="-67" w:right="-99" w:rightChars="-47" w:firstLine="439" w:firstLineChars="157"/>
        <w:rPr>
          <w:rFonts w:hint="eastAsia" w:ascii="楷体" w:hAnsi="楷体" w:eastAsia="楷体" w:cs="楷体"/>
          <w:bCs/>
          <w:kern w:val="2"/>
          <w:sz w:val="28"/>
          <w:szCs w:val="28"/>
        </w:rPr>
      </w:pPr>
      <w:r>
        <w:rPr>
          <w:rFonts w:hint="eastAsia" w:ascii="楷体" w:hAnsi="楷体" w:eastAsia="楷体" w:cs="楷体"/>
          <w:bCs/>
          <w:kern w:val="2"/>
          <w:sz w:val="28"/>
          <w:szCs w:val="28"/>
        </w:rPr>
        <w:t>202</w:t>
      </w:r>
      <w:r>
        <w:rPr>
          <w:rFonts w:hint="eastAsia" w:ascii="楷体" w:hAnsi="楷体" w:eastAsia="楷体" w:cs="楷体"/>
          <w:bCs/>
          <w:kern w:val="2"/>
          <w:sz w:val="28"/>
          <w:szCs w:val="28"/>
          <w:lang w:val="en-US" w:eastAsia="zh-CN"/>
        </w:rPr>
        <w:t>4</w:t>
      </w:r>
      <w:r>
        <w:rPr>
          <w:rFonts w:hint="eastAsia" w:ascii="楷体" w:hAnsi="楷体" w:eastAsia="楷体" w:cs="楷体"/>
          <w:bCs/>
          <w:kern w:val="2"/>
          <w:sz w:val="28"/>
          <w:szCs w:val="28"/>
        </w:rPr>
        <w:t>年是全面贯彻落实党的二十大精神的</w:t>
      </w:r>
      <w:r>
        <w:rPr>
          <w:rFonts w:hint="eastAsia" w:ascii="楷体" w:hAnsi="楷体" w:eastAsia="楷体" w:cs="楷体"/>
          <w:bCs/>
          <w:kern w:val="2"/>
          <w:sz w:val="28"/>
          <w:szCs w:val="28"/>
          <w:lang w:val="en-US" w:eastAsia="zh-CN"/>
        </w:rPr>
        <w:t>第二</w:t>
      </w:r>
      <w:r>
        <w:rPr>
          <w:rFonts w:hint="eastAsia" w:ascii="楷体" w:hAnsi="楷体" w:eastAsia="楷体" w:cs="楷体"/>
          <w:bCs/>
          <w:kern w:val="2"/>
          <w:sz w:val="28"/>
          <w:szCs w:val="28"/>
        </w:rPr>
        <w:t>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5ACA1BFC">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。南昌县金湖管理处柏林村 (城市棚户区改造) 一期安置房项目拟于申请发行地方政府专项债</w:t>
      </w:r>
      <w:r>
        <w:rPr>
          <w:rFonts w:ascii="楷体" w:hAnsi="楷体" w:eastAsia="楷体" w:cs="楷体"/>
          <w:bCs/>
          <w:sz w:val="28"/>
          <w:szCs w:val="28"/>
        </w:rPr>
        <w:t>融资</w:t>
      </w:r>
      <w:r>
        <w:rPr>
          <w:rFonts w:hint="eastAsia" w:ascii="楷体" w:hAnsi="楷体" w:eastAsia="楷体" w:cs="楷体"/>
          <w:bCs/>
          <w:sz w:val="28"/>
          <w:szCs w:val="28"/>
        </w:rPr>
        <w:t>3.1亿</w:t>
      </w:r>
      <w:r>
        <w:rPr>
          <w:rFonts w:ascii="楷体" w:hAnsi="楷体" w:eastAsia="楷体" w:cs="楷体"/>
          <w:bCs/>
          <w:sz w:val="28"/>
          <w:szCs w:val="28"/>
        </w:rPr>
        <w:t>元</w:t>
      </w:r>
      <w:r>
        <w:rPr>
          <w:rFonts w:hint="eastAsia" w:ascii="楷体" w:hAnsi="楷体" w:eastAsia="楷体" w:cs="楷体"/>
          <w:bCs/>
          <w:sz w:val="28"/>
          <w:szCs w:val="28"/>
        </w:rPr>
        <w:t>，拟本期申请发行</w:t>
      </w:r>
      <w:r>
        <w:rPr>
          <w:rFonts w:hint="eastAsia" w:ascii="楷体" w:hAnsi="楷体" w:eastAsia="楷体" w:cs="楷体"/>
          <w:bCs/>
          <w:sz w:val="28"/>
          <w:szCs w:val="28"/>
          <w:lang w:val="en-US" w:eastAsia="zh-CN"/>
        </w:rPr>
        <w:t>0</w:t>
      </w:r>
      <w:r>
        <w:rPr>
          <w:rFonts w:hint="eastAsia" w:ascii="楷体" w:hAnsi="楷体" w:eastAsia="楷体" w:cs="楷体"/>
          <w:bCs/>
          <w:sz w:val="28"/>
          <w:szCs w:val="28"/>
        </w:rPr>
        <w:t>.</w:t>
      </w:r>
      <w:r>
        <w:rPr>
          <w:rFonts w:hint="eastAsia" w:ascii="楷体" w:hAnsi="楷体" w:eastAsia="楷体" w:cs="楷体"/>
          <w:bCs/>
          <w:sz w:val="28"/>
          <w:szCs w:val="28"/>
          <w:lang w:val="en-US" w:eastAsia="zh-CN"/>
        </w:rPr>
        <w:t>4</w:t>
      </w:r>
      <w:r>
        <w:rPr>
          <w:rFonts w:hint="eastAsia" w:ascii="楷体" w:hAnsi="楷体" w:eastAsia="楷体" w:cs="楷体"/>
          <w:bCs/>
          <w:sz w:val="28"/>
          <w:szCs w:val="28"/>
        </w:rPr>
        <w:t>亿元。</w:t>
      </w:r>
    </w:p>
    <w:p w14:paraId="0D119093">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7CB27AF0">
      <w:pPr>
        <w:widowControl/>
        <w:spacing w:line="360" w:lineRule="auto"/>
        <w:ind w:left="-141" w:leftChars="-67" w:right="-99" w:rightChars="-47" w:firstLine="439" w:firstLineChars="157"/>
        <w:jc w:val="left"/>
        <w:rPr>
          <w:rFonts w:ascii="宋体" w:hAnsi="宋体" w:eastAsia="宋体"/>
          <w:sz w:val="28"/>
          <w:szCs w:val="28"/>
        </w:rPr>
        <w:sectPr>
          <w:footerReference r:id="rId24" w:type="default"/>
          <w:pgSz w:w="11906" w:h="16838"/>
          <w:pgMar w:top="1440" w:right="1133" w:bottom="1440" w:left="1800" w:header="851" w:footer="992" w:gutter="0"/>
          <w:pgNumType w:fmt="decimal" w:start="1"/>
          <w:cols w:space="425" w:num="1"/>
          <w:docGrid w:type="lines" w:linePitch="312" w:charSpace="0"/>
        </w:sectPr>
      </w:pPr>
    </w:p>
    <w:p w14:paraId="7EB06256">
      <w:pPr>
        <w:widowControl/>
        <w:spacing w:line="560" w:lineRule="exact"/>
        <w:ind w:firstLine="560" w:firstLineChars="200"/>
        <w:jc w:val="left"/>
        <w:outlineLvl w:val="0"/>
        <w:rPr>
          <w:rFonts w:ascii="黑体" w:hAnsi="黑体" w:eastAsia="黑体" w:cs="黑体"/>
          <w:sz w:val="28"/>
          <w:szCs w:val="28"/>
        </w:rPr>
      </w:pPr>
      <w:bookmarkStart w:id="153" w:name="_Toc25205"/>
      <w:r>
        <w:rPr>
          <w:rFonts w:hint="eastAsia" w:ascii="黑体" w:hAnsi="黑体" w:eastAsia="黑体" w:cs="黑体"/>
          <w:sz w:val="28"/>
          <w:szCs w:val="28"/>
        </w:rPr>
        <w:t>一、项目概况</w:t>
      </w:r>
      <w:bookmarkEnd w:id="153"/>
    </w:p>
    <w:p w14:paraId="0B9D8A19">
      <w:pPr>
        <w:widowControl/>
        <w:spacing w:line="560" w:lineRule="exact"/>
        <w:ind w:firstLine="560" w:firstLineChars="200"/>
        <w:jc w:val="left"/>
        <w:outlineLvl w:val="1"/>
        <w:rPr>
          <w:rFonts w:ascii="楷体" w:hAnsi="楷体" w:eastAsia="楷体" w:cs="楷体"/>
          <w:b/>
          <w:bCs/>
          <w:sz w:val="28"/>
          <w:szCs w:val="28"/>
        </w:rPr>
      </w:pPr>
      <w:bookmarkStart w:id="154" w:name="_Toc10086"/>
      <w:r>
        <w:rPr>
          <w:rFonts w:hint="eastAsia" w:ascii="楷体" w:hAnsi="楷体" w:eastAsia="楷体" w:cs="楷体"/>
          <w:b/>
          <w:bCs/>
          <w:sz w:val="28"/>
          <w:szCs w:val="28"/>
        </w:rPr>
        <w:t>（一）项目所在地基本情况</w:t>
      </w:r>
      <w:bookmarkEnd w:id="154"/>
    </w:p>
    <w:p w14:paraId="78B8DCBC">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1、所在地情况</w:t>
      </w:r>
    </w:p>
    <w:p w14:paraId="7F4A48C6">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4C1B786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南昌县面积1810.7平方公里；辖7个乡9个镇、1个国家级开发区和银三角管委会；2017年，户籍总人口1039778人，全县地区生产总值（GDP）782亿，按可比价格计算，比2016年增长9.2%。</w:t>
      </w:r>
    </w:p>
    <w:p w14:paraId="678BDE65">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1354DEEE">
      <w:pPr>
        <w:spacing w:line="360" w:lineRule="auto"/>
        <w:ind w:left="-140" w:leftChars="-67" w:right="-98" w:rightChars="-47" w:firstLine="376" w:firstLineChars="157"/>
        <w:rPr>
          <w:rFonts w:ascii="楷体" w:hAnsi="楷体" w:eastAsia="楷体" w:cs="楷体"/>
          <w:bCs/>
          <w:sz w:val="28"/>
          <w:szCs w:val="28"/>
        </w:rPr>
      </w:pPr>
      <w:r>
        <w:rPr>
          <w:rFonts w:hint="eastAsia" w:ascii="宋体" w:hAnsi="宋体" w:eastAsia="宋体" w:cs="宋体"/>
          <w:bCs/>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1BBA5995">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2、财政收支情况</w:t>
      </w:r>
    </w:p>
    <w:p w14:paraId="262CB3E9">
      <w:pPr>
        <w:widowControl/>
        <w:spacing w:before="100" w:beforeAutospacing="1" w:after="100" w:afterAutospacing="1"/>
        <w:ind w:firstLine="480"/>
        <w:jc w:val="center"/>
        <w:rPr>
          <w:rFonts w:ascii="宋体" w:hAnsi="宋体" w:eastAsia="宋体" w:cs="宋体"/>
          <w:kern w:val="0"/>
          <w:sz w:val="24"/>
          <w:szCs w:val="24"/>
        </w:rPr>
      </w:pPr>
      <w:r>
        <w:rPr>
          <w:rFonts w:ascii="宋体" w:hAnsi="宋体" w:eastAsia="宋体" w:cs="宋体"/>
          <w:kern w:val="0"/>
          <w:sz w:val="24"/>
          <w:szCs w:val="24"/>
        </w:rPr>
        <w:t>南昌县财政支出情况</w:t>
      </w:r>
    </w:p>
    <w:p w14:paraId="34AA1AAA">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25"/>
        <w:gridCol w:w="1313"/>
        <w:gridCol w:w="1332"/>
        <w:gridCol w:w="1313"/>
      </w:tblGrid>
      <w:tr w14:paraId="4BFE7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0"/>
            <w:vAlign w:val="center"/>
          </w:tcPr>
          <w:p w14:paraId="3AA499B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val="0"/>
            <w:vAlign w:val="top"/>
          </w:tcPr>
          <w:p w14:paraId="2EE0799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val="0"/>
            <w:vAlign w:val="top"/>
          </w:tcPr>
          <w:p w14:paraId="7A7C088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val="0"/>
            <w:vAlign w:val="top"/>
          </w:tcPr>
          <w:p w14:paraId="1B9DFC5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w:t>
            </w:r>
          </w:p>
        </w:tc>
      </w:tr>
      <w:tr w14:paraId="0CFE7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30A2161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6EAF12C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6ADA8F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val="0"/>
            <w:vAlign w:val="top"/>
          </w:tcPr>
          <w:p w14:paraId="70A5FEBA">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1340</w:t>
            </w:r>
          </w:p>
        </w:tc>
      </w:tr>
      <w:tr w14:paraId="62563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4A64652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2DBE498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06BA4FC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val="0"/>
            <w:vAlign w:val="top"/>
          </w:tcPr>
          <w:p w14:paraId="57D5FABA">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84.9</w:t>
            </w:r>
          </w:p>
        </w:tc>
      </w:tr>
      <w:tr w14:paraId="3B9B77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2A08BE8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5101765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63C6831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val="0"/>
            <w:vAlign w:val="top"/>
          </w:tcPr>
          <w:p w14:paraId="30F8EE11">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37.1</w:t>
            </w:r>
          </w:p>
        </w:tc>
      </w:tr>
      <w:tr w14:paraId="21D0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2D28FF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35B3B58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68F5E67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val="0"/>
            <w:vAlign w:val="top"/>
          </w:tcPr>
          <w:p w14:paraId="3F6C0C10">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33.8</w:t>
            </w:r>
          </w:p>
        </w:tc>
      </w:tr>
      <w:tr w14:paraId="60A57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0"/>
            <w:vAlign w:val="center"/>
          </w:tcPr>
          <w:p w14:paraId="553F54C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val="0"/>
            <w:vAlign w:val="top"/>
          </w:tcPr>
          <w:p w14:paraId="0786713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val="0"/>
            <w:vAlign w:val="top"/>
          </w:tcPr>
          <w:p w14:paraId="722A0C5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val="0"/>
            <w:vAlign w:val="top"/>
          </w:tcPr>
          <w:p w14:paraId="2A8DD0C2">
            <w:pPr>
              <w:widowControl/>
              <w:spacing w:before="100" w:beforeAutospacing="1" w:after="100" w:afterAutospacing="1"/>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30.3</w:t>
            </w:r>
          </w:p>
        </w:tc>
      </w:tr>
      <w:tr w14:paraId="02CB76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0"/>
            <w:vAlign w:val="center"/>
          </w:tcPr>
          <w:p w14:paraId="184B3DD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val="0"/>
            <w:vAlign w:val="top"/>
          </w:tcPr>
          <w:p w14:paraId="79377B3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val="0"/>
            <w:vAlign w:val="top"/>
          </w:tcPr>
          <w:p w14:paraId="71E1C653">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val="0"/>
            <w:vAlign w:val="top"/>
          </w:tcPr>
          <w:p w14:paraId="20307FBA">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14.1</w:t>
            </w:r>
          </w:p>
        </w:tc>
      </w:tr>
    </w:tbl>
    <w:p w14:paraId="748D92EF">
      <w:pPr>
        <w:widowControl/>
        <w:spacing w:line="560" w:lineRule="exact"/>
        <w:ind w:firstLine="560" w:firstLineChars="200"/>
        <w:jc w:val="left"/>
        <w:outlineLvl w:val="1"/>
        <w:rPr>
          <w:rFonts w:ascii="楷体" w:hAnsi="楷体" w:eastAsia="楷体" w:cs="楷体"/>
          <w:b/>
          <w:bCs/>
          <w:sz w:val="28"/>
          <w:szCs w:val="28"/>
        </w:rPr>
      </w:pPr>
      <w:bookmarkStart w:id="155" w:name="_Toc10835"/>
      <w:r>
        <w:rPr>
          <w:rFonts w:hint="eastAsia" w:ascii="楷体" w:hAnsi="楷体" w:eastAsia="楷体" w:cs="楷体"/>
          <w:b/>
          <w:bCs/>
          <w:sz w:val="28"/>
          <w:szCs w:val="28"/>
        </w:rPr>
        <w:t>（二）项目实施背景</w:t>
      </w:r>
      <w:bookmarkEnd w:id="155"/>
    </w:p>
    <w:p w14:paraId="4157B811">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为安置房项目，为区域人民提供优质住宅，促进城市化进程的加快，带动地区经济发展，因此，本项目建设符合国家发展经济、建设小康社会的方向，对于改善城市居民居住条件、推动投资和消费增长、扩大社会就业等方面将起到积极的推动作用。集中安置工程建设，既可以有力拉动建筑业、建材业、交通运输业等相关产业的发展，为调整产业结构、扩大内需，保增长、解决社会就业与再就业也做出了积极的贡献，又可以发展社区公共服务，加强社会管理，推进平安社区建设，对推动经济社会协调发展的意义重大。本项目的实施，必将带动区域的投资和消费，促进经济社会协调发展。</w:t>
      </w:r>
    </w:p>
    <w:p w14:paraId="62C6C8D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集中安置房建设缩小了城市不同群体、不同区域之间的生活差距，促进了人与人之间的和谐。安置区与城市中心区的人均住房面积差距也相应缩小。缩小了城市不同群体之间的住房差距与生活差距，消除了很多社会矛盾。结合集中安置建设，筹措资金用于城市基础设施和公共服务配套设施建设，新增道路、供水管线、排水管线、煤气管线，新建综合楼等各种配套设施，进一步完善了城市功能，极大地改善了城市生态环境和居民的生活环境。项目通过集中安置，建成一个布局合理配套齐全、人居环境优良的新社区。缩小了城市不同群体、不同区域之间的生活差距，促进了人与人之间的和谐。</w:t>
      </w:r>
    </w:p>
    <w:p w14:paraId="1FA0131C">
      <w:pPr>
        <w:widowControl/>
        <w:spacing w:line="560" w:lineRule="exact"/>
        <w:ind w:firstLine="560" w:firstLineChars="200"/>
        <w:jc w:val="left"/>
        <w:outlineLvl w:val="1"/>
        <w:rPr>
          <w:rFonts w:hint="eastAsia" w:ascii="楷体" w:hAnsi="楷体" w:eastAsia="楷体" w:cs="楷体"/>
          <w:b/>
          <w:bCs/>
          <w:sz w:val="28"/>
          <w:szCs w:val="28"/>
        </w:rPr>
      </w:pPr>
      <w:bookmarkStart w:id="156" w:name="_Toc7997"/>
      <w:r>
        <w:rPr>
          <w:rFonts w:hint="eastAsia" w:ascii="楷体" w:hAnsi="楷体" w:eastAsia="楷体" w:cs="楷体"/>
          <w:b/>
          <w:bCs/>
          <w:sz w:val="28"/>
          <w:szCs w:val="28"/>
        </w:rPr>
        <w:t>（三）项目基本情况</w:t>
      </w:r>
      <w:bookmarkEnd w:id="156"/>
    </w:p>
    <w:p w14:paraId="72379745">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项目名称：南昌县金湖管理处柏林村 (城市棚户区改造) 一期安置房项目</w:t>
      </w:r>
    </w:p>
    <w:p w14:paraId="57990CE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建设单位：南昌县城市建设投资发展有限公司</w:t>
      </w:r>
    </w:p>
    <w:p w14:paraId="0773659A">
      <w:pPr>
        <w:spacing w:line="360" w:lineRule="auto"/>
        <w:ind w:left="-140" w:leftChars="-67" w:right="-98" w:rightChars="-47" w:firstLine="376" w:firstLineChars="157"/>
        <w:rPr>
          <w:rFonts w:ascii="楷体" w:hAnsi="楷体" w:eastAsia="楷体" w:cs="楷体"/>
          <w:bCs/>
          <w:sz w:val="28"/>
          <w:szCs w:val="28"/>
        </w:rPr>
      </w:pPr>
      <w:r>
        <w:rPr>
          <w:rFonts w:hint="eastAsia" w:ascii="宋体" w:hAnsi="宋体" w:eastAsia="宋体" w:cs="宋体"/>
          <w:bCs/>
          <w:sz w:val="24"/>
          <w:szCs w:val="24"/>
        </w:rPr>
        <w:t>建设内容：本项目总用地面积为 37675.36 平方米（56.51 亩），总建筑面积111390.32 平方米，其中：计容建筑面积 87638.11 平方米（1-7#高层住宅 79825.23 平方米、物业管理用房 465.75 平方米、社区管理服务设施1004.40 平方米、社区居家养老服务设施 343.61 平方米、社区卫生服务站 131.29 平方米、消防控制室 57.72 平方米、17#农贸市场 2970.68 平方米、商业 2471.35 平方米、垃圾收集站 125.40 平方米、开闭所 91.53 平方米、门卫 31.08 平方米、公厕 61.62 平方米、人防疏散楼梯 58.45 平方米），不计容建筑面积 23752.21 平方米，容积率 2.33，建筑密度21.90%，绿地率30.05%。</w:t>
      </w:r>
    </w:p>
    <w:p w14:paraId="7D9A13F0">
      <w:pPr>
        <w:ind w:left="-140" w:leftChars="-67" w:right="-98" w:rightChars="-47" w:firstLine="439" w:firstLineChars="157"/>
        <w:rPr>
          <w:rFonts w:ascii="楷体" w:hAnsi="楷体" w:eastAsia="楷体" w:cs="楷体"/>
          <w:b/>
          <w:bCs/>
          <w:sz w:val="28"/>
          <w:szCs w:val="28"/>
        </w:rPr>
      </w:pPr>
      <w:r>
        <w:rPr>
          <w:rFonts w:hint="eastAsia" w:ascii="楷体" w:hAnsi="楷体" w:eastAsia="楷体" w:cs="楷体"/>
          <w:b/>
          <w:bCs/>
          <w:sz w:val="28"/>
          <w:szCs w:val="28"/>
        </w:rPr>
        <w:t>（四）项目总投资额</w:t>
      </w:r>
    </w:p>
    <w:p w14:paraId="7462AA29">
      <w:pPr>
        <w:pStyle w:val="20"/>
        <w:spacing w:before="0" w:beforeAutospacing="0" w:after="156" w:afterLines="50" w:afterAutospacing="0" w:line="360" w:lineRule="auto"/>
        <w:ind w:firstLine="480" w:firstLineChars="200"/>
        <w:jc w:val="both"/>
        <w:rPr>
          <w:sz w:val="21"/>
          <w:szCs w:val="21"/>
        </w:rPr>
      </w:pPr>
      <w:r>
        <w:rPr>
          <w:rFonts w:hint="eastAsia"/>
          <w:sz w:val="24"/>
          <w:szCs w:val="24"/>
        </w:rPr>
        <w:t>202</w:t>
      </w:r>
      <w:r>
        <w:rPr>
          <w:sz w:val="24"/>
          <w:szCs w:val="24"/>
        </w:rPr>
        <w:t>4</w:t>
      </w:r>
      <w:r>
        <w:rPr>
          <w:rFonts w:hint="eastAsia"/>
          <w:sz w:val="24"/>
          <w:szCs w:val="24"/>
        </w:rPr>
        <w:t>年江西省南昌县金湖管理处柏林村 (城市棚户区改造) 一期安置房项目建设项目（以下简称“本项目”）为基建项目，根据《关于南昌县金湖管理处柏林村 (城市棚户区改造) 一期安置房项目可行性研究报告的批复》（南发改投字〔20</w:t>
      </w:r>
      <w:r>
        <w:rPr>
          <w:sz w:val="24"/>
          <w:szCs w:val="24"/>
        </w:rPr>
        <w:t>22</w:t>
      </w:r>
      <w:r>
        <w:rPr>
          <w:rFonts w:hint="eastAsia"/>
          <w:sz w:val="24"/>
          <w:szCs w:val="24"/>
        </w:rPr>
        <w:t>〕15号），批复总投资额</w:t>
      </w:r>
      <w:r>
        <w:rPr>
          <w:sz w:val="24"/>
          <w:szCs w:val="24"/>
        </w:rPr>
        <w:t>39,374.00</w:t>
      </w:r>
      <w:r>
        <w:rPr>
          <w:rFonts w:hint="eastAsia"/>
          <w:sz w:val="24"/>
          <w:szCs w:val="24"/>
        </w:rPr>
        <w:t>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38956285">
      <w:pPr>
        <w:pStyle w:val="20"/>
        <w:keepNext/>
        <w:spacing w:before="0" w:beforeAutospacing="0" w:after="156" w:afterAutospacing="0" w:line="360" w:lineRule="exact"/>
        <w:ind w:firstLine="360" w:firstLineChars="200"/>
        <w:jc w:val="right"/>
        <w:rPr>
          <w:sz w:val="18"/>
          <w:szCs w:val="18"/>
        </w:rPr>
      </w:pPr>
      <w:r>
        <w:rPr>
          <w:rFonts w:hint="eastAsia"/>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435"/>
        <w:gridCol w:w="1343"/>
        <w:gridCol w:w="1338"/>
        <w:gridCol w:w="1523"/>
        <w:gridCol w:w="1338"/>
        <w:gridCol w:w="1149"/>
      </w:tblGrid>
      <w:tr w14:paraId="1BBC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1" w:type="pct"/>
            <w:shd w:val="clear" w:color="auto" w:fill="auto"/>
            <w:noWrap/>
            <w:vAlign w:val="center"/>
          </w:tcPr>
          <w:p w14:paraId="10DF4B15">
            <w:pPr>
              <w:widowControl/>
              <w:jc w:val="center"/>
              <w:rPr>
                <w:rFonts w:ascii="宋体" w:hAnsi="宋体" w:cs="宋体"/>
                <w:b/>
                <w:bCs/>
                <w:color w:val="000000"/>
                <w:kern w:val="0"/>
                <w:sz w:val="18"/>
                <w:szCs w:val="18"/>
              </w:rPr>
            </w:pPr>
            <w:r>
              <w:rPr>
                <w:rFonts w:hint="eastAsia" w:ascii="宋体" w:hAnsi="宋体"/>
                <w:b/>
                <w:sz w:val="18"/>
                <w:szCs w:val="18"/>
              </w:rPr>
              <w:t>序号</w:t>
            </w:r>
          </w:p>
        </w:tc>
        <w:tc>
          <w:tcPr>
            <w:tcW w:w="823" w:type="pct"/>
            <w:shd w:val="clear" w:color="auto" w:fill="auto"/>
            <w:noWrap/>
            <w:vAlign w:val="center"/>
          </w:tcPr>
          <w:p w14:paraId="7018AA0B">
            <w:pPr>
              <w:widowControl/>
              <w:jc w:val="center"/>
              <w:rPr>
                <w:rFonts w:ascii="宋体" w:hAnsi="宋体" w:cs="宋体"/>
                <w:b/>
                <w:bCs/>
                <w:color w:val="000000"/>
                <w:kern w:val="0"/>
                <w:sz w:val="18"/>
                <w:szCs w:val="18"/>
              </w:rPr>
            </w:pPr>
            <w:r>
              <w:rPr>
                <w:rFonts w:hint="eastAsia" w:ascii="宋体" w:hAnsi="宋体"/>
                <w:b/>
                <w:sz w:val="18"/>
                <w:szCs w:val="18"/>
              </w:rPr>
              <w:t>项目单位</w:t>
            </w:r>
          </w:p>
        </w:tc>
        <w:tc>
          <w:tcPr>
            <w:tcW w:w="770" w:type="pct"/>
            <w:shd w:val="clear" w:color="auto" w:fill="auto"/>
            <w:noWrap/>
            <w:vAlign w:val="center"/>
          </w:tcPr>
          <w:p w14:paraId="6706BB11">
            <w:pPr>
              <w:widowControl/>
              <w:jc w:val="center"/>
              <w:rPr>
                <w:rFonts w:ascii="宋体" w:hAnsi="宋体" w:cs="宋体"/>
                <w:b/>
                <w:bCs/>
                <w:color w:val="000000"/>
                <w:kern w:val="0"/>
                <w:sz w:val="18"/>
                <w:szCs w:val="18"/>
              </w:rPr>
            </w:pPr>
            <w:r>
              <w:rPr>
                <w:rFonts w:hint="eastAsia" w:ascii="宋体" w:hAnsi="宋体"/>
                <w:b/>
                <w:sz w:val="18"/>
                <w:szCs w:val="18"/>
              </w:rPr>
              <w:t>项目名称</w:t>
            </w:r>
          </w:p>
        </w:tc>
        <w:tc>
          <w:tcPr>
            <w:tcW w:w="767" w:type="pct"/>
            <w:shd w:val="clear" w:color="auto" w:fill="auto"/>
            <w:noWrap/>
            <w:vAlign w:val="center"/>
          </w:tcPr>
          <w:p w14:paraId="72FFA607">
            <w:pPr>
              <w:widowControl/>
              <w:jc w:val="center"/>
              <w:rPr>
                <w:rFonts w:ascii="宋体" w:hAnsi="宋体" w:cs="宋体"/>
                <w:b/>
                <w:bCs/>
                <w:color w:val="000000"/>
                <w:kern w:val="0"/>
                <w:sz w:val="18"/>
                <w:szCs w:val="18"/>
              </w:rPr>
            </w:pPr>
            <w:r>
              <w:rPr>
                <w:rFonts w:hint="eastAsia" w:ascii="宋体" w:hAnsi="宋体"/>
                <w:b/>
                <w:sz w:val="18"/>
                <w:szCs w:val="18"/>
              </w:rPr>
              <w:t>静态总投资额</w:t>
            </w:r>
          </w:p>
        </w:tc>
        <w:tc>
          <w:tcPr>
            <w:tcW w:w="873" w:type="pct"/>
            <w:shd w:val="clear" w:color="auto" w:fill="auto"/>
            <w:noWrap/>
            <w:vAlign w:val="center"/>
          </w:tcPr>
          <w:p w14:paraId="12E99A6B">
            <w:pPr>
              <w:widowControl/>
              <w:jc w:val="center"/>
              <w:rPr>
                <w:rFonts w:ascii="宋体" w:hAnsi="宋体" w:cs="宋体"/>
                <w:b/>
                <w:bCs/>
                <w:color w:val="000000"/>
                <w:kern w:val="0"/>
                <w:sz w:val="18"/>
                <w:szCs w:val="18"/>
              </w:rPr>
            </w:pPr>
            <w:r>
              <w:rPr>
                <w:rFonts w:hint="eastAsia" w:ascii="宋体" w:hAnsi="宋体"/>
                <w:b/>
                <w:sz w:val="18"/>
                <w:szCs w:val="18"/>
              </w:rPr>
              <w:t>预计建设期利息</w:t>
            </w:r>
          </w:p>
        </w:tc>
        <w:tc>
          <w:tcPr>
            <w:tcW w:w="767" w:type="pct"/>
            <w:shd w:val="clear" w:color="auto" w:fill="auto"/>
            <w:noWrap/>
            <w:vAlign w:val="center"/>
          </w:tcPr>
          <w:p w14:paraId="3DECD2F2">
            <w:pPr>
              <w:widowControl/>
              <w:jc w:val="center"/>
              <w:rPr>
                <w:rFonts w:ascii="宋体" w:hAnsi="宋体" w:cs="宋体"/>
                <w:b/>
                <w:bCs/>
                <w:color w:val="000000"/>
                <w:kern w:val="0"/>
                <w:sz w:val="18"/>
                <w:szCs w:val="18"/>
              </w:rPr>
            </w:pPr>
            <w:r>
              <w:rPr>
                <w:rFonts w:hint="eastAsia" w:ascii="宋体" w:hAnsi="宋体"/>
                <w:b/>
                <w:sz w:val="18"/>
                <w:szCs w:val="18"/>
              </w:rPr>
              <w:t>债券发行费用</w:t>
            </w:r>
          </w:p>
        </w:tc>
        <w:tc>
          <w:tcPr>
            <w:tcW w:w="659" w:type="pct"/>
            <w:shd w:val="clear" w:color="auto" w:fill="auto"/>
            <w:noWrap/>
            <w:vAlign w:val="center"/>
          </w:tcPr>
          <w:p w14:paraId="068BF4F0">
            <w:pPr>
              <w:widowControl/>
              <w:jc w:val="center"/>
              <w:rPr>
                <w:rFonts w:ascii="宋体" w:hAnsi="宋体" w:cs="宋体"/>
                <w:b/>
                <w:bCs/>
                <w:color w:val="000000"/>
                <w:kern w:val="0"/>
                <w:sz w:val="18"/>
                <w:szCs w:val="18"/>
              </w:rPr>
            </w:pPr>
            <w:r>
              <w:rPr>
                <w:rFonts w:hint="eastAsia" w:ascii="宋体" w:hAnsi="宋体"/>
                <w:b/>
                <w:sz w:val="18"/>
                <w:szCs w:val="18"/>
              </w:rPr>
              <w:t>总投资估算</w:t>
            </w:r>
          </w:p>
        </w:tc>
      </w:tr>
      <w:tr w14:paraId="687A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341" w:type="pct"/>
            <w:shd w:val="clear" w:color="auto" w:fill="auto"/>
            <w:noWrap/>
            <w:vAlign w:val="center"/>
          </w:tcPr>
          <w:p w14:paraId="795A3053">
            <w:pPr>
              <w:widowControl/>
              <w:jc w:val="center"/>
              <w:rPr>
                <w:rFonts w:ascii="宋体" w:hAnsi="宋体" w:cs="宋体"/>
                <w:color w:val="000000"/>
                <w:kern w:val="0"/>
                <w:sz w:val="18"/>
                <w:szCs w:val="18"/>
              </w:rPr>
            </w:pPr>
            <w:r>
              <w:rPr>
                <w:rFonts w:hint="eastAsia" w:ascii="宋体" w:hAnsi="宋体"/>
                <w:sz w:val="18"/>
                <w:szCs w:val="18"/>
              </w:rPr>
              <w:t>1</w:t>
            </w:r>
          </w:p>
        </w:tc>
        <w:tc>
          <w:tcPr>
            <w:tcW w:w="823" w:type="pct"/>
            <w:shd w:val="clear" w:color="auto" w:fill="auto"/>
            <w:vAlign w:val="center"/>
          </w:tcPr>
          <w:p w14:paraId="5A1BEF30">
            <w:pPr>
              <w:widowControl/>
              <w:jc w:val="center"/>
              <w:rPr>
                <w:rFonts w:ascii="宋体" w:hAnsi="宋体" w:cs="宋体"/>
                <w:color w:val="000000"/>
                <w:kern w:val="0"/>
                <w:sz w:val="18"/>
                <w:szCs w:val="18"/>
              </w:rPr>
            </w:pPr>
            <w:r>
              <w:rPr>
                <w:rFonts w:hint="eastAsia" w:ascii="宋体" w:hAnsi="宋体"/>
                <w:sz w:val="18"/>
                <w:szCs w:val="18"/>
              </w:rPr>
              <w:t>南昌县城市建设投资发展有限公司</w:t>
            </w:r>
          </w:p>
        </w:tc>
        <w:tc>
          <w:tcPr>
            <w:tcW w:w="770" w:type="pct"/>
            <w:shd w:val="clear" w:color="auto" w:fill="auto"/>
            <w:vAlign w:val="center"/>
          </w:tcPr>
          <w:p w14:paraId="29FFE2B3">
            <w:pPr>
              <w:widowControl/>
              <w:jc w:val="center"/>
              <w:rPr>
                <w:rFonts w:ascii="宋体" w:hAnsi="宋体" w:cs="宋体"/>
                <w:color w:val="000000"/>
                <w:kern w:val="0"/>
                <w:sz w:val="18"/>
                <w:szCs w:val="18"/>
              </w:rPr>
            </w:pPr>
            <w:r>
              <w:rPr>
                <w:rFonts w:hint="eastAsia" w:ascii="宋体" w:hAnsi="宋体"/>
                <w:sz w:val="18"/>
                <w:szCs w:val="18"/>
              </w:rPr>
              <w:t>南昌县金湖管理处柏林村 (城市棚户区改造) 一期安置房项目</w:t>
            </w:r>
          </w:p>
        </w:tc>
        <w:tc>
          <w:tcPr>
            <w:tcW w:w="767" w:type="pct"/>
            <w:shd w:val="clear" w:color="auto" w:fill="auto"/>
            <w:noWrap/>
            <w:vAlign w:val="center"/>
          </w:tcPr>
          <w:p w14:paraId="5AE2223D">
            <w:pPr>
              <w:widowControl/>
              <w:jc w:val="center"/>
              <w:rPr>
                <w:rFonts w:ascii="宋体" w:hAnsi="宋体"/>
                <w:sz w:val="18"/>
                <w:szCs w:val="18"/>
              </w:rPr>
            </w:pPr>
            <w:r>
              <w:rPr>
                <w:rFonts w:ascii="宋体" w:hAnsi="宋体"/>
                <w:sz w:val="18"/>
                <w:szCs w:val="18"/>
              </w:rPr>
              <w:t>39,374.00</w:t>
            </w:r>
          </w:p>
        </w:tc>
        <w:tc>
          <w:tcPr>
            <w:tcW w:w="873" w:type="pct"/>
            <w:shd w:val="clear" w:color="auto" w:fill="auto"/>
            <w:vAlign w:val="center"/>
          </w:tcPr>
          <w:p w14:paraId="30EC618E">
            <w:pPr>
              <w:widowControl/>
              <w:jc w:val="center"/>
              <w:rPr>
                <w:rFonts w:ascii="宋体" w:hAnsi="宋体"/>
                <w:sz w:val="18"/>
                <w:szCs w:val="18"/>
              </w:rPr>
            </w:pPr>
            <w:r>
              <w:rPr>
                <w:rFonts w:ascii="宋体" w:hAnsi="宋体"/>
                <w:sz w:val="18"/>
                <w:szCs w:val="18"/>
              </w:rPr>
              <w:t>1,301.25</w:t>
            </w:r>
          </w:p>
        </w:tc>
        <w:tc>
          <w:tcPr>
            <w:tcW w:w="767" w:type="pct"/>
            <w:shd w:val="clear" w:color="auto" w:fill="auto"/>
            <w:noWrap/>
            <w:vAlign w:val="center"/>
          </w:tcPr>
          <w:p w14:paraId="03594451">
            <w:pPr>
              <w:widowControl/>
              <w:jc w:val="center"/>
              <w:rPr>
                <w:rFonts w:ascii="宋体" w:hAnsi="宋体"/>
                <w:sz w:val="18"/>
                <w:szCs w:val="18"/>
              </w:rPr>
            </w:pPr>
            <w:r>
              <w:rPr>
                <w:rFonts w:ascii="宋体" w:hAnsi="宋体"/>
                <w:sz w:val="18"/>
                <w:szCs w:val="18"/>
              </w:rPr>
              <w:t>31.00</w:t>
            </w:r>
          </w:p>
        </w:tc>
        <w:tc>
          <w:tcPr>
            <w:tcW w:w="659" w:type="pct"/>
            <w:shd w:val="clear" w:color="auto" w:fill="auto"/>
            <w:noWrap/>
            <w:vAlign w:val="center"/>
          </w:tcPr>
          <w:p w14:paraId="0B985531">
            <w:pPr>
              <w:widowControl/>
              <w:jc w:val="center"/>
              <w:rPr>
                <w:rFonts w:ascii="宋体" w:hAnsi="宋体"/>
                <w:sz w:val="18"/>
                <w:szCs w:val="18"/>
              </w:rPr>
            </w:pPr>
            <w:r>
              <w:rPr>
                <w:rFonts w:ascii="宋体" w:hAnsi="宋体"/>
                <w:sz w:val="18"/>
                <w:szCs w:val="18"/>
              </w:rPr>
              <w:t>40,706.25</w:t>
            </w:r>
          </w:p>
        </w:tc>
      </w:tr>
    </w:tbl>
    <w:p w14:paraId="11907819">
      <w:pPr>
        <w:pStyle w:val="20"/>
        <w:spacing w:before="0" w:beforeAutospacing="0" w:after="156" w:afterLines="50" w:afterAutospacing="0" w:line="360" w:lineRule="auto"/>
        <w:ind w:firstLine="480" w:firstLineChars="200"/>
        <w:jc w:val="both"/>
        <w:rPr>
          <w:sz w:val="24"/>
          <w:szCs w:val="24"/>
        </w:rPr>
      </w:pPr>
      <w:r>
        <w:rPr>
          <w:rFonts w:hint="eastAsia"/>
          <w:sz w:val="24"/>
          <w:szCs w:val="24"/>
        </w:rPr>
        <w:t>为了保障以上建设项目合理的融资需求，更好地发挥专项债券对本项目的支持作用，本次项目计划通过自筹资金及发行地方政府专项债券的方式完成项目建设。南昌县城市建设投资发展有限公司申请地方政府专项债券的明细情况见下表：</w:t>
      </w:r>
    </w:p>
    <w:p w14:paraId="7ACD2B66">
      <w:pPr>
        <w:pStyle w:val="20"/>
        <w:keepNext/>
        <w:spacing w:before="0" w:beforeAutospacing="0" w:after="156" w:afterAutospacing="0" w:line="360" w:lineRule="exact"/>
        <w:ind w:firstLine="360" w:firstLineChars="200"/>
        <w:jc w:val="right"/>
        <w:rPr>
          <w:sz w:val="18"/>
          <w:szCs w:val="18"/>
        </w:rPr>
      </w:pPr>
      <w:r>
        <w:rPr>
          <w:rFonts w:hint="eastAsia"/>
          <w:sz w:val="18"/>
          <w:szCs w:val="18"/>
        </w:rPr>
        <w:t>单位：万元</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
        <w:gridCol w:w="1150"/>
        <w:gridCol w:w="1202"/>
        <w:gridCol w:w="1095"/>
        <w:gridCol w:w="1085"/>
        <w:gridCol w:w="1198"/>
        <w:gridCol w:w="1198"/>
        <w:gridCol w:w="1199"/>
      </w:tblGrid>
      <w:tr w14:paraId="06C8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340" w:type="pct"/>
            <w:vMerge w:val="restart"/>
            <w:shd w:val="clear" w:color="auto" w:fill="auto"/>
            <w:noWrap/>
            <w:vAlign w:val="center"/>
          </w:tcPr>
          <w:p w14:paraId="53847C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9" w:type="pct"/>
            <w:vMerge w:val="restart"/>
            <w:shd w:val="clear" w:color="auto" w:fill="auto"/>
            <w:noWrap/>
            <w:vAlign w:val="center"/>
          </w:tcPr>
          <w:p w14:paraId="0373B84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689" w:type="pct"/>
            <w:vMerge w:val="restart"/>
            <w:shd w:val="clear" w:color="auto" w:fill="auto"/>
            <w:vAlign w:val="center"/>
          </w:tcPr>
          <w:p w14:paraId="687CB7C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3311" w:type="pct"/>
            <w:gridSpan w:val="5"/>
            <w:shd w:val="clear" w:color="auto" w:fill="auto"/>
            <w:vAlign w:val="center"/>
          </w:tcPr>
          <w:p w14:paraId="158650B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00D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vMerge w:val="continue"/>
            <w:vAlign w:val="center"/>
          </w:tcPr>
          <w:p w14:paraId="4CA6F84E">
            <w:pPr>
              <w:widowControl/>
              <w:jc w:val="center"/>
              <w:rPr>
                <w:rFonts w:ascii="宋体" w:hAnsi="宋体" w:cs="宋体"/>
                <w:b/>
                <w:bCs/>
                <w:color w:val="000000"/>
                <w:kern w:val="0"/>
                <w:sz w:val="18"/>
                <w:szCs w:val="18"/>
              </w:rPr>
            </w:pPr>
          </w:p>
        </w:tc>
        <w:tc>
          <w:tcPr>
            <w:tcW w:w="659" w:type="pct"/>
            <w:vMerge w:val="continue"/>
            <w:vAlign w:val="center"/>
          </w:tcPr>
          <w:p w14:paraId="0D868F4F">
            <w:pPr>
              <w:widowControl/>
              <w:jc w:val="center"/>
              <w:rPr>
                <w:rFonts w:ascii="宋体" w:hAnsi="宋体" w:cs="宋体"/>
                <w:b/>
                <w:bCs/>
                <w:color w:val="000000"/>
                <w:kern w:val="0"/>
                <w:sz w:val="18"/>
                <w:szCs w:val="18"/>
              </w:rPr>
            </w:pPr>
          </w:p>
        </w:tc>
        <w:tc>
          <w:tcPr>
            <w:tcW w:w="689" w:type="pct"/>
            <w:vMerge w:val="continue"/>
            <w:vAlign w:val="center"/>
          </w:tcPr>
          <w:p w14:paraId="21C29D8E">
            <w:pPr>
              <w:widowControl/>
              <w:jc w:val="center"/>
              <w:rPr>
                <w:rFonts w:ascii="宋体" w:hAnsi="宋体" w:cs="宋体"/>
                <w:b/>
                <w:bCs/>
                <w:color w:val="000000"/>
                <w:kern w:val="0"/>
                <w:sz w:val="18"/>
                <w:szCs w:val="18"/>
              </w:rPr>
            </w:pPr>
          </w:p>
        </w:tc>
        <w:tc>
          <w:tcPr>
            <w:tcW w:w="628" w:type="pct"/>
            <w:shd w:val="clear" w:color="auto" w:fill="auto"/>
            <w:vAlign w:val="center"/>
          </w:tcPr>
          <w:p w14:paraId="7C403A5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22" w:type="pct"/>
            <w:shd w:val="clear" w:color="auto" w:fill="auto"/>
            <w:vAlign w:val="center"/>
          </w:tcPr>
          <w:p w14:paraId="1554EBA4">
            <w:pPr>
              <w:widowControl/>
              <w:jc w:val="center"/>
              <w:rPr>
                <w:rFonts w:ascii="宋体" w:hAnsi="宋体" w:cs="宋体"/>
                <w:b/>
                <w:bCs/>
                <w:color w:val="000000"/>
                <w:kern w:val="0"/>
                <w:sz w:val="18"/>
                <w:szCs w:val="18"/>
              </w:rPr>
            </w:pPr>
            <w:r>
              <w:rPr>
                <w:rFonts w:hint="eastAsia" w:ascii="宋体" w:hAnsi="宋体"/>
                <w:b/>
                <w:bCs/>
                <w:color w:val="000000"/>
                <w:sz w:val="18"/>
                <w:szCs w:val="18"/>
              </w:rPr>
              <w:t>2023年发行</w:t>
            </w:r>
          </w:p>
        </w:tc>
        <w:tc>
          <w:tcPr>
            <w:tcW w:w="687" w:type="pct"/>
            <w:shd w:val="clear" w:color="auto" w:fill="auto"/>
            <w:noWrap/>
            <w:vAlign w:val="center"/>
          </w:tcPr>
          <w:p w14:paraId="6ECCA677">
            <w:pPr>
              <w:widowControl/>
              <w:jc w:val="center"/>
              <w:rPr>
                <w:rFonts w:ascii="宋体" w:hAnsi="宋体" w:cs="宋体"/>
                <w:b/>
                <w:bCs/>
                <w:color w:val="000000"/>
                <w:kern w:val="0"/>
                <w:sz w:val="18"/>
                <w:szCs w:val="18"/>
              </w:rPr>
            </w:pPr>
            <w:r>
              <w:rPr>
                <w:rFonts w:hint="eastAsia" w:ascii="宋体" w:hAnsi="宋体"/>
                <w:b/>
                <w:bCs/>
                <w:color w:val="000000"/>
                <w:sz w:val="18"/>
                <w:szCs w:val="18"/>
              </w:rPr>
              <w:t>2024年发行</w:t>
            </w:r>
          </w:p>
        </w:tc>
        <w:tc>
          <w:tcPr>
            <w:tcW w:w="687" w:type="pct"/>
            <w:shd w:val="clear" w:color="auto" w:fill="auto"/>
            <w:noWrap/>
            <w:vAlign w:val="center"/>
          </w:tcPr>
          <w:p w14:paraId="490AA9E2">
            <w:pPr>
              <w:widowControl/>
              <w:jc w:val="center"/>
              <w:rPr>
                <w:rFonts w:ascii="宋体" w:hAnsi="宋体" w:cs="宋体"/>
                <w:b/>
                <w:bCs/>
                <w:color w:val="000000"/>
                <w:kern w:val="0"/>
                <w:sz w:val="18"/>
                <w:szCs w:val="18"/>
              </w:rPr>
            </w:pPr>
            <w:r>
              <w:rPr>
                <w:rFonts w:hint="eastAsia" w:ascii="宋体" w:hAnsi="宋体"/>
                <w:b/>
                <w:bCs/>
                <w:color w:val="000000"/>
                <w:sz w:val="18"/>
                <w:szCs w:val="18"/>
              </w:rPr>
              <w:t>2025年发行</w:t>
            </w:r>
          </w:p>
        </w:tc>
        <w:tc>
          <w:tcPr>
            <w:tcW w:w="687" w:type="pct"/>
            <w:shd w:val="clear" w:color="auto" w:fill="auto"/>
            <w:noWrap/>
            <w:vAlign w:val="center"/>
          </w:tcPr>
          <w:p w14:paraId="1933DFB8">
            <w:pPr>
              <w:widowControl/>
              <w:jc w:val="center"/>
              <w:rPr>
                <w:rFonts w:ascii="宋体" w:hAnsi="宋体" w:cs="宋体"/>
                <w:b/>
                <w:bCs/>
                <w:color w:val="000000"/>
                <w:kern w:val="0"/>
                <w:sz w:val="18"/>
                <w:szCs w:val="18"/>
              </w:rPr>
            </w:pPr>
            <w:r>
              <w:rPr>
                <w:rFonts w:hint="eastAsia" w:ascii="宋体" w:hAnsi="宋体"/>
                <w:b/>
                <w:bCs/>
                <w:color w:val="000000"/>
                <w:sz w:val="18"/>
                <w:szCs w:val="18"/>
              </w:rPr>
              <w:t>2026年发行</w:t>
            </w:r>
          </w:p>
        </w:tc>
      </w:tr>
      <w:tr w14:paraId="7220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340" w:type="pct"/>
            <w:shd w:val="clear" w:color="auto" w:fill="auto"/>
            <w:noWrap/>
            <w:vAlign w:val="center"/>
          </w:tcPr>
          <w:p w14:paraId="1B634D62">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9" w:type="pct"/>
            <w:shd w:val="clear" w:color="auto" w:fill="auto"/>
            <w:noWrap/>
            <w:vAlign w:val="center"/>
          </w:tcPr>
          <w:p w14:paraId="584C7285">
            <w:pPr>
              <w:widowControl/>
              <w:jc w:val="center"/>
              <w:rPr>
                <w:rFonts w:ascii="宋体" w:hAnsi="宋体"/>
                <w:color w:val="000000"/>
                <w:kern w:val="0"/>
                <w:sz w:val="18"/>
                <w:szCs w:val="18"/>
              </w:rPr>
            </w:pPr>
            <w:r>
              <w:rPr>
                <w:rFonts w:hint="eastAsia" w:ascii="宋体" w:hAnsi="宋体"/>
                <w:sz w:val="18"/>
                <w:szCs w:val="18"/>
              </w:rPr>
              <w:t>40,706.25</w:t>
            </w:r>
          </w:p>
        </w:tc>
        <w:tc>
          <w:tcPr>
            <w:tcW w:w="689" w:type="pct"/>
            <w:shd w:val="clear" w:color="auto" w:fill="auto"/>
            <w:noWrap/>
            <w:vAlign w:val="center"/>
          </w:tcPr>
          <w:p w14:paraId="5F43BFC3">
            <w:pPr>
              <w:widowControl/>
              <w:jc w:val="center"/>
              <w:rPr>
                <w:rFonts w:ascii="宋体" w:hAnsi="宋体" w:cs="宋体"/>
                <w:color w:val="000000"/>
                <w:kern w:val="0"/>
                <w:sz w:val="18"/>
                <w:szCs w:val="18"/>
              </w:rPr>
            </w:pPr>
            <w:r>
              <w:rPr>
                <w:rFonts w:ascii="宋体" w:hAnsi="宋体"/>
                <w:sz w:val="18"/>
                <w:szCs w:val="18"/>
              </w:rPr>
              <w:t>9,706.25</w:t>
            </w:r>
          </w:p>
        </w:tc>
        <w:tc>
          <w:tcPr>
            <w:tcW w:w="628" w:type="pct"/>
            <w:shd w:val="clear" w:color="auto" w:fill="auto"/>
            <w:vAlign w:val="center"/>
          </w:tcPr>
          <w:p w14:paraId="5992A188">
            <w:pPr>
              <w:widowControl/>
              <w:jc w:val="center"/>
              <w:rPr>
                <w:rFonts w:ascii="宋体" w:hAnsi="宋体" w:cs="宋体"/>
                <w:color w:val="000000"/>
                <w:kern w:val="0"/>
                <w:sz w:val="18"/>
                <w:szCs w:val="18"/>
              </w:rPr>
            </w:pPr>
            <w:r>
              <w:rPr>
                <w:rFonts w:ascii="宋体" w:hAnsi="宋体"/>
                <w:sz w:val="18"/>
                <w:szCs w:val="18"/>
              </w:rPr>
              <w:t>31,000.00</w:t>
            </w:r>
          </w:p>
        </w:tc>
        <w:tc>
          <w:tcPr>
            <w:tcW w:w="622" w:type="pct"/>
            <w:shd w:val="clear" w:color="auto" w:fill="auto"/>
            <w:noWrap/>
            <w:vAlign w:val="center"/>
          </w:tcPr>
          <w:p w14:paraId="3238F3BF">
            <w:pPr>
              <w:widowControl/>
              <w:jc w:val="center"/>
              <w:rPr>
                <w:rFonts w:ascii="宋体" w:hAnsi="宋体" w:cs="Arial"/>
                <w:kern w:val="0"/>
                <w:sz w:val="18"/>
                <w:szCs w:val="18"/>
              </w:rPr>
            </w:pPr>
            <w:r>
              <w:rPr>
                <w:rFonts w:hint="eastAsia" w:ascii="宋体" w:hAnsi="宋体"/>
                <w:color w:val="000000"/>
                <w:sz w:val="18"/>
                <w:szCs w:val="18"/>
              </w:rPr>
              <w:t>2,500.00</w:t>
            </w:r>
          </w:p>
        </w:tc>
        <w:tc>
          <w:tcPr>
            <w:tcW w:w="687" w:type="pct"/>
            <w:shd w:val="clear" w:color="auto" w:fill="auto"/>
            <w:noWrap/>
            <w:vAlign w:val="center"/>
          </w:tcPr>
          <w:p w14:paraId="11F2780C">
            <w:pPr>
              <w:widowControl/>
              <w:jc w:val="center"/>
              <w:rPr>
                <w:rFonts w:ascii="宋体" w:hAnsi="宋体" w:cs="Arial"/>
                <w:kern w:val="0"/>
                <w:sz w:val="18"/>
                <w:szCs w:val="18"/>
              </w:rPr>
            </w:pPr>
            <w:r>
              <w:rPr>
                <w:rFonts w:hint="eastAsia" w:ascii="宋体" w:hAnsi="宋体"/>
                <w:color w:val="000000"/>
                <w:sz w:val="18"/>
                <w:szCs w:val="18"/>
              </w:rPr>
              <w:t>4,000.00</w:t>
            </w:r>
          </w:p>
        </w:tc>
        <w:tc>
          <w:tcPr>
            <w:tcW w:w="687" w:type="pct"/>
            <w:shd w:val="clear" w:color="auto" w:fill="auto"/>
            <w:noWrap/>
            <w:vAlign w:val="center"/>
          </w:tcPr>
          <w:p w14:paraId="2495BB1F">
            <w:pPr>
              <w:widowControl/>
              <w:jc w:val="center"/>
              <w:rPr>
                <w:rFonts w:ascii="宋体" w:hAnsi="宋体" w:cs="Arial"/>
                <w:kern w:val="0"/>
                <w:sz w:val="18"/>
                <w:szCs w:val="18"/>
              </w:rPr>
            </w:pPr>
            <w:r>
              <w:rPr>
                <w:rFonts w:hint="eastAsia" w:ascii="宋体" w:hAnsi="宋体"/>
                <w:color w:val="000000"/>
                <w:sz w:val="18"/>
                <w:szCs w:val="18"/>
              </w:rPr>
              <w:t>20,000.00</w:t>
            </w:r>
          </w:p>
        </w:tc>
        <w:tc>
          <w:tcPr>
            <w:tcW w:w="687" w:type="pct"/>
            <w:shd w:val="clear" w:color="auto" w:fill="auto"/>
            <w:noWrap/>
            <w:vAlign w:val="center"/>
          </w:tcPr>
          <w:p w14:paraId="62EF8F18">
            <w:pPr>
              <w:widowControl/>
              <w:jc w:val="center"/>
              <w:rPr>
                <w:rFonts w:ascii="宋体" w:hAnsi="宋体" w:cs="Arial"/>
                <w:kern w:val="0"/>
                <w:sz w:val="18"/>
                <w:szCs w:val="18"/>
              </w:rPr>
            </w:pPr>
            <w:r>
              <w:rPr>
                <w:rFonts w:hint="eastAsia" w:ascii="宋体" w:hAnsi="宋体"/>
                <w:color w:val="000000"/>
                <w:sz w:val="18"/>
                <w:szCs w:val="18"/>
              </w:rPr>
              <w:t>4,500.00</w:t>
            </w:r>
          </w:p>
        </w:tc>
      </w:tr>
    </w:tbl>
    <w:p w14:paraId="4F6A95E6">
      <w:pPr>
        <w:pStyle w:val="20"/>
        <w:spacing w:before="156" w:beforeLines="50" w:beforeAutospacing="0" w:after="156" w:afterLines="50" w:afterAutospacing="0" w:line="360" w:lineRule="auto"/>
        <w:ind w:firstLine="480" w:firstLineChars="200"/>
        <w:jc w:val="both"/>
        <w:rPr>
          <w:sz w:val="24"/>
          <w:szCs w:val="24"/>
        </w:rPr>
      </w:pPr>
      <w:r>
        <w:rPr>
          <w:rFonts w:hint="eastAsia"/>
          <w:sz w:val="24"/>
          <w:szCs w:val="24"/>
        </w:rPr>
        <w:t>按照发行方案及筹资计划，本次拟发行项目的总投资估算为</w:t>
      </w:r>
      <w:r>
        <w:rPr>
          <w:sz w:val="24"/>
          <w:szCs w:val="24"/>
        </w:rPr>
        <w:t>40,706.25</w:t>
      </w:r>
      <w:r>
        <w:rPr>
          <w:rFonts w:hint="eastAsia"/>
          <w:sz w:val="24"/>
          <w:szCs w:val="24"/>
        </w:rPr>
        <w:t>万元，通过自筹资金、申请专项债券等途径解决，其一，自筹资金</w:t>
      </w:r>
      <w:r>
        <w:rPr>
          <w:sz w:val="24"/>
          <w:szCs w:val="24"/>
        </w:rPr>
        <w:t>9,706.25</w:t>
      </w:r>
      <w:r>
        <w:rPr>
          <w:rFonts w:hint="eastAsia"/>
          <w:sz w:val="24"/>
          <w:szCs w:val="24"/>
        </w:rPr>
        <w:t>万元；其二，拟发行专项债券</w:t>
      </w:r>
      <w:r>
        <w:rPr>
          <w:sz w:val="24"/>
          <w:szCs w:val="24"/>
        </w:rPr>
        <w:t>31,000.00</w:t>
      </w:r>
      <w:r>
        <w:rPr>
          <w:rFonts w:hint="eastAsia"/>
          <w:sz w:val="24"/>
          <w:szCs w:val="24"/>
        </w:rPr>
        <w:t>万元，发行期限</w:t>
      </w:r>
      <w:r>
        <w:rPr>
          <w:sz w:val="24"/>
          <w:szCs w:val="24"/>
        </w:rPr>
        <w:t>7</w:t>
      </w:r>
      <w:r>
        <w:rPr>
          <w:rFonts w:hint="eastAsia"/>
          <w:sz w:val="24"/>
          <w:szCs w:val="24"/>
        </w:rPr>
        <w:t>年，其中，202</w:t>
      </w:r>
      <w:r>
        <w:rPr>
          <w:sz w:val="24"/>
          <w:szCs w:val="24"/>
        </w:rPr>
        <w:t>3</w:t>
      </w:r>
      <w:r>
        <w:rPr>
          <w:rFonts w:hint="eastAsia"/>
          <w:sz w:val="24"/>
          <w:szCs w:val="24"/>
        </w:rPr>
        <w:t>年已发行2,</w:t>
      </w:r>
      <w:r>
        <w:rPr>
          <w:sz w:val="24"/>
          <w:szCs w:val="24"/>
        </w:rPr>
        <w:t>5</w:t>
      </w:r>
      <w:r>
        <w:rPr>
          <w:rFonts w:hint="eastAsia"/>
          <w:sz w:val="24"/>
          <w:szCs w:val="24"/>
        </w:rPr>
        <w:t>00.00万元，2</w:t>
      </w:r>
      <w:r>
        <w:rPr>
          <w:sz w:val="24"/>
          <w:szCs w:val="24"/>
        </w:rPr>
        <w:t>024</w:t>
      </w:r>
      <w:r>
        <w:rPr>
          <w:rFonts w:hint="eastAsia"/>
          <w:sz w:val="24"/>
          <w:szCs w:val="24"/>
        </w:rPr>
        <w:t>年本期申请发行4,000.00万元，202</w:t>
      </w:r>
      <w:r>
        <w:rPr>
          <w:sz w:val="24"/>
          <w:szCs w:val="24"/>
        </w:rPr>
        <w:t>5</w:t>
      </w:r>
      <w:r>
        <w:rPr>
          <w:rFonts w:hint="eastAsia"/>
          <w:sz w:val="24"/>
          <w:szCs w:val="24"/>
        </w:rPr>
        <w:t>年计划发行20,000.00万元，202</w:t>
      </w:r>
      <w:r>
        <w:rPr>
          <w:sz w:val="24"/>
          <w:szCs w:val="24"/>
        </w:rPr>
        <w:t>6</w:t>
      </w:r>
      <w:r>
        <w:rPr>
          <w:rFonts w:hint="eastAsia"/>
          <w:sz w:val="24"/>
          <w:szCs w:val="24"/>
        </w:rPr>
        <w:t>年计划发行</w:t>
      </w:r>
      <w:r>
        <w:rPr>
          <w:sz w:val="24"/>
          <w:szCs w:val="24"/>
        </w:rPr>
        <w:t>4,500.00</w:t>
      </w:r>
      <w:r>
        <w:rPr>
          <w:rFonts w:hint="eastAsia"/>
          <w:sz w:val="24"/>
          <w:szCs w:val="24"/>
        </w:rPr>
        <w:t>万元。</w:t>
      </w:r>
    </w:p>
    <w:p w14:paraId="2C35164D">
      <w:pPr>
        <w:pStyle w:val="20"/>
        <w:spacing w:after="156" w:afterLines="50" w:line="360" w:lineRule="auto"/>
        <w:ind w:firstLine="480" w:firstLineChars="200"/>
        <w:rPr>
          <w:sz w:val="24"/>
          <w:szCs w:val="24"/>
        </w:rPr>
      </w:pPr>
      <w:r>
        <w:rPr>
          <w:rFonts w:hint="eastAsia"/>
          <w:sz w:val="24"/>
          <w:szCs w:val="24"/>
        </w:rPr>
        <w:t>根据《南昌县金湖管理处柏林村 (城市棚户区改造) 一期安置房项目可行性研究报告》（以下简称“可研报告”），南昌县金湖管理处柏林村 (城市棚户区改造) 一期安置房项目项目建设内容为：本项目总用地面积为 37675.36 平方米 (56.51 亩) ，总建筑面积 111390.32 平方米，其中：计容建筑面积 87638. 11 平方米 (1-7#高层住 宅 79825.23 平方米、物业管理用房 465.75 平方米、社区管理服务设施 1004.40 平方米、社区居家养老服务设施 343.61 平方米、社区卫生服务 站 131.29 平方米、消防控制室 57.72 平方米、17#农贸市场 2970.68 平方 米、商业 2471.35 平方米、垃圾收集站 125.40 平方米、开闭所 91.53 平 方米、门卫 31.08 平方米、公厕 61.62 平方米、人防疏散楼梯 58.45 平方 米) ，不计容建筑面积 23752.21 平方米 (其中设备风井 40.07 平方米、架空层面积 706.46 平方米、地下室建筑面积 23005.68 平方米 (其中人 防面积为 3708.00 平方米含 1500 人防医疗救助站) ) ，容积率 2.33 ，建 筑密度 21.90% ，建筑占地面积 8250.87 平方米，绿地率 30.05% ，总机 动车停车位 873 个 (地上机动车停车位 234 个、地下机动车停车位 639 个) ，非机动车停车位 1039 个，居住人口 2394 人，居住户数 748。根据可研报告及其批复，本项目静态总投资估算详见表1-1；项目建设期内的年度资金计划表详见表1-2。</w:t>
      </w:r>
    </w:p>
    <w:p w14:paraId="0839F48C">
      <w:pPr>
        <w:pStyle w:val="20"/>
        <w:spacing w:before="0" w:beforeAutospacing="0" w:after="156" w:afterLines="50" w:afterAutospacing="0" w:line="360" w:lineRule="exact"/>
        <w:ind w:firstLine="420" w:firstLineChars="200"/>
        <w:jc w:val="center"/>
        <w:rPr>
          <w:sz w:val="21"/>
          <w:szCs w:val="21"/>
        </w:rPr>
      </w:pPr>
      <w:r>
        <w:rPr>
          <w:rFonts w:hint="eastAsia"/>
          <w:b/>
          <w:sz w:val="21"/>
          <w:szCs w:val="21"/>
        </w:rPr>
        <w:t>表1-</w:t>
      </w:r>
      <w:r>
        <w:rPr>
          <w:b/>
          <w:sz w:val="21"/>
          <w:szCs w:val="21"/>
        </w:rPr>
        <w:t xml:space="preserve">1  </w:t>
      </w:r>
      <w:r>
        <w:rPr>
          <w:rFonts w:hint="eastAsia"/>
          <w:b/>
          <w:sz w:val="21"/>
          <w:szCs w:val="21"/>
        </w:rPr>
        <w:t>项目静态总投资估算表</w:t>
      </w:r>
    </w:p>
    <w:p w14:paraId="0ED7696B">
      <w:pPr>
        <w:pStyle w:val="20"/>
        <w:spacing w:before="0" w:beforeAutospacing="0" w:after="156" w:afterLines="50" w:afterAutospacing="0" w:line="360" w:lineRule="exact"/>
        <w:ind w:firstLine="360" w:firstLineChars="200"/>
        <w:jc w:val="right"/>
        <w:rPr>
          <w:sz w:val="21"/>
          <w:szCs w:val="21"/>
        </w:rPr>
      </w:pPr>
      <w:r>
        <w:rPr>
          <w:rFonts w:hint="eastAsia"/>
          <w:sz w:val="18"/>
          <w:szCs w:val="18"/>
        </w:rPr>
        <w:t>单位：万元</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3548"/>
        <w:gridCol w:w="3248"/>
      </w:tblGrid>
      <w:tr w14:paraId="690D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2" w:type="pct"/>
            <w:shd w:val="clear" w:color="auto" w:fill="auto"/>
            <w:noWrap/>
            <w:vAlign w:val="center"/>
          </w:tcPr>
          <w:p w14:paraId="31FA724D">
            <w:pPr>
              <w:widowControl/>
              <w:jc w:val="center"/>
              <w:rPr>
                <w:rFonts w:ascii="宋体" w:hAnsi="宋体" w:cs="宋体"/>
                <w:b/>
                <w:bCs/>
                <w:kern w:val="0"/>
                <w:sz w:val="18"/>
                <w:szCs w:val="18"/>
              </w:rPr>
            </w:pPr>
            <w:r>
              <w:rPr>
                <w:rFonts w:hint="eastAsia" w:ascii="宋体" w:hAnsi="宋体" w:cs="宋体"/>
                <w:b/>
                <w:bCs/>
                <w:kern w:val="0"/>
                <w:sz w:val="18"/>
                <w:szCs w:val="18"/>
              </w:rPr>
              <w:t>序号</w:t>
            </w:r>
          </w:p>
        </w:tc>
        <w:tc>
          <w:tcPr>
            <w:tcW w:w="2035" w:type="pct"/>
            <w:shd w:val="clear" w:color="auto" w:fill="auto"/>
            <w:noWrap/>
            <w:vAlign w:val="center"/>
          </w:tcPr>
          <w:p w14:paraId="72BB6054">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1864" w:type="pct"/>
            <w:shd w:val="clear" w:color="auto" w:fill="auto"/>
            <w:noWrap/>
            <w:vAlign w:val="center"/>
          </w:tcPr>
          <w:p w14:paraId="0F651102">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582C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102" w:type="pct"/>
            <w:shd w:val="clear" w:color="auto" w:fill="auto"/>
            <w:noWrap/>
            <w:vAlign w:val="center"/>
          </w:tcPr>
          <w:p w14:paraId="2E26A6B3">
            <w:pPr>
              <w:widowControl/>
              <w:jc w:val="center"/>
              <w:rPr>
                <w:rFonts w:ascii="宋体" w:hAnsi="宋体" w:cs="宋体"/>
                <w:kern w:val="0"/>
                <w:sz w:val="18"/>
                <w:szCs w:val="18"/>
              </w:rPr>
            </w:pPr>
            <w:r>
              <w:rPr>
                <w:rFonts w:hint="eastAsia" w:ascii="宋体" w:hAnsi="宋体" w:cs="宋体"/>
                <w:kern w:val="0"/>
                <w:sz w:val="18"/>
                <w:szCs w:val="18"/>
              </w:rPr>
              <w:t>1</w:t>
            </w:r>
          </w:p>
        </w:tc>
        <w:tc>
          <w:tcPr>
            <w:tcW w:w="2035" w:type="pct"/>
            <w:shd w:val="clear" w:color="auto" w:fill="auto"/>
            <w:vAlign w:val="center"/>
          </w:tcPr>
          <w:p w14:paraId="1461E308">
            <w:pPr>
              <w:widowControl/>
              <w:jc w:val="center"/>
              <w:rPr>
                <w:rFonts w:ascii="宋体" w:hAnsi="宋体" w:cs="宋体"/>
                <w:kern w:val="0"/>
                <w:sz w:val="18"/>
                <w:szCs w:val="18"/>
              </w:rPr>
            </w:pPr>
            <w:r>
              <w:rPr>
                <w:rFonts w:hint="eastAsia" w:ascii="宋体" w:hAnsi="宋体" w:cs="宋体"/>
                <w:kern w:val="0"/>
                <w:sz w:val="18"/>
                <w:szCs w:val="18"/>
              </w:rPr>
              <w:t>工程费用</w:t>
            </w:r>
          </w:p>
        </w:tc>
        <w:tc>
          <w:tcPr>
            <w:tcW w:w="1864" w:type="pct"/>
            <w:shd w:val="clear" w:color="auto" w:fill="auto"/>
          </w:tcPr>
          <w:p w14:paraId="4C988663">
            <w:pPr>
              <w:widowControl/>
              <w:jc w:val="center"/>
              <w:rPr>
                <w:rFonts w:ascii="宋体" w:hAnsi="宋体" w:cs="宋体"/>
                <w:kern w:val="0"/>
                <w:sz w:val="18"/>
                <w:szCs w:val="18"/>
              </w:rPr>
            </w:pPr>
            <w:r>
              <w:rPr>
                <w:rFonts w:ascii="宋体" w:hAnsi="宋体" w:cs="宋体"/>
                <w:kern w:val="0"/>
                <w:sz w:val="18"/>
                <w:szCs w:val="18"/>
              </w:rPr>
              <w:t xml:space="preserve"> 30,874.00 </w:t>
            </w:r>
          </w:p>
        </w:tc>
      </w:tr>
      <w:tr w14:paraId="0DC9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2" w:type="pct"/>
            <w:shd w:val="clear" w:color="auto" w:fill="auto"/>
            <w:noWrap/>
            <w:vAlign w:val="center"/>
          </w:tcPr>
          <w:p w14:paraId="7CA2E551">
            <w:pPr>
              <w:widowControl/>
              <w:jc w:val="center"/>
              <w:rPr>
                <w:rFonts w:ascii="宋体" w:hAnsi="宋体" w:cs="宋体"/>
                <w:kern w:val="0"/>
                <w:sz w:val="18"/>
                <w:szCs w:val="18"/>
              </w:rPr>
            </w:pPr>
            <w:r>
              <w:rPr>
                <w:rFonts w:hint="eastAsia" w:ascii="宋体" w:hAnsi="宋体" w:cs="宋体"/>
                <w:kern w:val="0"/>
                <w:sz w:val="18"/>
                <w:szCs w:val="18"/>
              </w:rPr>
              <w:t>2</w:t>
            </w:r>
          </w:p>
        </w:tc>
        <w:tc>
          <w:tcPr>
            <w:tcW w:w="2035" w:type="pct"/>
            <w:shd w:val="clear" w:color="auto" w:fill="auto"/>
            <w:vAlign w:val="center"/>
          </w:tcPr>
          <w:p w14:paraId="52514ABC">
            <w:pPr>
              <w:widowControl/>
              <w:jc w:val="center"/>
              <w:rPr>
                <w:rFonts w:ascii="宋体" w:hAnsi="宋体" w:cs="宋体"/>
                <w:kern w:val="0"/>
                <w:sz w:val="18"/>
                <w:szCs w:val="18"/>
              </w:rPr>
            </w:pPr>
            <w:r>
              <w:rPr>
                <w:rFonts w:hint="eastAsia" w:ascii="宋体" w:hAnsi="宋体" w:cs="宋体"/>
                <w:kern w:val="0"/>
                <w:sz w:val="18"/>
                <w:szCs w:val="18"/>
              </w:rPr>
              <w:t>工程建设其他费用</w:t>
            </w:r>
          </w:p>
        </w:tc>
        <w:tc>
          <w:tcPr>
            <w:tcW w:w="1864" w:type="pct"/>
            <w:shd w:val="clear" w:color="auto" w:fill="auto"/>
          </w:tcPr>
          <w:p w14:paraId="576D3596">
            <w:pPr>
              <w:widowControl/>
              <w:jc w:val="center"/>
              <w:rPr>
                <w:rFonts w:ascii="宋体" w:hAnsi="宋体" w:cs="宋体"/>
                <w:kern w:val="0"/>
                <w:sz w:val="18"/>
                <w:szCs w:val="18"/>
              </w:rPr>
            </w:pPr>
            <w:r>
              <w:rPr>
                <w:rFonts w:ascii="宋体" w:hAnsi="宋体" w:cs="宋体"/>
                <w:kern w:val="0"/>
                <w:sz w:val="18"/>
                <w:szCs w:val="18"/>
              </w:rPr>
              <w:t xml:space="preserve"> 5,500.00 </w:t>
            </w:r>
          </w:p>
        </w:tc>
      </w:tr>
      <w:tr w14:paraId="359D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102" w:type="pct"/>
            <w:shd w:val="clear" w:color="auto" w:fill="auto"/>
            <w:noWrap/>
            <w:vAlign w:val="center"/>
          </w:tcPr>
          <w:p w14:paraId="6A095573">
            <w:pPr>
              <w:widowControl/>
              <w:jc w:val="center"/>
              <w:rPr>
                <w:rFonts w:ascii="宋体" w:hAnsi="宋体" w:cs="宋体"/>
                <w:kern w:val="0"/>
                <w:sz w:val="18"/>
                <w:szCs w:val="18"/>
              </w:rPr>
            </w:pPr>
            <w:r>
              <w:rPr>
                <w:rFonts w:hint="eastAsia" w:ascii="宋体" w:hAnsi="宋体" w:cs="宋体"/>
                <w:kern w:val="0"/>
                <w:sz w:val="18"/>
                <w:szCs w:val="18"/>
              </w:rPr>
              <w:t>3</w:t>
            </w:r>
          </w:p>
        </w:tc>
        <w:tc>
          <w:tcPr>
            <w:tcW w:w="2035" w:type="pct"/>
            <w:shd w:val="clear" w:color="auto" w:fill="auto"/>
            <w:vAlign w:val="center"/>
          </w:tcPr>
          <w:p w14:paraId="48FF3C7F">
            <w:pPr>
              <w:widowControl/>
              <w:jc w:val="center"/>
              <w:rPr>
                <w:rFonts w:ascii="宋体" w:hAnsi="宋体" w:cs="宋体"/>
                <w:kern w:val="0"/>
                <w:sz w:val="18"/>
                <w:szCs w:val="18"/>
              </w:rPr>
            </w:pPr>
            <w:r>
              <w:rPr>
                <w:rFonts w:hint="eastAsia" w:ascii="宋体" w:hAnsi="宋体" w:cs="宋体"/>
                <w:kern w:val="0"/>
                <w:sz w:val="18"/>
                <w:szCs w:val="18"/>
              </w:rPr>
              <w:t>预备费</w:t>
            </w:r>
          </w:p>
        </w:tc>
        <w:tc>
          <w:tcPr>
            <w:tcW w:w="1864" w:type="pct"/>
            <w:shd w:val="clear" w:color="auto" w:fill="auto"/>
          </w:tcPr>
          <w:p w14:paraId="3F4326B9">
            <w:pPr>
              <w:widowControl/>
              <w:jc w:val="center"/>
              <w:rPr>
                <w:rFonts w:ascii="宋体" w:hAnsi="宋体" w:cs="宋体"/>
                <w:kern w:val="0"/>
                <w:sz w:val="18"/>
                <w:szCs w:val="18"/>
              </w:rPr>
            </w:pPr>
            <w:r>
              <w:rPr>
                <w:rFonts w:ascii="宋体" w:hAnsi="宋体" w:cs="宋体"/>
                <w:kern w:val="0"/>
                <w:sz w:val="18"/>
                <w:szCs w:val="18"/>
              </w:rPr>
              <w:t xml:space="preserve"> 3,000.00 </w:t>
            </w:r>
          </w:p>
        </w:tc>
      </w:tr>
      <w:tr w14:paraId="3524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136" w:type="pct"/>
            <w:gridSpan w:val="2"/>
            <w:shd w:val="clear" w:color="auto" w:fill="auto"/>
            <w:noWrap/>
            <w:vAlign w:val="center"/>
          </w:tcPr>
          <w:p w14:paraId="4F5B892E">
            <w:pPr>
              <w:widowControl/>
              <w:jc w:val="center"/>
              <w:rPr>
                <w:rFonts w:ascii="宋体" w:hAnsi="宋体" w:cs="宋体"/>
                <w:b/>
                <w:bCs/>
                <w:kern w:val="0"/>
                <w:sz w:val="18"/>
                <w:szCs w:val="18"/>
              </w:rPr>
            </w:pPr>
            <w:r>
              <w:rPr>
                <w:rFonts w:hint="eastAsia" w:ascii="宋体" w:hAnsi="宋体" w:cs="宋体"/>
                <w:b/>
                <w:bCs/>
                <w:kern w:val="0"/>
                <w:sz w:val="18"/>
                <w:szCs w:val="18"/>
              </w:rPr>
              <w:t>项目静态总投资</w:t>
            </w:r>
          </w:p>
        </w:tc>
        <w:tc>
          <w:tcPr>
            <w:tcW w:w="1864" w:type="pct"/>
            <w:shd w:val="clear" w:color="auto" w:fill="auto"/>
            <w:vAlign w:val="center"/>
          </w:tcPr>
          <w:p w14:paraId="6CF8F620">
            <w:pPr>
              <w:widowControl/>
              <w:jc w:val="center"/>
              <w:rPr>
                <w:rFonts w:ascii="宋体" w:hAnsi="宋体" w:cs="宋体"/>
                <w:kern w:val="0"/>
                <w:sz w:val="18"/>
                <w:szCs w:val="18"/>
              </w:rPr>
            </w:pPr>
            <w:r>
              <w:rPr>
                <w:rFonts w:hint="eastAsia" w:ascii="宋体" w:hAnsi="宋体" w:cs="宋体"/>
                <w:kern w:val="0"/>
                <w:sz w:val="18"/>
                <w:szCs w:val="18"/>
              </w:rPr>
              <w:t xml:space="preserve">39,374.00 </w:t>
            </w:r>
          </w:p>
        </w:tc>
      </w:tr>
    </w:tbl>
    <w:p w14:paraId="6A0079D2">
      <w:pPr>
        <w:spacing w:before="156" w:beforeLines="50" w:line="360" w:lineRule="auto"/>
        <w:ind w:firstLine="420" w:firstLineChars="200"/>
        <w:jc w:val="center"/>
        <w:rPr>
          <w:rFonts w:ascii="宋体" w:hAnsi="宋体" w:cs="仿宋"/>
          <w:b/>
          <w:bCs/>
          <w:szCs w:val="28"/>
        </w:rPr>
      </w:pPr>
    </w:p>
    <w:p w14:paraId="3AB7BFF8">
      <w:pPr>
        <w:spacing w:before="156" w:beforeLines="50" w:line="360" w:lineRule="auto"/>
        <w:ind w:firstLine="420" w:firstLineChars="200"/>
        <w:jc w:val="center"/>
        <w:rPr>
          <w:rFonts w:ascii="宋体" w:hAnsi="宋体" w:cs="仿宋"/>
          <w:b/>
          <w:bCs/>
          <w:szCs w:val="28"/>
        </w:rPr>
      </w:pPr>
      <w:r>
        <w:rPr>
          <w:rFonts w:hint="eastAsia" w:ascii="宋体" w:hAnsi="宋体" w:cs="仿宋"/>
          <w:b/>
          <w:bCs/>
          <w:szCs w:val="28"/>
        </w:rPr>
        <w:t>表1-2</w:t>
      </w:r>
      <w:r>
        <w:rPr>
          <w:rFonts w:ascii="宋体" w:hAnsi="宋体" w:cs="仿宋"/>
          <w:b/>
          <w:bCs/>
          <w:szCs w:val="28"/>
        </w:rPr>
        <w:t xml:space="preserve"> </w:t>
      </w:r>
      <w:r>
        <w:rPr>
          <w:rFonts w:hint="eastAsia" w:ascii="宋体" w:hAnsi="宋体" w:cs="仿宋"/>
          <w:b/>
          <w:bCs/>
          <w:szCs w:val="28"/>
        </w:rPr>
        <w:t xml:space="preserve"> 项目分年度支出计划表</w:t>
      </w:r>
    </w:p>
    <w:p w14:paraId="28F4EDD4">
      <w:pPr>
        <w:ind w:firstLine="360" w:firstLineChars="200"/>
        <w:jc w:val="right"/>
        <w:rPr>
          <w:rFonts w:ascii="宋体" w:hAnsi="宋体" w:cs="仿宋"/>
          <w:b/>
          <w:bCs/>
          <w:sz w:val="18"/>
          <w:szCs w:val="18"/>
        </w:rPr>
      </w:pPr>
      <w:r>
        <w:rPr>
          <w:rFonts w:hint="eastAsia"/>
          <w:sz w:val="18"/>
          <w:szCs w:val="18"/>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933"/>
        <w:gridCol w:w="1285"/>
        <w:gridCol w:w="1273"/>
        <w:gridCol w:w="1222"/>
        <w:gridCol w:w="1135"/>
        <w:gridCol w:w="1201"/>
      </w:tblGrid>
      <w:tr w14:paraId="32F1A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3" w:type="pct"/>
            <w:shd w:val="clear" w:color="auto" w:fill="auto"/>
            <w:vAlign w:val="center"/>
          </w:tcPr>
          <w:p w14:paraId="2C458077">
            <w:pPr>
              <w:widowControl/>
              <w:jc w:val="center"/>
              <w:rPr>
                <w:rFonts w:ascii="宋体" w:hAnsi="宋体" w:cs="宋体"/>
                <w:b/>
                <w:bCs/>
                <w:kern w:val="0"/>
                <w:sz w:val="18"/>
                <w:szCs w:val="18"/>
              </w:rPr>
            </w:pPr>
            <w:r>
              <w:rPr>
                <w:rFonts w:hint="eastAsia" w:ascii="宋体" w:hAnsi="宋体" w:cs="宋体"/>
                <w:b/>
                <w:bCs/>
                <w:sz w:val="18"/>
                <w:szCs w:val="18"/>
              </w:rPr>
              <w:t>序号</w:t>
            </w:r>
          </w:p>
        </w:tc>
        <w:tc>
          <w:tcPr>
            <w:tcW w:w="1109" w:type="pct"/>
            <w:shd w:val="clear" w:color="auto" w:fill="auto"/>
            <w:vAlign w:val="center"/>
          </w:tcPr>
          <w:p w14:paraId="0A56A1F2">
            <w:pPr>
              <w:jc w:val="center"/>
              <w:rPr>
                <w:rFonts w:ascii="宋体" w:hAnsi="宋体" w:cs="宋体"/>
                <w:b/>
                <w:bCs/>
                <w:sz w:val="18"/>
                <w:szCs w:val="18"/>
              </w:rPr>
            </w:pPr>
            <w:r>
              <w:rPr>
                <w:rFonts w:hint="eastAsia" w:ascii="宋体" w:hAnsi="宋体" w:cs="宋体"/>
                <w:b/>
                <w:bCs/>
                <w:sz w:val="18"/>
                <w:szCs w:val="18"/>
              </w:rPr>
              <w:t>费用类型</w:t>
            </w:r>
          </w:p>
        </w:tc>
        <w:tc>
          <w:tcPr>
            <w:tcW w:w="737" w:type="pct"/>
            <w:shd w:val="clear" w:color="auto" w:fill="auto"/>
            <w:vAlign w:val="center"/>
          </w:tcPr>
          <w:p w14:paraId="5040BD8E">
            <w:pPr>
              <w:widowControl/>
              <w:jc w:val="center"/>
              <w:textAlignment w:val="center"/>
              <w:rPr>
                <w:rFonts w:ascii="宋体" w:hAnsi="宋体" w:cs="宋体"/>
                <w:b/>
                <w:bCs/>
                <w:sz w:val="18"/>
                <w:szCs w:val="18"/>
              </w:rPr>
            </w:pPr>
            <w:r>
              <w:rPr>
                <w:rFonts w:hint="eastAsia" w:ascii="宋体" w:hAnsi="宋体" w:cs="宋体"/>
                <w:b/>
                <w:kern w:val="0"/>
                <w:sz w:val="18"/>
                <w:szCs w:val="18"/>
                <w:lang w:bidi="ar"/>
              </w:rPr>
              <w:t>小计</w:t>
            </w:r>
          </w:p>
        </w:tc>
        <w:tc>
          <w:tcPr>
            <w:tcW w:w="730" w:type="pct"/>
            <w:vAlign w:val="center"/>
          </w:tcPr>
          <w:p w14:paraId="13667088">
            <w:pPr>
              <w:widowControl/>
              <w:jc w:val="center"/>
              <w:textAlignment w:val="center"/>
              <w:rPr>
                <w:rFonts w:ascii="宋体" w:hAnsi="宋体" w:cs="宋体"/>
                <w:b/>
                <w:bCs/>
                <w:sz w:val="18"/>
                <w:szCs w:val="18"/>
              </w:rPr>
            </w:pPr>
            <w:r>
              <w:rPr>
                <w:rFonts w:hint="eastAsia"/>
                <w:b/>
                <w:bCs/>
                <w:color w:val="000000"/>
                <w:sz w:val="18"/>
                <w:szCs w:val="18"/>
              </w:rPr>
              <w:t xml:space="preserve"> 2023年 </w:t>
            </w:r>
          </w:p>
        </w:tc>
        <w:tc>
          <w:tcPr>
            <w:tcW w:w="701" w:type="pct"/>
            <w:shd w:val="clear" w:color="auto" w:fill="auto"/>
            <w:vAlign w:val="center"/>
          </w:tcPr>
          <w:p w14:paraId="4598DC02">
            <w:pPr>
              <w:widowControl/>
              <w:jc w:val="center"/>
              <w:textAlignment w:val="center"/>
              <w:rPr>
                <w:rFonts w:ascii="宋体" w:hAnsi="宋体" w:cs="宋体"/>
                <w:b/>
                <w:bCs/>
                <w:sz w:val="18"/>
                <w:szCs w:val="18"/>
              </w:rPr>
            </w:pPr>
            <w:r>
              <w:rPr>
                <w:rFonts w:hint="eastAsia"/>
                <w:b/>
                <w:bCs/>
                <w:color w:val="000000"/>
                <w:sz w:val="18"/>
                <w:szCs w:val="18"/>
              </w:rPr>
              <w:t xml:space="preserve"> 2024年 </w:t>
            </w:r>
          </w:p>
        </w:tc>
        <w:tc>
          <w:tcPr>
            <w:tcW w:w="651" w:type="pct"/>
            <w:shd w:val="clear" w:color="auto" w:fill="auto"/>
            <w:vAlign w:val="center"/>
          </w:tcPr>
          <w:p w14:paraId="10F50926">
            <w:pPr>
              <w:widowControl/>
              <w:jc w:val="center"/>
              <w:textAlignment w:val="center"/>
              <w:rPr>
                <w:rFonts w:ascii="宋体" w:hAnsi="宋体" w:cs="宋体"/>
                <w:b/>
                <w:bCs/>
                <w:sz w:val="18"/>
                <w:szCs w:val="18"/>
              </w:rPr>
            </w:pPr>
            <w:r>
              <w:rPr>
                <w:rFonts w:hint="eastAsia"/>
                <w:b/>
                <w:bCs/>
                <w:color w:val="000000"/>
                <w:sz w:val="18"/>
                <w:szCs w:val="18"/>
              </w:rPr>
              <w:t xml:space="preserve"> 2025年 </w:t>
            </w:r>
          </w:p>
        </w:tc>
        <w:tc>
          <w:tcPr>
            <w:tcW w:w="689" w:type="pct"/>
            <w:shd w:val="clear" w:color="auto" w:fill="auto"/>
            <w:vAlign w:val="center"/>
          </w:tcPr>
          <w:p w14:paraId="00C359CA">
            <w:pPr>
              <w:widowControl/>
              <w:jc w:val="center"/>
              <w:textAlignment w:val="center"/>
              <w:rPr>
                <w:rFonts w:ascii="宋体" w:hAnsi="宋体" w:cs="宋体"/>
                <w:b/>
                <w:kern w:val="0"/>
                <w:sz w:val="18"/>
                <w:szCs w:val="18"/>
                <w:lang w:bidi="ar"/>
              </w:rPr>
            </w:pPr>
            <w:r>
              <w:rPr>
                <w:rFonts w:hint="eastAsia"/>
                <w:b/>
                <w:bCs/>
                <w:color w:val="000000"/>
                <w:sz w:val="18"/>
                <w:szCs w:val="18"/>
              </w:rPr>
              <w:t xml:space="preserve"> 2026年 </w:t>
            </w:r>
          </w:p>
        </w:tc>
      </w:tr>
      <w:tr w14:paraId="2F68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3" w:type="pct"/>
            <w:shd w:val="clear" w:color="auto" w:fill="auto"/>
            <w:vAlign w:val="center"/>
          </w:tcPr>
          <w:p w14:paraId="6CBB5C99">
            <w:pPr>
              <w:jc w:val="center"/>
              <w:rPr>
                <w:rFonts w:ascii="宋体" w:hAnsi="宋体" w:cs="宋体"/>
                <w:b/>
                <w:bCs/>
                <w:sz w:val="18"/>
                <w:szCs w:val="18"/>
              </w:rPr>
            </w:pPr>
            <w:r>
              <w:rPr>
                <w:rFonts w:hint="eastAsia" w:ascii="宋体" w:hAnsi="宋体" w:cs="宋体"/>
                <w:b/>
                <w:bCs/>
                <w:sz w:val="18"/>
                <w:szCs w:val="18"/>
              </w:rPr>
              <w:t>1</w:t>
            </w:r>
          </w:p>
        </w:tc>
        <w:tc>
          <w:tcPr>
            <w:tcW w:w="1109" w:type="pct"/>
            <w:shd w:val="clear" w:color="auto" w:fill="auto"/>
            <w:vAlign w:val="center"/>
          </w:tcPr>
          <w:p w14:paraId="24E6EA4F">
            <w:pPr>
              <w:jc w:val="center"/>
              <w:rPr>
                <w:rFonts w:ascii="宋体" w:hAnsi="宋体" w:cs="宋体"/>
                <w:sz w:val="18"/>
                <w:szCs w:val="18"/>
              </w:rPr>
            </w:pPr>
            <w:r>
              <w:rPr>
                <w:rFonts w:hint="eastAsia" w:ascii="宋体" w:hAnsi="宋体" w:cs="宋体"/>
                <w:sz w:val="18"/>
                <w:szCs w:val="18"/>
              </w:rPr>
              <w:t>工程费用</w:t>
            </w:r>
          </w:p>
        </w:tc>
        <w:tc>
          <w:tcPr>
            <w:tcW w:w="737" w:type="pct"/>
            <w:shd w:val="clear" w:color="auto" w:fill="auto"/>
            <w:vAlign w:val="center"/>
          </w:tcPr>
          <w:p w14:paraId="7E5923B0">
            <w:pPr>
              <w:widowControl/>
              <w:jc w:val="center"/>
              <w:rPr>
                <w:rFonts w:ascii="宋体" w:hAnsi="宋体" w:cs="宋体"/>
                <w:kern w:val="0"/>
                <w:sz w:val="18"/>
                <w:szCs w:val="18"/>
              </w:rPr>
            </w:pPr>
            <w:r>
              <w:rPr>
                <w:rFonts w:ascii="宋体" w:hAnsi="宋体" w:cs="宋体"/>
                <w:kern w:val="0"/>
                <w:sz w:val="18"/>
                <w:szCs w:val="18"/>
              </w:rPr>
              <w:t xml:space="preserve"> 30,874.00 </w:t>
            </w:r>
          </w:p>
        </w:tc>
        <w:tc>
          <w:tcPr>
            <w:tcW w:w="730" w:type="pct"/>
            <w:shd w:val="clear" w:color="auto" w:fill="auto"/>
            <w:vAlign w:val="center"/>
          </w:tcPr>
          <w:p w14:paraId="44190385">
            <w:pPr>
              <w:widowControl/>
              <w:jc w:val="center"/>
              <w:rPr>
                <w:rFonts w:ascii="宋体" w:hAnsi="宋体" w:cs="宋体"/>
                <w:kern w:val="0"/>
                <w:sz w:val="18"/>
                <w:szCs w:val="18"/>
              </w:rPr>
            </w:pPr>
            <w:r>
              <w:rPr>
                <w:rFonts w:ascii="宋体" w:hAnsi="宋体" w:cs="宋体"/>
                <w:kern w:val="0"/>
                <w:sz w:val="18"/>
                <w:szCs w:val="18"/>
              </w:rPr>
              <w:t xml:space="preserve"> 1,201.00 </w:t>
            </w:r>
          </w:p>
        </w:tc>
        <w:tc>
          <w:tcPr>
            <w:tcW w:w="701" w:type="pct"/>
            <w:shd w:val="clear" w:color="auto" w:fill="auto"/>
            <w:vAlign w:val="center"/>
          </w:tcPr>
          <w:p w14:paraId="5434A14F">
            <w:pPr>
              <w:widowControl/>
              <w:jc w:val="center"/>
              <w:rPr>
                <w:rFonts w:ascii="宋体" w:hAnsi="宋体" w:cs="宋体"/>
                <w:kern w:val="0"/>
                <w:sz w:val="18"/>
                <w:szCs w:val="18"/>
              </w:rPr>
            </w:pPr>
            <w:r>
              <w:rPr>
                <w:rFonts w:ascii="宋体" w:hAnsi="宋体" w:cs="宋体"/>
                <w:kern w:val="0"/>
                <w:sz w:val="18"/>
                <w:szCs w:val="18"/>
              </w:rPr>
              <w:t xml:space="preserve"> 12,000.00 </w:t>
            </w:r>
          </w:p>
        </w:tc>
        <w:tc>
          <w:tcPr>
            <w:tcW w:w="651" w:type="pct"/>
            <w:shd w:val="clear" w:color="auto" w:fill="auto"/>
            <w:vAlign w:val="center"/>
          </w:tcPr>
          <w:p w14:paraId="297566CA">
            <w:pPr>
              <w:widowControl/>
              <w:jc w:val="center"/>
              <w:rPr>
                <w:rFonts w:ascii="宋体" w:hAnsi="宋体" w:cs="宋体"/>
                <w:kern w:val="0"/>
                <w:sz w:val="18"/>
                <w:szCs w:val="18"/>
              </w:rPr>
            </w:pPr>
            <w:r>
              <w:rPr>
                <w:rFonts w:ascii="宋体" w:hAnsi="宋体" w:cs="宋体"/>
                <w:kern w:val="0"/>
                <w:sz w:val="18"/>
                <w:szCs w:val="18"/>
              </w:rPr>
              <w:t xml:space="preserve">13,000.00 </w:t>
            </w:r>
          </w:p>
        </w:tc>
        <w:tc>
          <w:tcPr>
            <w:tcW w:w="689" w:type="pct"/>
            <w:shd w:val="clear" w:color="auto" w:fill="auto"/>
            <w:vAlign w:val="center"/>
          </w:tcPr>
          <w:p w14:paraId="77E9C3EE">
            <w:pPr>
              <w:widowControl/>
              <w:jc w:val="center"/>
              <w:rPr>
                <w:rFonts w:ascii="宋体" w:hAnsi="宋体" w:cs="宋体"/>
                <w:kern w:val="0"/>
                <w:sz w:val="18"/>
                <w:szCs w:val="18"/>
              </w:rPr>
            </w:pPr>
            <w:r>
              <w:rPr>
                <w:rFonts w:ascii="宋体" w:hAnsi="宋体" w:cs="宋体"/>
                <w:kern w:val="0"/>
                <w:sz w:val="18"/>
                <w:szCs w:val="18"/>
              </w:rPr>
              <w:t xml:space="preserve"> 4,673.00 </w:t>
            </w:r>
          </w:p>
        </w:tc>
      </w:tr>
      <w:tr w14:paraId="1333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3" w:type="pct"/>
            <w:shd w:val="clear" w:color="auto" w:fill="auto"/>
            <w:vAlign w:val="center"/>
          </w:tcPr>
          <w:p w14:paraId="440B1DEB">
            <w:pPr>
              <w:jc w:val="center"/>
              <w:rPr>
                <w:rFonts w:ascii="宋体" w:hAnsi="宋体" w:cs="宋体"/>
                <w:b/>
                <w:bCs/>
                <w:sz w:val="18"/>
                <w:szCs w:val="18"/>
              </w:rPr>
            </w:pPr>
            <w:r>
              <w:rPr>
                <w:rFonts w:hint="eastAsia" w:ascii="宋体" w:hAnsi="宋体" w:cs="宋体"/>
                <w:b/>
                <w:bCs/>
                <w:sz w:val="18"/>
                <w:szCs w:val="18"/>
              </w:rPr>
              <w:t>2</w:t>
            </w:r>
          </w:p>
        </w:tc>
        <w:tc>
          <w:tcPr>
            <w:tcW w:w="1109" w:type="pct"/>
            <w:shd w:val="clear" w:color="auto" w:fill="auto"/>
            <w:vAlign w:val="center"/>
          </w:tcPr>
          <w:p w14:paraId="21EA7FDB">
            <w:pPr>
              <w:jc w:val="center"/>
              <w:rPr>
                <w:rFonts w:ascii="宋体" w:hAnsi="宋体" w:cs="宋体"/>
                <w:sz w:val="18"/>
                <w:szCs w:val="18"/>
              </w:rPr>
            </w:pPr>
            <w:r>
              <w:rPr>
                <w:rFonts w:hint="eastAsia" w:ascii="宋体" w:hAnsi="宋体" w:cs="宋体"/>
                <w:sz w:val="18"/>
                <w:szCs w:val="18"/>
              </w:rPr>
              <w:t>工程建设其他费用</w:t>
            </w:r>
          </w:p>
        </w:tc>
        <w:tc>
          <w:tcPr>
            <w:tcW w:w="737" w:type="pct"/>
            <w:shd w:val="clear" w:color="auto" w:fill="auto"/>
            <w:vAlign w:val="center"/>
          </w:tcPr>
          <w:p w14:paraId="02C8174D">
            <w:pPr>
              <w:widowControl/>
              <w:jc w:val="center"/>
              <w:rPr>
                <w:rFonts w:ascii="宋体" w:hAnsi="宋体" w:cs="宋体"/>
                <w:kern w:val="0"/>
                <w:sz w:val="18"/>
                <w:szCs w:val="18"/>
              </w:rPr>
            </w:pPr>
            <w:r>
              <w:rPr>
                <w:rFonts w:ascii="宋体" w:hAnsi="宋体" w:cs="宋体"/>
                <w:kern w:val="0"/>
                <w:sz w:val="18"/>
                <w:szCs w:val="18"/>
              </w:rPr>
              <w:t xml:space="preserve"> 5,500.00 </w:t>
            </w:r>
          </w:p>
        </w:tc>
        <w:tc>
          <w:tcPr>
            <w:tcW w:w="730" w:type="pct"/>
            <w:shd w:val="clear" w:color="auto" w:fill="auto"/>
            <w:vAlign w:val="center"/>
          </w:tcPr>
          <w:p w14:paraId="55E8A295">
            <w:pPr>
              <w:widowControl/>
              <w:jc w:val="center"/>
              <w:rPr>
                <w:rFonts w:ascii="宋体" w:hAnsi="宋体" w:cs="宋体"/>
                <w:kern w:val="0"/>
                <w:sz w:val="18"/>
                <w:szCs w:val="18"/>
              </w:rPr>
            </w:pPr>
            <w:r>
              <w:rPr>
                <w:rFonts w:ascii="宋体" w:hAnsi="宋体" w:cs="宋体"/>
                <w:kern w:val="0"/>
                <w:sz w:val="18"/>
                <w:szCs w:val="18"/>
              </w:rPr>
              <w:t xml:space="preserve"> 500.00 </w:t>
            </w:r>
          </w:p>
        </w:tc>
        <w:tc>
          <w:tcPr>
            <w:tcW w:w="701" w:type="pct"/>
            <w:shd w:val="clear" w:color="auto" w:fill="auto"/>
            <w:vAlign w:val="center"/>
          </w:tcPr>
          <w:p w14:paraId="615E3954">
            <w:pPr>
              <w:widowControl/>
              <w:jc w:val="center"/>
              <w:rPr>
                <w:rFonts w:ascii="宋体" w:hAnsi="宋体" w:cs="宋体"/>
                <w:kern w:val="0"/>
                <w:sz w:val="18"/>
                <w:szCs w:val="18"/>
              </w:rPr>
            </w:pPr>
            <w:r>
              <w:rPr>
                <w:rFonts w:ascii="宋体" w:hAnsi="宋体" w:cs="宋体"/>
                <w:kern w:val="0"/>
                <w:sz w:val="18"/>
                <w:szCs w:val="18"/>
              </w:rPr>
              <w:t xml:space="preserve"> 2,000.00 </w:t>
            </w:r>
          </w:p>
        </w:tc>
        <w:tc>
          <w:tcPr>
            <w:tcW w:w="651" w:type="pct"/>
            <w:shd w:val="clear" w:color="auto" w:fill="auto"/>
            <w:vAlign w:val="center"/>
          </w:tcPr>
          <w:p w14:paraId="60106A54">
            <w:pPr>
              <w:widowControl/>
              <w:jc w:val="center"/>
              <w:rPr>
                <w:rFonts w:ascii="宋体" w:hAnsi="宋体" w:cs="宋体"/>
                <w:kern w:val="0"/>
                <w:sz w:val="18"/>
                <w:szCs w:val="18"/>
              </w:rPr>
            </w:pPr>
            <w:r>
              <w:rPr>
                <w:rFonts w:ascii="宋体" w:hAnsi="宋体" w:cs="宋体"/>
                <w:kern w:val="0"/>
                <w:sz w:val="18"/>
                <w:szCs w:val="18"/>
              </w:rPr>
              <w:t xml:space="preserve"> 2,000.00 </w:t>
            </w:r>
          </w:p>
        </w:tc>
        <w:tc>
          <w:tcPr>
            <w:tcW w:w="689" w:type="pct"/>
            <w:shd w:val="clear" w:color="auto" w:fill="auto"/>
            <w:vAlign w:val="center"/>
          </w:tcPr>
          <w:p w14:paraId="46A9EEA9">
            <w:pPr>
              <w:widowControl/>
              <w:jc w:val="center"/>
              <w:rPr>
                <w:rFonts w:ascii="宋体" w:hAnsi="宋体" w:cs="宋体"/>
                <w:kern w:val="0"/>
                <w:sz w:val="18"/>
                <w:szCs w:val="18"/>
              </w:rPr>
            </w:pPr>
            <w:r>
              <w:rPr>
                <w:rFonts w:ascii="宋体" w:hAnsi="宋体" w:cs="宋体"/>
                <w:kern w:val="0"/>
                <w:sz w:val="18"/>
                <w:szCs w:val="18"/>
              </w:rPr>
              <w:t xml:space="preserve"> 1,000.00 </w:t>
            </w:r>
          </w:p>
        </w:tc>
      </w:tr>
      <w:tr w14:paraId="4083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83" w:type="pct"/>
            <w:shd w:val="clear" w:color="auto" w:fill="auto"/>
            <w:vAlign w:val="center"/>
          </w:tcPr>
          <w:p w14:paraId="173814E5">
            <w:pPr>
              <w:jc w:val="center"/>
              <w:rPr>
                <w:rFonts w:ascii="宋体" w:hAnsi="宋体" w:cs="宋体"/>
                <w:b/>
                <w:bCs/>
                <w:sz w:val="18"/>
                <w:szCs w:val="18"/>
              </w:rPr>
            </w:pPr>
            <w:r>
              <w:rPr>
                <w:rFonts w:hint="eastAsia" w:ascii="宋体" w:hAnsi="宋体" w:cs="宋体"/>
                <w:b/>
                <w:bCs/>
                <w:sz w:val="18"/>
                <w:szCs w:val="18"/>
              </w:rPr>
              <w:t>3</w:t>
            </w:r>
          </w:p>
        </w:tc>
        <w:tc>
          <w:tcPr>
            <w:tcW w:w="1109" w:type="pct"/>
            <w:shd w:val="clear" w:color="auto" w:fill="auto"/>
            <w:vAlign w:val="center"/>
          </w:tcPr>
          <w:p w14:paraId="76159065">
            <w:pPr>
              <w:jc w:val="center"/>
              <w:rPr>
                <w:rFonts w:ascii="宋体" w:hAnsi="宋体" w:cs="宋体"/>
                <w:sz w:val="18"/>
                <w:szCs w:val="18"/>
              </w:rPr>
            </w:pPr>
            <w:r>
              <w:rPr>
                <w:rFonts w:hint="eastAsia" w:ascii="宋体" w:hAnsi="宋体" w:cs="宋体"/>
                <w:sz w:val="18"/>
                <w:szCs w:val="18"/>
              </w:rPr>
              <w:t>预备费</w:t>
            </w:r>
          </w:p>
        </w:tc>
        <w:tc>
          <w:tcPr>
            <w:tcW w:w="737" w:type="pct"/>
            <w:shd w:val="clear" w:color="auto" w:fill="auto"/>
            <w:vAlign w:val="center"/>
          </w:tcPr>
          <w:p w14:paraId="5F37738D">
            <w:pPr>
              <w:widowControl/>
              <w:jc w:val="center"/>
              <w:rPr>
                <w:rFonts w:ascii="宋体" w:hAnsi="宋体" w:cs="宋体"/>
                <w:kern w:val="0"/>
                <w:sz w:val="18"/>
                <w:szCs w:val="18"/>
              </w:rPr>
            </w:pPr>
            <w:r>
              <w:rPr>
                <w:rFonts w:ascii="宋体" w:hAnsi="宋体" w:cs="宋体"/>
                <w:kern w:val="0"/>
                <w:sz w:val="18"/>
                <w:szCs w:val="18"/>
              </w:rPr>
              <w:t xml:space="preserve"> 3,000.00 </w:t>
            </w:r>
          </w:p>
        </w:tc>
        <w:tc>
          <w:tcPr>
            <w:tcW w:w="730" w:type="pct"/>
            <w:shd w:val="clear" w:color="auto" w:fill="auto"/>
            <w:vAlign w:val="center"/>
          </w:tcPr>
          <w:p w14:paraId="4A9684FA">
            <w:pPr>
              <w:widowControl/>
              <w:jc w:val="center"/>
              <w:rPr>
                <w:rFonts w:ascii="宋体" w:hAnsi="宋体" w:cs="宋体"/>
                <w:kern w:val="0"/>
                <w:sz w:val="18"/>
                <w:szCs w:val="18"/>
              </w:rPr>
            </w:pPr>
            <w:r>
              <w:rPr>
                <w:rFonts w:ascii="宋体" w:hAnsi="宋体" w:cs="宋体"/>
                <w:kern w:val="0"/>
                <w:sz w:val="18"/>
                <w:szCs w:val="18"/>
              </w:rPr>
              <w:t xml:space="preserve"> 500.00 </w:t>
            </w:r>
          </w:p>
        </w:tc>
        <w:tc>
          <w:tcPr>
            <w:tcW w:w="701" w:type="pct"/>
            <w:shd w:val="clear" w:color="auto" w:fill="auto"/>
            <w:vAlign w:val="center"/>
          </w:tcPr>
          <w:p w14:paraId="2D2D0A69">
            <w:pPr>
              <w:widowControl/>
              <w:jc w:val="center"/>
              <w:rPr>
                <w:rFonts w:ascii="宋体" w:hAnsi="宋体" w:cs="宋体"/>
                <w:kern w:val="0"/>
                <w:sz w:val="18"/>
                <w:szCs w:val="18"/>
              </w:rPr>
            </w:pPr>
            <w:r>
              <w:rPr>
                <w:rFonts w:ascii="宋体" w:hAnsi="宋体" w:cs="宋体"/>
                <w:kern w:val="0"/>
                <w:sz w:val="18"/>
                <w:szCs w:val="18"/>
              </w:rPr>
              <w:t xml:space="preserve"> 1,000.00 </w:t>
            </w:r>
          </w:p>
        </w:tc>
        <w:tc>
          <w:tcPr>
            <w:tcW w:w="651" w:type="pct"/>
            <w:shd w:val="clear" w:color="auto" w:fill="auto"/>
            <w:vAlign w:val="center"/>
          </w:tcPr>
          <w:p w14:paraId="78602C63">
            <w:pPr>
              <w:widowControl/>
              <w:jc w:val="center"/>
              <w:rPr>
                <w:rFonts w:ascii="宋体" w:hAnsi="宋体" w:cs="宋体"/>
                <w:kern w:val="0"/>
                <w:sz w:val="18"/>
                <w:szCs w:val="18"/>
              </w:rPr>
            </w:pPr>
            <w:r>
              <w:rPr>
                <w:rFonts w:ascii="宋体" w:hAnsi="宋体" w:cs="宋体"/>
                <w:kern w:val="0"/>
                <w:sz w:val="18"/>
                <w:szCs w:val="18"/>
              </w:rPr>
              <w:t xml:space="preserve"> 1,000.00 </w:t>
            </w:r>
          </w:p>
        </w:tc>
        <w:tc>
          <w:tcPr>
            <w:tcW w:w="689" w:type="pct"/>
            <w:shd w:val="clear" w:color="auto" w:fill="auto"/>
            <w:vAlign w:val="center"/>
          </w:tcPr>
          <w:p w14:paraId="2475721E">
            <w:pPr>
              <w:widowControl/>
              <w:jc w:val="center"/>
              <w:rPr>
                <w:rFonts w:ascii="宋体" w:hAnsi="宋体" w:cs="宋体"/>
                <w:kern w:val="0"/>
                <w:sz w:val="18"/>
                <w:szCs w:val="18"/>
              </w:rPr>
            </w:pPr>
            <w:r>
              <w:rPr>
                <w:rFonts w:ascii="宋体" w:hAnsi="宋体" w:cs="宋体"/>
                <w:kern w:val="0"/>
                <w:sz w:val="18"/>
                <w:szCs w:val="18"/>
              </w:rPr>
              <w:t xml:space="preserve"> 500.00 </w:t>
            </w:r>
          </w:p>
        </w:tc>
      </w:tr>
      <w:tr w14:paraId="4634C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492" w:type="pct"/>
            <w:gridSpan w:val="2"/>
            <w:shd w:val="clear" w:color="auto" w:fill="auto"/>
            <w:vAlign w:val="center"/>
          </w:tcPr>
          <w:p w14:paraId="1FE236C4">
            <w:pPr>
              <w:jc w:val="center"/>
              <w:rPr>
                <w:rFonts w:ascii="宋体" w:hAnsi="宋体" w:cs="宋体"/>
                <w:b/>
                <w:bCs/>
                <w:sz w:val="18"/>
                <w:szCs w:val="18"/>
              </w:rPr>
            </w:pPr>
            <w:r>
              <w:rPr>
                <w:rFonts w:hint="eastAsia" w:ascii="宋体" w:hAnsi="宋体" w:cs="宋体"/>
                <w:b/>
                <w:bCs/>
                <w:sz w:val="18"/>
                <w:szCs w:val="18"/>
              </w:rPr>
              <w:t>本次建设项目支出总计</w:t>
            </w:r>
          </w:p>
        </w:tc>
        <w:tc>
          <w:tcPr>
            <w:tcW w:w="737" w:type="pct"/>
            <w:shd w:val="clear" w:color="auto" w:fill="auto"/>
            <w:vAlign w:val="center"/>
          </w:tcPr>
          <w:p w14:paraId="6638F318">
            <w:pPr>
              <w:widowControl/>
              <w:jc w:val="center"/>
              <w:rPr>
                <w:rFonts w:ascii="宋体" w:hAnsi="宋体" w:cs="宋体"/>
                <w:kern w:val="0"/>
                <w:sz w:val="18"/>
                <w:szCs w:val="18"/>
              </w:rPr>
            </w:pPr>
            <w:r>
              <w:rPr>
                <w:rFonts w:hint="eastAsia" w:ascii="宋体" w:hAnsi="宋体" w:cs="宋体"/>
                <w:kern w:val="0"/>
                <w:sz w:val="18"/>
                <w:szCs w:val="18"/>
              </w:rPr>
              <w:t xml:space="preserve">39,374.00 </w:t>
            </w:r>
          </w:p>
        </w:tc>
        <w:tc>
          <w:tcPr>
            <w:tcW w:w="730" w:type="pct"/>
            <w:shd w:val="clear" w:color="auto" w:fill="auto"/>
            <w:vAlign w:val="center"/>
          </w:tcPr>
          <w:p w14:paraId="01DC6F7A">
            <w:pPr>
              <w:widowControl/>
              <w:jc w:val="center"/>
              <w:textAlignment w:val="center"/>
              <w:rPr>
                <w:rFonts w:ascii="宋体" w:hAnsi="宋体" w:cs="宋体"/>
                <w:kern w:val="0"/>
                <w:sz w:val="18"/>
                <w:szCs w:val="18"/>
              </w:rPr>
            </w:pPr>
            <w:r>
              <w:rPr>
                <w:rFonts w:hint="eastAsia" w:ascii="宋体" w:hAnsi="宋体" w:cs="宋体"/>
                <w:kern w:val="0"/>
                <w:sz w:val="18"/>
                <w:szCs w:val="18"/>
              </w:rPr>
              <w:t xml:space="preserve"> 2,201.00 </w:t>
            </w:r>
          </w:p>
        </w:tc>
        <w:tc>
          <w:tcPr>
            <w:tcW w:w="701" w:type="pct"/>
            <w:shd w:val="clear" w:color="auto" w:fill="auto"/>
            <w:vAlign w:val="center"/>
          </w:tcPr>
          <w:p w14:paraId="0FBA5899">
            <w:pPr>
              <w:widowControl/>
              <w:jc w:val="center"/>
              <w:textAlignment w:val="center"/>
              <w:rPr>
                <w:rFonts w:ascii="宋体" w:hAnsi="宋体" w:cs="宋体"/>
                <w:kern w:val="0"/>
                <w:sz w:val="18"/>
                <w:szCs w:val="18"/>
              </w:rPr>
            </w:pPr>
            <w:r>
              <w:rPr>
                <w:rFonts w:hint="eastAsia" w:ascii="宋体" w:hAnsi="宋体" w:cs="宋体"/>
                <w:kern w:val="0"/>
                <w:sz w:val="18"/>
                <w:szCs w:val="18"/>
              </w:rPr>
              <w:t xml:space="preserve"> 15,000.00 </w:t>
            </w:r>
          </w:p>
        </w:tc>
        <w:tc>
          <w:tcPr>
            <w:tcW w:w="651" w:type="pct"/>
            <w:shd w:val="clear" w:color="auto" w:fill="auto"/>
            <w:vAlign w:val="center"/>
          </w:tcPr>
          <w:p w14:paraId="6814AF52">
            <w:pPr>
              <w:widowControl/>
              <w:jc w:val="center"/>
              <w:textAlignment w:val="center"/>
              <w:rPr>
                <w:rFonts w:ascii="宋体" w:hAnsi="宋体" w:cs="宋体"/>
                <w:kern w:val="0"/>
                <w:sz w:val="18"/>
                <w:szCs w:val="18"/>
              </w:rPr>
            </w:pPr>
            <w:r>
              <w:rPr>
                <w:rFonts w:hint="eastAsia" w:ascii="宋体" w:hAnsi="宋体" w:cs="宋体"/>
                <w:kern w:val="0"/>
                <w:sz w:val="18"/>
                <w:szCs w:val="18"/>
              </w:rPr>
              <w:t xml:space="preserve">16,000.00 </w:t>
            </w:r>
          </w:p>
        </w:tc>
        <w:tc>
          <w:tcPr>
            <w:tcW w:w="689" w:type="pct"/>
            <w:shd w:val="clear" w:color="auto" w:fill="auto"/>
            <w:vAlign w:val="center"/>
          </w:tcPr>
          <w:p w14:paraId="6264AC56">
            <w:pPr>
              <w:widowControl/>
              <w:jc w:val="center"/>
              <w:textAlignment w:val="center"/>
              <w:rPr>
                <w:rFonts w:ascii="宋体" w:hAnsi="宋体" w:cs="宋体"/>
                <w:kern w:val="0"/>
                <w:sz w:val="18"/>
                <w:szCs w:val="18"/>
              </w:rPr>
            </w:pPr>
            <w:r>
              <w:rPr>
                <w:rFonts w:hint="eastAsia" w:ascii="宋体" w:hAnsi="宋体" w:cs="宋体"/>
                <w:kern w:val="0"/>
                <w:sz w:val="18"/>
                <w:szCs w:val="18"/>
              </w:rPr>
              <w:t xml:space="preserve"> 6,173.00 </w:t>
            </w:r>
          </w:p>
        </w:tc>
      </w:tr>
    </w:tbl>
    <w:p w14:paraId="09349DDD">
      <w:pPr>
        <w:pStyle w:val="20"/>
        <w:spacing w:before="0" w:beforeAutospacing="0" w:after="156" w:afterLines="50" w:afterAutospacing="0" w:line="360" w:lineRule="exact"/>
        <w:ind w:firstLine="360"/>
        <w:jc w:val="both"/>
        <w:rPr>
          <w:sz w:val="18"/>
          <w:szCs w:val="18"/>
        </w:rPr>
      </w:pPr>
      <w:r>
        <w:rPr>
          <w:rFonts w:hint="eastAsia"/>
          <w:sz w:val="18"/>
          <w:szCs w:val="18"/>
        </w:rPr>
        <w:t>注：1、项目建设期36个月。</w:t>
      </w:r>
    </w:p>
    <w:p w14:paraId="19A1C633">
      <w:pPr>
        <w:pStyle w:val="20"/>
        <w:spacing w:before="0" w:beforeAutospacing="0" w:after="156" w:afterLines="50" w:afterAutospacing="0" w:line="360" w:lineRule="exact"/>
        <w:ind w:firstLine="360"/>
        <w:jc w:val="both"/>
        <w:rPr>
          <w:sz w:val="18"/>
          <w:szCs w:val="18"/>
        </w:rPr>
      </w:pPr>
      <w:r>
        <w:rPr>
          <w:sz w:val="18"/>
          <w:szCs w:val="18"/>
        </w:rPr>
        <w:t>2</w:t>
      </w:r>
      <w:r>
        <w:rPr>
          <w:rFonts w:hint="eastAsia"/>
          <w:sz w:val="18"/>
          <w:szCs w:val="18"/>
        </w:rPr>
        <w:t>、项目分年度支出计划上表中仅考虑静态总投资部分，建设期利息在资金充足性分析表中反映。</w:t>
      </w:r>
    </w:p>
    <w:p w14:paraId="03F03335">
      <w:pPr>
        <w:widowControl/>
        <w:spacing w:line="560" w:lineRule="exact"/>
        <w:ind w:firstLine="560" w:firstLineChars="200"/>
        <w:jc w:val="left"/>
        <w:outlineLvl w:val="0"/>
        <w:rPr>
          <w:rFonts w:ascii="黑体" w:hAnsi="黑体" w:eastAsia="黑体" w:cs="黑体"/>
          <w:sz w:val="28"/>
          <w:szCs w:val="28"/>
        </w:rPr>
      </w:pPr>
      <w:bookmarkStart w:id="157" w:name="_Toc11935"/>
      <w:r>
        <w:rPr>
          <w:rFonts w:hint="eastAsia" w:ascii="黑体" w:hAnsi="黑体" w:eastAsia="黑体" w:cs="黑体"/>
          <w:sz w:val="28"/>
          <w:szCs w:val="28"/>
        </w:rPr>
        <w:t>二、项目投资估算及资金筹措方案</w:t>
      </w:r>
      <w:bookmarkEnd w:id="157"/>
    </w:p>
    <w:p w14:paraId="5CD9B387">
      <w:pPr>
        <w:widowControl/>
        <w:spacing w:line="560" w:lineRule="exact"/>
        <w:ind w:firstLine="560" w:firstLineChars="200"/>
        <w:jc w:val="left"/>
        <w:outlineLvl w:val="1"/>
        <w:rPr>
          <w:rFonts w:ascii="楷体" w:hAnsi="楷体" w:eastAsia="楷体" w:cs="楷体"/>
          <w:b/>
          <w:bCs/>
          <w:sz w:val="28"/>
          <w:szCs w:val="28"/>
        </w:rPr>
      </w:pPr>
      <w:bookmarkStart w:id="158" w:name="_Toc16521"/>
      <w:r>
        <w:rPr>
          <w:rFonts w:hint="eastAsia" w:ascii="楷体" w:hAnsi="楷体" w:eastAsia="楷体" w:cs="楷体"/>
          <w:b/>
          <w:bCs/>
          <w:sz w:val="28"/>
          <w:szCs w:val="28"/>
        </w:rPr>
        <w:t>（一）投资估算</w:t>
      </w:r>
      <w:bookmarkEnd w:id="158"/>
    </w:p>
    <w:p w14:paraId="1CEE6BC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1、估算编制依据</w:t>
      </w:r>
    </w:p>
    <w:p w14:paraId="76CA10F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1)关于南昌县行政审批局《关于南昌县金湖管理处柏林村 (城市棚户区改造) 一期安置房项目可行性研究报告的批复》（南发改投字【2022】15号)</w:t>
      </w:r>
    </w:p>
    <w:p w14:paraId="454BEB55">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2)财政部《关于试点发展项目收益与融资自求平衡的地方政府专项债券品种的通知》（财预〔2017〕89号文）；</w:t>
      </w:r>
    </w:p>
    <w:p w14:paraId="06DB431C">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3)财政部《关于做好2018年地方政府债券发行工作的意见》（财库〔2018〕61号）；</w:t>
      </w:r>
    </w:p>
    <w:p w14:paraId="1A2CC77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4)《国家鼓励发展的资源节约综合利用和环境保护技术》（国家发展改革委令[2005]第65号）；</w:t>
      </w:r>
    </w:p>
    <w:p w14:paraId="47A0EE5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5)《中华人民共和国电力法（2015年修正）》（国家主席令[2015]第24号）；</w:t>
      </w:r>
    </w:p>
    <w:p w14:paraId="300E7C0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6)《水利建设项目经济评价规范》（SL72-2013）；</w:t>
      </w:r>
    </w:p>
    <w:p w14:paraId="6F89CD12">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7)《水电建设项目经济评价规范》（DL/T5441-2010）；</w:t>
      </w:r>
    </w:p>
    <w:p w14:paraId="6AECD28E">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8) 《唐村一期安置房可行性研究报告》；</w:t>
      </w:r>
    </w:p>
    <w:p w14:paraId="3C9E3C3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9)建设工程规划设计要求（蓝协（2018）第001号）；</w:t>
      </w:r>
    </w:p>
    <w:p w14:paraId="62421B8C">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2、费率及参数</w:t>
      </w:r>
    </w:p>
    <w:p w14:paraId="6E9BC7E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本项目从客观、谨慎角度出发、发行利率取3.7%进行测算，本次债券发行按照每年付息，到期一次性还本的方式。另外，按0.1%费率计算债券发行费用，符合专项债发行现状。</w:t>
      </w:r>
    </w:p>
    <w:p w14:paraId="6A1AD698">
      <w:pPr>
        <w:widowControl/>
        <w:spacing w:line="560" w:lineRule="exact"/>
        <w:ind w:firstLine="560" w:firstLineChars="200"/>
        <w:jc w:val="left"/>
        <w:outlineLvl w:val="1"/>
        <w:rPr>
          <w:rFonts w:ascii="楷体" w:hAnsi="楷体" w:eastAsia="楷体" w:cs="楷体"/>
          <w:b/>
          <w:bCs/>
          <w:sz w:val="28"/>
          <w:szCs w:val="28"/>
        </w:rPr>
      </w:pPr>
      <w:bookmarkStart w:id="159" w:name="_Toc27465"/>
      <w:r>
        <w:rPr>
          <w:rFonts w:hint="eastAsia" w:ascii="楷体" w:hAnsi="楷体" w:eastAsia="楷体" w:cs="楷体"/>
          <w:b/>
          <w:bCs/>
          <w:sz w:val="28"/>
          <w:szCs w:val="28"/>
        </w:rPr>
        <w:t>（二）资金筹措方案</w:t>
      </w:r>
      <w:bookmarkEnd w:id="159"/>
    </w:p>
    <w:p w14:paraId="562CB0CF">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1、资金筹措原则</w:t>
      </w:r>
    </w:p>
    <w:p w14:paraId="19BEE884">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本次资金筹措遵循以下原则：</w:t>
      </w:r>
    </w:p>
    <w:p w14:paraId="2126BCB5">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（1）项目投入一定资本金，保证项目顺利开工及后续融资的可能；</w:t>
      </w:r>
    </w:p>
    <w:p w14:paraId="60583C56">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（2）发行地方政府专项债券、其他融资。</w:t>
      </w:r>
    </w:p>
    <w:p w14:paraId="670662BD">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2、资金筹措方案</w:t>
      </w:r>
    </w:p>
    <w:p w14:paraId="1FEDDC5B">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考虑资金成本，结合本次发行项目实际情况，为降低资金成本，减轻财务负担，提高资金流动性，保障项目现金流最大化，本项目投资人根据国家相关规定，初步确定项目资金来源如下：</w:t>
      </w:r>
    </w:p>
    <w:p w14:paraId="57E0E57D">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其中：自筹资金9,706.25万元，占总投资比例2</w:t>
      </w:r>
      <w:r>
        <w:rPr>
          <w:rFonts w:hint="eastAsia" w:ascii="宋体" w:hAnsi="宋体" w:eastAsia="宋体" w:cs="宋体"/>
          <w:bCs/>
          <w:sz w:val="24"/>
          <w:szCs w:val="24"/>
          <w:lang w:val="en-US" w:eastAsia="zh-CN"/>
        </w:rPr>
        <w:t>3.84</w:t>
      </w:r>
      <w:r>
        <w:rPr>
          <w:rFonts w:hint="eastAsia" w:ascii="宋体" w:hAnsi="宋体" w:eastAsia="宋体" w:cs="宋体"/>
          <w:bCs/>
          <w:sz w:val="24"/>
          <w:szCs w:val="24"/>
        </w:rPr>
        <w:t>%；发行专项债券31000.00万元，期限</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年，占总投资的7</w:t>
      </w:r>
      <w:r>
        <w:rPr>
          <w:rFonts w:hint="eastAsia" w:ascii="宋体" w:hAnsi="宋体" w:eastAsia="宋体" w:cs="宋体"/>
          <w:bCs/>
          <w:sz w:val="24"/>
          <w:szCs w:val="24"/>
          <w:lang w:val="en-US" w:eastAsia="zh-CN"/>
        </w:rPr>
        <w:t>6.16</w:t>
      </w:r>
      <w:r>
        <w:rPr>
          <w:rFonts w:hint="eastAsia" w:ascii="宋体" w:hAnsi="宋体" w:eastAsia="宋体" w:cs="宋体"/>
          <w:bCs/>
          <w:sz w:val="24"/>
          <w:szCs w:val="24"/>
        </w:rPr>
        <w:t>%。</w:t>
      </w:r>
    </w:p>
    <w:p w14:paraId="6C263088">
      <w:pPr>
        <w:widowControl/>
        <w:spacing w:line="560" w:lineRule="exact"/>
        <w:ind w:firstLine="560" w:firstLineChars="200"/>
        <w:jc w:val="left"/>
        <w:outlineLvl w:val="0"/>
        <w:rPr>
          <w:rFonts w:ascii="黑体" w:hAnsi="黑体" w:eastAsia="黑体" w:cs="黑体"/>
          <w:sz w:val="28"/>
          <w:szCs w:val="28"/>
        </w:rPr>
      </w:pPr>
      <w:bookmarkStart w:id="160" w:name="_Toc10109"/>
      <w:r>
        <w:rPr>
          <w:rFonts w:hint="eastAsia" w:ascii="黑体" w:hAnsi="黑体" w:eastAsia="黑体" w:cs="黑体"/>
          <w:sz w:val="28"/>
          <w:szCs w:val="28"/>
        </w:rPr>
        <w:t>三、项目预期收益、成本及融资平衡情况</w:t>
      </w:r>
      <w:bookmarkEnd w:id="160"/>
    </w:p>
    <w:p w14:paraId="31A88442">
      <w:pPr>
        <w:widowControl/>
        <w:spacing w:line="560" w:lineRule="exact"/>
        <w:ind w:firstLine="560" w:firstLineChars="200"/>
        <w:jc w:val="left"/>
        <w:outlineLvl w:val="1"/>
        <w:rPr>
          <w:rFonts w:ascii="楷体" w:hAnsi="楷体" w:eastAsia="楷体" w:cs="楷体"/>
          <w:b/>
          <w:bCs/>
          <w:sz w:val="28"/>
          <w:szCs w:val="28"/>
        </w:rPr>
      </w:pPr>
      <w:bookmarkStart w:id="161" w:name="_Toc25527"/>
      <w:r>
        <w:rPr>
          <w:rFonts w:hint="eastAsia" w:ascii="楷体" w:hAnsi="楷体" w:eastAsia="楷体" w:cs="楷体"/>
          <w:b/>
          <w:bCs/>
          <w:sz w:val="28"/>
          <w:szCs w:val="28"/>
        </w:rPr>
        <w:t>（一）收入测算</w:t>
      </w:r>
      <w:bookmarkEnd w:id="161"/>
    </w:p>
    <w:p w14:paraId="12FC85A2">
      <w:pPr>
        <w:pStyle w:val="20"/>
        <w:spacing w:before="0" w:beforeAutospacing="0" w:after="156" w:afterLines="50" w:afterAutospacing="0" w:line="360" w:lineRule="auto"/>
        <w:ind w:firstLine="480" w:firstLineChars="200"/>
        <w:jc w:val="both"/>
        <w:rPr>
          <w:sz w:val="24"/>
          <w:szCs w:val="24"/>
        </w:rPr>
      </w:pPr>
      <w:r>
        <w:rPr>
          <w:rFonts w:hint="eastAsia"/>
          <w:sz w:val="24"/>
          <w:szCs w:val="24"/>
        </w:rPr>
        <w:t>本次申请发行的202</w:t>
      </w:r>
      <w:r>
        <w:rPr>
          <w:sz w:val="24"/>
          <w:szCs w:val="24"/>
        </w:rPr>
        <w:t>4</w:t>
      </w:r>
      <w:r>
        <w:rPr>
          <w:rFonts w:hint="eastAsia"/>
          <w:sz w:val="24"/>
          <w:szCs w:val="24"/>
        </w:rPr>
        <w:t>年江西省南昌县金湖管理处柏林村 (城市棚户区改造) 一期安置房项目专项债券项目，预计业务活动现金流入合计为</w:t>
      </w:r>
      <w:r>
        <w:rPr>
          <w:sz w:val="24"/>
          <w:szCs w:val="24"/>
        </w:rPr>
        <w:t>112,636.26</w:t>
      </w:r>
      <w:r>
        <w:rPr>
          <w:rFonts w:hint="eastAsia"/>
          <w:sz w:val="24"/>
          <w:szCs w:val="24"/>
        </w:rPr>
        <w:t>万元，均来自土地出让收入</w:t>
      </w:r>
      <w:r>
        <w:rPr>
          <w:sz w:val="24"/>
          <w:szCs w:val="24"/>
        </w:rPr>
        <w:t>。</w:t>
      </w:r>
      <w:r>
        <w:rPr>
          <w:rFonts w:hint="eastAsia"/>
          <w:sz w:val="24"/>
          <w:szCs w:val="24"/>
        </w:rPr>
        <w:t>项目自运营期（202</w:t>
      </w:r>
      <w:r>
        <w:rPr>
          <w:sz w:val="24"/>
          <w:szCs w:val="24"/>
        </w:rPr>
        <w:t>7年</w:t>
      </w:r>
      <w:r>
        <w:rPr>
          <w:rFonts w:hint="eastAsia"/>
          <w:sz w:val="24"/>
          <w:szCs w:val="24"/>
        </w:rPr>
        <w:t>1月）开始至债券到期的项目收益年度分布情况如下：</w:t>
      </w:r>
    </w:p>
    <w:p w14:paraId="1DA23296">
      <w:pPr>
        <w:pStyle w:val="20"/>
        <w:keepNext/>
        <w:spacing w:before="0" w:beforeAutospacing="0" w:after="156" w:afterAutospacing="0" w:line="360" w:lineRule="exact"/>
        <w:ind w:firstLine="422"/>
        <w:jc w:val="center"/>
        <w:rPr>
          <w:b/>
          <w:sz w:val="21"/>
          <w:szCs w:val="21"/>
        </w:rPr>
      </w:pPr>
      <w:r>
        <w:rPr>
          <w:rFonts w:hint="eastAsia"/>
          <w:b/>
          <w:sz w:val="21"/>
          <w:szCs w:val="21"/>
        </w:rPr>
        <w:t>表3-</w:t>
      </w:r>
      <w:r>
        <w:rPr>
          <w:b/>
          <w:sz w:val="21"/>
          <w:szCs w:val="21"/>
        </w:rPr>
        <w:t xml:space="preserve">1  </w:t>
      </w:r>
      <w:r>
        <w:rPr>
          <w:rFonts w:hint="eastAsia"/>
          <w:b/>
          <w:sz w:val="21"/>
          <w:szCs w:val="21"/>
        </w:rPr>
        <w:t>项目收益年度分布情况分析</w:t>
      </w:r>
    </w:p>
    <w:p w14:paraId="014F438F">
      <w:pPr>
        <w:pStyle w:val="20"/>
        <w:keepNext/>
        <w:spacing w:before="0" w:beforeAutospacing="0" w:after="156" w:afterAutospacing="0" w:line="360" w:lineRule="exact"/>
        <w:ind w:right="54" w:rightChars="26" w:firstLine="360" w:firstLineChars="200"/>
        <w:jc w:val="right"/>
        <w:rPr>
          <w:sz w:val="18"/>
          <w:szCs w:val="18"/>
        </w:rPr>
      </w:pPr>
      <w:r>
        <w:rPr>
          <w:rFonts w:hint="eastAsia"/>
          <w:sz w:val="18"/>
          <w:szCs w:val="18"/>
        </w:rPr>
        <w:t>单位：万元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7"/>
        <w:gridCol w:w="6454"/>
        <w:gridCol w:w="1253"/>
      </w:tblGrid>
      <w:tr w14:paraId="4837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blHeader/>
          <w:jc w:val="center"/>
        </w:trPr>
        <w:tc>
          <w:tcPr>
            <w:tcW w:w="479" w:type="pct"/>
            <w:shd w:val="clear" w:color="auto" w:fill="auto"/>
            <w:noWrap/>
            <w:tcMar>
              <w:top w:w="10" w:type="dxa"/>
              <w:left w:w="10" w:type="dxa"/>
              <w:right w:w="10" w:type="dxa"/>
            </w:tcMar>
            <w:vAlign w:val="center"/>
          </w:tcPr>
          <w:p w14:paraId="71C53E83">
            <w:pPr>
              <w:widowControl/>
              <w:jc w:val="center"/>
              <w:textAlignment w:val="center"/>
              <w:rPr>
                <w:rFonts w:ascii="宋体" w:hAnsi="宋体" w:cs="宋体"/>
                <w:b/>
                <w:sz w:val="18"/>
                <w:szCs w:val="18"/>
              </w:rPr>
            </w:pPr>
            <w:r>
              <w:rPr>
                <w:rFonts w:hint="eastAsia" w:ascii="宋体" w:hAnsi="宋体" w:cs="宋体"/>
                <w:b/>
                <w:kern w:val="0"/>
                <w:sz w:val="18"/>
                <w:szCs w:val="18"/>
                <w:lang w:bidi="ar"/>
              </w:rPr>
              <w:t>年份</w:t>
            </w:r>
          </w:p>
        </w:tc>
        <w:tc>
          <w:tcPr>
            <w:tcW w:w="3786" w:type="pct"/>
            <w:shd w:val="clear" w:color="auto" w:fill="auto"/>
            <w:noWrap/>
            <w:tcMar>
              <w:top w:w="10" w:type="dxa"/>
              <w:left w:w="10" w:type="dxa"/>
              <w:right w:w="10" w:type="dxa"/>
            </w:tcMar>
            <w:vAlign w:val="center"/>
          </w:tcPr>
          <w:p w14:paraId="20EA7DC2">
            <w:pPr>
              <w:widowControl/>
              <w:jc w:val="center"/>
              <w:textAlignment w:val="center"/>
              <w:rPr>
                <w:rFonts w:ascii="宋体" w:hAnsi="宋体" w:cs="宋体"/>
                <w:b/>
                <w:sz w:val="18"/>
                <w:szCs w:val="18"/>
              </w:rPr>
            </w:pPr>
            <w:r>
              <w:rPr>
                <w:rFonts w:hint="eastAsia" w:ascii="宋体" w:hAnsi="宋体" w:cs="宋体"/>
                <w:b/>
                <w:kern w:val="0"/>
                <w:sz w:val="18"/>
                <w:szCs w:val="18"/>
                <w:lang w:val="en-US" w:eastAsia="zh-CN" w:bidi="ar"/>
              </w:rPr>
              <w:t>土地出让</w:t>
            </w:r>
            <w:r>
              <w:rPr>
                <w:rFonts w:hint="eastAsia" w:ascii="宋体" w:hAnsi="宋体" w:cs="宋体"/>
                <w:b/>
                <w:kern w:val="0"/>
                <w:sz w:val="18"/>
                <w:szCs w:val="18"/>
                <w:lang w:bidi="ar"/>
              </w:rPr>
              <w:t>收入</w:t>
            </w:r>
          </w:p>
        </w:tc>
        <w:tc>
          <w:tcPr>
            <w:tcW w:w="735" w:type="pct"/>
            <w:shd w:val="clear" w:color="auto" w:fill="auto"/>
            <w:noWrap/>
            <w:tcMar>
              <w:top w:w="10" w:type="dxa"/>
              <w:left w:w="10" w:type="dxa"/>
              <w:right w:w="10" w:type="dxa"/>
            </w:tcMar>
            <w:vAlign w:val="center"/>
          </w:tcPr>
          <w:p w14:paraId="50205934">
            <w:pPr>
              <w:widowControl/>
              <w:jc w:val="center"/>
              <w:textAlignment w:val="center"/>
              <w:rPr>
                <w:rFonts w:ascii="宋体" w:hAnsi="宋体" w:cs="宋体"/>
                <w:b/>
                <w:sz w:val="18"/>
                <w:szCs w:val="18"/>
              </w:rPr>
            </w:pPr>
            <w:r>
              <w:rPr>
                <w:rFonts w:hint="eastAsia" w:ascii="宋体" w:hAnsi="宋体" w:cs="宋体"/>
                <w:b/>
                <w:kern w:val="0"/>
                <w:sz w:val="18"/>
                <w:szCs w:val="18"/>
                <w:lang w:bidi="ar"/>
              </w:rPr>
              <w:t>合计</w:t>
            </w:r>
          </w:p>
        </w:tc>
      </w:tr>
      <w:tr w14:paraId="504A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jc w:val="center"/>
        </w:trPr>
        <w:tc>
          <w:tcPr>
            <w:tcW w:w="479" w:type="pct"/>
            <w:shd w:val="clear" w:color="auto" w:fill="auto"/>
            <w:noWrap/>
            <w:tcMar>
              <w:top w:w="10" w:type="dxa"/>
              <w:left w:w="10" w:type="dxa"/>
              <w:right w:w="10" w:type="dxa"/>
            </w:tcMar>
            <w:vAlign w:val="center"/>
          </w:tcPr>
          <w:p w14:paraId="1F483D23">
            <w:pPr>
              <w:widowControl/>
              <w:jc w:val="center"/>
              <w:textAlignment w:val="bottom"/>
              <w:rPr>
                <w:rFonts w:ascii="宋体" w:hAnsi="宋体" w:cs="宋体"/>
                <w:kern w:val="0"/>
                <w:sz w:val="18"/>
                <w:szCs w:val="18"/>
                <w:lang w:bidi="ar"/>
              </w:rPr>
            </w:pPr>
            <w:r>
              <w:rPr>
                <w:rFonts w:hint="eastAsia" w:ascii="宋体" w:hAnsi="宋体" w:cs="宋体"/>
                <w:color w:val="000000"/>
                <w:kern w:val="0"/>
                <w:sz w:val="18"/>
                <w:szCs w:val="18"/>
                <w:lang w:bidi="ar"/>
              </w:rPr>
              <w:t>202</w:t>
            </w:r>
            <w:r>
              <w:rPr>
                <w:rFonts w:ascii="宋体" w:hAnsi="宋体" w:cs="宋体"/>
                <w:color w:val="000000"/>
                <w:kern w:val="0"/>
                <w:sz w:val="18"/>
                <w:szCs w:val="18"/>
                <w:lang w:bidi="ar"/>
              </w:rPr>
              <w:t>7</w:t>
            </w:r>
            <w:r>
              <w:rPr>
                <w:rFonts w:hint="eastAsia" w:ascii="宋体" w:hAnsi="宋体" w:cs="宋体"/>
                <w:color w:val="000000"/>
                <w:kern w:val="0"/>
                <w:sz w:val="18"/>
                <w:szCs w:val="18"/>
                <w:lang w:bidi="ar"/>
              </w:rPr>
              <w:t>年</w:t>
            </w:r>
          </w:p>
        </w:tc>
        <w:tc>
          <w:tcPr>
            <w:tcW w:w="3786" w:type="pct"/>
            <w:shd w:val="clear" w:color="auto" w:fill="auto"/>
            <w:noWrap/>
            <w:tcMar>
              <w:top w:w="10" w:type="dxa"/>
              <w:left w:w="10" w:type="dxa"/>
              <w:right w:w="10" w:type="dxa"/>
            </w:tcMar>
            <w:vAlign w:val="center"/>
          </w:tcPr>
          <w:p w14:paraId="0F52B83D">
            <w:pPr>
              <w:widowControl/>
              <w:jc w:val="center"/>
              <w:rPr>
                <w:rFonts w:ascii="宋体" w:hAnsi="宋体"/>
                <w:color w:val="000000"/>
                <w:kern w:val="0"/>
                <w:sz w:val="18"/>
                <w:szCs w:val="18"/>
              </w:rPr>
            </w:pPr>
            <w:r>
              <w:rPr>
                <w:rFonts w:hint="eastAsia" w:ascii="宋体" w:hAnsi="宋体" w:cs="宋体"/>
                <w:color w:val="000000"/>
                <w:kern w:val="0"/>
                <w:sz w:val="18"/>
                <w:szCs w:val="18"/>
                <w:lang w:bidi="ar"/>
              </w:rPr>
              <w:t xml:space="preserve">112,636.26 </w:t>
            </w:r>
          </w:p>
        </w:tc>
        <w:tc>
          <w:tcPr>
            <w:tcW w:w="735" w:type="pct"/>
            <w:shd w:val="clear" w:color="auto" w:fill="auto"/>
            <w:noWrap/>
            <w:tcMar>
              <w:top w:w="10" w:type="dxa"/>
              <w:left w:w="10" w:type="dxa"/>
              <w:right w:w="10" w:type="dxa"/>
            </w:tcMar>
            <w:vAlign w:val="center"/>
          </w:tcPr>
          <w:p w14:paraId="1A8B1B28">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112,636.26</w:t>
            </w:r>
          </w:p>
        </w:tc>
      </w:tr>
      <w:tr w14:paraId="1ADF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 w:hRule="atLeast"/>
          <w:jc w:val="center"/>
        </w:trPr>
        <w:tc>
          <w:tcPr>
            <w:tcW w:w="479" w:type="pct"/>
            <w:shd w:val="clear" w:color="auto" w:fill="auto"/>
            <w:noWrap/>
            <w:tcMar>
              <w:top w:w="10" w:type="dxa"/>
              <w:left w:w="10" w:type="dxa"/>
              <w:right w:w="10" w:type="dxa"/>
            </w:tcMar>
            <w:vAlign w:val="center"/>
          </w:tcPr>
          <w:p w14:paraId="3D6F4C0A">
            <w:pPr>
              <w:widowControl/>
              <w:jc w:val="center"/>
              <w:textAlignment w:val="bottom"/>
              <w:rPr>
                <w:rFonts w:ascii="宋体" w:hAnsi="宋体" w:cs="宋体"/>
                <w:sz w:val="18"/>
                <w:szCs w:val="18"/>
              </w:rPr>
            </w:pPr>
            <w:r>
              <w:rPr>
                <w:rFonts w:hint="eastAsia" w:ascii="宋体" w:hAnsi="宋体" w:cs="宋体"/>
                <w:kern w:val="0"/>
                <w:sz w:val="18"/>
                <w:szCs w:val="18"/>
                <w:lang w:bidi="ar"/>
              </w:rPr>
              <w:t>合计</w:t>
            </w:r>
          </w:p>
        </w:tc>
        <w:tc>
          <w:tcPr>
            <w:tcW w:w="3786" w:type="pct"/>
            <w:shd w:val="clear" w:color="auto" w:fill="auto"/>
            <w:noWrap/>
            <w:tcMar>
              <w:top w:w="10" w:type="dxa"/>
              <w:left w:w="10" w:type="dxa"/>
              <w:right w:w="10" w:type="dxa"/>
            </w:tcMar>
            <w:vAlign w:val="center"/>
          </w:tcPr>
          <w:p w14:paraId="7683C082">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112,636.26</w:t>
            </w:r>
          </w:p>
        </w:tc>
        <w:tc>
          <w:tcPr>
            <w:tcW w:w="735" w:type="pct"/>
            <w:shd w:val="clear" w:color="auto" w:fill="auto"/>
            <w:noWrap/>
            <w:tcMar>
              <w:top w:w="10" w:type="dxa"/>
              <w:left w:w="10" w:type="dxa"/>
              <w:right w:w="10" w:type="dxa"/>
            </w:tcMar>
            <w:vAlign w:val="center"/>
          </w:tcPr>
          <w:p w14:paraId="265CEB75">
            <w:pPr>
              <w:widowControl/>
              <w:jc w:val="center"/>
              <w:textAlignment w:val="bottom"/>
              <w:rPr>
                <w:rFonts w:ascii="宋体" w:hAnsi="宋体" w:cs="宋体"/>
                <w:color w:val="000000"/>
                <w:kern w:val="0"/>
                <w:sz w:val="18"/>
                <w:szCs w:val="18"/>
                <w:lang w:bidi="ar"/>
              </w:rPr>
            </w:pPr>
            <w:r>
              <w:rPr>
                <w:rFonts w:hint="eastAsia" w:ascii="宋体" w:hAnsi="宋体" w:cs="宋体"/>
                <w:color w:val="000000"/>
                <w:kern w:val="0"/>
                <w:sz w:val="18"/>
                <w:szCs w:val="18"/>
                <w:lang w:bidi="ar"/>
              </w:rPr>
              <w:t>112,636.26</w:t>
            </w:r>
          </w:p>
        </w:tc>
      </w:tr>
    </w:tbl>
    <w:p w14:paraId="3702A525">
      <w:pPr>
        <w:pStyle w:val="20"/>
        <w:spacing w:before="0" w:beforeAutospacing="0" w:after="156" w:afterLines="50" w:afterAutospacing="0" w:line="360" w:lineRule="exact"/>
        <w:ind w:firstLine="420" w:firstLineChars="200"/>
        <w:rPr>
          <w:sz w:val="21"/>
          <w:szCs w:val="21"/>
        </w:rPr>
      </w:pPr>
    </w:p>
    <w:p w14:paraId="7A3BA34A">
      <w:pPr>
        <w:pStyle w:val="20"/>
        <w:spacing w:before="0" w:beforeAutospacing="0" w:after="156" w:afterLines="50" w:afterAutospacing="0" w:line="360" w:lineRule="exact"/>
        <w:ind w:firstLine="420" w:firstLineChars="200"/>
        <w:rPr>
          <w:sz w:val="21"/>
          <w:szCs w:val="21"/>
        </w:rPr>
      </w:pPr>
      <w:r>
        <w:rPr>
          <w:rFonts w:hint="eastAsia"/>
          <w:sz w:val="21"/>
          <w:szCs w:val="21"/>
        </w:rPr>
        <w:t>本项目经营收入的估算依据如下：</w:t>
      </w:r>
    </w:p>
    <w:p w14:paraId="0C6C965B">
      <w:pPr>
        <w:pStyle w:val="20"/>
        <w:spacing w:before="0" w:beforeAutospacing="0" w:after="156" w:afterLines="50" w:afterAutospacing="0" w:line="360" w:lineRule="exact"/>
        <w:ind w:firstLine="420" w:firstLineChars="200"/>
        <w:rPr>
          <w:sz w:val="21"/>
          <w:szCs w:val="21"/>
        </w:rPr>
      </w:pPr>
      <w:r>
        <w:rPr>
          <w:rFonts w:hint="eastAsia"/>
          <w:sz w:val="21"/>
          <w:szCs w:val="21"/>
        </w:rPr>
        <w:t>（1）土地出让收入：</w:t>
      </w:r>
    </w:p>
    <w:p w14:paraId="5506B337">
      <w:pPr>
        <w:pStyle w:val="20"/>
        <w:spacing w:after="156" w:afterLines="50" w:line="360" w:lineRule="auto"/>
        <w:ind w:firstLine="480" w:firstLineChars="200"/>
        <w:rPr>
          <w:sz w:val="24"/>
          <w:szCs w:val="24"/>
        </w:rPr>
      </w:pPr>
      <w:r>
        <w:rPr>
          <w:rFonts w:hint="eastAsia"/>
          <w:sz w:val="24"/>
          <w:szCs w:val="24"/>
        </w:rPr>
        <w:t>项目地块价格参照南昌县2020年成交南昌县范围内迎富大道以东，规划二路以北地块价为300万元/亩，结合时间因素，配套因素和地块的区位因素，并考虑地理位置及土地性质、使用年限等考虑地块在2022年南昌市GDP增速4.10%上涨，则计算出让区域内商住土地2027年综合地价。根据项目建设及出让计划，拟2027年进行土地出让。得出本项目2027年土地出让价格为366.75万元/亩。</w:t>
      </w:r>
    </w:p>
    <w:p w14:paraId="5F1FB78E">
      <w:pPr>
        <w:pStyle w:val="20"/>
        <w:spacing w:after="156" w:afterLines="50" w:line="360" w:lineRule="auto"/>
        <w:ind w:firstLine="480" w:firstLineChars="200"/>
        <w:rPr>
          <w:sz w:val="24"/>
          <w:szCs w:val="24"/>
        </w:rPr>
      </w:pPr>
      <w:r>
        <w:rPr>
          <w:rFonts w:hint="eastAsia"/>
          <w:sz w:val="24"/>
          <w:szCs w:val="24"/>
        </w:rPr>
        <w:t>南昌县金湖管理处柏林村(城市棚户区改造)一期安置房项目根据建设及出让计划，可出让土地约307.12亩，出让地块位于富山二路以南，金沙二路以东，预计出让时间2027年。</w:t>
      </w:r>
    </w:p>
    <w:p w14:paraId="68F78EA0">
      <w:pPr>
        <w:pStyle w:val="20"/>
        <w:spacing w:before="0" w:beforeAutospacing="0" w:after="156" w:afterLines="50" w:afterAutospacing="0" w:line="360" w:lineRule="auto"/>
        <w:ind w:firstLine="480" w:firstLineChars="200"/>
        <w:rPr>
          <w:b/>
          <w:color w:val="FF0000"/>
          <w:sz w:val="24"/>
          <w:szCs w:val="24"/>
        </w:rPr>
      </w:pPr>
      <w:r>
        <w:rPr>
          <w:rFonts w:hint="eastAsia"/>
          <w:sz w:val="24"/>
          <w:szCs w:val="24"/>
        </w:rPr>
        <w:t>南昌县城市建设投资发展有限公司综合考虑适度增长因素，保守预测了202</w:t>
      </w:r>
      <w:r>
        <w:rPr>
          <w:sz w:val="24"/>
          <w:szCs w:val="24"/>
        </w:rPr>
        <w:t>3-</w:t>
      </w:r>
      <w:r>
        <w:rPr>
          <w:rFonts w:hint="eastAsia"/>
          <w:sz w:val="24"/>
          <w:szCs w:val="24"/>
        </w:rPr>
        <w:t>20</w:t>
      </w:r>
      <w:r>
        <w:rPr>
          <w:sz w:val="24"/>
          <w:szCs w:val="24"/>
        </w:rPr>
        <w:t>32</w:t>
      </w:r>
      <w:r>
        <w:rPr>
          <w:rFonts w:hint="eastAsia"/>
          <w:sz w:val="24"/>
          <w:szCs w:val="24"/>
        </w:rPr>
        <w:t>年的收入、支出，在本项目的实施过程中，可以产生持续稳定的收益，各年现金流入及现金流出均保持了稳定的增长，且保持了现金结余的总体增长。</w:t>
      </w:r>
    </w:p>
    <w:p w14:paraId="6911F765">
      <w:pPr>
        <w:widowControl/>
        <w:spacing w:line="560" w:lineRule="exact"/>
        <w:ind w:firstLine="560" w:firstLineChars="200"/>
        <w:jc w:val="left"/>
        <w:outlineLvl w:val="1"/>
        <w:rPr>
          <w:rFonts w:ascii="楷体" w:hAnsi="楷体" w:eastAsia="楷体" w:cs="楷体"/>
          <w:b/>
          <w:bCs/>
          <w:sz w:val="28"/>
          <w:szCs w:val="28"/>
        </w:rPr>
      </w:pPr>
      <w:bookmarkStart w:id="162" w:name="_Toc10747"/>
      <w:r>
        <w:rPr>
          <w:rFonts w:hint="eastAsia" w:ascii="楷体" w:hAnsi="楷体" w:eastAsia="楷体" w:cs="楷体"/>
          <w:b/>
          <w:bCs/>
          <w:sz w:val="28"/>
          <w:szCs w:val="28"/>
        </w:rPr>
        <w:t>（二）项目运营成本测算</w:t>
      </w:r>
      <w:bookmarkEnd w:id="162"/>
    </w:p>
    <w:p w14:paraId="4F71BA34">
      <w:pPr>
        <w:ind w:left="-140" w:leftChars="-67" w:right="-98" w:rightChars="-47" w:firstLine="439" w:firstLineChars="157"/>
        <w:rPr>
          <w:rFonts w:hint="eastAsia" w:ascii="楷体" w:hAnsi="楷体" w:eastAsia="楷体" w:cs="楷体"/>
          <w:bCs/>
          <w:sz w:val="28"/>
          <w:szCs w:val="28"/>
        </w:rPr>
      </w:pPr>
      <w:r>
        <w:rPr>
          <w:rFonts w:hint="eastAsia" w:ascii="楷体" w:hAnsi="楷体" w:eastAsia="楷体" w:cs="楷体"/>
          <w:bCs/>
          <w:sz w:val="28"/>
          <w:szCs w:val="28"/>
        </w:rPr>
        <w:t>1、运营成本</w:t>
      </w:r>
    </w:p>
    <w:p w14:paraId="42AAE4EC">
      <w:pPr>
        <w:pStyle w:val="20"/>
        <w:spacing w:before="0" w:beforeAutospacing="0" w:after="156" w:afterLines="50" w:afterAutospacing="0" w:line="360" w:lineRule="auto"/>
        <w:ind w:firstLine="480" w:firstLineChars="200"/>
        <w:rPr>
          <w:rFonts w:hint="eastAsia" w:ascii="楷体" w:hAnsi="楷体" w:eastAsia="楷体" w:cs="楷体"/>
          <w:bCs/>
          <w:sz w:val="28"/>
          <w:szCs w:val="28"/>
        </w:rPr>
      </w:pPr>
      <w:r>
        <w:rPr>
          <w:rFonts w:hint="eastAsia"/>
          <w:sz w:val="24"/>
          <w:szCs w:val="24"/>
        </w:rPr>
        <w:t>本项目为土地出让，项目计算期内无运营成本，且无税金缴纳。因充足性分析主要依据对现金流量进行分析，故对于不需付现的费用（如折旧摊销等）暂不在支出情况预测表中反映。</w:t>
      </w:r>
    </w:p>
    <w:p w14:paraId="385BDAA9">
      <w:pPr>
        <w:ind w:left="-140" w:leftChars="-67" w:right="-98" w:rightChars="-47" w:firstLine="439" w:firstLineChars="157"/>
        <w:rPr>
          <w:rFonts w:ascii="楷体" w:hAnsi="楷体" w:eastAsia="楷体" w:cs="楷体"/>
          <w:bCs/>
          <w:sz w:val="28"/>
          <w:szCs w:val="28"/>
        </w:rPr>
      </w:pPr>
      <w:r>
        <w:rPr>
          <w:rFonts w:hint="eastAsia" w:ascii="楷体" w:hAnsi="楷体" w:eastAsia="楷体" w:cs="楷体"/>
          <w:bCs/>
          <w:sz w:val="28"/>
          <w:szCs w:val="28"/>
        </w:rPr>
        <w:t>2、财务费用</w:t>
      </w:r>
    </w:p>
    <w:p w14:paraId="67519DD9">
      <w:pPr>
        <w:spacing w:line="360" w:lineRule="auto"/>
        <w:ind w:left="-140" w:leftChars="-67" w:right="-98"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本次拟发行南昌县金湖管理处柏林村 (城市棚户区改造) 一期安置房项目地方政府专项债券以满足项目投资需求，债券计划在202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年发行，年利率按照3.7%计算。根据债券发行计划及利率计算每年财务费用。按照债券发行要求，专项债券每年偿还债券利息，到期一次性偿还本金。</w:t>
      </w:r>
    </w:p>
    <w:p w14:paraId="374DF80C">
      <w:pPr>
        <w:widowControl/>
        <w:spacing w:line="560" w:lineRule="exact"/>
        <w:ind w:firstLine="560" w:firstLineChars="200"/>
        <w:jc w:val="left"/>
        <w:outlineLvl w:val="1"/>
        <w:rPr>
          <w:rFonts w:ascii="楷体" w:hAnsi="楷体" w:eastAsia="楷体" w:cs="楷体"/>
          <w:b/>
          <w:bCs/>
          <w:sz w:val="28"/>
          <w:szCs w:val="28"/>
        </w:rPr>
      </w:pPr>
      <w:bookmarkStart w:id="163" w:name="_Toc15879"/>
      <w:r>
        <w:rPr>
          <w:rFonts w:hint="eastAsia" w:ascii="楷体" w:hAnsi="楷体" w:eastAsia="楷体" w:cs="楷体"/>
          <w:b/>
          <w:bCs/>
          <w:sz w:val="28"/>
          <w:szCs w:val="28"/>
        </w:rPr>
        <w:t>（三）项目资金测算平衡表</w:t>
      </w:r>
      <w:bookmarkEnd w:id="163"/>
    </w:p>
    <w:p w14:paraId="2D8E56CB">
      <w:pPr>
        <w:pStyle w:val="20"/>
        <w:spacing w:before="0" w:beforeAutospacing="0" w:after="156" w:afterLines="50" w:afterAutospacing="0" w:line="360" w:lineRule="auto"/>
        <w:ind w:firstLine="480" w:firstLineChars="200"/>
        <w:jc w:val="both"/>
        <w:rPr>
          <w:sz w:val="24"/>
          <w:szCs w:val="24"/>
        </w:rPr>
      </w:pPr>
      <w:r>
        <w:rPr>
          <w:rFonts w:hint="eastAsia"/>
          <w:sz w:val="24"/>
          <w:szCs w:val="24"/>
        </w:rPr>
        <w:t>202</w:t>
      </w:r>
      <w:r>
        <w:rPr>
          <w:sz w:val="24"/>
          <w:szCs w:val="24"/>
        </w:rPr>
        <w:t>4</w:t>
      </w:r>
      <w:r>
        <w:rPr>
          <w:rFonts w:hint="eastAsia"/>
          <w:sz w:val="24"/>
          <w:szCs w:val="24"/>
        </w:rPr>
        <w:t>年江西省南昌县金湖管理处柏林村 (城市棚户区改造) 一期安置房项目专项债券项目实施方案资金充足性分析情况具体如下表3</w:t>
      </w:r>
      <w:r>
        <w:rPr>
          <w:sz w:val="24"/>
          <w:szCs w:val="24"/>
        </w:rPr>
        <w:t>-4</w:t>
      </w:r>
      <w:r>
        <w:rPr>
          <w:rFonts w:hint="eastAsia"/>
          <w:sz w:val="24"/>
          <w:szCs w:val="24"/>
        </w:rPr>
        <w:t>及图3-</w:t>
      </w:r>
      <w:r>
        <w:rPr>
          <w:sz w:val="24"/>
          <w:szCs w:val="24"/>
        </w:rPr>
        <w:t>1</w:t>
      </w:r>
      <w:r>
        <w:rPr>
          <w:rFonts w:hint="eastAsia"/>
          <w:sz w:val="24"/>
          <w:szCs w:val="24"/>
        </w:rPr>
        <w:t>所示：</w:t>
      </w:r>
    </w:p>
    <w:p w14:paraId="322386D9">
      <w:pPr>
        <w:pStyle w:val="20"/>
        <w:spacing w:after="156" w:afterLines="50" w:afterAutospacing="0" w:line="360" w:lineRule="exact"/>
        <w:ind w:firstLine="440" w:firstLineChars="200"/>
        <w:jc w:val="center"/>
        <w:rPr>
          <w:b/>
        </w:rPr>
        <w:sectPr>
          <w:pgSz w:w="11906" w:h="16838"/>
          <w:pgMar w:top="1531" w:right="1701" w:bottom="1418" w:left="1701" w:header="851" w:footer="992" w:gutter="0"/>
          <w:pgNumType w:fmt="decimal"/>
          <w:cols w:space="425" w:num="1"/>
          <w:docGrid w:type="linesAndChars" w:linePitch="312" w:charSpace="0"/>
        </w:sectPr>
      </w:pPr>
    </w:p>
    <w:p w14:paraId="79047657">
      <w:pPr>
        <w:pStyle w:val="20"/>
        <w:spacing w:before="0" w:beforeAutospacing="0" w:after="156" w:afterLines="50" w:afterAutospacing="0" w:line="360" w:lineRule="exact"/>
        <w:ind w:firstLine="420" w:firstLineChars="200"/>
        <w:jc w:val="center"/>
        <w:rPr>
          <w:b/>
          <w:sz w:val="21"/>
          <w:szCs w:val="21"/>
        </w:rPr>
      </w:pPr>
      <w:r>
        <w:rPr>
          <w:rFonts w:hint="eastAsia"/>
          <w:b/>
          <w:sz w:val="21"/>
          <w:szCs w:val="21"/>
        </w:rPr>
        <w:t>表3-</w:t>
      </w:r>
      <w:r>
        <w:rPr>
          <w:b/>
          <w:sz w:val="21"/>
          <w:szCs w:val="21"/>
        </w:rPr>
        <w:t xml:space="preserve">4  </w:t>
      </w:r>
      <w:r>
        <w:rPr>
          <w:rFonts w:hint="eastAsia"/>
          <w:b/>
          <w:sz w:val="21"/>
          <w:szCs w:val="21"/>
        </w:rPr>
        <w:t>202</w:t>
      </w:r>
      <w:r>
        <w:rPr>
          <w:b/>
          <w:sz w:val="21"/>
          <w:szCs w:val="21"/>
        </w:rPr>
        <w:t>4</w:t>
      </w:r>
      <w:r>
        <w:rPr>
          <w:rFonts w:hint="eastAsia"/>
          <w:b/>
          <w:sz w:val="21"/>
          <w:szCs w:val="21"/>
        </w:rPr>
        <w:t>年江西省南昌县金湖管理处柏林村 (城市棚户区改造) 一期安置房项目实施方案资金充足性分析情况表</w:t>
      </w:r>
    </w:p>
    <w:p w14:paraId="6A3EC796">
      <w:pPr>
        <w:pStyle w:val="20"/>
        <w:spacing w:before="0" w:beforeAutospacing="0" w:after="156" w:afterAutospacing="0" w:line="360" w:lineRule="exact"/>
        <w:ind w:right="-510" w:rightChars="-243" w:firstLine="360" w:firstLineChars="200"/>
        <w:jc w:val="right"/>
        <w:rPr>
          <w:sz w:val="18"/>
          <w:szCs w:val="18"/>
        </w:rPr>
      </w:pPr>
      <w:r>
        <w:rPr>
          <w:rFonts w:hint="eastAsia"/>
          <w:sz w:val="18"/>
          <w:szCs w:val="18"/>
        </w:rPr>
        <w:t>单位：万元</w:t>
      </w:r>
    </w:p>
    <w:tbl>
      <w:tblPr>
        <w:tblStyle w:val="24"/>
        <w:tblW w:w="5158" w:type="pct"/>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
        <w:gridCol w:w="1149"/>
        <w:gridCol w:w="1134"/>
        <w:gridCol w:w="951"/>
        <w:gridCol w:w="1041"/>
        <w:gridCol w:w="1041"/>
        <w:gridCol w:w="951"/>
        <w:gridCol w:w="1134"/>
        <w:gridCol w:w="1134"/>
        <w:gridCol w:w="1134"/>
        <w:gridCol w:w="1135"/>
        <w:gridCol w:w="1135"/>
        <w:gridCol w:w="1135"/>
        <w:gridCol w:w="1036"/>
      </w:tblGrid>
      <w:tr w14:paraId="4515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trPr>
        <w:tc>
          <w:tcPr>
            <w:tcW w:w="149" w:type="pct"/>
            <w:shd w:val="clear" w:color="auto" w:fill="auto"/>
            <w:vAlign w:val="center"/>
          </w:tcPr>
          <w:p w14:paraId="2CC318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395" w:type="pct"/>
            <w:shd w:val="clear" w:color="auto" w:fill="auto"/>
            <w:vAlign w:val="center"/>
          </w:tcPr>
          <w:p w14:paraId="2E8F622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390" w:type="pct"/>
            <w:shd w:val="clear" w:color="auto" w:fill="auto"/>
            <w:vAlign w:val="center"/>
          </w:tcPr>
          <w:p w14:paraId="0B916E55">
            <w:pPr>
              <w:widowControl/>
              <w:jc w:val="center"/>
              <w:rPr>
                <w:rFonts w:ascii="宋体" w:hAnsi="宋体" w:cs="宋体"/>
                <w:color w:val="000000"/>
                <w:kern w:val="0"/>
                <w:sz w:val="18"/>
                <w:szCs w:val="18"/>
              </w:rPr>
            </w:pPr>
            <w:r>
              <w:rPr>
                <w:rFonts w:hint="eastAsia" w:ascii="宋体" w:hAnsi="宋体"/>
                <w:sz w:val="18"/>
                <w:szCs w:val="18"/>
              </w:rPr>
              <w:t>合计</w:t>
            </w:r>
          </w:p>
        </w:tc>
        <w:tc>
          <w:tcPr>
            <w:tcW w:w="327" w:type="pct"/>
            <w:shd w:val="clear" w:color="auto" w:fill="auto"/>
            <w:vAlign w:val="center"/>
          </w:tcPr>
          <w:p w14:paraId="4AE6F654">
            <w:pPr>
              <w:widowControl/>
              <w:jc w:val="center"/>
              <w:rPr>
                <w:rFonts w:ascii="宋体" w:hAnsi="宋体" w:cs="宋体"/>
                <w:color w:val="000000"/>
                <w:kern w:val="0"/>
                <w:sz w:val="18"/>
                <w:szCs w:val="18"/>
              </w:rPr>
            </w:pPr>
            <w:r>
              <w:rPr>
                <w:rFonts w:hint="eastAsia" w:ascii="宋体" w:hAnsi="宋体"/>
                <w:sz w:val="18"/>
                <w:szCs w:val="18"/>
              </w:rPr>
              <w:t>2023年</w:t>
            </w:r>
          </w:p>
        </w:tc>
        <w:tc>
          <w:tcPr>
            <w:tcW w:w="358" w:type="pct"/>
            <w:shd w:val="clear" w:color="auto" w:fill="auto"/>
            <w:vAlign w:val="center"/>
          </w:tcPr>
          <w:p w14:paraId="0F0A35EC">
            <w:pPr>
              <w:widowControl/>
              <w:jc w:val="center"/>
              <w:rPr>
                <w:rFonts w:ascii="宋体" w:hAnsi="宋体" w:cs="宋体"/>
                <w:color w:val="000000"/>
                <w:kern w:val="0"/>
                <w:sz w:val="18"/>
                <w:szCs w:val="18"/>
              </w:rPr>
            </w:pPr>
            <w:r>
              <w:rPr>
                <w:rFonts w:hint="eastAsia" w:ascii="宋体" w:hAnsi="宋体"/>
                <w:sz w:val="18"/>
                <w:szCs w:val="18"/>
              </w:rPr>
              <w:t>2024年</w:t>
            </w:r>
          </w:p>
        </w:tc>
        <w:tc>
          <w:tcPr>
            <w:tcW w:w="358" w:type="pct"/>
            <w:shd w:val="clear" w:color="auto" w:fill="auto"/>
            <w:vAlign w:val="center"/>
          </w:tcPr>
          <w:p w14:paraId="165BFF32">
            <w:pPr>
              <w:widowControl/>
              <w:jc w:val="center"/>
              <w:rPr>
                <w:rFonts w:ascii="宋体" w:hAnsi="宋体" w:cs="宋体"/>
                <w:color w:val="000000"/>
                <w:kern w:val="0"/>
                <w:sz w:val="18"/>
                <w:szCs w:val="18"/>
              </w:rPr>
            </w:pPr>
            <w:r>
              <w:rPr>
                <w:rFonts w:hint="eastAsia" w:ascii="宋体" w:hAnsi="宋体"/>
                <w:sz w:val="18"/>
                <w:szCs w:val="18"/>
              </w:rPr>
              <w:t>2025年</w:t>
            </w:r>
          </w:p>
        </w:tc>
        <w:tc>
          <w:tcPr>
            <w:tcW w:w="327" w:type="pct"/>
            <w:shd w:val="clear" w:color="auto" w:fill="auto"/>
            <w:vAlign w:val="center"/>
          </w:tcPr>
          <w:p w14:paraId="3DCE8EE5">
            <w:pPr>
              <w:widowControl/>
              <w:jc w:val="center"/>
              <w:rPr>
                <w:rFonts w:ascii="宋体" w:hAnsi="宋体" w:cs="宋体"/>
                <w:color w:val="000000"/>
                <w:kern w:val="0"/>
                <w:sz w:val="18"/>
                <w:szCs w:val="18"/>
              </w:rPr>
            </w:pPr>
            <w:r>
              <w:rPr>
                <w:rFonts w:hint="eastAsia" w:ascii="宋体" w:hAnsi="宋体"/>
                <w:sz w:val="18"/>
                <w:szCs w:val="18"/>
              </w:rPr>
              <w:t>2026年</w:t>
            </w:r>
          </w:p>
        </w:tc>
        <w:tc>
          <w:tcPr>
            <w:tcW w:w="390" w:type="pct"/>
            <w:shd w:val="clear" w:color="auto" w:fill="auto"/>
            <w:vAlign w:val="center"/>
          </w:tcPr>
          <w:p w14:paraId="726A80B0">
            <w:pPr>
              <w:widowControl/>
              <w:jc w:val="center"/>
              <w:rPr>
                <w:rFonts w:ascii="宋体" w:hAnsi="宋体" w:cs="宋体"/>
                <w:color w:val="000000"/>
                <w:kern w:val="0"/>
                <w:sz w:val="18"/>
                <w:szCs w:val="18"/>
              </w:rPr>
            </w:pPr>
            <w:r>
              <w:rPr>
                <w:rFonts w:hint="eastAsia" w:ascii="宋体" w:hAnsi="宋体"/>
                <w:sz w:val="18"/>
                <w:szCs w:val="18"/>
              </w:rPr>
              <w:t>2027年</w:t>
            </w:r>
          </w:p>
        </w:tc>
        <w:tc>
          <w:tcPr>
            <w:tcW w:w="390" w:type="pct"/>
            <w:shd w:val="clear" w:color="auto" w:fill="auto"/>
            <w:vAlign w:val="center"/>
          </w:tcPr>
          <w:p w14:paraId="05B765D2">
            <w:pPr>
              <w:widowControl/>
              <w:jc w:val="center"/>
              <w:rPr>
                <w:rFonts w:ascii="宋体" w:hAnsi="宋体" w:cs="宋体"/>
                <w:color w:val="000000"/>
                <w:kern w:val="0"/>
                <w:sz w:val="18"/>
                <w:szCs w:val="18"/>
              </w:rPr>
            </w:pPr>
            <w:r>
              <w:rPr>
                <w:rFonts w:hint="eastAsia" w:ascii="宋体" w:hAnsi="宋体"/>
                <w:sz w:val="18"/>
                <w:szCs w:val="18"/>
              </w:rPr>
              <w:t>2028年</w:t>
            </w:r>
          </w:p>
        </w:tc>
        <w:tc>
          <w:tcPr>
            <w:tcW w:w="390" w:type="pct"/>
            <w:shd w:val="clear" w:color="auto" w:fill="auto"/>
            <w:vAlign w:val="center"/>
          </w:tcPr>
          <w:p w14:paraId="2B448E63">
            <w:pPr>
              <w:widowControl/>
              <w:jc w:val="center"/>
              <w:rPr>
                <w:rFonts w:ascii="宋体" w:hAnsi="宋体" w:cs="宋体"/>
                <w:color w:val="000000"/>
                <w:kern w:val="0"/>
                <w:sz w:val="18"/>
                <w:szCs w:val="18"/>
              </w:rPr>
            </w:pPr>
            <w:r>
              <w:rPr>
                <w:rFonts w:hint="eastAsia" w:ascii="宋体" w:hAnsi="宋体"/>
                <w:sz w:val="18"/>
                <w:szCs w:val="18"/>
              </w:rPr>
              <w:t>2029年</w:t>
            </w:r>
          </w:p>
        </w:tc>
        <w:tc>
          <w:tcPr>
            <w:tcW w:w="390" w:type="pct"/>
            <w:shd w:val="clear" w:color="auto" w:fill="auto"/>
            <w:vAlign w:val="center"/>
          </w:tcPr>
          <w:p w14:paraId="118B4485">
            <w:pPr>
              <w:widowControl/>
              <w:jc w:val="center"/>
              <w:rPr>
                <w:rFonts w:ascii="宋体" w:hAnsi="宋体" w:cs="宋体"/>
                <w:color w:val="000000"/>
                <w:kern w:val="0"/>
                <w:sz w:val="18"/>
                <w:szCs w:val="18"/>
              </w:rPr>
            </w:pPr>
            <w:r>
              <w:rPr>
                <w:rFonts w:hint="eastAsia" w:ascii="宋体" w:hAnsi="宋体"/>
                <w:sz w:val="18"/>
                <w:szCs w:val="18"/>
              </w:rPr>
              <w:t>2030年</w:t>
            </w:r>
          </w:p>
        </w:tc>
        <w:tc>
          <w:tcPr>
            <w:tcW w:w="390" w:type="pct"/>
            <w:shd w:val="clear" w:color="auto" w:fill="auto"/>
            <w:vAlign w:val="center"/>
          </w:tcPr>
          <w:p w14:paraId="0F0A88B3">
            <w:pPr>
              <w:widowControl/>
              <w:jc w:val="center"/>
              <w:rPr>
                <w:rFonts w:ascii="宋体" w:hAnsi="宋体" w:cs="宋体"/>
                <w:color w:val="000000"/>
                <w:kern w:val="0"/>
                <w:sz w:val="18"/>
                <w:szCs w:val="18"/>
              </w:rPr>
            </w:pPr>
            <w:r>
              <w:rPr>
                <w:rFonts w:hint="eastAsia" w:ascii="宋体" w:hAnsi="宋体"/>
                <w:sz w:val="18"/>
                <w:szCs w:val="18"/>
              </w:rPr>
              <w:t>2031年</w:t>
            </w:r>
          </w:p>
        </w:tc>
        <w:tc>
          <w:tcPr>
            <w:tcW w:w="390" w:type="pct"/>
            <w:vAlign w:val="center"/>
          </w:tcPr>
          <w:p w14:paraId="5C1E4475">
            <w:pPr>
              <w:widowControl/>
              <w:jc w:val="center"/>
              <w:rPr>
                <w:rFonts w:ascii="宋体" w:hAnsi="宋体" w:cs="宋体"/>
                <w:color w:val="000000"/>
                <w:kern w:val="0"/>
                <w:sz w:val="18"/>
                <w:szCs w:val="18"/>
              </w:rPr>
            </w:pPr>
            <w:r>
              <w:rPr>
                <w:rFonts w:hint="eastAsia" w:ascii="宋体" w:hAnsi="宋体"/>
                <w:sz w:val="18"/>
                <w:szCs w:val="18"/>
              </w:rPr>
              <w:t>2032年</w:t>
            </w:r>
          </w:p>
        </w:tc>
        <w:tc>
          <w:tcPr>
            <w:tcW w:w="358" w:type="pct"/>
            <w:shd w:val="clear" w:color="auto" w:fill="auto"/>
            <w:vAlign w:val="center"/>
          </w:tcPr>
          <w:p w14:paraId="03A360D8">
            <w:pPr>
              <w:widowControl/>
              <w:jc w:val="center"/>
              <w:rPr>
                <w:rFonts w:ascii="宋体" w:hAnsi="宋体" w:cs="宋体"/>
                <w:color w:val="000000"/>
                <w:kern w:val="0"/>
                <w:sz w:val="18"/>
                <w:szCs w:val="18"/>
              </w:rPr>
            </w:pPr>
            <w:r>
              <w:rPr>
                <w:rFonts w:hint="eastAsia" w:ascii="宋体" w:hAnsi="宋体"/>
                <w:sz w:val="18"/>
                <w:szCs w:val="18"/>
              </w:rPr>
              <w:t>2033年</w:t>
            </w:r>
          </w:p>
        </w:tc>
      </w:tr>
      <w:tr w14:paraId="2199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45FED98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395" w:type="pct"/>
            <w:shd w:val="clear" w:color="auto" w:fill="auto"/>
            <w:vAlign w:val="center"/>
          </w:tcPr>
          <w:p w14:paraId="46C3585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390" w:type="pct"/>
            <w:shd w:val="clear" w:color="auto" w:fill="auto"/>
            <w:vAlign w:val="center"/>
          </w:tcPr>
          <w:p w14:paraId="3E8950CB">
            <w:pPr>
              <w:widowControl/>
              <w:jc w:val="center"/>
              <w:rPr>
                <w:rFonts w:ascii="宋体" w:hAnsi="宋体" w:cs="宋体"/>
                <w:color w:val="000000"/>
                <w:kern w:val="0"/>
                <w:sz w:val="18"/>
                <w:szCs w:val="18"/>
              </w:rPr>
            </w:pPr>
            <w:r>
              <w:rPr>
                <w:rFonts w:ascii="宋体" w:hAnsi="宋体"/>
                <w:sz w:val="18"/>
                <w:szCs w:val="18"/>
              </w:rPr>
              <w:t>153,342.51</w:t>
            </w:r>
          </w:p>
        </w:tc>
        <w:tc>
          <w:tcPr>
            <w:tcW w:w="327" w:type="pct"/>
            <w:shd w:val="clear" w:color="auto" w:fill="auto"/>
            <w:vAlign w:val="center"/>
          </w:tcPr>
          <w:p w14:paraId="144670B1">
            <w:pPr>
              <w:widowControl/>
              <w:jc w:val="center"/>
              <w:rPr>
                <w:rFonts w:ascii="宋体" w:hAnsi="宋体" w:cs="宋体"/>
                <w:color w:val="000000"/>
                <w:kern w:val="0"/>
                <w:sz w:val="18"/>
                <w:szCs w:val="18"/>
              </w:rPr>
            </w:pPr>
            <w:r>
              <w:rPr>
                <w:rFonts w:ascii="宋体" w:hAnsi="宋体"/>
                <w:sz w:val="18"/>
                <w:szCs w:val="18"/>
              </w:rPr>
              <w:t>2,203.50</w:t>
            </w:r>
          </w:p>
        </w:tc>
        <w:tc>
          <w:tcPr>
            <w:tcW w:w="358" w:type="pct"/>
            <w:shd w:val="clear" w:color="auto" w:fill="auto"/>
            <w:vAlign w:val="center"/>
          </w:tcPr>
          <w:p w14:paraId="1115BD69">
            <w:pPr>
              <w:widowControl/>
              <w:jc w:val="center"/>
              <w:rPr>
                <w:rFonts w:ascii="宋体" w:hAnsi="宋体" w:cs="宋体"/>
                <w:color w:val="000000"/>
                <w:kern w:val="0"/>
                <w:sz w:val="18"/>
                <w:szCs w:val="18"/>
              </w:rPr>
            </w:pPr>
            <w:r>
              <w:rPr>
                <w:rFonts w:ascii="宋体" w:hAnsi="宋体"/>
                <w:sz w:val="18"/>
                <w:szCs w:val="18"/>
              </w:rPr>
              <w:t>15,073.75</w:t>
            </w:r>
          </w:p>
        </w:tc>
        <w:tc>
          <w:tcPr>
            <w:tcW w:w="358" w:type="pct"/>
            <w:shd w:val="clear" w:color="auto" w:fill="auto"/>
            <w:vAlign w:val="center"/>
          </w:tcPr>
          <w:p w14:paraId="246DF182">
            <w:pPr>
              <w:widowControl/>
              <w:jc w:val="center"/>
              <w:rPr>
                <w:rFonts w:ascii="宋体" w:hAnsi="宋体" w:cs="宋体"/>
                <w:color w:val="000000"/>
                <w:kern w:val="0"/>
                <w:sz w:val="18"/>
                <w:szCs w:val="18"/>
              </w:rPr>
            </w:pPr>
            <w:r>
              <w:rPr>
                <w:rFonts w:ascii="宋体" w:hAnsi="宋体"/>
                <w:sz w:val="18"/>
                <w:szCs w:val="18"/>
              </w:rPr>
              <w:t>16,245.75</w:t>
            </w:r>
          </w:p>
        </w:tc>
        <w:tc>
          <w:tcPr>
            <w:tcW w:w="327" w:type="pct"/>
            <w:shd w:val="clear" w:color="auto" w:fill="auto"/>
            <w:vAlign w:val="center"/>
          </w:tcPr>
          <w:p w14:paraId="278A495E">
            <w:pPr>
              <w:widowControl/>
              <w:jc w:val="center"/>
              <w:rPr>
                <w:rFonts w:ascii="宋体" w:hAnsi="宋体" w:cs="宋体"/>
                <w:color w:val="000000"/>
                <w:kern w:val="0"/>
                <w:sz w:val="18"/>
                <w:szCs w:val="18"/>
              </w:rPr>
            </w:pPr>
            <w:r>
              <w:rPr>
                <w:rFonts w:ascii="宋体" w:hAnsi="宋体"/>
                <w:sz w:val="18"/>
                <w:szCs w:val="18"/>
              </w:rPr>
              <w:t>7,183.25</w:t>
            </w:r>
          </w:p>
        </w:tc>
        <w:tc>
          <w:tcPr>
            <w:tcW w:w="390" w:type="pct"/>
            <w:shd w:val="clear" w:color="auto" w:fill="auto"/>
            <w:vAlign w:val="center"/>
          </w:tcPr>
          <w:p w14:paraId="272A25A4">
            <w:pPr>
              <w:widowControl/>
              <w:jc w:val="center"/>
              <w:rPr>
                <w:rFonts w:ascii="宋体" w:hAnsi="宋体" w:cs="宋体"/>
                <w:color w:val="000000"/>
                <w:kern w:val="0"/>
                <w:sz w:val="18"/>
                <w:szCs w:val="18"/>
              </w:rPr>
            </w:pPr>
            <w:r>
              <w:rPr>
                <w:rFonts w:ascii="宋体" w:hAnsi="宋体"/>
                <w:sz w:val="18"/>
                <w:szCs w:val="18"/>
              </w:rPr>
              <w:t>112,636.26</w:t>
            </w:r>
          </w:p>
        </w:tc>
        <w:tc>
          <w:tcPr>
            <w:tcW w:w="390" w:type="pct"/>
            <w:shd w:val="clear" w:color="auto" w:fill="auto"/>
            <w:vAlign w:val="center"/>
          </w:tcPr>
          <w:p w14:paraId="2F98234B">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094DEB44">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5F0808F">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7655C504">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286A6FA8">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E5ACD46">
            <w:pPr>
              <w:widowControl/>
              <w:jc w:val="center"/>
              <w:rPr>
                <w:rFonts w:ascii="宋体" w:hAnsi="宋体" w:cs="宋体"/>
                <w:color w:val="000000"/>
                <w:kern w:val="0"/>
                <w:sz w:val="18"/>
                <w:szCs w:val="18"/>
              </w:rPr>
            </w:pPr>
            <w:r>
              <w:rPr>
                <w:rFonts w:ascii="宋体" w:hAnsi="宋体"/>
                <w:sz w:val="18"/>
                <w:szCs w:val="18"/>
              </w:rPr>
              <w:t>-</w:t>
            </w:r>
          </w:p>
        </w:tc>
      </w:tr>
      <w:tr w14:paraId="78D4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04A33478">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95" w:type="pct"/>
            <w:shd w:val="clear" w:color="auto" w:fill="auto"/>
            <w:vAlign w:val="center"/>
          </w:tcPr>
          <w:p w14:paraId="3EE448BB">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390" w:type="pct"/>
            <w:shd w:val="clear" w:color="auto" w:fill="auto"/>
            <w:vAlign w:val="center"/>
          </w:tcPr>
          <w:p w14:paraId="2C9971A4">
            <w:pPr>
              <w:widowControl/>
              <w:jc w:val="center"/>
              <w:rPr>
                <w:rFonts w:ascii="宋体" w:hAnsi="宋体" w:cs="宋体"/>
                <w:color w:val="000000"/>
                <w:kern w:val="0"/>
                <w:sz w:val="18"/>
                <w:szCs w:val="18"/>
              </w:rPr>
            </w:pPr>
            <w:r>
              <w:rPr>
                <w:rFonts w:ascii="宋体" w:hAnsi="宋体"/>
                <w:sz w:val="18"/>
                <w:szCs w:val="18"/>
              </w:rPr>
              <w:t>112,636.26</w:t>
            </w:r>
          </w:p>
        </w:tc>
        <w:tc>
          <w:tcPr>
            <w:tcW w:w="327" w:type="pct"/>
            <w:shd w:val="clear" w:color="auto" w:fill="auto"/>
            <w:vAlign w:val="center"/>
          </w:tcPr>
          <w:p w14:paraId="199762AB">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3E72C7F5">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251C1420">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1E792C4C">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EC76451">
            <w:pPr>
              <w:widowControl/>
              <w:jc w:val="center"/>
              <w:rPr>
                <w:rFonts w:ascii="宋体" w:hAnsi="宋体" w:cs="宋体"/>
                <w:color w:val="000000"/>
                <w:kern w:val="0"/>
                <w:sz w:val="18"/>
                <w:szCs w:val="18"/>
              </w:rPr>
            </w:pPr>
            <w:r>
              <w:rPr>
                <w:rFonts w:ascii="宋体" w:hAnsi="宋体"/>
                <w:sz w:val="18"/>
                <w:szCs w:val="18"/>
              </w:rPr>
              <w:t>112,636.26</w:t>
            </w:r>
          </w:p>
        </w:tc>
        <w:tc>
          <w:tcPr>
            <w:tcW w:w="390" w:type="pct"/>
            <w:shd w:val="clear" w:color="auto" w:fill="auto"/>
            <w:vAlign w:val="center"/>
          </w:tcPr>
          <w:p w14:paraId="0FEC673C">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280CAED">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04D9611E">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3621F8A3">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75F23F30">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36F9680A">
            <w:pPr>
              <w:widowControl/>
              <w:jc w:val="center"/>
              <w:rPr>
                <w:rFonts w:ascii="宋体" w:hAnsi="宋体" w:cs="宋体"/>
                <w:color w:val="000000"/>
                <w:kern w:val="0"/>
                <w:sz w:val="18"/>
                <w:szCs w:val="18"/>
              </w:rPr>
            </w:pPr>
            <w:r>
              <w:rPr>
                <w:rFonts w:ascii="宋体" w:hAnsi="宋体"/>
                <w:sz w:val="18"/>
                <w:szCs w:val="18"/>
              </w:rPr>
              <w:t>-</w:t>
            </w:r>
          </w:p>
        </w:tc>
      </w:tr>
      <w:tr w14:paraId="4131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10FD320C">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395" w:type="pct"/>
            <w:shd w:val="clear" w:color="auto" w:fill="auto"/>
            <w:vAlign w:val="center"/>
          </w:tcPr>
          <w:p w14:paraId="736ED345">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390" w:type="pct"/>
            <w:shd w:val="clear" w:color="auto" w:fill="auto"/>
            <w:vAlign w:val="center"/>
          </w:tcPr>
          <w:p w14:paraId="57012EED">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3268659D">
            <w:pPr>
              <w:widowControl/>
              <w:jc w:val="center"/>
              <w:rPr>
                <w:rFonts w:ascii="宋体" w:hAnsi="宋体" w:cs="宋体"/>
                <w:color w:val="000000"/>
                <w:kern w:val="0"/>
                <w:sz w:val="18"/>
                <w:szCs w:val="18"/>
              </w:rPr>
            </w:pPr>
          </w:p>
        </w:tc>
        <w:tc>
          <w:tcPr>
            <w:tcW w:w="358" w:type="pct"/>
            <w:shd w:val="clear" w:color="auto" w:fill="auto"/>
            <w:vAlign w:val="center"/>
          </w:tcPr>
          <w:p w14:paraId="45F1F3FA">
            <w:pPr>
              <w:widowControl/>
              <w:jc w:val="center"/>
              <w:rPr>
                <w:rFonts w:ascii="宋体" w:hAnsi="宋体" w:cs="宋体"/>
                <w:color w:val="000000"/>
                <w:kern w:val="0"/>
                <w:sz w:val="18"/>
                <w:szCs w:val="18"/>
              </w:rPr>
            </w:pPr>
          </w:p>
        </w:tc>
        <w:tc>
          <w:tcPr>
            <w:tcW w:w="358" w:type="pct"/>
            <w:shd w:val="clear" w:color="auto" w:fill="auto"/>
            <w:vAlign w:val="center"/>
          </w:tcPr>
          <w:p w14:paraId="1BE701B4">
            <w:pPr>
              <w:widowControl/>
              <w:jc w:val="center"/>
              <w:rPr>
                <w:rFonts w:ascii="宋体" w:hAnsi="宋体" w:cs="宋体"/>
                <w:color w:val="000000"/>
                <w:kern w:val="0"/>
                <w:sz w:val="18"/>
                <w:szCs w:val="18"/>
              </w:rPr>
            </w:pPr>
          </w:p>
        </w:tc>
        <w:tc>
          <w:tcPr>
            <w:tcW w:w="327" w:type="pct"/>
            <w:shd w:val="clear" w:color="auto" w:fill="auto"/>
            <w:vAlign w:val="center"/>
          </w:tcPr>
          <w:p w14:paraId="2FC80075">
            <w:pPr>
              <w:widowControl/>
              <w:jc w:val="center"/>
              <w:rPr>
                <w:rFonts w:ascii="宋体" w:hAnsi="宋体" w:cs="宋体"/>
                <w:color w:val="000000"/>
                <w:kern w:val="0"/>
                <w:sz w:val="18"/>
                <w:szCs w:val="18"/>
              </w:rPr>
            </w:pPr>
          </w:p>
        </w:tc>
        <w:tc>
          <w:tcPr>
            <w:tcW w:w="390" w:type="pct"/>
            <w:shd w:val="clear" w:color="auto" w:fill="auto"/>
            <w:vAlign w:val="center"/>
          </w:tcPr>
          <w:p w14:paraId="54B63FC4">
            <w:pPr>
              <w:widowControl/>
              <w:jc w:val="center"/>
              <w:rPr>
                <w:rFonts w:ascii="宋体" w:hAnsi="宋体" w:cs="宋体"/>
                <w:color w:val="000000"/>
                <w:kern w:val="0"/>
                <w:sz w:val="18"/>
                <w:szCs w:val="18"/>
              </w:rPr>
            </w:pPr>
          </w:p>
        </w:tc>
        <w:tc>
          <w:tcPr>
            <w:tcW w:w="390" w:type="pct"/>
            <w:shd w:val="clear" w:color="auto" w:fill="auto"/>
            <w:vAlign w:val="center"/>
          </w:tcPr>
          <w:p w14:paraId="087DDDDD">
            <w:pPr>
              <w:widowControl/>
              <w:jc w:val="center"/>
              <w:rPr>
                <w:rFonts w:ascii="宋体" w:hAnsi="宋体" w:cs="宋体"/>
                <w:color w:val="000000"/>
                <w:kern w:val="0"/>
                <w:sz w:val="18"/>
                <w:szCs w:val="18"/>
              </w:rPr>
            </w:pPr>
          </w:p>
        </w:tc>
        <w:tc>
          <w:tcPr>
            <w:tcW w:w="390" w:type="pct"/>
            <w:shd w:val="clear" w:color="auto" w:fill="auto"/>
            <w:vAlign w:val="center"/>
          </w:tcPr>
          <w:p w14:paraId="4CA23509">
            <w:pPr>
              <w:widowControl/>
              <w:jc w:val="center"/>
              <w:rPr>
                <w:rFonts w:ascii="宋体" w:hAnsi="宋体" w:cs="宋体"/>
                <w:color w:val="000000"/>
                <w:kern w:val="0"/>
                <w:sz w:val="18"/>
                <w:szCs w:val="18"/>
              </w:rPr>
            </w:pPr>
          </w:p>
        </w:tc>
        <w:tc>
          <w:tcPr>
            <w:tcW w:w="390" w:type="pct"/>
            <w:shd w:val="clear" w:color="auto" w:fill="auto"/>
            <w:vAlign w:val="center"/>
          </w:tcPr>
          <w:p w14:paraId="35CF85E7">
            <w:pPr>
              <w:widowControl/>
              <w:jc w:val="center"/>
              <w:rPr>
                <w:rFonts w:ascii="宋体" w:hAnsi="宋体" w:cs="宋体"/>
                <w:color w:val="000000"/>
                <w:kern w:val="0"/>
                <w:sz w:val="18"/>
                <w:szCs w:val="18"/>
              </w:rPr>
            </w:pPr>
          </w:p>
        </w:tc>
        <w:tc>
          <w:tcPr>
            <w:tcW w:w="390" w:type="pct"/>
            <w:shd w:val="clear" w:color="auto" w:fill="auto"/>
            <w:vAlign w:val="center"/>
          </w:tcPr>
          <w:p w14:paraId="3E24FD50">
            <w:pPr>
              <w:widowControl/>
              <w:jc w:val="center"/>
              <w:rPr>
                <w:rFonts w:ascii="宋体" w:hAnsi="宋体" w:cs="宋体"/>
                <w:color w:val="000000"/>
                <w:kern w:val="0"/>
                <w:sz w:val="18"/>
                <w:szCs w:val="18"/>
              </w:rPr>
            </w:pPr>
          </w:p>
        </w:tc>
        <w:tc>
          <w:tcPr>
            <w:tcW w:w="390" w:type="pct"/>
            <w:vAlign w:val="center"/>
          </w:tcPr>
          <w:p w14:paraId="294FAB70">
            <w:pPr>
              <w:widowControl/>
              <w:jc w:val="center"/>
              <w:rPr>
                <w:rFonts w:ascii="宋体" w:hAnsi="宋体" w:cs="宋体"/>
                <w:color w:val="000000"/>
                <w:kern w:val="0"/>
                <w:sz w:val="18"/>
                <w:szCs w:val="18"/>
              </w:rPr>
            </w:pPr>
          </w:p>
        </w:tc>
        <w:tc>
          <w:tcPr>
            <w:tcW w:w="358" w:type="pct"/>
            <w:shd w:val="clear" w:color="auto" w:fill="auto"/>
            <w:vAlign w:val="center"/>
          </w:tcPr>
          <w:p w14:paraId="5FEE6850">
            <w:pPr>
              <w:widowControl/>
              <w:jc w:val="center"/>
              <w:rPr>
                <w:rFonts w:ascii="宋体" w:hAnsi="宋体" w:cs="宋体"/>
                <w:color w:val="000000"/>
                <w:kern w:val="0"/>
                <w:sz w:val="18"/>
                <w:szCs w:val="18"/>
              </w:rPr>
            </w:pPr>
          </w:p>
        </w:tc>
      </w:tr>
      <w:tr w14:paraId="3AA3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2A5BE749">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395" w:type="pct"/>
            <w:shd w:val="clear" w:color="auto" w:fill="auto"/>
            <w:vAlign w:val="center"/>
          </w:tcPr>
          <w:p w14:paraId="5B0DB2D1">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390" w:type="pct"/>
            <w:shd w:val="clear" w:color="auto" w:fill="auto"/>
            <w:vAlign w:val="center"/>
          </w:tcPr>
          <w:p w14:paraId="6ED7C8AA">
            <w:pPr>
              <w:widowControl/>
              <w:jc w:val="center"/>
              <w:rPr>
                <w:rFonts w:ascii="宋体" w:hAnsi="宋体" w:cs="宋体"/>
                <w:color w:val="000000"/>
                <w:kern w:val="0"/>
                <w:sz w:val="18"/>
                <w:szCs w:val="18"/>
              </w:rPr>
            </w:pPr>
            <w:r>
              <w:rPr>
                <w:rFonts w:ascii="宋体" w:hAnsi="宋体"/>
                <w:sz w:val="18"/>
                <w:szCs w:val="18"/>
              </w:rPr>
              <w:t>112,636.26</w:t>
            </w:r>
          </w:p>
        </w:tc>
        <w:tc>
          <w:tcPr>
            <w:tcW w:w="327" w:type="pct"/>
            <w:shd w:val="clear" w:color="auto" w:fill="auto"/>
            <w:vAlign w:val="center"/>
          </w:tcPr>
          <w:p w14:paraId="1B62E6B1">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B17B570">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2D619C92">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256F5F57">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6A620F2">
            <w:pPr>
              <w:widowControl/>
              <w:jc w:val="center"/>
              <w:rPr>
                <w:rFonts w:ascii="宋体" w:hAnsi="宋体" w:cs="宋体"/>
                <w:color w:val="000000"/>
                <w:kern w:val="0"/>
                <w:sz w:val="18"/>
                <w:szCs w:val="18"/>
              </w:rPr>
            </w:pPr>
            <w:r>
              <w:rPr>
                <w:rFonts w:ascii="宋体" w:hAnsi="宋体"/>
                <w:sz w:val="18"/>
                <w:szCs w:val="18"/>
              </w:rPr>
              <w:t>112,636.26</w:t>
            </w:r>
          </w:p>
        </w:tc>
        <w:tc>
          <w:tcPr>
            <w:tcW w:w="390" w:type="pct"/>
            <w:shd w:val="clear" w:color="auto" w:fill="auto"/>
            <w:vAlign w:val="center"/>
          </w:tcPr>
          <w:p w14:paraId="58CE6641">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C9B4283">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C262D23">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C70BB82">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08089C67">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06BCFFC7">
            <w:pPr>
              <w:widowControl/>
              <w:jc w:val="center"/>
              <w:rPr>
                <w:rFonts w:ascii="宋体" w:hAnsi="宋体" w:cs="宋体"/>
                <w:color w:val="000000"/>
                <w:kern w:val="0"/>
                <w:sz w:val="18"/>
                <w:szCs w:val="18"/>
              </w:rPr>
            </w:pPr>
            <w:r>
              <w:rPr>
                <w:rFonts w:ascii="宋体" w:hAnsi="宋体"/>
                <w:sz w:val="18"/>
                <w:szCs w:val="18"/>
              </w:rPr>
              <w:t>-</w:t>
            </w:r>
          </w:p>
        </w:tc>
      </w:tr>
      <w:tr w14:paraId="08E4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2488A184">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95" w:type="pct"/>
            <w:shd w:val="clear" w:color="auto" w:fill="auto"/>
            <w:vAlign w:val="center"/>
          </w:tcPr>
          <w:p w14:paraId="2CE4FAC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390" w:type="pct"/>
            <w:shd w:val="clear" w:color="auto" w:fill="auto"/>
            <w:vAlign w:val="center"/>
          </w:tcPr>
          <w:p w14:paraId="4E5ED402">
            <w:pPr>
              <w:widowControl/>
              <w:jc w:val="center"/>
              <w:rPr>
                <w:rFonts w:ascii="宋体" w:hAnsi="宋体" w:cs="宋体"/>
                <w:color w:val="000000"/>
                <w:kern w:val="0"/>
                <w:sz w:val="18"/>
                <w:szCs w:val="18"/>
              </w:rPr>
            </w:pPr>
            <w:r>
              <w:rPr>
                <w:rFonts w:ascii="宋体" w:hAnsi="宋体"/>
                <w:sz w:val="18"/>
                <w:szCs w:val="18"/>
              </w:rPr>
              <w:t>31,000.00</w:t>
            </w:r>
          </w:p>
        </w:tc>
        <w:tc>
          <w:tcPr>
            <w:tcW w:w="327" w:type="pct"/>
            <w:shd w:val="clear" w:color="auto" w:fill="auto"/>
            <w:vAlign w:val="center"/>
          </w:tcPr>
          <w:p w14:paraId="5E96DCFC">
            <w:pPr>
              <w:widowControl/>
              <w:jc w:val="center"/>
              <w:rPr>
                <w:rFonts w:ascii="宋体" w:hAnsi="宋体" w:cs="宋体"/>
                <w:color w:val="000000"/>
                <w:kern w:val="0"/>
                <w:sz w:val="18"/>
                <w:szCs w:val="18"/>
              </w:rPr>
            </w:pPr>
            <w:r>
              <w:rPr>
                <w:rFonts w:ascii="宋体" w:hAnsi="宋体"/>
                <w:sz w:val="18"/>
                <w:szCs w:val="18"/>
              </w:rPr>
              <w:t>2,500.00</w:t>
            </w:r>
          </w:p>
        </w:tc>
        <w:tc>
          <w:tcPr>
            <w:tcW w:w="358" w:type="pct"/>
            <w:shd w:val="clear" w:color="auto" w:fill="auto"/>
            <w:vAlign w:val="center"/>
          </w:tcPr>
          <w:p w14:paraId="29C8E9C0">
            <w:pPr>
              <w:widowControl/>
              <w:jc w:val="center"/>
              <w:rPr>
                <w:rFonts w:ascii="宋体" w:hAnsi="宋体" w:cs="宋体"/>
                <w:color w:val="000000"/>
                <w:kern w:val="0"/>
                <w:sz w:val="18"/>
                <w:szCs w:val="18"/>
              </w:rPr>
            </w:pPr>
            <w:r>
              <w:rPr>
                <w:rFonts w:ascii="宋体" w:hAnsi="宋体"/>
                <w:sz w:val="18"/>
                <w:szCs w:val="18"/>
              </w:rPr>
              <w:t>4,000.00</w:t>
            </w:r>
          </w:p>
        </w:tc>
        <w:tc>
          <w:tcPr>
            <w:tcW w:w="358" w:type="pct"/>
            <w:shd w:val="clear" w:color="auto" w:fill="auto"/>
            <w:vAlign w:val="center"/>
          </w:tcPr>
          <w:p w14:paraId="66C8CFCE">
            <w:pPr>
              <w:widowControl/>
              <w:jc w:val="center"/>
              <w:rPr>
                <w:rFonts w:ascii="宋体" w:hAnsi="宋体" w:cs="宋体"/>
                <w:color w:val="000000"/>
                <w:kern w:val="0"/>
                <w:sz w:val="18"/>
                <w:szCs w:val="18"/>
              </w:rPr>
            </w:pPr>
            <w:r>
              <w:rPr>
                <w:rFonts w:ascii="宋体" w:hAnsi="宋体"/>
                <w:sz w:val="18"/>
                <w:szCs w:val="18"/>
              </w:rPr>
              <w:t>20,000.00</w:t>
            </w:r>
          </w:p>
        </w:tc>
        <w:tc>
          <w:tcPr>
            <w:tcW w:w="327" w:type="pct"/>
            <w:shd w:val="clear" w:color="auto" w:fill="auto"/>
            <w:vAlign w:val="center"/>
          </w:tcPr>
          <w:p w14:paraId="15B97832">
            <w:pPr>
              <w:widowControl/>
              <w:jc w:val="center"/>
              <w:rPr>
                <w:rFonts w:ascii="宋体" w:hAnsi="宋体" w:cs="宋体"/>
                <w:color w:val="000000"/>
                <w:kern w:val="0"/>
                <w:sz w:val="18"/>
                <w:szCs w:val="18"/>
              </w:rPr>
            </w:pPr>
            <w:r>
              <w:rPr>
                <w:rFonts w:ascii="宋体" w:hAnsi="宋体"/>
                <w:sz w:val="18"/>
                <w:szCs w:val="18"/>
              </w:rPr>
              <w:t>4,500.00</w:t>
            </w:r>
          </w:p>
        </w:tc>
        <w:tc>
          <w:tcPr>
            <w:tcW w:w="390" w:type="pct"/>
            <w:shd w:val="clear" w:color="auto" w:fill="auto"/>
            <w:vAlign w:val="center"/>
          </w:tcPr>
          <w:p w14:paraId="34EF6C88">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CCE5F0C">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22456B6">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3F1A3E05">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F9E54B9">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2391438E">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7D2DDADA">
            <w:pPr>
              <w:widowControl/>
              <w:jc w:val="center"/>
              <w:rPr>
                <w:rFonts w:ascii="宋体" w:hAnsi="宋体" w:cs="宋体"/>
                <w:color w:val="000000"/>
                <w:kern w:val="0"/>
                <w:sz w:val="18"/>
                <w:szCs w:val="18"/>
              </w:rPr>
            </w:pPr>
            <w:r>
              <w:rPr>
                <w:rFonts w:ascii="宋体" w:hAnsi="宋体"/>
                <w:sz w:val="18"/>
                <w:szCs w:val="18"/>
              </w:rPr>
              <w:t>-</w:t>
            </w:r>
          </w:p>
        </w:tc>
      </w:tr>
      <w:tr w14:paraId="1C18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634F651F">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395" w:type="pct"/>
            <w:shd w:val="clear" w:color="auto" w:fill="auto"/>
            <w:vAlign w:val="center"/>
          </w:tcPr>
          <w:p w14:paraId="383F1605">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390" w:type="pct"/>
            <w:shd w:val="clear" w:color="auto" w:fill="auto"/>
            <w:vAlign w:val="center"/>
          </w:tcPr>
          <w:p w14:paraId="08607FA1">
            <w:pPr>
              <w:widowControl/>
              <w:jc w:val="center"/>
              <w:rPr>
                <w:rFonts w:ascii="宋体" w:hAnsi="宋体" w:cs="宋体"/>
                <w:color w:val="000000"/>
                <w:kern w:val="0"/>
                <w:sz w:val="18"/>
                <w:szCs w:val="18"/>
              </w:rPr>
            </w:pPr>
            <w:r>
              <w:rPr>
                <w:rFonts w:ascii="宋体" w:hAnsi="宋体"/>
                <w:sz w:val="18"/>
                <w:szCs w:val="18"/>
              </w:rPr>
              <w:t>31,000.00</w:t>
            </w:r>
          </w:p>
        </w:tc>
        <w:tc>
          <w:tcPr>
            <w:tcW w:w="327" w:type="pct"/>
            <w:shd w:val="clear" w:color="auto" w:fill="auto"/>
            <w:vAlign w:val="center"/>
          </w:tcPr>
          <w:p w14:paraId="3E0AC90F">
            <w:pPr>
              <w:widowControl/>
              <w:jc w:val="center"/>
              <w:rPr>
                <w:rFonts w:ascii="宋体" w:hAnsi="宋体" w:cs="宋体"/>
                <w:color w:val="000000"/>
                <w:kern w:val="0"/>
                <w:sz w:val="18"/>
                <w:szCs w:val="18"/>
              </w:rPr>
            </w:pPr>
            <w:r>
              <w:rPr>
                <w:rFonts w:ascii="宋体" w:hAnsi="宋体"/>
                <w:sz w:val="18"/>
                <w:szCs w:val="18"/>
              </w:rPr>
              <w:t>2,500.00</w:t>
            </w:r>
          </w:p>
        </w:tc>
        <w:tc>
          <w:tcPr>
            <w:tcW w:w="358" w:type="pct"/>
            <w:shd w:val="clear" w:color="auto" w:fill="auto"/>
            <w:vAlign w:val="center"/>
          </w:tcPr>
          <w:p w14:paraId="592BAA79">
            <w:pPr>
              <w:widowControl/>
              <w:jc w:val="center"/>
              <w:rPr>
                <w:rFonts w:ascii="宋体" w:hAnsi="宋体" w:cs="宋体"/>
                <w:color w:val="000000"/>
                <w:kern w:val="0"/>
                <w:sz w:val="18"/>
                <w:szCs w:val="18"/>
              </w:rPr>
            </w:pPr>
            <w:r>
              <w:rPr>
                <w:rFonts w:ascii="宋体" w:hAnsi="宋体"/>
                <w:sz w:val="18"/>
                <w:szCs w:val="18"/>
              </w:rPr>
              <w:t>4,000.00</w:t>
            </w:r>
          </w:p>
        </w:tc>
        <w:tc>
          <w:tcPr>
            <w:tcW w:w="358" w:type="pct"/>
            <w:shd w:val="clear" w:color="auto" w:fill="auto"/>
            <w:vAlign w:val="center"/>
          </w:tcPr>
          <w:p w14:paraId="36B694E9">
            <w:pPr>
              <w:widowControl/>
              <w:jc w:val="center"/>
              <w:rPr>
                <w:rFonts w:ascii="宋体" w:hAnsi="宋体" w:cs="宋体"/>
                <w:color w:val="000000"/>
                <w:kern w:val="0"/>
                <w:sz w:val="18"/>
                <w:szCs w:val="18"/>
              </w:rPr>
            </w:pPr>
            <w:r>
              <w:rPr>
                <w:rFonts w:ascii="宋体" w:hAnsi="宋体"/>
                <w:sz w:val="18"/>
                <w:szCs w:val="18"/>
              </w:rPr>
              <w:t>20,000.00</w:t>
            </w:r>
          </w:p>
        </w:tc>
        <w:tc>
          <w:tcPr>
            <w:tcW w:w="327" w:type="pct"/>
            <w:shd w:val="clear" w:color="auto" w:fill="auto"/>
            <w:vAlign w:val="center"/>
          </w:tcPr>
          <w:p w14:paraId="0A123BB6">
            <w:pPr>
              <w:widowControl/>
              <w:jc w:val="center"/>
              <w:rPr>
                <w:rFonts w:ascii="宋体" w:hAnsi="宋体" w:cs="宋体"/>
                <w:color w:val="000000"/>
                <w:kern w:val="0"/>
                <w:sz w:val="18"/>
                <w:szCs w:val="18"/>
              </w:rPr>
            </w:pPr>
            <w:r>
              <w:rPr>
                <w:rFonts w:ascii="宋体" w:hAnsi="宋体"/>
                <w:sz w:val="18"/>
                <w:szCs w:val="18"/>
              </w:rPr>
              <w:t>4,500.00</w:t>
            </w:r>
          </w:p>
        </w:tc>
        <w:tc>
          <w:tcPr>
            <w:tcW w:w="390" w:type="pct"/>
            <w:shd w:val="clear" w:color="auto" w:fill="auto"/>
            <w:vAlign w:val="center"/>
          </w:tcPr>
          <w:p w14:paraId="1B63F82A">
            <w:pPr>
              <w:widowControl/>
              <w:jc w:val="center"/>
              <w:rPr>
                <w:rFonts w:ascii="宋体" w:hAnsi="宋体" w:cs="宋体"/>
                <w:color w:val="000000"/>
                <w:kern w:val="0"/>
                <w:sz w:val="18"/>
                <w:szCs w:val="18"/>
              </w:rPr>
            </w:pPr>
          </w:p>
        </w:tc>
        <w:tc>
          <w:tcPr>
            <w:tcW w:w="390" w:type="pct"/>
            <w:shd w:val="clear" w:color="auto" w:fill="auto"/>
            <w:vAlign w:val="center"/>
          </w:tcPr>
          <w:p w14:paraId="04C7340A">
            <w:pPr>
              <w:widowControl/>
              <w:jc w:val="center"/>
              <w:rPr>
                <w:rFonts w:ascii="宋体" w:hAnsi="宋体" w:cs="宋体"/>
                <w:color w:val="000000"/>
                <w:kern w:val="0"/>
                <w:sz w:val="18"/>
                <w:szCs w:val="18"/>
              </w:rPr>
            </w:pPr>
          </w:p>
        </w:tc>
        <w:tc>
          <w:tcPr>
            <w:tcW w:w="390" w:type="pct"/>
            <w:shd w:val="clear" w:color="auto" w:fill="auto"/>
            <w:vAlign w:val="center"/>
          </w:tcPr>
          <w:p w14:paraId="0E608407">
            <w:pPr>
              <w:widowControl/>
              <w:jc w:val="center"/>
              <w:rPr>
                <w:rFonts w:ascii="宋体" w:hAnsi="宋体" w:cs="宋体"/>
                <w:color w:val="000000"/>
                <w:kern w:val="0"/>
                <w:sz w:val="18"/>
                <w:szCs w:val="18"/>
              </w:rPr>
            </w:pPr>
          </w:p>
        </w:tc>
        <w:tc>
          <w:tcPr>
            <w:tcW w:w="390" w:type="pct"/>
            <w:shd w:val="clear" w:color="auto" w:fill="auto"/>
            <w:vAlign w:val="center"/>
          </w:tcPr>
          <w:p w14:paraId="1937B800">
            <w:pPr>
              <w:widowControl/>
              <w:jc w:val="center"/>
              <w:rPr>
                <w:rFonts w:ascii="宋体" w:hAnsi="宋体" w:cs="宋体"/>
                <w:color w:val="000000"/>
                <w:kern w:val="0"/>
                <w:sz w:val="18"/>
                <w:szCs w:val="18"/>
              </w:rPr>
            </w:pPr>
          </w:p>
        </w:tc>
        <w:tc>
          <w:tcPr>
            <w:tcW w:w="390" w:type="pct"/>
            <w:shd w:val="clear" w:color="auto" w:fill="auto"/>
            <w:vAlign w:val="center"/>
          </w:tcPr>
          <w:p w14:paraId="3085072C">
            <w:pPr>
              <w:widowControl/>
              <w:jc w:val="center"/>
              <w:rPr>
                <w:rFonts w:ascii="宋体" w:hAnsi="宋体" w:cs="宋体"/>
                <w:color w:val="000000"/>
                <w:kern w:val="0"/>
                <w:sz w:val="18"/>
                <w:szCs w:val="18"/>
              </w:rPr>
            </w:pPr>
          </w:p>
        </w:tc>
        <w:tc>
          <w:tcPr>
            <w:tcW w:w="390" w:type="pct"/>
            <w:vAlign w:val="center"/>
          </w:tcPr>
          <w:p w14:paraId="36A3B63A">
            <w:pPr>
              <w:widowControl/>
              <w:jc w:val="center"/>
              <w:rPr>
                <w:rFonts w:ascii="宋体" w:hAnsi="宋体" w:cs="宋体"/>
                <w:color w:val="000000"/>
                <w:kern w:val="0"/>
                <w:sz w:val="18"/>
                <w:szCs w:val="18"/>
              </w:rPr>
            </w:pPr>
          </w:p>
        </w:tc>
        <w:tc>
          <w:tcPr>
            <w:tcW w:w="358" w:type="pct"/>
            <w:shd w:val="clear" w:color="auto" w:fill="auto"/>
            <w:vAlign w:val="center"/>
          </w:tcPr>
          <w:p w14:paraId="5CA0D14E">
            <w:pPr>
              <w:widowControl/>
              <w:jc w:val="center"/>
              <w:rPr>
                <w:rFonts w:ascii="宋体" w:hAnsi="宋体" w:cs="宋体"/>
                <w:color w:val="000000"/>
                <w:kern w:val="0"/>
                <w:sz w:val="18"/>
                <w:szCs w:val="18"/>
              </w:rPr>
            </w:pPr>
          </w:p>
        </w:tc>
      </w:tr>
      <w:tr w14:paraId="6F42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45D5F9CF">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395" w:type="pct"/>
            <w:shd w:val="clear" w:color="auto" w:fill="auto"/>
            <w:vAlign w:val="center"/>
          </w:tcPr>
          <w:p w14:paraId="442B1B4F">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390" w:type="pct"/>
            <w:shd w:val="clear" w:color="auto" w:fill="auto"/>
            <w:vAlign w:val="center"/>
          </w:tcPr>
          <w:p w14:paraId="71E3E4F1">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01CA4556">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46EA5E52">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3690013A">
            <w:pPr>
              <w:widowControl/>
              <w:jc w:val="center"/>
              <w:rPr>
                <w:rFonts w:ascii="宋体" w:hAnsi="宋体" w:cs="宋体"/>
                <w:color w:val="000000"/>
                <w:kern w:val="0"/>
                <w:sz w:val="18"/>
                <w:szCs w:val="18"/>
              </w:rPr>
            </w:pPr>
          </w:p>
        </w:tc>
        <w:tc>
          <w:tcPr>
            <w:tcW w:w="327" w:type="pct"/>
            <w:shd w:val="clear" w:color="auto" w:fill="auto"/>
            <w:vAlign w:val="center"/>
          </w:tcPr>
          <w:p w14:paraId="27B1CFEC">
            <w:pPr>
              <w:widowControl/>
              <w:jc w:val="center"/>
              <w:rPr>
                <w:rFonts w:ascii="宋体" w:hAnsi="宋体" w:cs="宋体"/>
                <w:color w:val="000000"/>
                <w:kern w:val="0"/>
                <w:sz w:val="18"/>
                <w:szCs w:val="18"/>
              </w:rPr>
            </w:pPr>
          </w:p>
        </w:tc>
        <w:tc>
          <w:tcPr>
            <w:tcW w:w="390" w:type="pct"/>
            <w:shd w:val="clear" w:color="auto" w:fill="auto"/>
            <w:vAlign w:val="center"/>
          </w:tcPr>
          <w:p w14:paraId="7F5E11C8">
            <w:pPr>
              <w:widowControl/>
              <w:jc w:val="center"/>
              <w:rPr>
                <w:rFonts w:ascii="宋体" w:hAnsi="宋体" w:cs="宋体"/>
                <w:color w:val="000000"/>
                <w:kern w:val="0"/>
                <w:sz w:val="18"/>
                <w:szCs w:val="18"/>
              </w:rPr>
            </w:pPr>
          </w:p>
        </w:tc>
        <w:tc>
          <w:tcPr>
            <w:tcW w:w="390" w:type="pct"/>
            <w:shd w:val="clear" w:color="auto" w:fill="auto"/>
            <w:vAlign w:val="center"/>
          </w:tcPr>
          <w:p w14:paraId="15E25A7E">
            <w:pPr>
              <w:widowControl/>
              <w:jc w:val="center"/>
              <w:rPr>
                <w:rFonts w:ascii="宋体" w:hAnsi="宋体" w:cs="宋体"/>
                <w:color w:val="000000"/>
                <w:kern w:val="0"/>
                <w:sz w:val="18"/>
                <w:szCs w:val="18"/>
              </w:rPr>
            </w:pPr>
          </w:p>
        </w:tc>
        <w:tc>
          <w:tcPr>
            <w:tcW w:w="390" w:type="pct"/>
            <w:shd w:val="clear" w:color="auto" w:fill="auto"/>
            <w:vAlign w:val="center"/>
          </w:tcPr>
          <w:p w14:paraId="26CE7944">
            <w:pPr>
              <w:widowControl/>
              <w:jc w:val="center"/>
              <w:rPr>
                <w:rFonts w:ascii="宋体" w:hAnsi="宋体" w:cs="宋体"/>
                <w:color w:val="000000"/>
                <w:kern w:val="0"/>
                <w:sz w:val="18"/>
                <w:szCs w:val="18"/>
              </w:rPr>
            </w:pPr>
          </w:p>
        </w:tc>
        <w:tc>
          <w:tcPr>
            <w:tcW w:w="390" w:type="pct"/>
            <w:shd w:val="clear" w:color="auto" w:fill="auto"/>
            <w:vAlign w:val="center"/>
          </w:tcPr>
          <w:p w14:paraId="3B934EFD">
            <w:pPr>
              <w:widowControl/>
              <w:jc w:val="center"/>
              <w:rPr>
                <w:rFonts w:ascii="宋体" w:hAnsi="宋体" w:cs="宋体"/>
                <w:color w:val="000000"/>
                <w:kern w:val="0"/>
                <w:sz w:val="18"/>
                <w:szCs w:val="18"/>
              </w:rPr>
            </w:pPr>
          </w:p>
        </w:tc>
        <w:tc>
          <w:tcPr>
            <w:tcW w:w="390" w:type="pct"/>
            <w:shd w:val="clear" w:color="auto" w:fill="auto"/>
            <w:vAlign w:val="center"/>
          </w:tcPr>
          <w:p w14:paraId="320246F3">
            <w:pPr>
              <w:widowControl/>
              <w:jc w:val="center"/>
              <w:rPr>
                <w:rFonts w:ascii="宋体" w:hAnsi="宋体" w:cs="宋体"/>
                <w:color w:val="000000"/>
                <w:kern w:val="0"/>
                <w:sz w:val="18"/>
                <w:szCs w:val="18"/>
              </w:rPr>
            </w:pPr>
          </w:p>
        </w:tc>
        <w:tc>
          <w:tcPr>
            <w:tcW w:w="390" w:type="pct"/>
            <w:vAlign w:val="center"/>
          </w:tcPr>
          <w:p w14:paraId="6F9E7282">
            <w:pPr>
              <w:widowControl/>
              <w:jc w:val="center"/>
              <w:rPr>
                <w:rFonts w:ascii="宋体" w:hAnsi="宋体" w:cs="宋体"/>
                <w:color w:val="000000"/>
                <w:kern w:val="0"/>
                <w:sz w:val="18"/>
                <w:szCs w:val="18"/>
              </w:rPr>
            </w:pPr>
          </w:p>
        </w:tc>
        <w:tc>
          <w:tcPr>
            <w:tcW w:w="358" w:type="pct"/>
            <w:shd w:val="clear" w:color="auto" w:fill="auto"/>
            <w:vAlign w:val="center"/>
          </w:tcPr>
          <w:p w14:paraId="1ECBBEC1">
            <w:pPr>
              <w:widowControl/>
              <w:jc w:val="center"/>
              <w:rPr>
                <w:rFonts w:ascii="宋体" w:hAnsi="宋体" w:cs="宋体"/>
                <w:color w:val="000000"/>
                <w:kern w:val="0"/>
                <w:sz w:val="18"/>
                <w:szCs w:val="18"/>
              </w:rPr>
            </w:pPr>
          </w:p>
        </w:tc>
      </w:tr>
      <w:tr w14:paraId="0115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118C7AD2">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95" w:type="pct"/>
            <w:shd w:val="clear" w:color="auto" w:fill="auto"/>
            <w:vAlign w:val="center"/>
          </w:tcPr>
          <w:p w14:paraId="6DE3AF69">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390" w:type="pct"/>
            <w:shd w:val="clear" w:color="auto" w:fill="auto"/>
            <w:vAlign w:val="center"/>
          </w:tcPr>
          <w:p w14:paraId="0D071689">
            <w:pPr>
              <w:widowControl/>
              <w:jc w:val="center"/>
              <w:rPr>
                <w:rFonts w:ascii="宋体" w:hAnsi="宋体" w:cs="宋体"/>
                <w:color w:val="000000"/>
                <w:kern w:val="0"/>
                <w:sz w:val="18"/>
                <w:szCs w:val="18"/>
              </w:rPr>
            </w:pPr>
            <w:r>
              <w:rPr>
                <w:rFonts w:ascii="宋体" w:hAnsi="宋体"/>
                <w:sz w:val="18"/>
                <w:szCs w:val="18"/>
              </w:rPr>
              <w:t>9,706.25</w:t>
            </w:r>
          </w:p>
        </w:tc>
        <w:tc>
          <w:tcPr>
            <w:tcW w:w="327" w:type="pct"/>
            <w:shd w:val="clear" w:color="auto" w:fill="auto"/>
            <w:vAlign w:val="center"/>
          </w:tcPr>
          <w:p w14:paraId="7B2491E5">
            <w:pPr>
              <w:widowControl/>
              <w:jc w:val="center"/>
              <w:rPr>
                <w:rFonts w:ascii="宋体" w:hAnsi="宋体" w:cs="宋体"/>
                <w:color w:val="000000"/>
                <w:kern w:val="0"/>
                <w:sz w:val="18"/>
                <w:szCs w:val="18"/>
              </w:rPr>
            </w:pPr>
            <w:r>
              <w:rPr>
                <w:rFonts w:ascii="宋体" w:hAnsi="宋体"/>
                <w:sz w:val="18"/>
                <w:szCs w:val="18"/>
              </w:rPr>
              <w:t>-296.50</w:t>
            </w:r>
          </w:p>
        </w:tc>
        <w:tc>
          <w:tcPr>
            <w:tcW w:w="358" w:type="pct"/>
            <w:shd w:val="clear" w:color="auto" w:fill="auto"/>
            <w:vAlign w:val="center"/>
          </w:tcPr>
          <w:p w14:paraId="5FE5905F">
            <w:pPr>
              <w:widowControl/>
              <w:jc w:val="center"/>
              <w:rPr>
                <w:rFonts w:ascii="宋体" w:hAnsi="宋体" w:cs="宋体"/>
                <w:color w:val="000000"/>
                <w:kern w:val="0"/>
                <w:sz w:val="18"/>
                <w:szCs w:val="18"/>
              </w:rPr>
            </w:pPr>
            <w:r>
              <w:rPr>
                <w:rFonts w:ascii="宋体" w:hAnsi="宋体"/>
                <w:sz w:val="18"/>
                <w:szCs w:val="18"/>
              </w:rPr>
              <w:t>11,073.75</w:t>
            </w:r>
          </w:p>
        </w:tc>
        <w:tc>
          <w:tcPr>
            <w:tcW w:w="358" w:type="pct"/>
            <w:shd w:val="clear" w:color="auto" w:fill="auto"/>
            <w:vAlign w:val="center"/>
          </w:tcPr>
          <w:p w14:paraId="1EA0448B">
            <w:pPr>
              <w:widowControl/>
              <w:jc w:val="center"/>
              <w:rPr>
                <w:rFonts w:ascii="宋体" w:hAnsi="宋体" w:cs="宋体"/>
                <w:color w:val="000000"/>
                <w:kern w:val="0"/>
                <w:sz w:val="18"/>
                <w:szCs w:val="18"/>
              </w:rPr>
            </w:pPr>
            <w:r>
              <w:rPr>
                <w:rFonts w:ascii="宋体" w:hAnsi="宋体"/>
                <w:sz w:val="18"/>
                <w:szCs w:val="18"/>
              </w:rPr>
              <w:t>-3,754.25</w:t>
            </w:r>
          </w:p>
        </w:tc>
        <w:tc>
          <w:tcPr>
            <w:tcW w:w="327" w:type="pct"/>
            <w:shd w:val="clear" w:color="auto" w:fill="auto"/>
            <w:vAlign w:val="center"/>
          </w:tcPr>
          <w:p w14:paraId="35A42C42">
            <w:pPr>
              <w:widowControl/>
              <w:jc w:val="center"/>
              <w:rPr>
                <w:rFonts w:ascii="宋体" w:hAnsi="宋体" w:cs="宋体"/>
                <w:color w:val="000000"/>
                <w:kern w:val="0"/>
                <w:sz w:val="18"/>
                <w:szCs w:val="18"/>
              </w:rPr>
            </w:pPr>
            <w:r>
              <w:rPr>
                <w:rFonts w:ascii="宋体" w:hAnsi="宋体"/>
                <w:sz w:val="18"/>
                <w:szCs w:val="18"/>
              </w:rPr>
              <w:t>2,683.25</w:t>
            </w:r>
          </w:p>
        </w:tc>
        <w:tc>
          <w:tcPr>
            <w:tcW w:w="390" w:type="pct"/>
            <w:shd w:val="clear" w:color="auto" w:fill="auto"/>
            <w:vAlign w:val="center"/>
          </w:tcPr>
          <w:p w14:paraId="387B1944">
            <w:pPr>
              <w:widowControl/>
              <w:jc w:val="center"/>
              <w:rPr>
                <w:rFonts w:ascii="宋体" w:hAnsi="宋体" w:cs="宋体"/>
                <w:color w:val="000000"/>
                <w:kern w:val="0"/>
                <w:sz w:val="18"/>
                <w:szCs w:val="18"/>
              </w:rPr>
            </w:pPr>
          </w:p>
        </w:tc>
        <w:tc>
          <w:tcPr>
            <w:tcW w:w="390" w:type="pct"/>
            <w:shd w:val="clear" w:color="auto" w:fill="auto"/>
            <w:vAlign w:val="center"/>
          </w:tcPr>
          <w:p w14:paraId="638323FA">
            <w:pPr>
              <w:widowControl/>
              <w:jc w:val="center"/>
              <w:rPr>
                <w:rFonts w:ascii="宋体" w:hAnsi="宋体" w:cs="宋体"/>
                <w:color w:val="000000"/>
                <w:kern w:val="0"/>
                <w:sz w:val="18"/>
                <w:szCs w:val="18"/>
              </w:rPr>
            </w:pPr>
          </w:p>
        </w:tc>
        <w:tc>
          <w:tcPr>
            <w:tcW w:w="390" w:type="pct"/>
            <w:shd w:val="clear" w:color="auto" w:fill="auto"/>
            <w:vAlign w:val="center"/>
          </w:tcPr>
          <w:p w14:paraId="57BEFDA0">
            <w:pPr>
              <w:widowControl/>
              <w:jc w:val="center"/>
              <w:rPr>
                <w:rFonts w:ascii="宋体" w:hAnsi="宋体" w:cs="宋体"/>
                <w:color w:val="000000"/>
                <w:kern w:val="0"/>
                <w:sz w:val="18"/>
                <w:szCs w:val="18"/>
              </w:rPr>
            </w:pPr>
          </w:p>
        </w:tc>
        <w:tc>
          <w:tcPr>
            <w:tcW w:w="390" w:type="pct"/>
            <w:shd w:val="clear" w:color="auto" w:fill="auto"/>
            <w:vAlign w:val="center"/>
          </w:tcPr>
          <w:p w14:paraId="5FA24B1D">
            <w:pPr>
              <w:widowControl/>
              <w:jc w:val="center"/>
              <w:rPr>
                <w:rFonts w:ascii="宋体" w:hAnsi="宋体" w:cs="宋体"/>
                <w:color w:val="000000"/>
                <w:kern w:val="0"/>
                <w:sz w:val="18"/>
                <w:szCs w:val="18"/>
              </w:rPr>
            </w:pPr>
          </w:p>
        </w:tc>
        <w:tc>
          <w:tcPr>
            <w:tcW w:w="390" w:type="pct"/>
            <w:shd w:val="clear" w:color="auto" w:fill="auto"/>
            <w:vAlign w:val="center"/>
          </w:tcPr>
          <w:p w14:paraId="285FD2BB">
            <w:pPr>
              <w:widowControl/>
              <w:jc w:val="center"/>
              <w:rPr>
                <w:rFonts w:ascii="宋体" w:hAnsi="宋体" w:cs="宋体"/>
                <w:color w:val="000000"/>
                <w:kern w:val="0"/>
                <w:sz w:val="18"/>
                <w:szCs w:val="18"/>
              </w:rPr>
            </w:pPr>
          </w:p>
        </w:tc>
        <w:tc>
          <w:tcPr>
            <w:tcW w:w="390" w:type="pct"/>
            <w:vAlign w:val="center"/>
          </w:tcPr>
          <w:p w14:paraId="7AA9B439">
            <w:pPr>
              <w:widowControl/>
              <w:jc w:val="center"/>
              <w:rPr>
                <w:rFonts w:ascii="宋体" w:hAnsi="宋体" w:cs="宋体"/>
                <w:color w:val="000000"/>
                <w:kern w:val="0"/>
                <w:sz w:val="18"/>
                <w:szCs w:val="18"/>
              </w:rPr>
            </w:pPr>
          </w:p>
        </w:tc>
        <w:tc>
          <w:tcPr>
            <w:tcW w:w="358" w:type="pct"/>
            <w:shd w:val="clear" w:color="auto" w:fill="auto"/>
            <w:vAlign w:val="center"/>
          </w:tcPr>
          <w:p w14:paraId="091C5370">
            <w:pPr>
              <w:widowControl/>
              <w:jc w:val="center"/>
              <w:rPr>
                <w:rFonts w:ascii="宋体" w:hAnsi="宋体" w:cs="宋体"/>
                <w:color w:val="000000"/>
                <w:kern w:val="0"/>
                <w:sz w:val="18"/>
                <w:szCs w:val="18"/>
              </w:rPr>
            </w:pPr>
          </w:p>
        </w:tc>
      </w:tr>
      <w:tr w14:paraId="7358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7B2AAA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395" w:type="pct"/>
            <w:shd w:val="clear" w:color="auto" w:fill="auto"/>
            <w:vAlign w:val="center"/>
          </w:tcPr>
          <w:p w14:paraId="1C1D554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390" w:type="pct"/>
            <w:shd w:val="clear" w:color="auto" w:fill="auto"/>
            <w:vAlign w:val="center"/>
          </w:tcPr>
          <w:p w14:paraId="38F9D93C">
            <w:pPr>
              <w:widowControl/>
              <w:jc w:val="center"/>
              <w:rPr>
                <w:rFonts w:ascii="宋体" w:hAnsi="宋体" w:cs="宋体"/>
                <w:color w:val="000000"/>
                <w:kern w:val="0"/>
                <w:sz w:val="18"/>
                <w:szCs w:val="18"/>
              </w:rPr>
            </w:pPr>
            <w:r>
              <w:rPr>
                <w:rFonts w:ascii="宋体" w:hAnsi="宋体"/>
                <w:sz w:val="18"/>
                <w:szCs w:val="18"/>
              </w:rPr>
              <w:t>78,673.75</w:t>
            </w:r>
          </w:p>
        </w:tc>
        <w:tc>
          <w:tcPr>
            <w:tcW w:w="327" w:type="pct"/>
            <w:shd w:val="clear" w:color="auto" w:fill="auto"/>
            <w:vAlign w:val="center"/>
          </w:tcPr>
          <w:p w14:paraId="232E2554">
            <w:pPr>
              <w:widowControl/>
              <w:jc w:val="center"/>
              <w:rPr>
                <w:rFonts w:ascii="宋体" w:hAnsi="宋体" w:cs="宋体"/>
                <w:color w:val="000000"/>
                <w:kern w:val="0"/>
                <w:sz w:val="18"/>
                <w:szCs w:val="18"/>
              </w:rPr>
            </w:pPr>
            <w:r>
              <w:rPr>
                <w:rFonts w:ascii="宋体" w:hAnsi="宋体"/>
                <w:sz w:val="18"/>
                <w:szCs w:val="18"/>
              </w:rPr>
              <w:t>2,203.50</w:t>
            </w:r>
          </w:p>
        </w:tc>
        <w:tc>
          <w:tcPr>
            <w:tcW w:w="358" w:type="pct"/>
            <w:shd w:val="clear" w:color="auto" w:fill="auto"/>
            <w:vAlign w:val="center"/>
          </w:tcPr>
          <w:p w14:paraId="773ACA16">
            <w:pPr>
              <w:widowControl/>
              <w:jc w:val="center"/>
              <w:rPr>
                <w:rFonts w:ascii="宋体" w:hAnsi="宋体" w:cs="宋体"/>
                <w:color w:val="000000"/>
                <w:kern w:val="0"/>
                <w:sz w:val="18"/>
                <w:szCs w:val="18"/>
              </w:rPr>
            </w:pPr>
            <w:r>
              <w:rPr>
                <w:rFonts w:ascii="宋体" w:hAnsi="宋体"/>
                <w:sz w:val="18"/>
                <w:szCs w:val="18"/>
              </w:rPr>
              <w:t>15,073.75</w:t>
            </w:r>
          </w:p>
        </w:tc>
        <w:tc>
          <w:tcPr>
            <w:tcW w:w="358" w:type="pct"/>
            <w:shd w:val="clear" w:color="auto" w:fill="auto"/>
            <w:vAlign w:val="center"/>
          </w:tcPr>
          <w:p w14:paraId="42B3FB8A">
            <w:pPr>
              <w:widowControl/>
              <w:jc w:val="center"/>
              <w:rPr>
                <w:rFonts w:ascii="宋体" w:hAnsi="宋体" w:cs="宋体"/>
                <w:color w:val="000000"/>
                <w:kern w:val="0"/>
                <w:sz w:val="18"/>
                <w:szCs w:val="18"/>
              </w:rPr>
            </w:pPr>
            <w:r>
              <w:rPr>
                <w:rFonts w:ascii="宋体" w:hAnsi="宋体"/>
                <w:sz w:val="18"/>
                <w:szCs w:val="18"/>
              </w:rPr>
              <w:t>16,245.75</w:t>
            </w:r>
          </w:p>
        </w:tc>
        <w:tc>
          <w:tcPr>
            <w:tcW w:w="327" w:type="pct"/>
            <w:shd w:val="clear" w:color="auto" w:fill="auto"/>
            <w:vAlign w:val="center"/>
          </w:tcPr>
          <w:p w14:paraId="718DCE5F">
            <w:pPr>
              <w:widowControl/>
              <w:jc w:val="center"/>
              <w:rPr>
                <w:rFonts w:ascii="宋体" w:hAnsi="宋体" w:cs="宋体"/>
                <w:color w:val="000000"/>
                <w:kern w:val="0"/>
                <w:sz w:val="18"/>
                <w:szCs w:val="18"/>
              </w:rPr>
            </w:pPr>
            <w:r>
              <w:rPr>
                <w:rFonts w:ascii="宋体" w:hAnsi="宋体"/>
                <w:sz w:val="18"/>
                <w:szCs w:val="18"/>
              </w:rPr>
              <w:t>7,183.25</w:t>
            </w:r>
          </w:p>
        </w:tc>
        <w:tc>
          <w:tcPr>
            <w:tcW w:w="390" w:type="pct"/>
            <w:shd w:val="clear" w:color="auto" w:fill="auto"/>
            <w:vAlign w:val="center"/>
          </w:tcPr>
          <w:p w14:paraId="65DE5A4C">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432A2BA2">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6E7A4B1C">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0DDEB3B0">
            <w:pPr>
              <w:widowControl/>
              <w:jc w:val="center"/>
              <w:rPr>
                <w:rFonts w:ascii="宋体" w:hAnsi="宋体" w:cs="宋体"/>
                <w:color w:val="000000"/>
                <w:kern w:val="0"/>
                <w:sz w:val="18"/>
                <w:szCs w:val="18"/>
              </w:rPr>
            </w:pPr>
            <w:r>
              <w:rPr>
                <w:rFonts w:ascii="宋体" w:hAnsi="宋体"/>
                <w:sz w:val="18"/>
                <w:szCs w:val="18"/>
              </w:rPr>
              <w:t>3,681.25</w:t>
            </w:r>
          </w:p>
        </w:tc>
        <w:tc>
          <w:tcPr>
            <w:tcW w:w="390" w:type="pct"/>
            <w:shd w:val="clear" w:color="auto" w:fill="auto"/>
            <w:vAlign w:val="center"/>
          </w:tcPr>
          <w:p w14:paraId="2964F0F2">
            <w:pPr>
              <w:widowControl/>
              <w:jc w:val="center"/>
              <w:rPr>
                <w:rFonts w:ascii="宋体" w:hAnsi="宋体" w:cs="宋体"/>
                <w:color w:val="000000"/>
                <w:kern w:val="0"/>
                <w:sz w:val="18"/>
                <w:szCs w:val="18"/>
              </w:rPr>
            </w:pPr>
            <w:r>
              <w:rPr>
                <w:rFonts w:ascii="宋体" w:hAnsi="宋体"/>
                <w:sz w:val="18"/>
                <w:szCs w:val="18"/>
              </w:rPr>
              <w:t>5,111.50</w:t>
            </w:r>
          </w:p>
        </w:tc>
        <w:tc>
          <w:tcPr>
            <w:tcW w:w="390" w:type="pct"/>
            <w:vAlign w:val="center"/>
          </w:tcPr>
          <w:p w14:paraId="6CCC27D3">
            <w:pPr>
              <w:widowControl/>
              <w:jc w:val="center"/>
              <w:rPr>
                <w:rFonts w:ascii="宋体" w:hAnsi="宋体" w:cs="宋体"/>
                <w:color w:val="000000"/>
                <w:kern w:val="0"/>
                <w:sz w:val="18"/>
                <w:szCs w:val="18"/>
              </w:rPr>
            </w:pPr>
            <w:r>
              <w:rPr>
                <w:rFonts w:ascii="宋体" w:hAnsi="宋体"/>
                <w:sz w:val="18"/>
                <w:szCs w:val="18"/>
              </w:rPr>
              <w:t>20,955.50</w:t>
            </w:r>
          </w:p>
        </w:tc>
        <w:tc>
          <w:tcPr>
            <w:tcW w:w="358" w:type="pct"/>
            <w:shd w:val="clear" w:color="auto" w:fill="auto"/>
            <w:vAlign w:val="center"/>
          </w:tcPr>
          <w:p w14:paraId="67422EDC">
            <w:pPr>
              <w:widowControl/>
              <w:jc w:val="center"/>
              <w:rPr>
                <w:rFonts w:ascii="宋体" w:hAnsi="宋体" w:cs="宋体"/>
                <w:color w:val="000000"/>
                <w:kern w:val="0"/>
                <w:sz w:val="18"/>
                <w:szCs w:val="18"/>
              </w:rPr>
            </w:pPr>
            <w:r>
              <w:rPr>
                <w:rFonts w:ascii="宋体" w:hAnsi="宋体"/>
                <w:sz w:val="18"/>
                <w:szCs w:val="18"/>
              </w:rPr>
              <w:t>4,675.50</w:t>
            </w:r>
          </w:p>
        </w:tc>
      </w:tr>
      <w:tr w14:paraId="1DA0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4090DD0E">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395" w:type="pct"/>
            <w:shd w:val="clear" w:color="auto" w:fill="auto"/>
            <w:vAlign w:val="center"/>
          </w:tcPr>
          <w:p w14:paraId="5AF2FBE3">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390" w:type="pct"/>
            <w:shd w:val="clear" w:color="auto" w:fill="auto"/>
            <w:vAlign w:val="center"/>
          </w:tcPr>
          <w:p w14:paraId="1E37A9ED">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5870C4F0">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79B977AC">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3F0D5767">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628C5640">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11801A7">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3A95556">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470F198D">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0568BBF9">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C9B47F3">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1D4877E7">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010EA226">
            <w:pPr>
              <w:widowControl/>
              <w:jc w:val="center"/>
              <w:rPr>
                <w:rFonts w:ascii="宋体" w:hAnsi="宋体" w:cs="宋体"/>
                <w:color w:val="000000"/>
                <w:kern w:val="0"/>
                <w:sz w:val="18"/>
                <w:szCs w:val="18"/>
              </w:rPr>
            </w:pPr>
            <w:r>
              <w:rPr>
                <w:rFonts w:ascii="宋体" w:hAnsi="宋体"/>
                <w:sz w:val="18"/>
                <w:szCs w:val="18"/>
              </w:rPr>
              <w:t>-</w:t>
            </w:r>
          </w:p>
        </w:tc>
      </w:tr>
      <w:tr w14:paraId="783E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3170D0D0">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395" w:type="pct"/>
            <w:shd w:val="clear" w:color="auto" w:fill="auto"/>
            <w:vAlign w:val="center"/>
          </w:tcPr>
          <w:p w14:paraId="380D5CAF">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390" w:type="pct"/>
            <w:shd w:val="clear" w:color="auto" w:fill="auto"/>
            <w:vAlign w:val="center"/>
          </w:tcPr>
          <w:p w14:paraId="6355D77C">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5A720DF6">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F4D7E6D">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D8345C3">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40D80EA5">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EE4E775">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4C0502A">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85B5522">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B23F6E4">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4F66CB8E">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3E952CB9">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687FEF36">
            <w:pPr>
              <w:widowControl/>
              <w:jc w:val="center"/>
              <w:rPr>
                <w:rFonts w:ascii="宋体" w:hAnsi="宋体" w:cs="宋体"/>
                <w:color w:val="000000"/>
                <w:kern w:val="0"/>
                <w:sz w:val="18"/>
                <w:szCs w:val="18"/>
              </w:rPr>
            </w:pPr>
            <w:r>
              <w:rPr>
                <w:rFonts w:ascii="宋体" w:hAnsi="宋体"/>
                <w:sz w:val="18"/>
                <w:szCs w:val="18"/>
              </w:rPr>
              <w:t>-</w:t>
            </w:r>
          </w:p>
        </w:tc>
      </w:tr>
      <w:tr w14:paraId="6534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6F15466E">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395" w:type="pct"/>
            <w:shd w:val="clear" w:color="auto" w:fill="auto"/>
            <w:vAlign w:val="center"/>
          </w:tcPr>
          <w:p w14:paraId="4FFCEA89">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390" w:type="pct"/>
            <w:shd w:val="clear" w:color="auto" w:fill="auto"/>
            <w:vAlign w:val="center"/>
          </w:tcPr>
          <w:p w14:paraId="4122127C">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4E58D577">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2F19518E">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48A9F652">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2A233E38">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50A9733">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39956DF1">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9F4D414">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4B118663">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25CF7DDE">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6FAB83DF">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7ADA9619">
            <w:pPr>
              <w:widowControl/>
              <w:jc w:val="center"/>
              <w:rPr>
                <w:rFonts w:ascii="宋体" w:hAnsi="宋体" w:cs="宋体"/>
                <w:color w:val="000000"/>
                <w:kern w:val="0"/>
                <w:sz w:val="18"/>
                <w:szCs w:val="18"/>
              </w:rPr>
            </w:pPr>
            <w:r>
              <w:rPr>
                <w:rFonts w:ascii="宋体" w:hAnsi="宋体"/>
                <w:sz w:val="18"/>
                <w:szCs w:val="18"/>
              </w:rPr>
              <w:t>-</w:t>
            </w:r>
          </w:p>
        </w:tc>
      </w:tr>
      <w:tr w14:paraId="78B3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2F0F3DE2">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395" w:type="pct"/>
            <w:shd w:val="clear" w:color="auto" w:fill="auto"/>
            <w:vAlign w:val="center"/>
          </w:tcPr>
          <w:p w14:paraId="17BC1D5D">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390" w:type="pct"/>
            <w:shd w:val="clear" w:color="auto" w:fill="auto"/>
            <w:vAlign w:val="center"/>
          </w:tcPr>
          <w:p w14:paraId="3A6AE8DC">
            <w:pPr>
              <w:widowControl/>
              <w:jc w:val="center"/>
              <w:rPr>
                <w:rFonts w:ascii="宋体" w:hAnsi="宋体" w:cs="宋体"/>
                <w:color w:val="000000"/>
                <w:kern w:val="0"/>
                <w:sz w:val="18"/>
                <w:szCs w:val="18"/>
              </w:rPr>
            </w:pPr>
            <w:r>
              <w:rPr>
                <w:rFonts w:ascii="宋体" w:hAnsi="宋体"/>
                <w:sz w:val="18"/>
                <w:szCs w:val="18"/>
              </w:rPr>
              <w:t>39,374.00</w:t>
            </w:r>
          </w:p>
        </w:tc>
        <w:tc>
          <w:tcPr>
            <w:tcW w:w="327" w:type="pct"/>
            <w:shd w:val="clear" w:color="auto" w:fill="auto"/>
            <w:vAlign w:val="center"/>
          </w:tcPr>
          <w:p w14:paraId="6A562D51">
            <w:pPr>
              <w:widowControl/>
              <w:jc w:val="center"/>
              <w:rPr>
                <w:rFonts w:ascii="宋体" w:hAnsi="宋体" w:cs="宋体"/>
                <w:color w:val="000000"/>
                <w:kern w:val="0"/>
                <w:sz w:val="18"/>
                <w:szCs w:val="18"/>
              </w:rPr>
            </w:pPr>
            <w:r>
              <w:rPr>
                <w:rFonts w:ascii="宋体" w:hAnsi="宋体"/>
                <w:sz w:val="18"/>
                <w:szCs w:val="18"/>
              </w:rPr>
              <w:t>2,201.00</w:t>
            </w:r>
          </w:p>
        </w:tc>
        <w:tc>
          <w:tcPr>
            <w:tcW w:w="358" w:type="pct"/>
            <w:shd w:val="clear" w:color="auto" w:fill="auto"/>
            <w:vAlign w:val="center"/>
          </w:tcPr>
          <w:p w14:paraId="41085DEB">
            <w:pPr>
              <w:widowControl/>
              <w:jc w:val="center"/>
              <w:rPr>
                <w:rFonts w:ascii="宋体" w:hAnsi="宋体" w:cs="宋体"/>
                <w:color w:val="000000"/>
                <w:kern w:val="0"/>
                <w:sz w:val="18"/>
                <w:szCs w:val="18"/>
              </w:rPr>
            </w:pPr>
            <w:r>
              <w:rPr>
                <w:rFonts w:ascii="宋体" w:hAnsi="宋体"/>
                <w:sz w:val="18"/>
                <w:szCs w:val="18"/>
              </w:rPr>
              <w:t>15,000.00</w:t>
            </w:r>
          </w:p>
        </w:tc>
        <w:tc>
          <w:tcPr>
            <w:tcW w:w="358" w:type="pct"/>
            <w:shd w:val="clear" w:color="auto" w:fill="auto"/>
            <w:vAlign w:val="center"/>
          </w:tcPr>
          <w:p w14:paraId="5BD40E6E">
            <w:pPr>
              <w:widowControl/>
              <w:jc w:val="center"/>
              <w:rPr>
                <w:rFonts w:ascii="宋体" w:hAnsi="宋体" w:cs="宋体"/>
                <w:color w:val="000000"/>
                <w:kern w:val="0"/>
                <w:sz w:val="18"/>
                <w:szCs w:val="18"/>
              </w:rPr>
            </w:pPr>
            <w:r>
              <w:rPr>
                <w:rFonts w:ascii="宋体" w:hAnsi="宋体"/>
                <w:sz w:val="18"/>
                <w:szCs w:val="18"/>
              </w:rPr>
              <w:t>16,000.00</w:t>
            </w:r>
          </w:p>
        </w:tc>
        <w:tc>
          <w:tcPr>
            <w:tcW w:w="327" w:type="pct"/>
            <w:shd w:val="clear" w:color="auto" w:fill="auto"/>
            <w:vAlign w:val="center"/>
          </w:tcPr>
          <w:p w14:paraId="6E1E3D3B">
            <w:pPr>
              <w:widowControl/>
              <w:jc w:val="center"/>
              <w:rPr>
                <w:rFonts w:ascii="宋体" w:hAnsi="宋体" w:cs="宋体"/>
                <w:color w:val="000000"/>
                <w:kern w:val="0"/>
                <w:sz w:val="18"/>
                <w:szCs w:val="18"/>
              </w:rPr>
            </w:pPr>
            <w:r>
              <w:rPr>
                <w:rFonts w:ascii="宋体" w:hAnsi="宋体"/>
                <w:sz w:val="18"/>
                <w:szCs w:val="18"/>
              </w:rPr>
              <w:t>6,173.00</w:t>
            </w:r>
          </w:p>
        </w:tc>
        <w:tc>
          <w:tcPr>
            <w:tcW w:w="390" w:type="pct"/>
            <w:shd w:val="clear" w:color="auto" w:fill="auto"/>
            <w:vAlign w:val="center"/>
          </w:tcPr>
          <w:p w14:paraId="3AFDBDA0">
            <w:pPr>
              <w:widowControl/>
              <w:jc w:val="center"/>
              <w:rPr>
                <w:rFonts w:ascii="宋体" w:hAnsi="宋体" w:cs="宋体"/>
                <w:color w:val="000000"/>
                <w:kern w:val="0"/>
                <w:sz w:val="18"/>
                <w:szCs w:val="18"/>
              </w:rPr>
            </w:pPr>
          </w:p>
        </w:tc>
        <w:tc>
          <w:tcPr>
            <w:tcW w:w="390" w:type="pct"/>
            <w:shd w:val="clear" w:color="auto" w:fill="auto"/>
            <w:vAlign w:val="center"/>
          </w:tcPr>
          <w:p w14:paraId="6A277B07">
            <w:pPr>
              <w:widowControl/>
              <w:jc w:val="center"/>
              <w:rPr>
                <w:rFonts w:ascii="宋体" w:hAnsi="宋体" w:cs="宋体"/>
                <w:color w:val="000000"/>
                <w:kern w:val="0"/>
                <w:sz w:val="18"/>
                <w:szCs w:val="18"/>
              </w:rPr>
            </w:pPr>
          </w:p>
        </w:tc>
        <w:tc>
          <w:tcPr>
            <w:tcW w:w="390" w:type="pct"/>
            <w:shd w:val="clear" w:color="auto" w:fill="auto"/>
            <w:vAlign w:val="center"/>
          </w:tcPr>
          <w:p w14:paraId="0947B70E">
            <w:pPr>
              <w:widowControl/>
              <w:jc w:val="center"/>
              <w:rPr>
                <w:rFonts w:ascii="宋体" w:hAnsi="宋体" w:cs="宋体"/>
                <w:color w:val="000000"/>
                <w:kern w:val="0"/>
                <w:sz w:val="18"/>
                <w:szCs w:val="18"/>
              </w:rPr>
            </w:pPr>
          </w:p>
        </w:tc>
        <w:tc>
          <w:tcPr>
            <w:tcW w:w="390" w:type="pct"/>
            <w:shd w:val="clear" w:color="auto" w:fill="auto"/>
            <w:vAlign w:val="center"/>
          </w:tcPr>
          <w:p w14:paraId="4E8EEE09">
            <w:pPr>
              <w:widowControl/>
              <w:jc w:val="center"/>
              <w:rPr>
                <w:rFonts w:ascii="宋体" w:hAnsi="宋体" w:cs="宋体"/>
                <w:color w:val="000000"/>
                <w:kern w:val="0"/>
                <w:sz w:val="18"/>
                <w:szCs w:val="18"/>
              </w:rPr>
            </w:pPr>
          </w:p>
        </w:tc>
        <w:tc>
          <w:tcPr>
            <w:tcW w:w="390" w:type="pct"/>
            <w:shd w:val="clear" w:color="auto" w:fill="auto"/>
            <w:vAlign w:val="center"/>
          </w:tcPr>
          <w:p w14:paraId="78B6E2F0">
            <w:pPr>
              <w:widowControl/>
              <w:jc w:val="center"/>
              <w:rPr>
                <w:rFonts w:ascii="宋体" w:hAnsi="宋体" w:cs="宋体"/>
                <w:color w:val="000000"/>
                <w:kern w:val="0"/>
                <w:sz w:val="18"/>
                <w:szCs w:val="18"/>
              </w:rPr>
            </w:pPr>
          </w:p>
        </w:tc>
        <w:tc>
          <w:tcPr>
            <w:tcW w:w="390" w:type="pct"/>
            <w:vAlign w:val="center"/>
          </w:tcPr>
          <w:p w14:paraId="3D159153">
            <w:pPr>
              <w:widowControl/>
              <w:jc w:val="center"/>
              <w:rPr>
                <w:rFonts w:ascii="宋体" w:hAnsi="宋体" w:cs="宋体"/>
                <w:color w:val="000000"/>
                <w:kern w:val="0"/>
                <w:sz w:val="18"/>
                <w:szCs w:val="18"/>
              </w:rPr>
            </w:pPr>
          </w:p>
        </w:tc>
        <w:tc>
          <w:tcPr>
            <w:tcW w:w="358" w:type="pct"/>
            <w:shd w:val="clear" w:color="auto" w:fill="auto"/>
            <w:vAlign w:val="center"/>
          </w:tcPr>
          <w:p w14:paraId="73A6836B">
            <w:pPr>
              <w:widowControl/>
              <w:jc w:val="center"/>
              <w:rPr>
                <w:rFonts w:ascii="宋体" w:hAnsi="宋体" w:cs="宋体"/>
                <w:color w:val="000000"/>
                <w:kern w:val="0"/>
                <w:sz w:val="18"/>
                <w:szCs w:val="18"/>
              </w:rPr>
            </w:pPr>
          </w:p>
        </w:tc>
      </w:tr>
      <w:tr w14:paraId="3E7A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08081D3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395" w:type="pct"/>
            <w:shd w:val="clear" w:color="auto" w:fill="auto"/>
            <w:vAlign w:val="center"/>
          </w:tcPr>
          <w:p w14:paraId="3B9714CD">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390" w:type="pct"/>
            <w:shd w:val="clear" w:color="auto" w:fill="auto"/>
            <w:vAlign w:val="center"/>
          </w:tcPr>
          <w:p w14:paraId="1F501C9B">
            <w:pPr>
              <w:widowControl/>
              <w:jc w:val="center"/>
              <w:rPr>
                <w:rFonts w:ascii="宋体" w:hAnsi="宋体" w:cs="宋体"/>
                <w:color w:val="000000"/>
                <w:kern w:val="0"/>
                <w:sz w:val="18"/>
                <w:szCs w:val="18"/>
              </w:rPr>
            </w:pPr>
            <w:r>
              <w:rPr>
                <w:rFonts w:ascii="宋体" w:hAnsi="宋体"/>
                <w:sz w:val="18"/>
                <w:szCs w:val="18"/>
              </w:rPr>
              <w:t>39,299.75</w:t>
            </w:r>
          </w:p>
        </w:tc>
        <w:tc>
          <w:tcPr>
            <w:tcW w:w="327" w:type="pct"/>
            <w:shd w:val="clear" w:color="auto" w:fill="auto"/>
            <w:vAlign w:val="center"/>
          </w:tcPr>
          <w:p w14:paraId="6AD5E8E0">
            <w:pPr>
              <w:widowControl/>
              <w:jc w:val="center"/>
              <w:rPr>
                <w:rFonts w:ascii="宋体" w:hAnsi="宋体" w:cs="宋体"/>
                <w:color w:val="000000"/>
                <w:kern w:val="0"/>
                <w:sz w:val="18"/>
                <w:szCs w:val="18"/>
              </w:rPr>
            </w:pPr>
            <w:r>
              <w:rPr>
                <w:rFonts w:ascii="宋体" w:hAnsi="宋体"/>
                <w:sz w:val="18"/>
                <w:szCs w:val="18"/>
              </w:rPr>
              <w:t>2.50</w:t>
            </w:r>
          </w:p>
        </w:tc>
        <w:tc>
          <w:tcPr>
            <w:tcW w:w="358" w:type="pct"/>
            <w:shd w:val="clear" w:color="auto" w:fill="auto"/>
            <w:vAlign w:val="center"/>
          </w:tcPr>
          <w:p w14:paraId="4983EC37">
            <w:pPr>
              <w:widowControl/>
              <w:jc w:val="center"/>
              <w:rPr>
                <w:rFonts w:ascii="宋体" w:hAnsi="宋体" w:cs="宋体"/>
                <w:color w:val="000000"/>
                <w:kern w:val="0"/>
                <w:sz w:val="18"/>
                <w:szCs w:val="18"/>
              </w:rPr>
            </w:pPr>
            <w:r>
              <w:rPr>
                <w:rFonts w:ascii="宋体" w:hAnsi="宋体"/>
                <w:sz w:val="18"/>
                <w:szCs w:val="18"/>
              </w:rPr>
              <w:t>73.75</w:t>
            </w:r>
          </w:p>
        </w:tc>
        <w:tc>
          <w:tcPr>
            <w:tcW w:w="358" w:type="pct"/>
            <w:shd w:val="clear" w:color="auto" w:fill="auto"/>
            <w:vAlign w:val="center"/>
          </w:tcPr>
          <w:p w14:paraId="10199FA6">
            <w:pPr>
              <w:widowControl/>
              <w:jc w:val="center"/>
              <w:rPr>
                <w:rFonts w:ascii="宋体" w:hAnsi="宋体" w:cs="宋体"/>
                <w:color w:val="000000"/>
                <w:kern w:val="0"/>
                <w:sz w:val="18"/>
                <w:szCs w:val="18"/>
              </w:rPr>
            </w:pPr>
            <w:r>
              <w:rPr>
                <w:rFonts w:ascii="宋体" w:hAnsi="宋体"/>
                <w:sz w:val="18"/>
                <w:szCs w:val="18"/>
              </w:rPr>
              <w:t>245.75</w:t>
            </w:r>
          </w:p>
        </w:tc>
        <w:tc>
          <w:tcPr>
            <w:tcW w:w="327" w:type="pct"/>
            <w:shd w:val="clear" w:color="auto" w:fill="auto"/>
            <w:vAlign w:val="center"/>
          </w:tcPr>
          <w:p w14:paraId="6112D255">
            <w:pPr>
              <w:widowControl/>
              <w:jc w:val="center"/>
              <w:rPr>
                <w:rFonts w:ascii="宋体" w:hAnsi="宋体" w:cs="宋体"/>
                <w:color w:val="000000"/>
                <w:kern w:val="0"/>
                <w:sz w:val="18"/>
                <w:szCs w:val="18"/>
              </w:rPr>
            </w:pPr>
            <w:r>
              <w:rPr>
                <w:rFonts w:ascii="宋体" w:hAnsi="宋体"/>
                <w:sz w:val="18"/>
                <w:szCs w:val="18"/>
              </w:rPr>
              <w:t>1,010.25</w:t>
            </w:r>
          </w:p>
        </w:tc>
        <w:tc>
          <w:tcPr>
            <w:tcW w:w="390" w:type="pct"/>
            <w:shd w:val="clear" w:color="auto" w:fill="auto"/>
            <w:vAlign w:val="center"/>
          </w:tcPr>
          <w:p w14:paraId="3DCFCA76">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1F43E43B">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09A7E5D7">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33B4F35F">
            <w:pPr>
              <w:widowControl/>
              <w:jc w:val="center"/>
              <w:rPr>
                <w:rFonts w:ascii="宋体" w:hAnsi="宋体" w:cs="宋体"/>
                <w:color w:val="000000"/>
                <w:kern w:val="0"/>
                <w:sz w:val="18"/>
                <w:szCs w:val="18"/>
              </w:rPr>
            </w:pPr>
            <w:r>
              <w:rPr>
                <w:rFonts w:ascii="宋体" w:hAnsi="宋体"/>
                <w:sz w:val="18"/>
                <w:szCs w:val="18"/>
              </w:rPr>
              <w:t>3,681.25</w:t>
            </w:r>
          </w:p>
        </w:tc>
        <w:tc>
          <w:tcPr>
            <w:tcW w:w="390" w:type="pct"/>
            <w:shd w:val="clear" w:color="auto" w:fill="auto"/>
            <w:vAlign w:val="center"/>
          </w:tcPr>
          <w:p w14:paraId="59D75358">
            <w:pPr>
              <w:widowControl/>
              <w:jc w:val="center"/>
              <w:rPr>
                <w:rFonts w:ascii="宋体" w:hAnsi="宋体" w:cs="宋体"/>
                <w:color w:val="000000"/>
                <w:kern w:val="0"/>
                <w:sz w:val="18"/>
                <w:szCs w:val="18"/>
              </w:rPr>
            </w:pPr>
            <w:r>
              <w:rPr>
                <w:rFonts w:ascii="宋体" w:hAnsi="宋体"/>
                <w:sz w:val="18"/>
                <w:szCs w:val="18"/>
              </w:rPr>
              <w:t>5,111.50</w:t>
            </w:r>
          </w:p>
        </w:tc>
        <w:tc>
          <w:tcPr>
            <w:tcW w:w="390" w:type="pct"/>
            <w:vAlign w:val="center"/>
          </w:tcPr>
          <w:p w14:paraId="3807E368">
            <w:pPr>
              <w:widowControl/>
              <w:jc w:val="center"/>
              <w:rPr>
                <w:rFonts w:ascii="宋体" w:hAnsi="宋体" w:cs="宋体"/>
                <w:color w:val="000000"/>
                <w:kern w:val="0"/>
                <w:sz w:val="18"/>
                <w:szCs w:val="18"/>
              </w:rPr>
            </w:pPr>
            <w:r>
              <w:rPr>
                <w:rFonts w:ascii="宋体" w:hAnsi="宋体"/>
                <w:sz w:val="18"/>
                <w:szCs w:val="18"/>
              </w:rPr>
              <w:t>20,955.50</w:t>
            </w:r>
          </w:p>
        </w:tc>
        <w:tc>
          <w:tcPr>
            <w:tcW w:w="358" w:type="pct"/>
            <w:shd w:val="clear" w:color="auto" w:fill="auto"/>
            <w:vAlign w:val="center"/>
          </w:tcPr>
          <w:p w14:paraId="0CBBD5DD">
            <w:pPr>
              <w:widowControl/>
              <w:jc w:val="center"/>
              <w:rPr>
                <w:rFonts w:ascii="宋体" w:hAnsi="宋体" w:cs="宋体"/>
                <w:color w:val="000000"/>
                <w:kern w:val="0"/>
                <w:sz w:val="18"/>
                <w:szCs w:val="18"/>
              </w:rPr>
            </w:pPr>
            <w:r>
              <w:rPr>
                <w:rFonts w:ascii="宋体" w:hAnsi="宋体"/>
                <w:sz w:val="18"/>
                <w:szCs w:val="18"/>
              </w:rPr>
              <w:t>4,675.50</w:t>
            </w:r>
          </w:p>
        </w:tc>
      </w:tr>
      <w:tr w14:paraId="336D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4BDFE2B2">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395" w:type="pct"/>
            <w:shd w:val="clear" w:color="auto" w:fill="auto"/>
            <w:vAlign w:val="center"/>
          </w:tcPr>
          <w:p w14:paraId="0D42958E">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390" w:type="pct"/>
            <w:shd w:val="clear" w:color="auto" w:fill="auto"/>
            <w:vAlign w:val="center"/>
          </w:tcPr>
          <w:p w14:paraId="75048B30">
            <w:pPr>
              <w:widowControl/>
              <w:jc w:val="center"/>
              <w:rPr>
                <w:rFonts w:ascii="宋体" w:hAnsi="宋体" w:cs="宋体"/>
                <w:color w:val="000000"/>
                <w:kern w:val="0"/>
                <w:sz w:val="18"/>
                <w:szCs w:val="18"/>
              </w:rPr>
            </w:pPr>
            <w:r>
              <w:rPr>
                <w:rFonts w:ascii="宋体" w:hAnsi="宋体"/>
                <w:sz w:val="18"/>
                <w:szCs w:val="18"/>
              </w:rPr>
              <w:t>31.00</w:t>
            </w:r>
          </w:p>
        </w:tc>
        <w:tc>
          <w:tcPr>
            <w:tcW w:w="327" w:type="pct"/>
            <w:shd w:val="clear" w:color="auto" w:fill="auto"/>
            <w:vAlign w:val="center"/>
          </w:tcPr>
          <w:p w14:paraId="1582E47E">
            <w:pPr>
              <w:widowControl/>
              <w:jc w:val="center"/>
              <w:rPr>
                <w:rFonts w:ascii="宋体" w:hAnsi="宋体" w:cs="宋体"/>
                <w:color w:val="000000"/>
                <w:kern w:val="0"/>
                <w:sz w:val="18"/>
                <w:szCs w:val="18"/>
              </w:rPr>
            </w:pPr>
            <w:r>
              <w:rPr>
                <w:rFonts w:ascii="宋体" w:hAnsi="宋体"/>
                <w:sz w:val="18"/>
                <w:szCs w:val="18"/>
              </w:rPr>
              <w:t>2.50</w:t>
            </w:r>
          </w:p>
        </w:tc>
        <w:tc>
          <w:tcPr>
            <w:tcW w:w="358" w:type="pct"/>
            <w:shd w:val="clear" w:color="auto" w:fill="auto"/>
            <w:vAlign w:val="center"/>
          </w:tcPr>
          <w:p w14:paraId="6631E6AA">
            <w:pPr>
              <w:widowControl/>
              <w:jc w:val="center"/>
              <w:rPr>
                <w:rFonts w:ascii="宋体" w:hAnsi="宋体" w:cs="宋体"/>
                <w:color w:val="000000"/>
                <w:kern w:val="0"/>
                <w:sz w:val="18"/>
                <w:szCs w:val="18"/>
              </w:rPr>
            </w:pPr>
            <w:r>
              <w:rPr>
                <w:rFonts w:ascii="宋体" w:hAnsi="宋体"/>
                <w:sz w:val="18"/>
                <w:szCs w:val="18"/>
              </w:rPr>
              <w:t>4.00</w:t>
            </w:r>
          </w:p>
        </w:tc>
        <w:tc>
          <w:tcPr>
            <w:tcW w:w="358" w:type="pct"/>
            <w:shd w:val="clear" w:color="auto" w:fill="auto"/>
            <w:vAlign w:val="center"/>
          </w:tcPr>
          <w:p w14:paraId="381DA3EB">
            <w:pPr>
              <w:widowControl/>
              <w:jc w:val="center"/>
              <w:rPr>
                <w:rFonts w:ascii="宋体" w:hAnsi="宋体" w:cs="宋体"/>
                <w:color w:val="000000"/>
                <w:kern w:val="0"/>
                <w:sz w:val="18"/>
                <w:szCs w:val="18"/>
              </w:rPr>
            </w:pPr>
            <w:r>
              <w:rPr>
                <w:rFonts w:ascii="宋体" w:hAnsi="宋体"/>
                <w:sz w:val="18"/>
                <w:szCs w:val="18"/>
              </w:rPr>
              <w:t>20.00</w:t>
            </w:r>
          </w:p>
        </w:tc>
        <w:tc>
          <w:tcPr>
            <w:tcW w:w="327" w:type="pct"/>
            <w:shd w:val="clear" w:color="auto" w:fill="auto"/>
            <w:vAlign w:val="center"/>
          </w:tcPr>
          <w:p w14:paraId="2B297ED4">
            <w:pPr>
              <w:widowControl/>
              <w:jc w:val="center"/>
              <w:rPr>
                <w:rFonts w:ascii="宋体" w:hAnsi="宋体" w:cs="宋体"/>
                <w:color w:val="000000"/>
                <w:kern w:val="0"/>
                <w:sz w:val="18"/>
                <w:szCs w:val="18"/>
              </w:rPr>
            </w:pPr>
            <w:r>
              <w:rPr>
                <w:rFonts w:ascii="宋体" w:hAnsi="宋体"/>
                <w:sz w:val="18"/>
                <w:szCs w:val="18"/>
              </w:rPr>
              <w:t>4.50</w:t>
            </w:r>
          </w:p>
        </w:tc>
        <w:tc>
          <w:tcPr>
            <w:tcW w:w="390" w:type="pct"/>
            <w:shd w:val="clear" w:color="auto" w:fill="auto"/>
            <w:vAlign w:val="center"/>
          </w:tcPr>
          <w:p w14:paraId="15741D60">
            <w:pPr>
              <w:widowControl/>
              <w:jc w:val="center"/>
              <w:rPr>
                <w:rFonts w:ascii="宋体" w:hAnsi="宋体" w:cs="宋体"/>
                <w:color w:val="000000"/>
                <w:kern w:val="0"/>
                <w:sz w:val="18"/>
                <w:szCs w:val="18"/>
              </w:rPr>
            </w:pPr>
          </w:p>
        </w:tc>
        <w:tc>
          <w:tcPr>
            <w:tcW w:w="390" w:type="pct"/>
            <w:shd w:val="clear" w:color="auto" w:fill="auto"/>
            <w:vAlign w:val="center"/>
          </w:tcPr>
          <w:p w14:paraId="334AF2CC">
            <w:pPr>
              <w:widowControl/>
              <w:jc w:val="center"/>
              <w:rPr>
                <w:rFonts w:ascii="宋体" w:hAnsi="宋体" w:cs="宋体"/>
                <w:color w:val="000000"/>
                <w:kern w:val="0"/>
                <w:sz w:val="18"/>
                <w:szCs w:val="18"/>
              </w:rPr>
            </w:pPr>
          </w:p>
        </w:tc>
        <w:tc>
          <w:tcPr>
            <w:tcW w:w="390" w:type="pct"/>
            <w:shd w:val="clear" w:color="auto" w:fill="auto"/>
            <w:vAlign w:val="center"/>
          </w:tcPr>
          <w:p w14:paraId="60AB5E56">
            <w:pPr>
              <w:widowControl/>
              <w:jc w:val="center"/>
              <w:rPr>
                <w:rFonts w:ascii="宋体" w:hAnsi="宋体" w:cs="宋体"/>
                <w:color w:val="000000"/>
                <w:kern w:val="0"/>
                <w:sz w:val="18"/>
                <w:szCs w:val="18"/>
              </w:rPr>
            </w:pPr>
          </w:p>
        </w:tc>
        <w:tc>
          <w:tcPr>
            <w:tcW w:w="390" w:type="pct"/>
            <w:shd w:val="clear" w:color="auto" w:fill="auto"/>
            <w:vAlign w:val="center"/>
          </w:tcPr>
          <w:p w14:paraId="7542D3CD">
            <w:pPr>
              <w:widowControl/>
              <w:jc w:val="center"/>
              <w:rPr>
                <w:rFonts w:ascii="宋体" w:hAnsi="宋体" w:cs="宋体"/>
                <w:color w:val="000000"/>
                <w:kern w:val="0"/>
                <w:sz w:val="18"/>
                <w:szCs w:val="18"/>
              </w:rPr>
            </w:pPr>
          </w:p>
        </w:tc>
        <w:tc>
          <w:tcPr>
            <w:tcW w:w="390" w:type="pct"/>
            <w:shd w:val="clear" w:color="auto" w:fill="auto"/>
            <w:vAlign w:val="center"/>
          </w:tcPr>
          <w:p w14:paraId="6E07D09E">
            <w:pPr>
              <w:widowControl/>
              <w:jc w:val="center"/>
              <w:rPr>
                <w:rFonts w:ascii="宋体" w:hAnsi="宋体" w:cs="宋体"/>
                <w:color w:val="000000"/>
                <w:kern w:val="0"/>
                <w:sz w:val="18"/>
                <w:szCs w:val="18"/>
              </w:rPr>
            </w:pPr>
          </w:p>
        </w:tc>
        <w:tc>
          <w:tcPr>
            <w:tcW w:w="390" w:type="pct"/>
            <w:vAlign w:val="center"/>
          </w:tcPr>
          <w:p w14:paraId="604439C3">
            <w:pPr>
              <w:widowControl/>
              <w:jc w:val="center"/>
              <w:rPr>
                <w:rFonts w:ascii="宋体" w:hAnsi="宋体" w:cs="宋体"/>
                <w:color w:val="000000"/>
                <w:kern w:val="0"/>
                <w:sz w:val="18"/>
                <w:szCs w:val="18"/>
              </w:rPr>
            </w:pPr>
          </w:p>
        </w:tc>
        <w:tc>
          <w:tcPr>
            <w:tcW w:w="358" w:type="pct"/>
            <w:shd w:val="clear" w:color="auto" w:fill="auto"/>
            <w:vAlign w:val="center"/>
          </w:tcPr>
          <w:p w14:paraId="5F8C8BBB">
            <w:pPr>
              <w:widowControl/>
              <w:jc w:val="center"/>
              <w:rPr>
                <w:rFonts w:ascii="宋体" w:hAnsi="宋体" w:cs="宋体"/>
                <w:color w:val="000000"/>
                <w:kern w:val="0"/>
                <w:sz w:val="18"/>
                <w:szCs w:val="18"/>
              </w:rPr>
            </w:pPr>
          </w:p>
        </w:tc>
      </w:tr>
      <w:tr w14:paraId="4137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72BAE291">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395" w:type="pct"/>
            <w:shd w:val="clear" w:color="auto" w:fill="auto"/>
            <w:vAlign w:val="center"/>
          </w:tcPr>
          <w:p w14:paraId="41B5518E">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390" w:type="pct"/>
            <w:shd w:val="clear" w:color="auto" w:fill="auto"/>
            <w:vAlign w:val="center"/>
          </w:tcPr>
          <w:p w14:paraId="30C2BCC6">
            <w:pPr>
              <w:widowControl/>
              <w:jc w:val="center"/>
              <w:rPr>
                <w:rFonts w:ascii="宋体" w:hAnsi="宋体" w:cs="宋体"/>
                <w:color w:val="000000"/>
                <w:kern w:val="0"/>
                <w:sz w:val="18"/>
                <w:szCs w:val="18"/>
              </w:rPr>
            </w:pPr>
            <w:r>
              <w:rPr>
                <w:rFonts w:ascii="宋体" w:hAnsi="宋体"/>
                <w:sz w:val="18"/>
                <w:szCs w:val="18"/>
              </w:rPr>
              <w:t>31,000.00</w:t>
            </w:r>
          </w:p>
        </w:tc>
        <w:tc>
          <w:tcPr>
            <w:tcW w:w="327" w:type="pct"/>
            <w:shd w:val="clear" w:color="auto" w:fill="auto"/>
            <w:vAlign w:val="center"/>
          </w:tcPr>
          <w:p w14:paraId="25587D63">
            <w:pPr>
              <w:widowControl/>
              <w:jc w:val="center"/>
              <w:rPr>
                <w:rFonts w:ascii="宋体" w:hAnsi="宋体" w:cs="宋体"/>
                <w:color w:val="000000"/>
                <w:kern w:val="0"/>
                <w:sz w:val="18"/>
                <w:szCs w:val="18"/>
              </w:rPr>
            </w:pPr>
          </w:p>
        </w:tc>
        <w:tc>
          <w:tcPr>
            <w:tcW w:w="358" w:type="pct"/>
            <w:shd w:val="clear" w:color="auto" w:fill="auto"/>
            <w:vAlign w:val="center"/>
          </w:tcPr>
          <w:p w14:paraId="01B79E8B">
            <w:pPr>
              <w:widowControl/>
              <w:jc w:val="center"/>
              <w:rPr>
                <w:rFonts w:ascii="宋体" w:hAnsi="宋体" w:cs="宋体"/>
                <w:color w:val="000000"/>
                <w:kern w:val="0"/>
                <w:sz w:val="18"/>
                <w:szCs w:val="18"/>
              </w:rPr>
            </w:pPr>
          </w:p>
        </w:tc>
        <w:tc>
          <w:tcPr>
            <w:tcW w:w="358" w:type="pct"/>
            <w:shd w:val="clear" w:color="auto" w:fill="auto"/>
            <w:vAlign w:val="center"/>
          </w:tcPr>
          <w:p w14:paraId="03EE1A45">
            <w:pPr>
              <w:widowControl/>
              <w:jc w:val="center"/>
              <w:rPr>
                <w:rFonts w:ascii="宋体" w:hAnsi="宋体" w:cs="宋体"/>
                <w:color w:val="000000"/>
                <w:kern w:val="0"/>
                <w:sz w:val="18"/>
                <w:szCs w:val="18"/>
              </w:rPr>
            </w:pPr>
          </w:p>
        </w:tc>
        <w:tc>
          <w:tcPr>
            <w:tcW w:w="327" w:type="pct"/>
            <w:shd w:val="clear" w:color="auto" w:fill="auto"/>
            <w:vAlign w:val="center"/>
          </w:tcPr>
          <w:p w14:paraId="7D3A4717">
            <w:pPr>
              <w:widowControl/>
              <w:jc w:val="center"/>
              <w:rPr>
                <w:rFonts w:ascii="宋体" w:hAnsi="宋体" w:cs="宋体"/>
                <w:color w:val="000000"/>
                <w:kern w:val="0"/>
                <w:sz w:val="18"/>
                <w:szCs w:val="18"/>
              </w:rPr>
            </w:pPr>
          </w:p>
        </w:tc>
        <w:tc>
          <w:tcPr>
            <w:tcW w:w="390" w:type="pct"/>
            <w:shd w:val="clear" w:color="auto" w:fill="auto"/>
            <w:vAlign w:val="center"/>
          </w:tcPr>
          <w:p w14:paraId="4FD2AA4A">
            <w:pPr>
              <w:widowControl/>
              <w:jc w:val="center"/>
              <w:rPr>
                <w:rFonts w:ascii="宋体" w:hAnsi="宋体" w:cs="宋体"/>
                <w:color w:val="000000"/>
                <w:kern w:val="0"/>
                <w:sz w:val="18"/>
                <w:szCs w:val="18"/>
              </w:rPr>
            </w:pPr>
          </w:p>
        </w:tc>
        <w:tc>
          <w:tcPr>
            <w:tcW w:w="390" w:type="pct"/>
            <w:shd w:val="clear" w:color="auto" w:fill="auto"/>
            <w:vAlign w:val="center"/>
          </w:tcPr>
          <w:p w14:paraId="10C88D42">
            <w:pPr>
              <w:widowControl/>
              <w:jc w:val="center"/>
              <w:rPr>
                <w:rFonts w:ascii="宋体" w:hAnsi="宋体" w:cs="宋体"/>
                <w:color w:val="000000"/>
                <w:kern w:val="0"/>
                <w:sz w:val="18"/>
                <w:szCs w:val="18"/>
              </w:rPr>
            </w:pPr>
          </w:p>
        </w:tc>
        <w:tc>
          <w:tcPr>
            <w:tcW w:w="390" w:type="pct"/>
            <w:shd w:val="clear" w:color="auto" w:fill="auto"/>
            <w:vAlign w:val="center"/>
          </w:tcPr>
          <w:p w14:paraId="1B06DC76">
            <w:pPr>
              <w:widowControl/>
              <w:jc w:val="center"/>
              <w:rPr>
                <w:rFonts w:ascii="宋体" w:hAnsi="宋体" w:cs="宋体"/>
                <w:color w:val="000000"/>
                <w:kern w:val="0"/>
                <w:sz w:val="18"/>
                <w:szCs w:val="18"/>
              </w:rPr>
            </w:pPr>
          </w:p>
        </w:tc>
        <w:tc>
          <w:tcPr>
            <w:tcW w:w="390" w:type="pct"/>
            <w:shd w:val="clear" w:color="auto" w:fill="auto"/>
            <w:vAlign w:val="center"/>
          </w:tcPr>
          <w:p w14:paraId="7152014F">
            <w:pPr>
              <w:widowControl/>
              <w:jc w:val="center"/>
              <w:rPr>
                <w:rFonts w:ascii="宋体" w:hAnsi="宋体" w:cs="宋体"/>
                <w:color w:val="000000"/>
                <w:kern w:val="0"/>
                <w:sz w:val="18"/>
                <w:szCs w:val="18"/>
              </w:rPr>
            </w:pPr>
            <w:r>
              <w:rPr>
                <w:rFonts w:ascii="宋体" w:hAnsi="宋体"/>
                <w:sz w:val="18"/>
                <w:szCs w:val="18"/>
              </w:rPr>
              <w:t>2,500.00</w:t>
            </w:r>
          </w:p>
        </w:tc>
        <w:tc>
          <w:tcPr>
            <w:tcW w:w="390" w:type="pct"/>
            <w:shd w:val="clear" w:color="auto" w:fill="auto"/>
            <w:vAlign w:val="center"/>
          </w:tcPr>
          <w:p w14:paraId="3637D5BC">
            <w:pPr>
              <w:widowControl/>
              <w:jc w:val="center"/>
              <w:rPr>
                <w:rFonts w:ascii="宋体" w:hAnsi="宋体" w:cs="宋体"/>
                <w:color w:val="000000"/>
                <w:kern w:val="0"/>
                <w:sz w:val="18"/>
                <w:szCs w:val="18"/>
              </w:rPr>
            </w:pPr>
            <w:r>
              <w:rPr>
                <w:rFonts w:ascii="宋体" w:hAnsi="宋体"/>
                <w:sz w:val="18"/>
                <w:szCs w:val="18"/>
              </w:rPr>
              <w:t>4,000.00</w:t>
            </w:r>
          </w:p>
        </w:tc>
        <w:tc>
          <w:tcPr>
            <w:tcW w:w="390" w:type="pct"/>
            <w:vAlign w:val="center"/>
          </w:tcPr>
          <w:p w14:paraId="05536D35">
            <w:pPr>
              <w:widowControl/>
              <w:jc w:val="center"/>
              <w:rPr>
                <w:rFonts w:ascii="宋体" w:hAnsi="宋体" w:cs="宋体"/>
                <w:color w:val="000000"/>
                <w:kern w:val="0"/>
                <w:sz w:val="18"/>
                <w:szCs w:val="18"/>
              </w:rPr>
            </w:pPr>
            <w:r>
              <w:rPr>
                <w:rFonts w:ascii="宋体" w:hAnsi="宋体"/>
                <w:sz w:val="18"/>
                <w:szCs w:val="18"/>
              </w:rPr>
              <w:t>20,000.00</w:t>
            </w:r>
          </w:p>
        </w:tc>
        <w:tc>
          <w:tcPr>
            <w:tcW w:w="358" w:type="pct"/>
            <w:shd w:val="clear" w:color="auto" w:fill="auto"/>
            <w:vAlign w:val="center"/>
          </w:tcPr>
          <w:p w14:paraId="144D8ED8">
            <w:pPr>
              <w:widowControl/>
              <w:jc w:val="center"/>
              <w:rPr>
                <w:rFonts w:ascii="宋体" w:hAnsi="宋体" w:cs="宋体"/>
                <w:color w:val="000000"/>
                <w:kern w:val="0"/>
                <w:sz w:val="18"/>
                <w:szCs w:val="18"/>
              </w:rPr>
            </w:pPr>
            <w:r>
              <w:rPr>
                <w:rFonts w:ascii="宋体" w:hAnsi="宋体"/>
                <w:sz w:val="18"/>
                <w:szCs w:val="18"/>
              </w:rPr>
              <w:t>4,500.00</w:t>
            </w:r>
          </w:p>
        </w:tc>
      </w:tr>
      <w:tr w14:paraId="05883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32A618FD">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395" w:type="pct"/>
            <w:shd w:val="clear" w:color="auto" w:fill="auto"/>
            <w:vAlign w:val="center"/>
          </w:tcPr>
          <w:p w14:paraId="38C2FB74">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390" w:type="pct"/>
            <w:shd w:val="clear" w:color="auto" w:fill="auto"/>
            <w:vAlign w:val="center"/>
          </w:tcPr>
          <w:p w14:paraId="33EB9F6F">
            <w:pPr>
              <w:widowControl/>
              <w:jc w:val="center"/>
              <w:rPr>
                <w:rFonts w:ascii="宋体" w:hAnsi="宋体" w:cs="宋体"/>
                <w:color w:val="000000"/>
                <w:kern w:val="0"/>
                <w:sz w:val="18"/>
                <w:szCs w:val="18"/>
              </w:rPr>
            </w:pPr>
            <w:r>
              <w:rPr>
                <w:rFonts w:ascii="宋体" w:hAnsi="宋体"/>
                <w:sz w:val="18"/>
                <w:szCs w:val="18"/>
              </w:rPr>
              <w:t>8,268.75</w:t>
            </w:r>
          </w:p>
        </w:tc>
        <w:tc>
          <w:tcPr>
            <w:tcW w:w="327" w:type="pct"/>
            <w:shd w:val="clear" w:color="auto" w:fill="auto"/>
            <w:vAlign w:val="center"/>
          </w:tcPr>
          <w:p w14:paraId="19D45FC2">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1D7EF9CD">
            <w:pPr>
              <w:widowControl/>
              <w:jc w:val="center"/>
              <w:rPr>
                <w:rFonts w:ascii="宋体" w:hAnsi="宋体" w:cs="宋体"/>
                <w:color w:val="000000"/>
                <w:kern w:val="0"/>
                <w:sz w:val="18"/>
                <w:szCs w:val="18"/>
              </w:rPr>
            </w:pPr>
            <w:r>
              <w:rPr>
                <w:rFonts w:ascii="宋体" w:hAnsi="宋体"/>
                <w:sz w:val="18"/>
                <w:szCs w:val="18"/>
              </w:rPr>
              <w:t>69.75</w:t>
            </w:r>
          </w:p>
        </w:tc>
        <w:tc>
          <w:tcPr>
            <w:tcW w:w="358" w:type="pct"/>
            <w:shd w:val="clear" w:color="auto" w:fill="auto"/>
            <w:vAlign w:val="center"/>
          </w:tcPr>
          <w:p w14:paraId="38A79244">
            <w:pPr>
              <w:widowControl/>
              <w:jc w:val="center"/>
              <w:rPr>
                <w:rFonts w:ascii="宋体" w:hAnsi="宋体" w:cs="宋体"/>
                <w:color w:val="000000"/>
                <w:kern w:val="0"/>
                <w:sz w:val="18"/>
                <w:szCs w:val="18"/>
              </w:rPr>
            </w:pPr>
            <w:r>
              <w:rPr>
                <w:rFonts w:ascii="宋体" w:hAnsi="宋体"/>
                <w:sz w:val="18"/>
                <w:szCs w:val="18"/>
              </w:rPr>
              <w:t>225.75</w:t>
            </w:r>
          </w:p>
        </w:tc>
        <w:tc>
          <w:tcPr>
            <w:tcW w:w="327" w:type="pct"/>
            <w:shd w:val="clear" w:color="auto" w:fill="auto"/>
            <w:vAlign w:val="center"/>
          </w:tcPr>
          <w:p w14:paraId="2D1FC6C2">
            <w:pPr>
              <w:widowControl/>
              <w:jc w:val="center"/>
              <w:rPr>
                <w:rFonts w:ascii="宋体" w:hAnsi="宋体" w:cs="宋体"/>
                <w:color w:val="000000"/>
                <w:kern w:val="0"/>
                <w:sz w:val="18"/>
                <w:szCs w:val="18"/>
              </w:rPr>
            </w:pPr>
            <w:r>
              <w:rPr>
                <w:rFonts w:ascii="宋体" w:hAnsi="宋体"/>
                <w:sz w:val="18"/>
                <w:szCs w:val="18"/>
              </w:rPr>
              <w:t>1,005.75</w:t>
            </w:r>
          </w:p>
        </w:tc>
        <w:tc>
          <w:tcPr>
            <w:tcW w:w="390" w:type="pct"/>
            <w:shd w:val="clear" w:color="auto" w:fill="auto"/>
            <w:vAlign w:val="center"/>
          </w:tcPr>
          <w:p w14:paraId="01FB52E2">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71950ED2">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623729D9">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44A88800">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1A9D1FEB">
            <w:pPr>
              <w:widowControl/>
              <w:jc w:val="center"/>
              <w:rPr>
                <w:rFonts w:ascii="宋体" w:hAnsi="宋体" w:cs="宋体"/>
                <w:color w:val="000000"/>
                <w:kern w:val="0"/>
                <w:sz w:val="18"/>
                <w:szCs w:val="18"/>
              </w:rPr>
            </w:pPr>
            <w:r>
              <w:rPr>
                <w:rFonts w:ascii="宋体" w:hAnsi="宋体"/>
                <w:sz w:val="18"/>
                <w:szCs w:val="18"/>
              </w:rPr>
              <w:t>1,111.50</w:t>
            </w:r>
          </w:p>
        </w:tc>
        <w:tc>
          <w:tcPr>
            <w:tcW w:w="390" w:type="pct"/>
            <w:vAlign w:val="center"/>
          </w:tcPr>
          <w:p w14:paraId="3B48D08A">
            <w:pPr>
              <w:widowControl/>
              <w:jc w:val="center"/>
              <w:rPr>
                <w:rFonts w:ascii="宋体" w:hAnsi="宋体" w:cs="宋体"/>
                <w:color w:val="000000"/>
                <w:kern w:val="0"/>
                <w:sz w:val="18"/>
                <w:szCs w:val="18"/>
              </w:rPr>
            </w:pPr>
            <w:r>
              <w:rPr>
                <w:rFonts w:ascii="宋体" w:hAnsi="宋体"/>
                <w:sz w:val="18"/>
                <w:szCs w:val="18"/>
              </w:rPr>
              <w:t>955.50</w:t>
            </w:r>
          </w:p>
        </w:tc>
        <w:tc>
          <w:tcPr>
            <w:tcW w:w="358" w:type="pct"/>
            <w:shd w:val="clear" w:color="auto" w:fill="auto"/>
            <w:vAlign w:val="center"/>
          </w:tcPr>
          <w:p w14:paraId="793D53D5">
            <w:pPr>
              <w:widowControl/>
              <w:jc w:val="center"/>
              <w:rPr>
                <w:rFonts w:ascii="宋体" w:hAnsi="宋体" w:cs="宋体"/>
                <w:color w:val="000000"/>
                <w:kern w:val="0"/>
                <w:sz w:val="18"/>
                <w:szCs w:val="18"/>
              </w:rPr>
            </w:pPr>
            <w:r>
              <w:rPr>
                <w:rFonts w:ascii="宋体" w:hAnsi="宋体"/>
                <w:sz w:val="18"/>
                <w:szCs w:val="18"/>
              </w:rPr>
              <w:t>175.50</w:t>
            </w:r>
          </w:p>
        </w:tc>
      </w:tr>
      <w:tr w14:paraId="207D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762D868F">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395" w:type="pct"/>
            <w:shd w:val="clear" w:color="auto" w:fill="auto"/>
            <w:vAlign w:val="center"/>
          </w:tcPr>
          <w:p w14:paraId="42E3E2C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390" w:type="pct"/>
            <w:shd w:val="clear" w:color="auto" w:fill="auto"/>
            <w:vAlign w:val="center"/>
          </w:tcPr>
          <w:p w14:paraId="76D5B0A0">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3877DCC2">
            <w:pPr>
              <w:widowControl/>
              <w:jc w:val="center"/>
              <w:rPr>
                <w:rFonts w:ascii="宋体" w:hAnsi="宋体" w:cs="宋体"/>
                <w:color w:val="000000"/>
                <w:kern w:val="0"/>
                <w:sz w:val="18"/>
                <w:szCs w:val="18"/>
              </w:rPr>
            </w:pPr>
          </w:p>
        </w:tc>
        <w:tc>
          <w:tcPr>
            <w:tcW w:w="358" w:type="pct"/>
            <w:shd w:val="clear" w:color="auto" w:fill="auto"/>
            <w:vAlign w:val="center"/>
          </w:tcPr>
          <w:p w14:paraId="6BC72E32">
            <w:pPr>
              <w:widowControl/>
              <w:jc w:val="center"/>
              <w:rPr>
                <w:rFonts w:ascii="宋体" w:hAnsi="宋体" w:cs="宋体"/>
                <w:color w:val="000000"/>
                <w:kern w:val="0"/>
                <w:sz w:val="18"/>
                <w:szCs w:val="18"/>
              </w:rPr>
            </w:pPr>
          </w:p>
        </w:tc>
        <w:tc>
          <w:tcPr>
            <w:tcW w:w="358" w:type="pct"/>
            <w:shd w:val="clear" w:color="auto" w:fill="auto"/>
            <w:vAlign w:val="center"/>
          </w:tcPr>
          <w:p w14:paraId="191FEB5C">
            <w:pPr>
              <w:widowControl/>
              <w:jc w:val="center"/>
              <w:rPr>
                <w:rFonts w:ascii="宋体" w:hAnsi="宋体" w:cs="宋体"/>
                <w:color w:val="000000"/>
                <w:kern w:val="0"/>
                <w:sz w:val="18"/>
                <w:szCs w:val="18"/>
              </w:rPr>
            </w:pPr>
          </w:p>
        </w:tc>
        <w:tc>
          <w:tcPr>
            <w:tcW w:w="327" w:type="pct"/>
            <w:shd w:val="clear" w:color="auto" w:fill="auto"/>
            <w:vAlign w:val="center"/>
          </w:tcPr>
          <w:p w14:paraId="64F4F437">
            <w:pPr>
              <w:widowControl/>
              <w:jc w:val="center"/>
              <w:rPr>
                <w:rFonts w:ascii="宋体" w:hAnsi="宋体" w:cs="宋体"/>
                <w:color w:val="000000"/>
                <w:kern w:val="0"/>
                <w:sz w:val="18"/>
                <w:szCs w:val="18"/>
              </w:rPr>
            </w:pPr>
          </w:p>
        </w:tc>
        <w:tc>
          <w:tcPr>
            <w:tcW w:w="390" w:type="pct"/>
            <w:shd w:val="clear" w:color="auto" w:fill="auto"/>
            <w:vAlign w:val="center"/>
          </w:tcPr>
          <w:p w14:paraId="68564F46">
            <w:pPr>
              <w:widowControl/>
              <w:jc w:val="center"/>
              <w:rPr>
                <w:rFonts w:ascii="宋体" w:hAnsi="宋体" w:cs="宋体"/>
                <w:color w:val="000000"/>
                <w:kern w:val="0"/>
                <w:sz w:val="18"/>
                <w:szCs w:val="18"/>
              </w:rPr>
            </w:pPr>
          </w:p>
        </w:tc>
        <w:tc>
          <w:tcPr>
            <w:tcW w:w="390" w:type="pct"/>
            <w:shd w:val="clear" w:color="auto" w:fill="auto"/>
            <w:vAlign w:val="center"/>
          </w:tcPr>
          <w:p w14:paraId="1E7D0FBD">
            <w:pPr>
              <w:widowControl/>
              <w:jc w:val="center"/>
              <w:rPr>
                <w:rFonts w:ascii="宋体" w:hAnsi="宋体" w:cs="宋体"/>
                <w:color w:val="000000"/>
                <w:kern w:val="0"/>
                <w:sz w:val="18"/>
                <w:szCs w:val="18"/>
              </w:rPr>
            </w:pPr>
          </w:p>
        </w:tc>
        <w:tc>
          <w:tcPr>
            <w:tcW w:w="390" w:type="pct"/>
            <w:shd w:val="clear" w:color="auto" w:fill="auto"/>
            <w:vAlign w:val="center"/>
          </w:tcPr>
          <w:p w14:paraId="2FFECD91">
            <w:pPr>
              <w:widowControl/>
              <w:jc w:val="center"/>
              <w:rPr>
                <w:rFonts w:ascii="宋体" w:hAnsi="宋体" w:cs="宋体"/>
                <w:color w:val="000000"/>
                <w:kern w:val="0"/>
                <w:sz w:val="18"/>
                <w:szCs w:val="18"/>
              </w:rPr>
            </w:pPr>
          </w:p>
        </w:tc>
        <w:tc>
          <w:tcPr>
            <w:tcW w:w="390" w:type="pct"/>
            <w:shd w:val="clear" w:color="auto" w:fill="auto"/>
            <w:vAlign w:val="center"/>
          </w:tcPr>
          <w:p w14:paraId="00BFADCE">
            <w:pPr>
              <w:widowControl/>
              <w:jc w:val="center"/>
              <w:rPr>
                <w:rFonts w:ascii="宋体" w:hAnsi="宋体" w:cs="宋体"/>
                <w:color w:val="000000"/>
                <w:kern w:val="0"/>
                <w:sz w:val="18"/>
                <w:szCs w:val="18"/>
              </w:rPr>
            </w:pPr>
          </w:p>
        </w:tc>
        <w:tc>
          <w:tcPr>
            <w:tcW w:w="390" w:type="pct"/>
            <w:shd w:val="clear" w:color="auto" w:fill="auto"/>
            <w:vAlign w:val="center"/>
          </w:tcPr>
          <w:p w14:paraId="65CCB379">
            <w:pPr>
              <w:widowControl/>
              <w:jc w:val="center"/>
              <w:rPr>
                <w:rFonts w:ascii="宋体" w:hAnsi="宋体" w:cs="宋体"/>
                <w:color w:val="000000"/>
                <w:kern w:val="0"/>
                <w:sz w:val="18"/>
                <w:szCs w:val="18"/>
              </w:rPr>
            </w:pPr>
          </w:p>
        </w:tc>
        <w:tc>
          <w:tcPr>
            <w:tcW w:w="390" w:type="pct"/>
            <w:vAlign w:val="center"/>
          </w:tcPr>
          <w:p w14:paraId="7EAD15A4">
            <w:pPr>
              <w:widowControl/>
              <w:jc w:val="center"/>
              <w:rPr>
                <w:rFonts w:ascii="宋体" w:hAnsi="宋体" w:cs="宋体"/>
                <w:color w:val="000000"/>
                <w:kern w:val="0"/>
                <w:sz w:val="18"/>
                <w:szCs w:val="18"/>
              </w:rPr>
            </w:pPr>
          </w:p>
        </w:tc>
        <w:tc>
          <w:tcPr>
            <w:tcW w:w="358" w:type="pct"/>
            <w:shd w:val="clear" w:color="auto" w:fill="auto"/>
            <w:vAlign w:val="center"/>
          </w:tcPr>
          <w:p w14:paraId="4E13F2FE">
            <w:pPr>
              <w:widowControl/>
              <w:jc w:val="center"/>
              <w:rPr>
                <w:rFonts w:ascii="宋体" w:hAnsi="宋体" w:cs="宋体"/>
                <w:color w:val="000000"/>
                <w:kern w:val="0"/>
                <w:sz w:val="18"/>
                <w:szCs w:val="18"/>
              </w:rPr>
            </w:pPr>
          </w:p>
        </w:tc>
      </w:tr>
      <w:tr w14:paraId="7150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149" w:type="pct"/>
            <w:shd w:val="clear" w:color="auto" w:fill="auto"/>
            <w:vAlign w:val="center"/>
          </w:tcPr>
          <w:p w14:paraId="56D88FF3">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395" w:type="pct"/>
            <w:shd w:val="clear" w:color="auto" w:fill="auto"/>
            <w:vAlign w:val="center"/>
          </w:tcPr>
          <w:p w14:paraId="0BF69242">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390" w:type="pct"/>
            <w:shd w:val="clear" w:color="auto" w:fill="auto"/>
            <w:vAlign w:val="center"/>
          </w:tcPr>
          <w:p w14:paraId="6D042128">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noWrap/>
            <w:vAlign w:val="center"/>
          </w:tcPr>
          <w:p w14:paraId="7A47C538">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4C198936">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2FB0744A">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3D41BAC9">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70D70B0">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57413D7C">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2EB3F60">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4950FC5F">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66C890C8">
            <w:pPr>
              <w:widowControl/>
              <w:jc w:val="center"/>
              <w:rPr>
                <w:rFonts w:ascii="宋体" w:hAnsi="宋体" w:cs="宋体"/>
                <w:color w:val="000000"/>
                <w:kern w:val="0"/>
                <w:sz w:val="18"/>
                <w:szCs w:val="18"/>
              </w:rPr>
            </w:pPr>
            <w:r>
              <w:rPr>
                <w:rFonts w:ascii="宋体" w:hAnsi="宋体"/>
                <w:sz w:val="18"/>
                <w:szCs w:val="18"/>
              </w:rPr>
              <w:t>-</w:t>
            </w:r>
          </w:p>
        </w:tc>
        <w:tc>
          <w:tcPr>
            <w:tcW w:w="390" w:type="pct"/>
            <w:vAlign w:val="center"/>
          </w:tcPr>
          <w:p w14:paraId="4F3974AE">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47B35F84">
            <w:pPr>
              <w:widowControl/>
              <w:jc w:val="center"/>
              <w:rPr>
                <w:rFonts w:ascii="宋体" w:hAnsi="宋体" w:cs="宋体"/>
                <w:color w:val="000000"/>
                <w:kern w:val="0"/>
                <w:sz w:val="18"/>
                <w:szCs w:val="18"/>
              </w:rPr>
            </w:pPr>
            <w:r>
              <w:rPr>
                <w:rFonts w:ascii="宋体" w:hAnsi="宋体"/>
                <w:sz w:val="18"/>
                <w:szCs w:val="18"/>
              </w:rPr>
              <w:t>-</w:t>
            </w:r>
          </w:p>
        </w:tc>
      </w:tr>
      <w:tr w14:paraId="4C68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653FFD8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395" w:type="pct"/>
            <w:shd w:val="clear" w:color="auto" w:fill="auto"/>
            <w:vAlign w:val="center"/>
          </w:tcPr>
          <w:p w14:paraId="4C5183D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390" w:type="pct"/>
            <w:shd w:val="clear" w:color="auto" w:fill="auto"/>
            <w:vAlign w:val="center"/>
          </w:tcPr>
          <w:p w14:paraId="3BA7C058">
            <w:pPr>
              <w:widowControl/>
              <w:jc w:val="center"/>
              <w:rPr>
                <w:rFonts w:ascii="宋体" w:hAnsi="宋体" w:cs="宋体"/>
                <w:color w:val="000000"/>
                <w:kern w:val="0"/>
                <w:sz w:val="18"/>
                <w:szCs w:val="18"/>
              </w:rPr>
            </w:pPr>
            <w:r>
              <w:rPr>
                <w:rFonts w:ascii="宋体" w:hAnsi="宋体"/>
                <w:sz w:val="18"/>
                <w:szCs w:val="18"/>
              </w:rPr>
              <w:t>74,668.76</w:t>
            </w:r>
          </w:p>
        </w:tc>
        <w:tc>
          <w:tcPr>
            <w:tcW w:w="327" w:type="pct"/>
            <w:shd w:val="clear" w:color="auto" w:fill="auto"/>
            <w:vAlign w:val="center"/>
          </w:tcPr>
          <w:p w14:paraId="43D491C1">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368DF5DD">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E6730FF">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0F6E87C9">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1C6DC98D">
            <w:pPr>
              <w:widowControl/>
              <w:jc w:val="center"/>
              <w:rPr>
                <w:rFonts w:ascii="宋体" w:hAnsi="宋体" w:cs="宋体"/>
                <w:color w:val="000000"/>
                <w:kern w:val="0"/>
                <w:sz w:val="18"/>
                <w:szCs w:val="18"/>
              </w:rPr>
            </w:pPr>
            <w:r>
              <w:rPr>
                <w:rFonts w:ascii="宋体" w:hAnsi="宋体"/>
                <w:sz w:val="18"/>
                <w:szCs w:val="18"/>
              </w:rPr>
              <w:t>111,455.01</w:t>
            </w:r>
          </w:p>
        </w:tc>
        <w:tc>
          <w:tcPr>
            <w:tcW w:w="390" w:type="pct"/>
            <w:shd w:val="clear" w:color="auto" w:fill="auto"/>
            <w:vAlign w:val="center"/>
          </w:tcPr>
          <w:p w14:paraId="6403E522">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0820D96F">
            <w:pPr>
              <w:widowControl/>
              <w:jc w:val="center"/>
              <w:rPr>
                <w:rFonts w:ascii="宋体" w:hAnsi="宋体" w:cs="宋体"/>
                <w:color w:val="000000"/>
                <w:kern w:val="0"/>
                <w:sz w:val="18"/>
                <w:szCs w:val="18"/>
              </w:rPr>
            </w:pPr>
            <w:r>
              <w:rPr>
                <w:rFonts w:ascii="宋体" w:hAnsi="宋体"/>
                <w:sz w:val="18"/>
                <w:szCs w:val="18"/>
              </w:rPr>
              <w:t>-1,181.25</w:t>
            </w:r>
          </w:p>
        </w:tc>
        <w:tc>
          <w:tcPr>
            <w:tcW w:w="390" w:type="pct"/>
            <w:shd w:val="clear" w:color="auto" w:fill="auto"/>
            <w:vAlign w:val="center"/>
          </w:tcPr>
          <w:p w14:paraId="2BC5E77C">
            <w:pPr>
              <w:widowControl/>
              <w:jc w:val="center"/>
              <w:rPr>
                <w:rFonts w:ascii="宋体" w:hAnsi="宋体" w:cs="宋体"/>
                <w:color w:val="000000"/>
                <w:kern w:val="0"/>
                <w:sz w:val="18"/>
                <w:szCs w:val="18"/>
              </w:rPr>
            </w:pPr>
            <w:r>
              <w:rPr>
                <w:rFonts w:ascii="宋体" w:hAnsi="宋体"/>
                <w:sz w:val="18"/>
                <w:szCs w:val="18"/>
              </w:rPr>
              <w:t>-3,681.25</w:t>
            </w:r>
          </w:p>
        </w:tc>
        <w:tc>
          <w:tcPr>
            <w:tcW w:w="390" w:type="pct"/>
            <w:shd w:val="clear" w:color="auto" w:fill="auto"/>
            <w:vAlign w:val="center"/>
          </w:tcPr>
          <w:p w14:paraId="0A11D781">
            <w:pPr>
              <w:widowControl/>
              <w:jc w:val="center"/>
              <w:rPr>
                <w:rFonts w:ascii="宋体" w:hAnsi="宋体" w:cs="宋体"/>
                <w:color w:val="000000"/>
                <w:kern w:val="0"/>
                <w:sz w:val="18"/>
                <w:szCs w:val="18"/>
              </w:rPr>
            </w:pPr>
            <w:r>
              <w:rPr>
                <w:rFonts w:ascii="宋体" w:hAnsi="宋体"/>
                <w:sz w:val="18"/>
                <w:szCs w:val="18"/>
              </w:rPr>
              <w:t>-5,111.50</w:t>
            </w:r>
          </w:p>
        </w:tc>
        <w:tc>
          <w:tcPr>
            <w:tcW w:w="390" w:type="pct"/>
            <w:vAlign w:val="center"/>
          </w:tcPr>
          <w:p w14:paraId="5A1703DF">
            <w:pPr>
              <w:widowControl/>
              <w:jc w:val="center"/>
              <w:rPr>
                <w:rFonts w:ascii="宋体" w:hAnsi="宋体" w:cs="宋体"/>
                <w:color w:val="000000"/>
                <w:kern w:val="0"/>
                <w:sz w:val="18"/>
                <w:szCs w:val="18"/>
              </w:rPr>
            </w:pPr>
            <w:r>
              <w:rPr>
                <w:rFonts w:ascii="宋体" w:hAnsi="宋体"/>
                <w:sz w:val="18"/>
                <w:szCs w:val="18"/>
              </w:rPr>
              <w:t>-20,955.50</w:t>
            </w:r>
          </w:p>
        </w:tc>
        <w:tc>
          <w:tcPr>
            <w:tcW w:w="358" w:type="pct"/>
            <w:shd w:val="clear" w:color="auto" w:fill="auto"/>
            <w:vAlign w:val="center"/>
          </w:tcPr>
          <w:p w14:paraId="7FF83902">
            <w:pPr>
              <w:widowControl/>
              <w:jc w:val="center"/>
              <w:rPr>
                <w:rFonts w:ascii="宋体" w:hAnsi="宋体" w:cs="宋体"/>
                <w:color w:val="000000"/>
                <w:kern w:val="0"/>
                <w:sz w:val="18"/>
                <w:szCs w:val="18"/>
              </w:rPr>
            </w:pPr>
            <w:r>
              <w:rPr>
                <w:rFonts w:ascii="宋体" w:hAnsi="宋体"/>
                <w:sz w:val="18"/>
                <w:szCs w:val="18"/>
              </w:rPr>
              <w:t>-4,675.50</w:t>
            </w:r>
          </w:p>
        </w:tc>
      </w:tr>
      <w:tr w14:paraId="57FF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2E30788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395" w:type="pct"/>
            <w:shd w:val="clear" w:color="auto" w:fill="auto"/>
            <w:vAlign w:val="center"/>
          </w:tcPr>
          <w:p w14:paraId="29E8A4A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390" w:type="pct"/>
            <w:shd w:val="clear" w:color="auto" w:fill="auto"/>
            <w:vAlign w:val="center"/>
          </w:tcPr>
          <w:p w14:paraId="154DC391">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117024D4">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25B8F9F6">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5ED7B984">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322D5DED">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321D0AA2">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2FEAF3EA">
            <w:pPr>
              <w:widowControl/>
              <w:jc w:val="center"/>
              <w:rPr>
                <w:rFonts w:ascii="宋体" w:hAnsi="宋体" w:cs="宋体"/>
                <w:color w:val="000000"/>
                <w:kern w:val="0"/>
                <w:sz w:val="18"/>
                <w:szCs w:val="18"/>
              </w:rPr>
            </w:pPr>
            <w:r>
              <w:rPr>
                <w:rFonts w:ascii="宋体" w:hAnsi="宋体"/>
                <w:sz w:val="18"/>
                <w:szCs w:val="18"/>
              </w:rPr>
              <w:t>111,455.01</w:t>
            </w:r>
          </w:p>
        </w:tc>
        <w:tc>
          <w:tcPr>
            <w:tcW w:w="390" w:type="pct"/>
            <w:shd w:val="clear" w:color="auto" w:fill="auto"/>
            <w:vAlign w:val="center"/>
          </w:tcPr>
          <w:p w14:paraId="23B20EB3">
            <w:pPr>
              <w:widowControl/>
              <w:jc w:val="center"/>
              <w:rPr>
                <w:rFonts w:ascii="宋体" w:hAnsi="宋体" w:cs="宋体"/>
                <w:color w:val="000000"/>
                <w:kern w:val="0"/>
                <w:sz w:val="18"/>
                <w:szCs w:val="18"/>
              </w:rPr>
            </w:pPr>
            <w:r>
              <w:rPr>
                <w:rFonts w:ascii="宋体" w:hAnsi="宋体"/>
                <w:sz w:val="18"/>
                <w:szCs w:val="18"/>
              </w:rPr>
              <w:t>110,273.76</w:t>
            </w:r>
          </w:p>
        </w:tc>
        <w:tc>
          <w:tcPr>
            <w:tcW w:w="390" w:type="pct"/>
            <w:shd w:val="clear" w:color="auto" w:fill="auto"/>
            <w:vAlign w:val="center"/>
          </w:tcPr>
          <w:p w14:paraId="38BB36AA">
            <w:pPr>
              <w:widowControl/>
              <w:jc w:val="center"/>
              <w:rPr>
                <w:rFonts w:ascii="宋体" w:hAnsi="宋体" w:cs="宋体"/>
                <w:color w:val="000000"/>
                <w:kern w:val="0"/>
                <w:sz w:val="18"/>
                <w:szCs w:val="18"/>
              </w:rPr>
            </w:pPr>
            <w:r>
              <w:rPr>
                <w:rFonts w:ascii="宋体" w:hAnsi="宋体"/>
                <w:sz w:val="18"/>
                <w:szCs w:val="18"/>
              </w:rPr>
              <w:t>109,092.51</w:t>
            </w:r>
          </w:p>
        </w:tc>
        <w:tc>
          <w:tcPr>
            <w:tcW w:w="390" w:type="pct"/>
            <w:shd w:val="clear" w:color="auto" w:fill="auto"/>
            <w:vAlign w:val="center"/>
          </w:tcPr>
          <w:p w14:paraId="7BD310F3">
            <w:pPr>
              <w:widowControl/>
              <w:jc w:val="center"/>
              <w:rPr>
                <w:rFonts w:ascii="宋体" w:hAnsi="宋体" w:cs="宋体"/>
                <w:color w:val="000000"/>
                <w:kern w:val="0"/>
                <w:sz w:val="18"/>
                <w:szCs w:val="18"/>
              </w:rPr>
            </w:pPr>
            <w:r>
              <w:rPr>
                <w:rFonts w:ascii="宋体" w:hAnsi="宋体"/>
                <w:sz w:val="18"/>
                <w:szCs w:val="18"/>
              </w:rPr>
              <w:t>105,411.26</w:t>
            </w:r>
          </w:p>
        </w:tc>
        <w:tc>
          <w:tcPr>
            <w:tcW w:w="390" w:type="pct"/>
            <w:vAlign w:val="center"/>
          </w:tcPr>
          <w:p w14:paraId="60799A9B">
            <w:pPr>
              <w:widowControl/>
              <w:jc w:val="center"/>
              <w:rPr>
                <w:rFonts w:ascii="宋体" w:hAnsi="宋体" w:cs="宋体"/>
                <w:color w:val="000000"/>
                <w:kern w:val="0"/>
                <w:sz w:val="18"/>
                <w:szCs w:val="18"/>
              </w:rPr>
            </w:pPr>
            <w:r>
              <w:rPr>
                <w:rFonts w:ascii="宋体" w:hAnsi="宋体"/>
                <w:sz w:val="18"/>
                <w:szCs w:val="18"/>
              </w:rPr>
              <w:t>100,299.76</w:t>
            </w:r>
          </w:p>
        </w:tc>
        <w:tc>
          <w:tcPr>
            <w:tcW w:w="358" w:type="pct"/>
            <w:shd w:val="clear" w:color="auto" w:fill="auto"/>
            <w:vAlign w:val="center"/>
          </w:tcPr>
          <w:p w14:paraId="3D8D56F7">
            <w:pPr>
              <w:widowControl/>
              <w:jc w:val="center"/>
              <w:rPr>
                <w:rFonts w:ascii="宋体" w:hAnsi="宋体" w:cs="宋体"/>
                <w:color w:val="000000"/>
                <w:kern w:val="0"/>
                <w:sz w:val="18"/>
                <w:szCs w:val="18"/>
              </w:rPr>
            </w:pPr>
            <w:r>
              <w:rPr>
                <w:rFonts w:ascii="宋体" w:hAnsi="宋体"/>
                <w:sz w:val="18"/>
                <w:szCs w:val="18"/>
              </w:rPr>
              <w:t>79,344.26</w:t>
            </w:r>
          </w:p>
        </w:tc>
      </w:tr>
      <w:tr w14:paraId="1439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149" w:type="pct"/>
            <w:shd w:val="clear" w:color="auto" w:fill="auto"/>
            <w:vAlign w:val="center"/>
          </w:tcPr>
          <w:p w14:paraId="442220A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395" w:type="pct"/>
            <w:shd w:val="clear" w:color="auto" w:fill="auto"/>
            <w:vAlign w:val="center"/>
          </w:tcPr>
          <w:p w14:paraId="395BB64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390" w:type="pct"/>
            <w:shd w:val="clear" w:color="auto" w:fill="auto"/>
            <w:vAlign w:val="center"/>
          </w:tcPr>
          <w:p w14:paraId="1192E543">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0DCB678E">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1616FC55">
            <w:pPr>
              <w:widowControl/>
              <w:jc w:val="center"/>
              <w:rPr>
                <w:rFonts w:ascii="宋体" w:hAnsi="宋体" w:cs="宋体"/>
                <w:color w:val="000000"/>
                <w:kern w:val="0"/>
                <w:sz w:val="18"/>
                <w:szCs w:val="18"/>
              </w:rPr>
            </w:pPr>
            <w:r>
              <w:rPr>
                <w:rFonts w:ascii="宋体" w:hAnsi="宋体"/>
                <w:sz w:val="18"/>
                <w:szCs w:val="18"/>
              </w:rPr>
              <w:t>-</w:t>
            </w:r>
          </w:p>
        </w:tc>
        <w:tc>
          <w:tcPr>
            <w:tcW w:w="358" w:type="pct"/>
            <w:shd w:val="clear" w:color="auto" w:fill="auto"/>
            <w:vAlign w:val="center"/>
          </w:tcPr>
          <w:p w14:paraId="09659210">
            <w:pPr>
              <w:widowControl/>
              <w:jc w:val="center"/>
              <w:rPr>
                <w:rFonts w:ascii="宋体" w:hAnsi="宋体" w:cs="宋体"/>
                <w:color w:val="000000"/>
                <w:kern w:val="0"/>
                <w:sz w:val="18"/>
                <w:szCs w:val="18"/>
              </w:rPr>
            </w:pPr>
            <w:r>
              <w:rPr>
                <w:rFonts w:ascii="宋体" w:hAnsi="宋体"/>
                <w:sz w:val="18"/>
                <w:szCs w:val="18"/>
              </w:rPr>
              <w:t>-</w:t>
            </w:r>
          </w:p>
        </w:tc>
        <w:tc>
          <w:tcPr>
            <w:tcW w:w="327" w:type="pct"/>
            <w:shd w:val="clear" w:color="auto" w:fill="auto"/>
            <w:vAlign w:val="center"/>
          </w:tcPr>
          <w:p w14:paraId="1F597AEB">
            <w:pPr>
              <w:widowControl/>
              <w:jc w:val="center"/>
              <w:rPr>
                <w:rFonts w:ascii="宋体" w:hAnsi="宋体" w:cs="宋体"/>
                <w:color w:val="000000"/>
                <w:kern w:val="0"/>
                <w:sz w:val="18"/>
                <w:szCs w:val="18"/>
              </w:rPr>
            </w:pPr>
            <w:r>
              <w:rPr>
                <w:rFonts w:ascii="宋体" w:hAnsi="宋体"/>
                <w:sz w:val="18"/>
                <w:szCs w:val="18"/>
              </w:rPr>
              <w:t>-</w:t>
            </w:r>
          </w:p>
        </w:tc>
        <w:tc>
          <w:tcPr>
            <w:tcW w:w="390" w:type="pct"/>
            <w:shd w:val="clear" w:color="auto" w:fill="auto"/>
            <w:vAlign w:val="center"/>
          </w:tcPr>
          <w:p w14:paraId="2407ED56">
            <w:pPr>
              <w:widowControl/>
              <w:jc w:val="center"/>
              <w:rPr>
                <w:rFonts w:ascii="宋体" w:hAnsi="宋体" w:cs="宋体"/>
                <w:color w:val="000000"/>
                <w:kern w:val="0"/>
                <w:sz w:val="18"/>
                <w:szCs w:val="18"/>
              </w:rPr>
            </w:pPr>
            <w:r>
              <w:rPr>
                <w:rFonts w:ascii="宋体" w:hAnsi="宋体"/>
                <w:sz w:val="18"/>
                <w:szCs w:val="18"/>
              </w:rPr>
              <w:t>111,455.01</w:t>
            </w:r>
          </w:p>
        </w:tc>
        <w:tc>
          <w:tcPr>
            <w:tcW w:w="390" w:type="pct"/>
            <w:shd w:val="clear" w:color="auto" w:fill="auto"/>
            <w:vAlign w:val="center"/>
          </w:tcPr>
          <w:p w14:paraId="4F9B3240">
            <w:pPr>
              <w:widowControl/>
              <w:jc w:val="center"/>
              <w:rPr>
                <w:rFonts w:ascii="宋体" w:hAnsi="宋体" w:cs="宋体"/>
                <w:color w:val="000000"/>
                <w:kern w:val="0"/>
                <w:sz w:val="18"/>
                <w:szCs w:val="18"/>
              </w:rPr>
            </w:pPr>
            <w:r>
              <w:rPr>
                <w:rFonts w:ascii="宋体" w:hAnsi="宋体"/>
                <w:sz w:val="18"/>
                <w:szCs w:val="18"/>
              </w:rPr>
              <w:t>110,273.76</w:t>
            </w:r>
          </w:p>
        </w:tc>
        <w:tc>
          <w:tcPr>
            <w:tcW w:w="390" w:type="pct"/>
            <w:shd w:val="clear" w:color="auto" w:fill="auto"/>
            <w:vAlign w:val="center"/>
          </w:tcPr>
          <w:p w14:paraId="16F48B4F">
            <w:pPr>
              <w:widowControl/>
              <w:jc w:val="center"/>
              <w:rPr>
                <w:rFonts w:ascii="宋体" w:hAnsi="宋体" w:cs="宋体"/>
                <w:color w:val="000000"/>
                <w:kern w:val="0"/>
                <w:sz w:val="18"/>
                <w:szCs w:val="18"/>
              </w:rPr>
            </w:pPr>
            <w:r>
              <w:rPr>
                <w:rFonts w:ascii="宋体" w:hAnsi="宋体"/>
                <w:sz w:val="18"/>
                <w:szCs w:val="18"/>
              </w:rPr>
              <w:t>109,092.51</w:t>
            </w:r>
          </w:p>
        </w:tc>
        <w:tc>
          <w:tcPr>
            <w:tcW w:w="390" w:type="pct"/>
            <w:shd w:val="clear" w:color="auto" w:fill="auto"/>
            <w:vAlign w:val="center"/>
          </w:tcPr>
          <w:p w14:paraId="51D9DEDF">
            <w:pPr>
              <w:widowControl/>
              <w:jc w:val="center"/>
              <w:rPr>
                <w:rFonts w:ascii="宋体" w:hAnsi="宋体" w:cs="宋体"/>
                <w:color w:val="000000"/>
                <w:kern w:val="0"/>
                <w:sz w:val="18"/>
                <w:szCs w:val="18"/>
              </w:rPr>
            </w:pPr>
            <w:r>
              <w:rPr>
                <w:rFonts w:ascii="宋体" w:hAnsi="宋体"/>
                <w:sz w:val="18"/>
                <w:szCs w:val="18"/>
              </w:rPr>
              <w:t>105,411.26</w:t>
            </w:r>
          </w:p>
        </w:tc>
        <w:tc>
          <w:tcPr>
            <w:tcW w:w="390" w:type="pct"/>
            <w:shd w:val="clear" w:color="auto" w:fill="auto"/>
            <w:vAlign w:val="center"/>
          </w:tcPr>
          <w:p w14:paraId="33C2492F">
            <w:pPr>
              <w:widowControl/>
              <w:jc w:val="center"/>
              <w:rPr>
                <w:rFonts w:ascii="宋体" w:hAnsi="宋体" w:cs="宋体"/>
                <w:color w:val="000000"/>
                <w:kern w:val="0"/>
                <w:sz w:val="18"/>
                <w:szCs w:val="18"/>
              </w:rPr>
            </w:pPr>
            <w:r>
              <w:rPr>
                <w:rFonts w:ascii="宋体" w:hAnsi="宋体"/>
                <w:sz w:val="18"/>
                <w:szCs w:val="18"/>
              </w:rPr>
              <w:t>100,299.76</w:t>
            </w:r>
          </w:p>
        </w:tc>
        <w:tc>
          <w:tcPr>
            <w:tcW w:w="390" w:type="pct"/>
            <w:vAlign w:val="center"/>
          </w:tcPr>
          <w:p w14:paraId="2D030B45">
            <w:pPr>
              <w:widowControl/>
              <w:jc w:val="center"/>
              <w:rPr>
                <w:rFonts w:ascii="宋体" w:hAnsi="宋体" w:cs="宋体"/>
                <w:color w:val="000000"/>
                <w:kern w:val="0"/>
                <w:sz w:val="18"/>
                <w:szCs w:val="18"/>
              </w:rPr>
            </w:pPr>
            <w:r>
              <w:rPr>
                <w:rFonts w:ascii="宋体" w:hAnsi="宋体"/>
                <w:sz w:val="18"/>
                <w:szCs w:val="18"/>
              </w:rPr>
              <w:t>79,344.26</w:t>
            </w:r>
          </w:p>
        </w:tc>
        <w:tc>
          <w:tcPr>
            <w:tcW w:w="358" w:type="pct"/>
            <w:shd w:val="clear" w:color="auto" w:fill="auto"/>
            <w:vAlign w:val="center"/>
          </w:tcPr>
          <w:p w14:paraId="57C024F7">
            <w:pPr>
              <w:widowControl/>
              <w:jc w:val="center"/>
              <w:rPr>
                <w:rFonts w:ascii="宋体" w:hAnsi="宋体" w:cs="宋体"/>
                <w:color w:val="000000"/>
                <w:kern w:val="0"/>
                <w:sz w:val="18"/>
                <w:szCs w:val="18"/>
              </w:rPr>
            </w:pPr>
            <w:r>
              <w:rPr>
                <w:rFonts w:ascii="宋体" w:hAnsi="宋体"/>
                <w:sz w:val="18"/>
                <w:szCs w:val="18"/>
              </w:rPr>
              <w:t>74,668.76</w:t>
            </w:r>
          </w:p>
        </w:tc>
      </w:tr>
      <w:tr w14:paraId="6B09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2303" w:type="pct"/>
            <w:gridSpan w:val="7"/>
            <w:shd w:val="clear" w:color="auto" w:fill="auto"/>
            <w:vAlign w:val="center"/>
          </w:tcPr>
          <w:p w14:paraId="37032E7E">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2697" w:type="pct"/>
            <w:gridSpan w:val="7"/>
            <w:shd w:val="clear" w:color="auto" w:fill="auto"/>
            <w:vAlign w:val="center"/>
          </w:tcPr>
          <w:p w14:paraId="1DF352BC">
            <w:pPr>
              <w:widowControl/>
              <w:jc w:val="center"/>
              <w:rPr>
                <w:rFonts w:ascii="宋体" w:hAnsi="宋体" w:cs="宋体"/>
                <w:color w:val="000000"/>
                <w:kern w:val="0"/>
                <w:sz w:val="18"/>
                <w:szCs w:val="18"/>
              </w:rPr>
            </w:pPr>
            <w:r>
              <w:rPr>
                <w:rFonts w:ascii="宋体" w:hAnsi="宋体" w:cs="宋体"/>
                <w:color w:val="000000"/>
                <w:kern w:val="0"/>
                <w:sz w:val="18"/>
                <w:szCs w:val="18"/>
              </w:rPr>
              <w:t>2.87</w:t>
            </w:r>
          </w:p>
        </w:tc>
      </w:tr>
    </w:tbl>
    <w:p w14:paraId="098CA873">
      <w:pPr>
        <w:pStyle w:val="20"/>
        <w:spacing w:before="0" w:beforeAutospacing="0" w:after="156" w:afterAutospacing="0" w:line="360" w:lineRule="exact"/>
        <w:ind w:firstLine="360" w:firstLineChars="200"/>
        <w:rPr>
          <w:sz w:val="18"/>
          <w:szCs w:val="18"/>
        </w:rPr>
      </w:pPr>
      <w:r>
        <w:rPr>
          <w:rFonts w:hint="eastAsia"/>
          <w:sz w:val="18"/>
          <w:szCs w:val="18"/>
        </w:rPr>
        <w:t>注：按照在存续期内预期收入和预期支出测算，本项目在存续期间能够产生持续稳定的净现金流。按照预计条件估算的资金平衡结果，项目存续期内可达到的偿债资金覆盖倍数为</w:t>
      </w:r>
      <w:r>
        <w:rPr>
          <w:sz w:val="18"/>
          <w:szCs w:val="18"/>
        </w:rPr>
        <w:t>2.87</w:t>
      </w:r>
      <w:r>
        <w:rPr>
          <w:rFonts w:hint="eastAsia"/>
          <w:sz w:val="18"/>
          <w:szCs w:val="18"/>
        </w:rPr>
        <w:t>倍，还本付息资金有充分保障。</w:t>
      </w:r>
    </w:p>
    <w:p w14:paraId="6F0D0636">
      <w:pPr>
        <w:pStyle w:val="20"/>
        <w:spacing w:before="0" w:beforeAutospacing="0" w:after="156" w:afterLines="50" w:afterAutospacing="0" w:line="360" w:lineRule="exact"/>
        <w:ind w:firstLine="420" w:firstLineChars="200"/>
        <w:jc w:val="both"/>
        <w:rPr>
          <w:sz w:val="21"/>
          <w:szCs w:val="21"/>
        </w:rPr>
        <w:sectPr>
          <w:pgSz w:w="16838" w:h="11906" w:orient="landscape"/>
          <w:pgMar w:top="1701" w:right="1531" w:bottom="1701" w:left="1418" w:header="851" w:footer="992" w:gutter="0"/>
          <w:pgNumType w:fmt="decimal"/>
          <w:cols w:space="425" w:num="1"/>
          <w:docGrid w:type="linesAndChars" w:linePitch="312" w:charSpace="0"/>
        </w:sectPr>
      </w:pPr>
    </w:p>
    <w:p w14:paraId="4F08F90C">
      <w:pPr>
        <w:pStyle w:val="20"/>
        <w:spacing w:before="0" w:beforeAutospacing="0" w:after="156" w:afterAutospacing="0" w:line="360" w:lineRule="auto"/>
        <w:ind w:firstLine="480" w:firstLineChars="200"/>
        <w:rPr>
          <w:sz w:val="24"/>
          <w:szCs w:val="24"/>
        </w:rPr>
      </w:pPr>
      <w:r>
        <w:rPr>
          <w:rFonts w:hint="eastAsia"/>
          <w:sz w:val="24"/>
          <w:szCs w:val="24"/>
        </w:rPr>
        <w:t>本次发行专项债券各项目预期运营现金流入合计</w:t>
      </w:r>
      <w:r>
        <w:rPr>
          <w:sz w:val="24"/>
          <w:szCs w:val="24"/>
        </w:rPr>
        <w:t>112,636.26</w:t>
      </w:r>
      <w:r>
        <w:rPr>
          <w:rFonts w:hint="eastAsia"/>
          <w:sz w:val="24"/>
          <w:szCs w:val="24"/>
        </w:rPr>
        <w:t>万元，运营现金流出合计</w:t>
      </w:r>
      <w:r>
        <w:rPr>
          <w:sz w:val="24"/>
          <w:szCs w:val="24"/>
        </w:rPr>
        <w:t>0</w:t>
      </w:r>
      <w:r>
        <w:rPr>
          <w:rFonts w:hint="eastAsia"/>
          <w:sz w:val="24"/>
          <w:szCs w:val="24"/>
        </w:rPr>
        <w:t>万元，债券存续期内债券本金与利息合计</w:t>
      </w:r>
      <w:r>
        <w:rPr>
          <w:sz w:val="24"/>
          <w:szCs w:val="24"/>
        </w:rPr>
        <w:t>39,268.75</w:t>
      </w:r>
      <w:r>
        <w:rPr>
          <w:rFonts w:hint="eastAsia"/>
          <w:sz w:val="24"/>
          <w:szCs w:val="24"/>
        </w:rPr>
        <w:t>万元，项目存续期内偿债资金覆盖倍数为</w:t>
      </w:r>
      <w:r>
        <w:rPr>
          <w:sz w:val="24"/>
          <w:szCs w:val="24"/>
        </w:rPr>
        <w:t>2.87</w:t>
      </w:r>
      <w:r>
        <w:rPr>
          <w:rFonts w:hint="eastAsia"/>
          <w:sz w:val="24"/>
          <w:szCs w:val="24"/>
        </w:rPr>
        <w:t>倍，还本付息资金有充分保障，项目实施方案资金计划能够满足发行专项债券资金充足性要求。债券存续期间现金流入、流出与期末累计现金结存额如图所示：</w:t>
      </w:r>
    </w:p>
    <w:p w14:paraId="5B8C34FB">
      <w:pPr>
        <w:pStyle w:val="20"/>
        <w:spacing w:before="0" w:beforeAutospacing="0" w:after="156" w:afterAutospacing="0"/>
        <w:ind w:firstLine="360" w:firstLineChars="200"/>
        <w:jc w:val="right"/>
        <w:rPr>
          <w:sz w:val="21"/>
          <w:szCs w:val="21"/>
        </w:rPr>
      </w:pPr>
      <w:r>
        <w:rPr>
          <w:rFonts w:hint="eastAsia"/>
          <w:sz w:val="18"/>
          <w:szCs w:val="18"/>
        </w:rPr>
        <w:t>单位：万元</w:t>
      </w:r>
    </w:p>
    <w:p w14:paraId="5B553CA2">
      <w:pPr>
        <w:pStyle w:val="20"/>
        <w:spacing w:before="0" w:beforeAutospacing="0" w:after="156" w:afterAutospacing="0"/>
        <w:ind w:firstLine="480"/>
        <w:jc w:val="center"/>
        <w:rPr>
          <w:sz w:val="18"/>
          <w:szCs w:val="18"/>
        </w:rPr>
      </w:pPr>
      <w:r>
        <w:drawing>
          <wp:inline distT="0" distB="0" distL="0" distR="0">
            <wp:extent cx="4519295" cy="3084195"/>
            <wp:effectExtent l="6350" t="6350" r="20955" b="825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3CB44D2">
      <w:pPr>
        <w:pStyle w:val="20"/>
        <w:spacing w:before="0" w:beforeAutospacing="0" w:after="156" w:afterLines="50" w:afterAutospacing="0" w:line="360" w:lineRule="exact"/>
        <w:ind w:firstLine="420" w:firstLineChars="200"/>
        <w:jc w:val="center"/>
        <w:rPr>
          <w:sz w:val="21"/>
          <w:szCs w:val="21"/>
        </w:rPr>
      </w:pPr>
      <w:r>
        <w:rPr>
          <w:rFonts w:hint="eastAsia"/>
          <w:sz w:val="21"/>
          <w:szCs w:val="21"/>
        </w:rPr>
        <w:t>图3-</w:t>
      </w:r>
      <w:r>
        <w:rPr>
          <w:sz w:val="21"/>
          <w:szCs w:val="21"/>
        </w:rPr>
        <w:t xml:space="preserve">1  </w:t>
      </w:r>
      <w:r>
        <w:rPr>
          <w:rFonts w:hint="eastAsia"/>
          <w:sz w:val="21"/>
          <w:szCs w:val="21"/>
        </w:rPr>
        <w:t>债券存续期间现金流情况图</w:t>
      </w:r>
    </w:p>
    <w:p w14:paraId="64A9CD51">
      <w:pPr>
        <w:widowControl/>
        <w:spacing w:line="560" w:lineRule="exact"/>
        <w:ind w:firstLine="561" w:firstLineChars="200"/>
        <w:jc w:val="left"/>
        <w:outlineLvl w:val="1"/>
        <w:rPr>
          <w:rFonts w:ascii="楷体" w:hAnsi="楷体" w:eastAsia="楷体" w:cs="楷体"/>
          <w:b/>
          <w:bCs/>
          <w:sz w:val="28"/>
          <w:szCs w:val="28"/>
        </w:rPr>
      </w:pPr>
      <w:bookmarkStart w:id="164" w:name="_Toc1607"/>
      <w:r>
        <w:rPr>
          <w:rFonts w:hint="eastAsia" w:ascii="楷体" w:hAnsi="楷体" w:eastAsia="楷体" w:cs="楷体"/>
          <w:b/>
          <w:bCs/>
          <w:sz w:val="28"/>
          <w:szCs w:val="28"/>
        </w:rPr>
        <w:t>（五）压力测试</w:t>
      </w:r>
      <w:bookmarkEnd w:id="164"/>
    </w:p>
    <w:p w14:paraId="734126DF">
      <w:pPr>
        <w:pStyle w:val="20"/>
        <w:spacing w:before="0" w:beforeAutospacing="0" w:after="156" w:afterLines="50" w:afterAutospacing="0" w:line="360" w:lineRule="auto"/>
        <w:ind w:firstLine="480" w:firstLineChars="200"/>
        <w:contextualSpacing/>
        <w:rPr>
          <w:sz w:val="24"/>
          <w:szCs w:val="24"/>
        </w:rPr>
      </w:pPr>
      <w:r>
        <w:rPr>
          <w:rFonts w:hint="eastAsia"/>
          <w:sz w:val="24"/>
          <w:szCs w:val="24"/>
        </w:rPr>
        <w:t>考虑项目收入变动、成本变动和债券利率变动因素，分析专项债券本金覆盖率和本息资金覆盖倍数，见下表4-</w:t>
      </w:r>
      <w:r>
        <w:rPr>
          <w:sz w:val="24"/>
          <w:szCs w:val="24"/>
        </w:rPr>
        <w:t>1</w:t>
      </w:r>
      <w:r>
        <w:rPr>
          <w:rFonts w:hint="eastAsia"/>
          <w:sz w:val="24"/>
          <w:szCs w:val="24"/>
        </w:rPr>
        <w:t>：</w:t>
      </w:r>
    </w:p>
    <w:p w14:paraId="1F8B144D">
      <w:pPr>
        <w:pStyle w:val="20"/>
        <w:spacing w:before="0" w:beforeAutospacing="0" w:after="156" w:afterLines="50" w:afterAutospacing="0" w:line="360" w:lineRule="exact"/>
        <w:ind w:firstLine="420" w:firstLineChars="200"/>
        <w:contextualSpacing/>
        <w:jc w:val="center"/>
        <w:rPr>
          <w:b/>
          <w:sz w:val="21"/>
          <w:szCs w:val="21"/>
        </w:rPr>
      </w:pPr>
      <w:r>
        <w:rPr>
          <w:rFonts w:hint="eastAsia"/>
          <w:b/>
          <w:sz w:val="21"/>
          <w:szCs w:val="21"/>
        </w:rPr>
        <w:t>表4-</w:t>
      </w:r>
      <w:r>
        <w:rPr>
          <w:b/>
          <w:sz w:val="21"/>
          <w:szCs w:val="21"/>
        </w:rPr>
        <w:t>1</w:t>
      </w:r>
      <w:r>
        <w:rPr>
          <w:rFonts w:hint="eastAsia"/>
          <w:b/>
          <w:sz w:val="21"/>
          <w:szCs w:val="21"/>
        </w:rPr>
        <w:t xml:space="preserve">      单因素变动压力测试表</w:t>
      </w:r>
    </w:p>
    <w:p w14:paraId="1AC40F98">
      <w:pPr>
        <w:pStyle w:val="20"/>
        <w:spacing w:before="0" w:beforeAutospacing="0" w:after="156" w:afterLines="50" w:afterAutospacing="0" w:line="360" w:lineRule="exact"/>
        <w:ind w:right="1440" w:firstLine="360" w:firstLineChars="200"/>
        <w:contextualSpacing/>
        <w:jc w:val="right"/>
        <w:rPr>
          <w:sz w:val="18"/>
          <w:szCs w:val="18"/>
        </w:rPr>
      </w:pPr>
      <w:r>
        <w:rPr>
          <w:rFonts w:hint="eastAsia"/>
          <w:sz w:val="18"/>
          <w:szCs w:val="18"/>
        </w:rPr>
        <w:t>单位：万元</w:t>
      </w:r>
    </w:p>
    <w:tbl>
      <w:tblPr>
        <w:tblStyle w:val="24"/>
        <w:tblW w:w="5000" w:type="pct"/>
        <w:tblInd w:w="0" w:type="dxa"/>
        <w:tblLayout w:type="autofit"/>
        <w:tblCellMar>
          <w:top w:w="0" w:type="dxa"/>
          <w:left w:w="108" w:type="dxa"/>
          <w:bottom w:w="0" w:type="dxa"/>
          <w:right w:w="108" w:type="dxa"/>
        </w:tblCellMar>
      </w:tblPr>
      <w:tblGrid>
        <w:gridCol w:w="2454"/>
        <w:gridCol w:w="962"/>
        <w:gridCol w:w="962"/>
        <w:gridCol w:w="962"/>
        <w:gridCol w:w="962"/>
        <w:gridCol w:w="962"/>
        <w:gridCol w:w="962"/>
        <w:gridCol w:w="963"/>
      </w:tblGrid>
      <w:tr w14:paraId="30A0A3B2">
        <w:trPr>
          <w:trHeight w:val="270" w:hRule="atLeast"/>
        </w:trPr>
        <w:tc>
          <w:tcPr>
            <w:tcW w:w="1619" w:type="pct"/>
            <w:tcBorders>
              <w:top w:val="single" w:color="auto" w:sz="4" w:space="0"/>
              <w:left w:val="single" w:color="auto" w:sz="4" w:space="0"/>
              <w:bottom w:val="single" w:color="auto" w:sz="4" w:space="0"/>
              <w:right w:val="single" w:color="auto" w:sz="4" w:space="0"/>
            </w:tcBorders>
            <w:shd w:val="clear" w:color="auto" w:fill="auto"/>
            <w:vAlign w:val="center"/>
          </w:tcPr>
          <w:p w14:paraId="07950F4B">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资金覆盖率-压力测试（单因素敏感性分析）</w:t>
            </w:r>
          </w:p>
        </w:tc>
        <w:tc>
          <w:tcPr>
            <w:tcW w:w="483" w:type="pct"/>
            <w:tcBorders>
              <w:top w:val="single" w:color="auto" w:sz="4" w:space="0"/>
              <w:left w:val="nil"/>
              <w:bottom w:val="single" w:color="auto" w:sz="4" w:space="0"/>
              <w:right w:val="single" w:color="auto" w:sz="4" w:space="0"/>
            </w:tcBorders>
            <w:shd w:val="clear" w:color="auto" w:fill="auto"/>
            <w:noWrap/>
          </w:tcPr>
          <w:p w14:paraId="45C4EF6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-10%</w:t>
            </w:r>
          </w:p>
        </w:tc>
        <w:tc>
          <w:tcPr>
            <w:tcW w:w="483" w:type="pct"/>
            <w:tcBorders>
              <w:top w:val="single" w:color="auto" w:sz="4" w:space="0"/>
              <w:left w:val="nil"/>
              <w:bottom w:val="single" w:color="auto" w:sz="4" w:space="0"/>
              <w:right w:val="single" w:color="auto" w:sz="4" w:space="0"/>
            </w:tcBorders>
            <w:shd w:val="clear" w:color="auto" w:fill="auto"/>
            <w:noWrap/>
          </w:tcPr>
          <w:p w14:paraId="0671FA6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-8%</w:t>
            </w:r>
          </w:p>
        </w:tc>
        <w:tc>
          <w:tcPr>
            <w:tcW w:w="483" w:type="pct"/>
            <w:tcBorders>
              <w:top w:val="single" w:color="auto" w:sz="4" w:space="0"/>
              <w:left w:val="nil"/>
              <w:bottom w:val="single" w:color="auto" w:sz="4" w:space="0"/>
              <w:right w:val="single" w:color="auto" w:sz="4" w:space="0"/>
            </w:tcBorders>
            <w:shd w:val="clear" w:color="auto" w:fill="auto"/>
            <w:noWrap/>
          </w:tcPr>
          <w:p w14:paraId="5389A60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-5%</w:t>
            </w:r>
          </w:p>
        </w:tc>
        <w:tc>
          <w:tcPr>
            <w:tcW w:w="483" w:type="pct"/>
            <w:tcBorders>
              <w:top w:val="single" w:color="auto" w:sz="4" w:space="0"/>
              <w:left w:val="nil"/>
              <w:bottom w:val="single" w:color="auto" w:sz="4" w:space="0"/>
              <w:right w:val="single" w:color="auto" w:sz="4" w:space="0"/>
            </w:tcBorders>
            <w:shd w:val="clear" w:color="auto" w:fill="auto"/>
            <w:noWrap/>
          </w:tcPr>
          <w:p w14:paraId="291EE56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0%</w:t>
            </w:r>
          </w:p>
        </w:tc>
        <w:tc>
          <w:tcPr>
            <w:tcW w:w="483" w:type="pct"/>
            <w:tcBorders>
              <w:top w:val="single" w:color="auto" w:sz="4" w:space="0"/>
              <w:left w:val="nil"/>
              <w:bottom w:val="single" w:color="auto" w:sz="4" w:space="0"/>
              <w:right w:val="single" w:color="auto" w:sz="4" w:space="0"/>
            </w:tcBorders>
            <w:shd w:val="clear" w:color="auto" w:fill="auto"/>
            <w:noWrap/>
          </w:tcPr>
          <w:p w14:paraId="69848C0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5%</w:t>
            </w:r>
          </w:p>
        </w:tc>
        <w:tc>
          <w:tcPr>
            <w:tcW w:w="483" w:type="pct"/>
            <w:tcBorders>
              <w:top w:val="single" w:color="auto" w:sz="4" w:space="0"/>
              <w:left w:val="nil"/>
              <w:bottom w:val="single" w:color="auto" w:sz="4" w:space="0"/>
              <w:right w:val="single" w:color="auto" w:sz="4" w:space="0"/>
            </w:tcBorders>
            <w:shd w:val="clear" w:color="auto" w:fill="auto"/>
            <w:noWrap/>
          </w:tcPr>
          <w:p w14:paraId="0A4221EA">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8%</w:t>
            </w:r>
          </w:p>
        </w:tc>
        <w:tc>
          <w:tcPr>
            <w:tcW w:w="483" w:type="pct"/>
            <w:tcBorders>
              <w:top w:val="single" w:color="auto" w:sz="4" w:space="0"/>
              <w:left w:val="nil"/>
              <w:bottom w:val="single" w:color="auto" w:sz="4" w:space="0"/>
              <w:right w:val="single" w:color="auto" w:sz="4" w:space="0"/>
            </w:tcBorders>
            <w:shd w:val="clear" w:color="auto" w:fill="auto"/>
            <w:noWrap/>
          </w:tcPr>
          <w:p w14:paraId="693FFFC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10%</w:t>
            </w:r>
          </w:p>
        </w:tc>
      </w:tr>
      <w:tr w14:paraId="1BE6DC77">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5080398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业务活动现金流入变动后金额</w:t>
            </w:r>
          </w:p>
        </w:tc>
        <w:tc>
          <w:tcPr>
            <w:tcW w:w="483" w:type="pct"/>
            <w:tcBorders>
              <w:top w:val="nil"/>
              <w:left w:val="nil"/>
              <w:bottom w:val="single" w:color="auto" w:sz="4" w:space="0"/>
              <w:right w:val="single" w:color="auto" w:sz="4" w:space="0"/>
            </w:tcBorders>
            <w:shd w:val="clear" w:color="auto" w:fill="auto"/>
            <w:noWrap/>
          </w:tcPr>
          <w:p w14:paraId="04E8002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101,372.63 </w:t>
            </w:r>
          </w:p>
        </w:tc>
        <w:tc>
          <w:tcPr>
            <w:tcW w:w="483" w:type="pct"/>
            <w:tcBorders>
              <w:top w:val="nil"/>
              <w:left w:val="nil"/>
              <w:bottom w:val="single" w:color="auto" w:sz="4" w:space="0"/>
              <w:right w:val="single" w:color="auto" w:sz="4" w:space="0"/>
            </w:tcBorders>
            <w:shd w:val="clear" w:color="auto" w:fill="auto"/>
            <w:noWrap/>
          </w:tcPr>
          <w:p w14:paraId="00F4B24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103,625.36 </w:t>
            </w:r>
          </w:p>
        </w:tc>
        <w:tc>
          <w:tcPr>
            <w:tcW w:w="483" w:type="pct"/>
            <w:tcBorders>
              <w:top w:val="nil"/>
              <w:left w:val="nil"/>
              <w:bottom w:val="single" w:color="auto" w:sz="4" w:space="0"/>
              <w:right w:val="single" w:color="auto" w:sz="4" w:space="0"/>
            </w:tcBorders>
            <w:shd w:val="clear" w:color="auto" w:fill="auto"/>
            <w:noWrap/>
          </w:tcPr>
          <w:p w14:paraId="3E46C50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107,004.45 </w:t>
            </w:r>
          </w:p>
        </w:tc>
        <w:tc>
          <w:tcPr>
            <w:tcW w:w="483" w:type="pct"/>
            <w:tcBorders>
              <w:top w:val="nil"/>
              <w:left w:val="nil"/>
              <w:bottom w:val="single" w:color="auto" w:sz="4" w:space="0"/>
              <w:right w:val="single" w:color="auto" w:sz="4" w:space="0"/>
            </w:tcBorders>
            <w:shd w:val="clear" w:color="auto" w:fill="auto"/>
            <w:noWrap/>
          </w:tcPr>
          <w:p w14:paraId="0C86351D">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112,636.26 </w:t>
            </w:r>
          </w:p>
        </w:tc>
        <w:tc>
          <w:tcPr>
            <w:tcW w:w="483" w:type="pct"/>
            <w:tcBorders>
              <w:top w:val="nil"/>
              <w:left w:val="nil"/>
              <w:bottom w:val="single" w:color="auto" w:sz="4" w:space="0"/>
              <w:right w:val="single" w:color="auto" w:sz="4" w:space="0"/>
            </w:tcBorders>
            <w:shd w:val="clear" w:color="auto" w:fill="auto"/>
            <w:noWrap/>
          </w:tcPr>
          <w:p w14:paraId="16522A1C">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118,268.07 </w:t>
            </w:r>
          </w:p>
        </w:tc>
        <w:tc>
          <w:tcPr>
            <w:tcW w:w="483" w:type="pct"/>
            <w:tcBorders>
              <w:top w:val="nil"/>
              <w:left w:val="nil"/>
              <w:bottom w:val="single" w:color="auto" w:sz="4" w:space="0"/>
              <w:right w:val="single" w:color="auto" w:sz="4" w:space="0"/>
            </w:tcBorders>
            <w:shd w:val="clear" w:color="auto" w:fill="auto"/>
            <w:noWrap/>
          </w:tcPr>
          <w:p w14:paraId="5CFC058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121,647.16 </w:t>
            </w:r>
          </w:p>
        </w:tc>
        <w:tc>
          <w:tcPr>
            <w:tcW w:w="483" w:type="pct"/>
            <w:tcBorders>
              <w:top w:val="nil"/>
              <w:left w:val="nil"/>
              <w:bottom w:val="single" w:color="auto" w:sz="4" w:space="0"/>
              <w:right w:val="single" w:color="auto" w:sz="4" w:space="0"/>
            </w:tcBorders>
            <w:shd w:val="clear" w:color="auto" w:fill="auto"/>
            <w:noWrap/>
          </w:tcPr>
          <w:p w14:paraId="2CBDA7CD">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123,899.89 </w:t>
            </w:r>
          </w:p>
        </w:tc>
      </w:tr>
      <w:tr w14:paraId="6781DB00">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6FF6DC6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业务活动现金流出成本变动后金额</w:t>
            </w:r>
          </w:p>
        </w:tc>
        <w:tc>
          <w:tcPr>
            <w:tcW w:w="483" w:type="pct"/>
            <w:tcBorders>
              <w:top w:val="nil"/>
              <w:left w:val="nil"/>
              <w:bottom w:val="single" w:color="auto" w:sz="4" w:space="0"/>
              <w:right w:val="single" w:color="auto" w:sz="4" w:space="0"/>
            </w:tcBorders>
            <w:shd w:val="clear" w:color="auto" w:fill="auto"/>
            <w:noWrap/>
          </w:tcPr>
          <w:p w14:paraId="446C6AC9">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7F1C941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4A1B39A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60DE9D3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5DA2790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0CD5ED0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c>
          <w:tcPr>
            <w:tcW w:w="483" w:type="pct"/>
            <w:tcBorders>
              <w:top w:val="nil"/>
              <w:left w:val="nil"/>
              <w:bottom w:val="single" w:color="auto" w:sz="4" w:space="0"/>
              <w:right w:val="single" w:color="auto" w:sz="4" w:space="0"/>
            </w:tcBorders>
            <w:shd w:val="clear" w:color="auto" w:fill="auto"/>
            <w:noWrap/>
          </w:tcPr>
          <w:p w14:paraId="4AFDED3A">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   </w:t>
            </w:r>
          </w:p>
        </w:tc>
      </w:tr>
      <w:tr w14:paraId="4A075C16">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6FD6763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w:t>
            </w:r>
          </w:p>
        </w:tc>
        <w:tc>
          <w:tcPr>
            <w:tcW w:w="483" w:type="pct"/>
            <w:tcBorders>
              <w:top w:val="nil"/>
              <w:left w:val="nil"/>
              <w:bottom w:val="single" w:color="auto" w:sz="4" w:space="0"/>
              <w:right w:val="single" w:color="auto" w:sz="4" w:space="0"/>
            </w:tcBorders>
            <w:shd w:val="clear" w:color="auto" w:fill="auto"/>
            <w:noWrap/>
          </w:tcPr>
          <w:p w14:paraId="17D72C2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3.51%</w:t>
            </w:r>
          </w:p>
        </w:tc>
        <w:tc>
          <w:tcPr>
            <w:tcW w:w="483" w:type="pct"/>
            <w:tcBorders>
              <w:top w:val="nil"/>
              <w:left w:val="nil"/>
              <w:bottom w:val="single" w:color="auto" w:sz="4" w:space="0"/>
              <w:right w:val="single" w:color="auto" w:sz="4" w:space="0"/>
            </w:tcBorders>
            <w:shd w:val="clear" w:color="auto" w:fill="auto"/>
            <w:noWrap/>
          </w:tcPr>
          <w:p w14:paraId="3F7F46A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3.59%</w:t>
            </w:r>
          </w:p>
        </w:tc>
        <w:tc>
          <w:tcPr>
            <w:tcW w:w="483" w:type="pct"/>
            <w:tcBorders>
              <w:top w:val="nil"/>
              <w:left w:val="nil"/>
              <w:bottom w:val="single" w:color="auto" w:sz="4" w:space="0"/>
              <w:right w:val="single" w:color="auto" w:sz="4" w:space="0"/>
            </w:tcBorders>
            <w:shd w:val="clear" w:color="auto" w:fill="auto"/>
            <w:noWrap/>
          </w:tcPr>
          <w:p w14:paraId="33F6163F">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3.71%</w:t>
            </w:r>
          </w:p>
        </w:tc>
        <w:tc>
          <w:tcPr>
            <w:tcW w:w="483" w:type="pct"/>
            <w:tcBorders>
              <w:top w:val="nil"/>
              <w:left w:val="nil"/>
              <w:bottom w:val="single" w:color="auto" w:sz="4" w:space="0"/>
              <w:right w:val="single" w:color="auto" w:sz="4" w:space="0"/>
            </w:tcBorders>
            <w:shd w:val="clear" w:color="auto" w:fill="auto"/>
            <w:noWrap/>
          </w:tcPr>
          <w:p w14:paraId="5205B6B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3.90%</w:t>
            </w:r>
          </w:p>
        </w:tc>
        <w:tc>
          <w:tcPr>
            <w:tcW w:w="483" w:type="pct"/>
            <w:tcBorders>
              <w:top w:val="nil"/>
              <w:left w:val="nil"/>
              <w:bottom w:val="single" w:color="auto" w:sz="4" w:space="0"/>
              <w:right w:val="single" w:color="auto" w:sz="4" w:space="0"/>
            </w:tcBorders>
            <w:shd w:val="clear" w:color="auto" w:fill="auto"/>
            <w:noWrap/>
          </w:tcPr>
          <w:p w14:paraId="11C3689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4.10%</w:t>
            </w:r>
          </w:p>
        </w:tc>
        <w:tc>
          <w:tcPr>
            <w:tcW w:w="483" w:type="pct"/>
            <w:tcBorders>
              <w:top w:val="nil"/>
              <w:left w:val="nil"/>
              <w:bottom w:val="single" w:color="auto" w:sz="4" w:space="0"/>
              <w:right w:val="single" w:color="auto" w:sz="4" w:space="0"/>
            </w:tcBorders>
            <w:shd w:val="clear" w:color="auto" w:fill="auto"/>
            <w:noWrap/>
          </w:tcPr>
          <w:p w14:paraId="6B7A621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4.21%</w:t>
            </w:r>
          </w:p>
        </w:tc>
        <w:tc>
          <w:tcPr>
            <w:tcW w:w="483" w:type="pct"/>
            <w:tcBorders>
              <w:top w:val="nil"/>
              <w:left w:val="nil"/>
              <w:bottom w:val="single" w:color="auto" w:sz="4" w:space="0"/>
              <w:right w:val="single" w:color="auto" w:sz="4" w:space="0"/>
            </w:tcBorders>
            <w:shd w:val="clear" w:color="auto" w:fill="auto"/>
            <w:noWrap/>
          </w:tcPr>
          <w:p w14:paraId="6E672A6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4.29%</w:t>
            </w:r>
          </w:p>
        </w:tc>
      </w:tr>
      <w:tr w14:paraId="77E91FA4">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5BCD7CC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利率变动债券利息</w:t>
            </w:r>
          </w:p>
        </w:tc>
        <w:tc>
          <w:tcPr>
            <w:tcW w:w="483" w:type="pct"/>
            <w:tcBorders>
              <w:top w:val="nil"/>
              <w:left w:val="nil"/>
              <w:bottom w:val="single" w:color="auto" w:sz="4" w:space="0"/>
              <w:right w:val="single" w:color="auto" w:sz="4" w:space="0"/>
            </w:tcBorders>
            <w:shd w:val="clear" w:color="auto" w:fill="auto"/>
            <w:noWrap/>
          </w:tcPr>
          <w:p w14:paraId="3AF0854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7,441.88 </w:t>
            </w:r>
          </w:p>
        </w:tc>
        <w:tc>
          <w:tcPr>
            <w:tcW w:w="483" w:type="pct"/>
            <w:tcBorders>
              <w:top w:val="nil"/>
              <w:left w:val="nil"/>
              <w:bottom w:val="single" w:color="auto" w:sz="4" w:space="0"/>
              <w:right w:val="single" w:color="auto" w:sz="4" w:space="0"/>
            </w:tcBorders>
            <w:shd w:val="clear" w:color="auto" w:fill="auto"/>
            <w:noWrap/>
          </w:tcPr>
          <w:p w14:paraId="600CDFC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7,607.25 </w:t>
            </w:r>
          </w:p>
        </w:tc>
        <w:tc>
          <w:tcPr>
            <w:tcW w:w="483" w:type="pct"/>
            <w:tcBorders>
              <w:top w:val="nil"/>
              <w:left w:val="nil"/>
              <w:bottom w:val="single" w:color="auto" w:sz="4" w:space="0"/>
              <w:right w:val="single" w:color="auto" w:sz="4" w:space="0"/>
            </w:tcBorders>
            <w:shd w:val="clear" w:color="auto" w:fill="auto"/>
            <w:noWrap/>
          </w:tcPr>
          <w:p w14:paraId="047B9D6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7,855.31 </w:t>
            </w:r>
          </w:p>
        </w:tc>
        <w:tc>
          <w:tcPr>
            <w:tcW w:w="483" w:type="pct"/>
            <w:tcBorders>
              <w:top w:val="nil"/>
              <w:left w:val="nil"/>
              <w:bottom w:val="single" w:color="auto" w:sz="4" w:space="0"/>
              <w:right w:val="single" w:color="auto" w:sz="4" w:space="0"/>
            </w:tcBorders>
            <w:shd w:val="clear" w:color="auto" w:fill="auto"/>
            <w:noWrap/>
          </w:tcPr>
          <w:p w14:paraId="5A8AB11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8,268.75 </w:t>
            </w:r>
          </w:p>
        </w:tc>
        <w:tc>
          <w:tcPr>
            <w:tcW w:w="483" w:type="pct"/>
            <w:tcBorders>
              <w:top w:val="nil"/>
              <w:left w:val="nil"/>
              <w:bottom w:val="single" w:color="auto" w:sz="4" w:space="0"/>
              <w:right w:val="single" w:color="auto" w:sz="4" w:space="0"/>
            </w:tcBorders>
            <w:shd w:val="clear" w:color="auto" w:fill="auto"/>
            <w:noWrap/>
          </w:tcPr>
          <w:p w14:paraId="673A013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8,682.19 </w:t>
            </w:r>
          </w:p>
        </w:tc>
        <w:tc>
          <w:tcPr>
            <w:tcW w:w="483" w:type="pct"/>
            <w:tcBorders>
              <w:top w:val="nil"/>
              <w:left w:val="nil"/>
              <w:bottom w:val="single" w:color="auto" w:sz="4" w:space="0"/>
              <w:right w:val="single" w:color="auto" w:sz="4" w:space="0"/>
            </w:tcBorders>
            <w:shd w:val="clear" w:color="auto" w:fill="auto"/>
            <w:noWrap/>
          </w:tcPr>
          <w:p w14:paraId="055CF86C">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8,930.25 </w:t>
            </w:r>
          </w:p>
        </w:tc>
        <w:tc>
          <w:tcPr>
            <w:tcW w:w="483" w:type="pct"/>
            <w:tcBorders>
              <w:top w:val="nil"/>
              <w:left w:val="nil"/>
              <w:bottom w:val="single" w:color="auto" w:sz="4" w:space="0"/>
              <w:right w:val="single" w:color="auto" w:sz="4" w:space="0"/>
            </w:tcBorders>
            <w:shd w:val="clear" w:color="auto" w:fill="auto"/>
            <w:noWrap/>
          </w:tcPr>
          <w:p w14:paraId="50B4B7C3">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9,095.63 </w:t>
            </w:r>
          </w:p>
        </w:tc>
      </w:tr>
      <w:tr w14:paraId="130599EF">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6D944116">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1.收入变动敏感性分析</w:t>
            </w:r>
          </w:p>
        </w:tc>
        <w:tc>
          <w:tcPr>
            <w:tcW w:w="483" w:type="pct"/>
            <w:tcBorders>
              <w:top w:val="nil"/>
              <w:left w:val="nil"/>
              <w:bottom w:val="single" w:color="auto" w:sz="4" w:space="0"/>
              <w:right w:val="single" w:color="auto" w:sz="4" w:space="0"/>
            </w:tcBorders>
            <w:shd w:val="clear" w:color="auto" w:fill="auto"/>
            <w:noWrap/>
          </w:tcPr>
          <w:p w14:paraId="51BC3449">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A9B4DED">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789192C3">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FD166EE">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4800E473">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7D8FAC2">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92AF0C9">
            <w:pPr>
              <w:widowControl/>
              <w:jc w:val="center"/>
              <w:rPr>
                <w:rFonts w:ascii="宋体" w:hAnsi="宋体" w:cs="宋体"/>
                <w:color w:val="000000" w:themeColor="text1"/>
                <w:kern w:val="0"/>
                <w:sz w:val="18"/>
                <w:szCs w:val="18"/>
                <w14:textFill>
                  <w14:solidFill>
                    <w14:schemeClr w14:val="tx1"/>
                  </w14:solidFill>
                </w14:textFill>
              </w:rPr>
            </w:pPr>
          </w:p>
        </w:tc>
      </w:tr>
      <w:tr w14:paraId="593124CB">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27F867E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偿债资金覆盖倍数变化</w:t>
            </w:r>
          </w:p>
        </w:tc>
        <w:tc>
          <w:tcPr>
            <w:tcW w:w="483" w:type="pct"/>
            <w:tcBorders>
              <w:top w:val="nil"/>
              <w:left w:val="nil"/>
              <w:bottom w:val="single" w:color="auto" w:sz="4" w:space="0"/>
              <w:right w:val="single" w:color="auto" w:sz="4" w:space="0"/>
            </w:tcBorders>
            <w:shd w:val="clear" w:color="auto" w:fill="auto"/>
            <w:noWrap/>
          </w:tcPr>
          <w:p w14:paraId="125CE1C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2.58 </w:t>
            </w:r>
          </w:p>
        </w:tc>
        <w:tc>
          <w:tcPr>
            <w:tcW w:w="483" w:type="pct"/>
            <w:tcBorders>
              <w:top w:val="nil"/>
              <w:left w:val="nil"/>
              <w:bottom w:val="single" w:color="auto" w:sz="4" w:space="0"/>
              <w:right w:val="single" w:color="auto" w:sz="4" w:space="0"/>
            </w:tcBorders>
            <w:shd w:val="clear" w:color="auto" w:fill="auto"/>
            <w:noWrap/>
          </w:tcPr>
          <w:p w14:paraId="3C486CE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2.64 </w:t>
            </w:r>
          </w:p>
        </w:tc>
        <w:tc>
          <w:tcPr>
            <w:tcW w:w="483" w:type="pct"/>
            <w:tcBorders>
              <w:top w:val="nil"/>
              <w:left w:val="nil"/>
              <w:bottom w:val="single" w:color="auto" w:sz="4" w:space="0"/>
              <w:right w:val="single" w:color="auto" w:sz="4" w:space="0"/>
            </w:tcBorders>
            <w:shd w:val="clear" w:color="auto" w:fill="auto"/>
            <w:noWrap/>
          </w:tcPr>
          <w:p w14:paraId="61FFC1E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2.72 </w:t>
            </w:r>
          </w:p>
        </w:tc>
        <w:tc>
          <w:tcPr>
            <w:tcW w:w="483" w:type="pct"/>
            <w:tcBorders>
              <w:top w:val="nil"/>
              <w:left w:val="nil"/>
              <w:bottom w:val="single" w:color="auto" w:sz="4" w:space="0"/>
              <w:right w:val="single" w:color="auto" w:sz="4" w:space="0"/>
            </w:tcBorders>
            <w:shd w:val="clear" w:color="auto" w:fill="auto"/>
            <w:noWrap/>
          </w:tcPr>
          <w:p w14:paraId="4781868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31BE40C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3.01 </w:t>
            </w:r>
          </w:p>
        </w:tc>
        <w:tc>
          <w:tcPr>
            <w:tcW w:w="483" w:type="pct"/>
            <w:tcBorders>
              <w:top w:val="nil"/>
              <w:left w:val="nil"/>
              <w:bottom w:val="single" w:color="auto" w:sz="4" w:space="0"/>
              <w:right w:val="single" w:color="auto" w:sz="4" w:space="0"/>
            </w:tcBorders>
            <w:shd w:val="clear" w:color="auto" w:fill="auto"/>
            <w:noWrap/>
          </w:tcPr>
          <w:p w14:paraId="2FB6A9D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3.10 </w:t>
            </w:r>
          </w:p>
        </w:tc>
        <w:tc>
          <w:tcPr>
            <w:tcW w:w="483" w:type="pct"/>
            <w:tcBorders>
              <w:top w:val="nil"/>
              <w:left w:val="nil"/>
              <w:bottom w:val="single" w:color="auto" w:sz="4" w:space="0"/>
              <w:right w:val="single" w:color="auto" w:sz="4" w:space="0"/>
            </w:tcBorders>
            <w:shd w:val="clear" w:color="auto" w:fill="auto"/>
            <w:noWrap/>
          </w:tcPr>
          <w:p w14:paraId="147466B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3.16 </w:t>
            </w:r>
          </w:p>
        </w:tc>
      </w:tr>
      <w:tr w14:paraId="28D6BB1D">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71606ECE">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2.成本变动敏感性分析</w:t>
            </w:r>
          </w:p>
        </w:tc>
        <w:tc>
          <w:tcPr>
            <w:tcW w:w="483" w:type="pct"/>
            <w:tcBorders>
              <w:top w:val="nil"/>
              <w:left w:val="nil"/>
              <w:bottom w:val="single" w:color="auto" w:sz="4" w:space="0"/>
              <w:right w:val="single" w:color="auto" w:sz="4" w:space="0"/>
            </w:tcBorders>
            <w:shd w:val="clear" w:color="auto" w:fill="auto"/>
            <w:noWrap/>
          </w:tcPr>
          <w:p w14:paraId="07BDB87E">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0449C9D1">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F257A44">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6D983CC5">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0D41D28">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72893D2">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75981327">
            <w:pPr>
              <w:widowControl/>
              <w:jc w:val="center"/>
              <w:rPr>
                <w:rFonts w:ascii="宋体" w:hAnsi="宋体" w:cs="宋体"/>
                <w:color w:val="000000" w:themeColor="text1"/>
                <w:kern w:val="0"/>
                <w:sz w:val="18"/>
                <w:szCs w:val="18"/>
                <w14:textFill>
                  <w14:solidFill>
                    <w14:schemeClr w14:val="tx1"/>
                  </w14:solidFill>
                </w14:textFill>
              </w:rPr>
            </w:pPr>
          </w:p>
        </w:tc>
      </w:tr>
      <w:tr w14:paraId="2F323CD3">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4AF1229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偿债资金覆盖倍数变化</w:t>
            </w:r>
          </w:p>
        </w:tc>
        <w:tc>
          <w:tcPr>
            <w:tcW w:w="483" w:type="pct"/>
            <w:tcBorders>
              <w:top w:val="nil"/>
              <w:left w:val="nil"/>
              <w:bottom w:val="single" w:color="auto" w:sz="4" w:space="0"/>
              <w:right w:val="single" w:color="auto" w:sz="4" w:space="0"/>
            </w:tcBorders>
            <w:shd w:val="clear" w:color="auto" w:fill="auto"/>
            <w:noWrap/>
          </w:tcPr>
          <w:p w14:paraId="6E9D02DB">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7D57D9AE">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7E78316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4E8CDEB3">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6EA184E0">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251F5CA2">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74B0FA8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r>
      <w:tr w14:paraId="20D039CC">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2043390B">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3.利率变动敏感性分析</w:t>
            </w:r>
          </w:p>
        </w:tc>
        <w:tc>
          <w:tcPr>
            <w:tcW w:w="483" w:type="pct"/>
            <w:tcBorders>
              <w:top w:val="nil"/>
              <w:left w:val="nil"/>
              <w:bottom w:val="single" w:color="auto" w:sz="4" w:space="0"/>
              <w:right w:val="single" w:color="auto" w:sz="4" w:space="0"/>
            </w:tcBorders>
            <w:shd w:val="clear" w:color="auto" w:fill="auto"/>
            <w:noWrap/>
          </w:tcPr>
          <w:p w14:paraId="129E4BCA">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3873ED84">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586E355D">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684124D7">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269C7726">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0452EE40">
            <w:pPr>
              <w:widowControl/>
              <w:jc w:val="center"/>
              <w:rPr>
                <w:rFonts w:ascii="宋体" w:hAnsi="宋体" w:cs="宋体"/>
                <w:color w:val="000000" w:themeColor="text1"/>
                <w:kern w:val="0"/>
                <w:sz w:val="18"/>
                <w:szCs w:val="18"/>
                <w14:textFill>
                  <w14:solidFill>
                    <w14:schemeClr w14:val="tx1"/>
                  </w14:solidFill>
                </w14:textFill>
              </w:rPr>
            </w:pPr>
          </w:p>
        </w:tc>
        <w:tc>
          <w:tcPr>
            <w:tcW w:w="483" w:type="pct"/>
            <w:tcBorders>
              <w:top w:val="nil"/>
              <w:left w:val="nil"/>
              <w:bottom w:val="single" w:color="auto" w:sz="4" w:space="0"/>
              <w:right w:val="single" w:color="auto" w:sz="4" w:space="0"/>
            </w:tcBorders>
            <w:shd w:val="clear" w:color="auto" w:fill="auto"/>
            <w:noWrap/>
          </w:tcPr>
          <w:p w14:paraId="432710B3">
            <w:pPr>
              <w:widowControl/>
              <w:jc w:val="center"/>
              <w:rPr>
                <w:rFonts w:ascii="宋体" w:hAnsi="宋体" w:cs="宋体"/>
                <w:color w:val="000000" w:themeColor="text1"/>
                <w:kern w:val="0"/>
                <w:sz w:val="18"/>
                <w:szCs w:val="18"/>
                <w14:textFill>
                  <w14:solidFill>
                    <w14:schemeClr w14:val="tx1"/>
                  </w14:solidFill>
                </w14:textFill>
              </w:rPr>
            </w:pPr>
          </w:p>
        </w:tc>
      </w:tr>
      <w:tr w14:paraId="1AED7642">
        <w:trPr>
          <w:trHeight w:val="270" w:hRule="atLeast"/>
        </w:trPr>
        <w:tc>
          <w:tcPr>
            <w:tcW w:w="1619" w:type="pct"/>
            <w:tcBorders>
              <w:top w:val="nil"/>
              <w:left w:val="single" w:color="auto" w:sz="4" w:space="0"/>
              <w:bottom w:val="single" w:color="auto" w:sz="4" w:space="0"/>
              <w:right w:val="single" w:color="auto" w:sz="4" w:space="0"/>
            </w:tcBorders>
            <w:shd w:val="clear" w:color="auto" w:fill="auto"/>
            <w:noWrap/>
            <w:vAlign w:val="center"/>
          </w:tcPr>
          <w:p w14:paraId="5C81A6E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利率变动偿债资金本息覆盖率</w:t>
            </w:r>
          </w:p>
        </w:tc>
        <w:tc>
          <w:tcPr>
            <w:tcW w:w="483" w:type="pct"/>
            <w:tcBorders>
              <w:top w:val="nil"/>
              <w:left w:val="nil"/>
              <w:bottom w:val="single" w:color="auto" w:sz="4" w:space="0"/>
              <w:right w:val="single" w:color="auto" w:sz="4" w:space="0"/>
            </w:tcBorders>
            <w:shd w:val="clear" w:color="auto" w:fill="auto"/>
            <w:noWrap/>
          </w:tcPr>
          <w:p w14:paraId="05B57C5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2.93 </w:t>
            </w:r>
          </w:p>
        </w:tc>
        <w:tc>
          <w:tcPr>
            <w:tcW w:w="483" w:type="pct"/>
            <w:tcBorders>
              <w:top w:val="nil"/>
              <w:left w:val="nil"/>
              <w:bottom w:val="single" w:color="auto" w:sz="4" w:space="0"/>
              <w:right w:val="single" w:color="auto" w:sz="4" w:space="0"/>
            </w:tcBorders>
            <w:shd w:val="clear" w:color="auto" w:fill="auto"/>
            <w:noWrap/>
          </w:tcPr>
          <w:p w14:paraId="0DC5B314">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2.92 </w:t>
            </w:r>
          </w:p>
        </w:tc>
        <w:tc>
          <w:tcPr>
            <w:tcW w:w="483" w:type="pct"/>
            <w:tcBorders>
              <w:top w:val="nil"/>
              <w:left w:val="nil"/>
              <w:bottom w:val="single" w:color="auto" w:sz="4" w:space="0"/>
              <w:right w:val="single" w:color="auto" w:sz="4" w:space="0"/>
            </w:tcBorders>
            <w:shd w:val="clear" w:color="auto" w:fill="auto"/>
            <w:noWrap/>
          </w:tcPr>
          <w:p w14:paraId="703F0D41">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2.90 </w:t>
            </w:r>
          </w:p>
        </w:tc>
        <w:tc>
          <w:tcPr>
            <w:tcW w:w="483" w:type="pct"/>
            <w:tcBorders>
              <w:top w:val="nil"/>
              <w:left w:val="nil"/>
              <w:bottom w:val="single" w:color="auto" w:sz="4" w:space="0"/>
              <w:right w:val="single" w:color="auto" w:sz="4" w:space="0"/>
            </w:tcBorders>
            <w:shd w:val="clear" w:color="auto" w:fill="auto"/>
            <w:noWrap/>
          </w:tcPr>
          <w:p w14:paraId="7A49253C">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2.87 </w:t>
            </w:r>
          </w:p>
        </w:tc>
        <w:tc>
          <w:tcPr>
            <w:tcW w:w="483" w:type="pct"/>
            <w:tcBorders>
              <w:top w:val="nil"/>
              <w:left w:val="nil"/>
              <w:bottom w:val="single" w:color="auto" w:sz="4" w:space="0"/>
              <w:right w:val="single" w:color="auto" w:sz="4" w:space="0"/>
            </w:tcBorders>
            <w:shd w:val="clear" w:color="auto" w:fill="auto"/>
            <w:noWrap/>
          </w:tcPr>
          <w:p w14:paraId="1282AE25">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2.84 </w:t>
            </w:r>
          </w:p>
        </w:tc>
        <w:tc>
          <w:tcPr>
            <w:tcW w:w="483" w:type="pct"/>
            <w:tcBorders>
              <w:top w:val="nil"/>
              <w:left w:val="nil"/>
              <w:bottom w:val="single" w:color="auto" w:sz="4" w:space="0"/>
              <w:right w:val="single" w:color="auto" w:sz="4" w:space="0"/>
            </w:tcBorders>
            <w:shd w:val="clear" w:color="auto" w:fill="auto"/>
            <w:noWrap/>
          </w:tcPr>
          <w:p w14:paraId="1D532D26">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2.82 </w:t>
            </w:r>
          </w:p>
        </w:tc>
        <w:tc>
          <w:tcPr>
            <w:tcW w:w="483" w:type="pct"/>
            <w:tcBorders>
              <w:top w:val="nil"/>
              <w:left w:val="nil"/>
              <w:bottom w:val="single" w:color="auto" w:sz="4" w:space="0"/>
              <w:right w:val="single" w:color="auto" w:sz="4" w:space="0"/>
            </w:tcBorders>
            <w:shd w:val="clear" w:color="auto" w:fill="auto"/>
            <w:noWrap/>
          </w:tcPr>
          <w:p w14:paraId="5246DC57">
            <w:pPr>
              <w:widowControl/>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 xml:space="preserve"> 2.81 </w:t>
            </w:r>
          </w:p>
        </w:tc>
      </w:tr>
    </w:tbl>
    <w:p w14:paraId="78B73C46">
      <w:pPr>
        <w:pStyle w:val="20"/>
        <w:spacing w:before="0" w:beforeAutospacing="0" w:after="156" w:afterLines="50" w:afterAutospacing="0" w:line="360" w:lineRule="auto"/>
        <w:ind w:firstLine="480" w:firstLineChars="200"/>
        <w:rPr>
          <w:rFonts w:ascii="楷体" w:hAnsi="楷体" w:eastAsia="楷体" w:cs="楷体"/>
          <w:bCs/>
          <w:sz w:val="24"/>
          <w:szCs w:val="24"/>
        </w:rPr>
      </w:pPr>
      <w:r>
        <w:rPr>
          <w:rFonts w:hint="eastAsia"/>
          <w:sz w:val="24"/>
          <w:szCs w:val="24"/>
        </w:rPr>
        <w:t>通过资金平衡测算分析，债务本息资金覆盖倍数可达到2</w:t>
      </w:r>
      <w:r>
        <w:rPr>
          <w:sz w:val="24"/>
          <w:szCs w:val="24"/>
        </w:rPr>
        <w:t>.87</w:t>
      </w:r>
      <w:r>
        <w:rPr>
          <w:rFonts w:hint="eastAsia"/>
          <w:sz w:val="24"/>
          <w:szCs w:val="24"/>
        </w:rPr>
        <w:t>倍，基于上表压力测试，本项目分别在收入下降1</w:t>
      </w:r>
      <w:r>
        <w:rPr>
          <w:sz w:val="24"/>
          <w:szCs w:val="24"/>
        </w:rPr>
        <w:t>0</w:t>
      </w:r>
      <w:r>
        <w:rPr>
          <w:rFonts w:hint="eastAsia"/>
          <w:sz w:val="24"/>
          <w:szCs w:val="24"/>
        </w:rPr>
        <w:t>%、成本上浮</w:t>
      </w:r>
      <w:r>
        <w:rPr>
          <w:sz w:val="24"/>
          <w:szCs w:val="24"/>
        </w:rPr>
        <w:t>10</w:t>
      </w:r>
      <w:r>
        <w:rPr>
          <w:rFonts w:hint="eastAsia"/>
          <w:sz w:val="24"/>
          <w:szCs w:val="24"/>
        </w:rPr>
        <w:t>%、利率上浮</w:t>
      </w:r>
      <w:r>
        <w:rPr>
          <w:sz w:val="24"/>
          <w:szCs w:val="24"/>
        </w:rPr>
        <w:t>10</w:t>
      </w:r>
      <w:r>
        <w:rPr>
          <w:rFonts w:hint="eastAsia"/>
          <w:sz w:val="24"/>
          <w:szCs w:val="24"/>
        </w:rPr>
        <w:t>%的情况下的情况下，债券本息资金覆盖率仍大于1.</w:t>
      </w:r>
      <w:r>
        <w:rPr>
          <w:sz w:val="24"/>
          <w:szCs w:val="24"/>
        </w:rPr>
        <w:t>1</w:t>
      </w:r>
      <w:r>
        <w:rPr>
          <w:rFonts w:hint="eastAsia"/>
          <w:sz w:val="24"/>
          <w:szCs w:val="24"/>
        </w:rPr>
        <w:t>，能通过压力测试，项目收益仍然可以覆盖债券还本付息，因而项目具备一定的抗风险能力。</w:t>
      </w:r>
    </w:p>
    <w:p w14:paraId="5E0C911E">
      <w:pPr>
        <w:widowControl/>
        <w:spacing w:line="560" w:lineRule="exact"/>
        <w:ind w:firstLine="560" w:firstLineChars="200"/>
        <w:jc w:val="left"/>
        <w:outlineLvl w:val="0"/>
        <w:rPr>
          <w:rFonts w:ascii="黑体" w:hAnsi="黑体" w:eastAsia="黑体" w:cs="黑体"/>
          <w:sz w:val="28"/>
          <w:szCs w:val="28"/>
        </w:rPr>
      </w:pPr>
      <w:bookmarkStart w:id="165" w:name="_Toc13708"/>
      <w:r>
        <w:rPr>
          <w:rFonts w:hint="eastAsia" w:ascii="黑体" w:hAnsi="黑体" w:eastAsia="黑体" w:cs="黑体"/>
          <w:sz w:val="28"/>
          <w:szCs w:val="28"/>
        </w:rPr>
        <w:t>四、事前绩效评价</w:t>
      </w:r>
      <w:bookmarkEnd w:id="165"/>
    </w:p>
    <w:p w14:paraId="3782068F">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1、项目实施的必要性、公益性、收益性</w:t>
      </w:r>
    </w:p>
    <w:p w14:paraId="67BAC494">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（1）必要性</w:t>
      </w:r>
    </w:p>
    <w:p w14:paraId="1C92BB7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1）项目建设是大力提高人民群众的居住水平，是全面建设小康社会和实现现代化的重要方面与重要内容之一。</w:t>
      </w:r>
    </w:p>
    <w:p w14:paraId="437B4F7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低收入家庭、城镇生活困难家庭的住房问题是影响人民群众整体水平改善的主要制约隐身，也是制约全面建设小康社会和基本实现现代化的重要因素之一。党和政府十分重视底收入家庭和城镇生活困难的居住条件改善问题，提出解决困难住户的住房问题，提高其住房质量，美化其居住环境。</w:t>
      </w:r>
    </w:p>
    <w:p w14:paraId="2D0C3A4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根据部分区域土地利用粗放、土地资产流失、管理体制不顺、管理难度较大、人口构成多元，社会治安堪忧、公共设施缺乏、环境问题严重、村民素质较低、就业问题严峻等问题，《国务院关于加快棚户区改造工作的意见》提出“以邓小平理论、“三个代表”重要思想、科学发展观为指导，适应城镇化发展的需要，以改善群众住房条件作为出发点和落脚点，加快推进各类棚户区改造，重点推进资源枯竭型城市及独立工矿棚户区、三线企业集中地区的棚户区改造，稳步实施城中村改造。使居民住房条件明显改善，基础设施和公共服务设施建设水平不断提高”。</w:t>
      </w:r>
    </w:p>
    <w:p w14:paraId="708A72E6">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（2）公益性</w:t>
      </w:r>
    </w:p>
    <w:p w14:paraId="1FE2A9F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目前南昌县经济发展不断加快，城市化进程不断加速，城市范围在不断扩大，城市新区各项功能不断完善，东岳村位于城市发展区域，目前区域人口分散，生活环境较差，为加快城市建设，改善居民生活条件，安置被征地拆迁群众，南昌县人民政府经过深入调查研究后，规划在本项目地块建设安置性用房，也是改善城市环境，改善农村人口居住环境变分散居住为集中居住，满足安置人口安居乐业的需要。</w:t>
      </w:r>
    </w:p>
    <w:p w14:paraId="40200F9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（3）收益性</w:t>
      </w:r>
    </w:p>
    <w:p w14:paraId="054655CA">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本项目实施后，可产生运营收益，根据测算收入约为112,636.26万元，可用于偿债的项目收益为112,636.26万元，满足资金平衡需求。</w:t>
      </w:r>
    </w:p>
    <w:p w14:paraId="2E387E1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2、项目建设投资合规性与项目成熟度</w:t>
      </w:r>
    </w:p>
    <w:p w14:paraId="6D67361A">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项目于2022年9月2日已获得南昌县行政审批局《关于南昌县金湖管理处柏林村 (城市棚户区改造) 一期安置房项目可行性研究报告的批复》（南行发改投字【2022】15号）。</w:t>
      </w:r>
    </w:p>
    <w:p w14:paraId="56D810EC">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项目建设有期充分的必要性，前期手续完善，项目资金为部分项目单位自筹，部分申请政府专项债券资金。项目成熟度、可靠度较高。</w:t>
      </w:r>
    </w:p>
    <w:p w14:paraId="7496B66A">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项目资金来源和可到位性</w:t>
      </w:r>
    </w:p>
    <w:p w14:paraId="1B5E81E5">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自筹资金9,706.25万元，占总投资比例2</w:t>
      </w:r>
      <w:r>
        <w:rPr>
          <w:rFonts w:hint="eastAsia" w:ascii="宋体" w:hAnsi="宋体" w:eastAsia="宋体" w:cs="宋体"/>
          <w:bCs/>
          <w:sz w:val="24"/>
          <w:szCs w:val="24"/>
          <w:lang w:val="en-US" w:eastAsia="zh-CN"/>
        </w:rPr>
        <w:t>3.84</w:t>
      </w:r>
      <w:r>
        <w:rPr>
          <w:rFonts w:hint="eastAsia" w:ascii="宋体" w:hAnsi="宋体" w:eastAsia="宋体" w:cs="宋体"/>
          <w:bCs/>
          <w:sz w:val="24"/>
          <w:szCs w:val="24"/>
        </w:rPr>
        <w:t>%；发行专项债券31000.00万元，期限</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年，占总投资的7</w:t>
      </w:r>
      <w:r>
        <w:rPr>
          <w:rFonts w:hint="eastAsia" w:ascii="宋体" w:hAnsi="宋体" w:eastAsia="宋体" w:cs="宋体"/>
          <w:bCs/>
          <w:sz w:val="24"/>
          <w:szCs w:val="24"/>
          <w:lang w:val="en-US" w:eastAsia="zh-CN"/>
        </w:rPr>
        <w:t>6.16</w:t>
      </w:r>
      <w:r>
        <w:rPr>
          <w:rFonts w:hint="eastAsia" w:ascii="宋体" w:hAnsi="宋体" w:eastAsia="宋体" w:cs="宋体"/>
          <w:bCs/>
          <w:sz w:val="24"/>
          <w:szCs w:val="24"/>
        </w:rPr>
        <w:t>%。</w:t>
      </w:r>
    </w:p>
    <w:p w14:paraId="1371ADD8">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4、项目收入、成本、收益预测合理性</w:t>
      </w:r>
    </w:p>
    <w:p w14:paraId="4318E1E4">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根据项目可行性研究报告并结合实际情况进行测算，本项目债券存续期内收入包含土地出让收入万元。</w:t>
      </w:r>
    </w:p>
    <w:p w14:paraId="261FAFE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债券存续期收益已由业主单位盖章确认，预测合理性较高。</w:t>
      </w:r>
    </w:p>
    <w:p w14:paraId="21B10256">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5、债券资金需求合理性</w:t>
      </w:r>
    </w:p>
    <w:p w14:paraId="27FBD53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本项目资本金比例2</w:t>
      </w:r>
      <w:r>
        <w:rPr>
          <w:rFonts w:hint="eastAsia" w:ascii="宋体" w:hAnsi="宋体" w:eastAsia="宋体" w:cs="宋体"/>
          <w:bCs/>
          <w:sz w:val="24"/>
          <w:szCs w:val="24"/>
          <w:lang w:val="en-US" w:eastAsia="zh-CN"/>
        </w:rPr>
        <w:t>3.84%</w:t>
      </w:r>
      <w:r>
        <w:rPr>
          <w:rFonts w:hint="eastAsia" w:ascii="宋体" w:hAnsi="宋体" w:eastAsia="宋体" w:cs="宋体"/>
          <w:bCs/>
          <w:sz w:val="24"/>
          <w:szCs w:val="24"/>
        </w:rPr>
        <w:t>，满足国家发改委对固定资产投资项目资本金比例的要求。项目拟申请债券资金本息额共计39,268.75万元，项目收益预计为112,636.26万元，项目收益对债券本息的覆盖倍数计算为</w:t>
      </w:r>
      <w:r>
        <w:rPr>
          <w:rFonts w:hint="eastAsia" w:ascii="宋体" w:hAnsi="宋体" w:eastAsia="宋体" w:cs="宋体"/>
          <w:bCs/>
          <w:sz w:val="24"/>
          <w:szCs w:val="24"/>
          <w:lang w:val="en-US" w:eastAsia="zh-CN"/>
        </w:rPr>
        <w:t>2.87</w:t>
      </w:r>
      <w:r>
        <w:rPr>
          <w:rFonts w:hint="eastAsia" w:ascii="宋体" w:hAnsi="宋体" w:eastAsia="宋体" w:cs="宋体"/>
          <w:bCs/>
          <w:sz w:val="24"/>
          <w:szCs w:val="24"/>
        </w:rPr>
        <w:t>，偿债保障性较高，债券需求额度合理。</w:t>
      </w:r>
    </w:p>
    <w:p w14:paraId="49468BFB">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6、项目偿债计划可行性和偿债风险</w:t>
      </w:r>
    </w:p>
    <w:p w14:paraId="151F1FA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本项目202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年本期拟申请发行</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年期专项债券</w:t>
      </w:r>
      <w:r>
        <w:rPr>
          <w:rFonts w:hint="eastAsia" w:ascii="宋体" w:hAnsi="宋体" w:eastAsia="宋体" w:cs="宋体"/>
          <w:bCs/>
          <w:sz w:val="24"/>
          <w:szCs w:val="24"/>
          <w:lang w:val="en-US" w:eastAsia="zh-CN"/>
        </w:rPr>
        <w:t>4</w:t>
      </w:r>
      <w:r>
        <w:rPr>
          <w:rFonts w:hint="eastAsia" w:ascii="宋体" w:hAnsi="宋体" w:eastAsia="宋体" w:cs="宋体"/>
          <w:bCs/>
          <w:sz w:val="24"/>
          <w:szCs w:val="24"/>
        </w:rPr>
        <w:t>000.00万元；每年付息一次，到期一次偿还本金。其均以资本金偿还，可保障建设期利息可靠偿还。</w:t>
      </w:r>
    </w:p>
    <w:p w14:paraId="572E73B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项目自2027年可实现收益，可满足后续债券各年利息偿还，结余资金转账管理，用于到期一次还本，偿债计划可行。</w:t>
      </w:r>
    </w:p>
    <w:p w14:paraId="54582770">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7、绩效目标合理性</w:t>
      </w:r>
    </w:p>
    <w:p w14:paraId="5CD2161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6FCB55CA">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其他需要纳入其他绩效评估的事项</w:t>
      </w:r>
    </w:p>
    <w:p w14:paraId="5F43C324">
      <w:pPr>
        <w:widowControl/>
        <w:spacing w:line="560" w:lineRule="exact"/>
        <w:ind w:firstLine="560" w:firstLineChars="200"/>
        <w:jc w:val="left"/>
        <w:outlineLvl w:val="0"/>
        <w:rPr>
          <w:rFonts w:ascii="黑体" w:hAnsi="黑体" w:eastAsia="黑体" w:cs="黑体"/>
          <w:sz w:val="28"/>
          <w:szCs w:val="28"/>
        </w:rPr>
      </w:pPr>
      <w:bookmarkStart w:id="166" w:name="_Toc4125"/>
      <w:r>
        <w:rPr>
          <w:rFonts w:hint="eastAsia" w:ascii="黑体" w:hAnsi="黑体" w:eastAsia="黑体" w:cs="黑体"/>
          <w:sz w:val="28"/>
          <w:szCs w:val="28"/>
        </w:rPr>
        <w:t>五、项目风险分析</w:t>
      </w:r>
      <w:bookmarkEnd w:id="166"/>
    </w:p>
    <w:p w14:paraId="44AC69BA">
      <w:pPr>
        <w:ind w:left="-141" w:leftChars="-67" w:right="-99" w:rightChars="-47" w:firstLine="439" w:firstLineChars="157"/>
        <w:rPr>
          <w:rFonts w:ascii="楷体" w:hAnsi="楷体" w:eastAsia="楷体" w:cs="楷体"/>
          <w:bCs/>
          <w:sz w:val="28"/>
          <w:szCs w:val="28"/>
        </w:rPr>
      </w:pPr>
      <w:r>
        <w:rPr>
          <w:rFonts w:hint="eastAsia" w:ascii="楷体" w:hAnsi="楷体" w:eastAsia="楷体" w:cs="楷体"/>
          <w:bCs/>
          <w:sz w:val="28"/>
          <w:szCs w:val="28"/>
        </w:rPr>
        <w:t>1、投资估算风险</w:t>
      </w:r>
    </w:p>
    <w:p w14:paraId="04E0552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78DDA3B4">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2、工程风险</w:t>
      </w:r>
    </w:p>
    <w:p w14:paraId="457BC5E7">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641891A1">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4、融资风险</w:t>
      </w:r>
    </w:p>
    <w:p w14:paraId="7D0BD17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6E667AB4">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5、财务风险</w:t>
      </w:r>
    </w:p>
    <w:p w14:paraId="567D743D">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4E13F55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7、自然风险</w:t>
      </w:r>
    </w:p>
    <w:p w14:paraId="3ECCB411">
      <w:pPr>
        <w:spacing w:line="360" w:lineRule="auto"/>
        <w:ind w:left="-141" w:leftChars="-67" w:right="-99" w:rightChars="-47" w:firstLine="376" w:firstLineChars="157"/>
        <w:rPr>
          <w:rFonts w:ascii="楷体" w:hAnsi="楷体" w:eastAsia="楷体" w:cs="楷体"/>
          <w:bCs/>
          <w:sz w:val="28"/>
          <w:szCs w:val="28"/>
        </w:rPr>
      </w:pPr>
      <w:r>
        <w:rPr>
          <w:rFonts w:hint="eastAsia" w:ascii="宋体" w:hAnsi="宋体" w:eastAsia="宋体" w:cs="宋体"/>
          <w:bCs/>
          <w:sz w:val="24"/>
          <w:szCs w:val="24"/>
        </w:rPr>
        <w:t>本项目在经营期间遇到人力不可抗拒的自然灾害是完全可能的，为了降低此间风险，要根据项目的特点制定的相应的措施，以便使不可抗拒自然灾害的风险降到最低。</w:t>
      </w:r>
    </w:p>
    <w:p w14:paraId="131F53F8">
      <w:pPr>
        <w:widowControl/>
        <w:spacing w:line="560" w:lineRule="exact"/>
        <w:ind w:firstLine="560" w:firstLineChars="200"/>
        <w:jc w:val="left"/>
        <w:outlineLvl w:val="0"/>
        <w:rPr>
          <w:rFonts w:ascii="黑体" w:hAnsi="黑体" w:eastAsia="黑体" w:cs="黑体"/>
          <w:sz w:val="28"/>
          <w:szCs w:val="28"/>
        </w:rPr>
      </w:pPr>
      <w:bookmarkStart w:id="167" w:name="_Toc1530"/>
      <w:r>
        <w:rPr>
          <w:rFonts w:hint="eastAsia" w:ascii="黑体" w:hAnsi="黑体" w:eastAsia="黑体" w:cs="黑体"/>
          <w:sz w:val="28"/>
          <w:szCs w:val="28"/>
        </w:rPr>
        <w:t>六、专项债发行方案</w:t>
      </w:r>
      <w:bookmarkEnd w:id="167"/>
    </w:p>
    <w:p w14:paraId="637B419F">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1、发行主体资格:根据《关于试点发展项目收益与融资自求平衡的地方政府专项债券品种的通知》（财预[2017]89号）之规定，地方政府专项债券需由江西省人民政府作为发行主体。本项目的实施机构为南昌县住</w:t>
      </w:r>
      <w:r>
        <w:rPr>
          <w:rFonts w:hint="eastAsia" w:ascii="宋体" w:hAnsi="宋体" w:eastAsia="宋体" w:cs="宋体"/>
          <w:bCs/>
          <w:sz w:val="24"/>
          <w:szCs w:val="24"/>
          <w:lang w:val="en-US" w:eastAsia="zh-CN"/>
        </w:rPr>
        <w:t>房</w:t>
      </w:r>
      <w:r>
        <w:rPr>
          <w:rFonts w:hint="eastAsia" w:ascii="宋体" w:hAnsi="宋体" w:eastAsia="宋体" w:cs="宋体"/>
          <w:bCs/>
          <w:sz w:val="24"/>
          <w:szCs w:val="24"/>
        </w:rPr>
        <w:t>和城乡建设局，是依法批准设立的机关单位，具备机关单位法人资格，具有相应的民事权利能力和民事行为能力；项目业主为南昌县城市建设投资发展有限公司,是依法批准设立的企业法人，具备作为项目业主的资格。</w:t>
      </w:r>
    </w:p>
    <w:p w14:paraId="4DA6B5B3">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2、发行计划:南昌县金湖管理处柏林村 (城市棚户区改造) 一期安置房项目申请发行地方政府专项债券31000.00万元，202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年发行</w:t>
      </w:r>
      <w:r>
        <w:rPr>
          <w:rFonts w:hint="eastAsia" w:ascii="宋体" w:hAnsi="宋体" w:eastAsia="宋体" w:cs="宋体"/>
          <w:bCs/>
          <w:sz w:val="24"/>
          <w:szCs w:val="24"/>
          <w:lang w:val="en-US" w:eastAsia="zh-CN"/>
        </w:rPr>
        <w:t>40</w:t>
      </w:r>
      <w:r>
        <w:rPr>
          <w:rFonts w:hint="eastAsia" w:ascii="宋体" w:hAnsi="宋体" w:eastAsia="宋体" w:cs="宋体"/>
          <w:bCs/>
          <w:sz w:val="24"/>
          <w:szCs w:val="24"/>
        </w:rPr>
        <w:t>00万元，期限</w:t>
      </w:r>
      <w:r>
        <w:rPr>
          <w:rFonts w:hint="eastAsia" w:ascii="宋体" w:hAnsi="宋体" w:eastAsia="宋体" w:cs="宋体"/>
          <w:bCs/>
          <w:sz w:val="24"/>
          <w:szCs w:val="24"/>
          <w:lang w:val="en-US" w:eastAsia="zh-CN"/>
        </w:rPr>
        <w:t>7</w:t>
      </w:r>
      <w:r>
        <w:rPr>
          <w:rFonts w:hint="eastAsia" w:ascii="宋体" w:hAnsi="宋体" w:eastAsia="宋体" w:cs="宋体"/>
          <w:bCs/>
          <w:sz w:val="24"/>
          <w:szCs w:val="24"/>
        </w:rPr>
        <w:t>年，专项债券融资成本按3.</w:t>
      </w:r>
      <w:r>
        <w:rPr>
          <w:rFonts w:hint="eastAsia" w:ascii="宋体" w:hAnsi="宋体" w:eastAsia="宋体" w:cs="宋体"/>
          <w:bCs/>
          <w:sz w:val="24"/>
          <w:szCs w:val="24"/>
          <w:lang w:val="en-US" w:eastAsia="zh-CN"/>
        </w:rPr>
        <w:t>9</w:t>
      </w:r>
      <w:r>
        <w:rPr>
          <w:rFonts w:hint="eastAsia" w:ascii="宋体" w:hAnsi="宋体" w:eastAsia="宋体" w:cs="宋体"/>
          <w:bCs/>
          <w:sz w:val="24"/>
          <w:szCs w:val="24"/>
        </w:rPr>
        <w:t>%估算。</w:t>
      </w:r>
    </w:p>
    <w:p w14:paraId="0C5DC0ED">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3、发行场所:通过全国银行间债券市场、证券交易所债券市场发行。将来条件具备时也可在银行柜台债券市场发行。</w:t>
      </w:r>
    </w:p>
    <w:p w14:paraId="3D01FF31">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4、时间安排:计划发行时间为202</w:t>
      </w:r>
      <w:r>
        <w:rPr>
          <w:rFonts w:hint="eastAsia" w:ascii="宋体" w:hAnsi="宋体" w:eastAsia="宋体" w:cs="宋体"/>
          <w:bCs/>
          <w:sz w:val="24"/>
          <w:szCs w:val="24"/>
          <w:lang w:val="en-US" w:eastAsia="zh-CN"/>
        </w:rPr>
        <w:t>4</w:t>
      </w:r>
      <w:r>
        <w:rPr>
          <w:rFonts w:hint="eastAsia" w:ascii="宋体" w:hAnsi="宋体" w:eastAsia="宋体" w:cs="宋体"/>
          <w:bCs/>
          <w:sz w:val="24"/>
          <w:szCs w:val="24"/>
        </w:rPr>
        <w:t>年0</w:t>
      </w:r>
      <w:r>
        <w:rPr>
          <w:rFonts w:hint="eastAsia" w:ascii="宋体" w:hAnsi="宋体" w:eastAsia="宋体" w:cs="宋体"/>
          <w:bCs/>
          <w:sz w:val="24"/>
          <w:szCs w:val="24"/>
          <w:lang w:val="en-US" w:eastAsia="zh-CN"/>
        </w:rPr>
        <w:t>9</w:t>
      </w:r>
      <w:r>
        <w:rPr>
          <w:rFonts w:hint="eastAsia" w:ascii="宋体" w:hAnsi="宋体" w:eastAsia="宋体" w:cs="宋体"/>
          <w:bCs/>
          <w:sz w:val="24"/>
          <w:szCs w:val="24"/>
        </w:rPr>
        <w:t>月，以后年度结合当年发债计划安排。</w:t>
      </w:r>
    </w:p>
    <w:p w14:paraId="098DEAAE">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5、信息披露：在专项债发行日前5个工作日通过</w:t>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"https://www.sogou.com/link?url=DSOYnZeCC_pzE53eXNhcqFoov_MuMQYQreaVHN88tHY." \t "https://www.sogou.com/_blank" </w:instrText>
      </w:r>
      <w:r>
        <w:rPr>
          <w:rFonts w:hint="eastAsia" w:ascii="宋体" w:hAnsi="宋体" w:eastAsia="宋体" w:cs="宋体"/>
          <w:bCs/>
          <w:sz w:val="24"/>
          <w:szCs w:val="24"/>
        </w:rPr>
        <w:fldChar w:fldCharType="separate"/>
      </w:r>
      <w:r>
        <w:rPr>
          <w:rFonts w:hint="eastAsia" w:ascii="宋体" w:hAnsi="宋体" w:eastAsia="宋体" w:cs="宋体"/>
          <w:bCs/>
          <w:sz w:val="24"/>
          <w:szCs w:val="24"/>
        </w:rPr>
        <w:t>中国地方政府债券信息公开平台</w:t>
      </w:r>
      <w:r>
        <w:rPr>
          <w:rFonts w:hint="eastAsia" w:ascii="宋体" w:hAnsi="宋体" w:eastAsia="宋体" w:cs="宋体"/>
          <w:bCs/>
          <w:sz w:val="24"/>
          <w:szCs w:val="24"/>
        </w:rPr>
        <w:fldChar w:fldCharType="end"/>
      </w:r>
      <w:r>
        <w:rPr>
          <w:rFonts w:hint="eastAsia" w:ascii="宋体" w:hAnsi="宋体" w:eastAsia="宋体" w:cs="宋体"/>
          <w:bCs/>
          <w:sz w:val="24"/>
          <w:szCs w:val="24"/>
        </w:rPr>
        <w:t>、江西省财政厅官方网站和中国债券信息网-中央结算公司官方网站披露（http：//www.chinabond.com.cn/）详细披露债券发行全套信息披露文件。</w:t>
      </w:r>
    </w:p>
    <w:p w14:paraId="1399C789">
      <w:pPr>
        <w:spacing w:line="360" w:lineRule="auto"/>
        <w:ind w:left="-141" w:leftChars="-67" w:right="-99" w:rightChars="-47" w:firstLine="376" w:firstLineChars="157"/>
        <w:rPr>
          <w:rFonts w:hint="eastAsia" w:ascii="宋体" w:hAnsi="宋体" w:eastAsia="宋体" w:cs="宋体"/>
          <w:bCs/>
          <w:sz w:val="24"/>
          <w:szCs w:val="24"/>
        </w:rPr>
      </w:pPr>
      <w:r>
        <w:rPr>
          <w:rFonts w:hint="eastAsia" w:ascii="宋体" w:hAnsi="宋体" w:eastAsia="宋体" w:cs="宋体"/>
          <w:bCs/>
          <w:sz w:val="24"/>
          <w:szCs w:val="24"/>
        </w:rPr>
        <w:t>总体而言，南昌县金湖管理处柏林村 (城市棚户区改造) 一期安置房项目通过发行专项债可以降低项目融资成本，是现阶段解决建设资金问题的推荐方案。且基于财政部对地方政府发行项目收益与融资自求平衡专项债券的要求，并根据项目重大建设意义，南昌县金湖管理处柏林村 (城市棚户区改造) 一期安置房项目可以通过申请专项债券的方式进行融资以完成资金筹措。</w:t>
      </w:r>
    </w:p>
    <w:p w14:paraId="209FA6BD">
      <w:pPr>
        <w:rPr>
          <w:rFonts w:ascii="楷体" w:hAnsi="楷体" w:eastAsia="楷体"/>
          <w:b/>
          <w:sz w:val="44"/>
          <w:szCs w:val="44"/>
        </w:rPr>
      </w:pPr>
      <w:r>
        <w:rPr>
          <w:rFonts w:ascii="楷体" w:hAnsi="楷体" w:eastAsia="楷体"/>
          <w:b/>
          <w:sz w:val="44"/>
          <w:szCs w:val="44"/>
        </w:rPr>
        <w:br w:type="page"/>
      </w:r>
    </w:p>
    <w:p w14:paraId="56EE892A">
      <w:pPr>
        <w:jc w:val="center"/>
        <w:rPr>
          <w:rFonts w:ascii="楷体" w:hAnsi="楷体" w:eastAsia="楷体"/>
          <w:b/>
          <w:sz w:val="44"/>
          <w:szCs w:val="44"/>
        </w:rPr>
      </w:pPr>
    </w:p>
    <w:p w14:paraId="4CD8FD54">
      <w:pPr>
        <w:jc w:val="center"/>
        <w:rPr>
          <w:rFonts w:ascii="楷体" w:hAnsi="楷体" w:eastAsia="楷体"/>
          <w:b/>
          <w:sz w:val="44"/>
          <w:szCs w:val="44"/>
        </w:rPr>
      </w:pPr>
    </w:p>
    <w:p w14:paraId="5C0871C7">
      <w:pPr>
        <w:ind w:left="-141" w:leftChars="-67" w:right="-99" w:rightChars="-47" w:firstLine="439" w:firstLineChars="157"/>
        <w:rPr>
          <w:rFonts w:ascii="宋体" w:hAnsi="宋体" w:eastAsia="宋体"/>
          <w:sz w:val="28"/>
          <w:szCs w:val="28"/>
        </w:rPr>
      </w:pPr>
    </w:p>
    <w:p w14:paraId="448F524B">
      <w:pPr>
        <w:pStyle w:val="10"/>
        <w:spacing w:line="403" w:lineRule="auto"/>
        <w:ind w:left="420" w:right="226"/>
        <w:jc w:val="center"/>
        <w:rPr>
          <w:rFonts w:ascii="仿宋" w:hAnsi="仿宋" w:eastAsia="楷体"/>
          <w:b/>
          <w:sz w:val="44"/>
          <w:szCs w:val="44"/>
        </w:rPr>
      </w:pPr>
    </w:p>
    <w:p w14:paraId="7C15D089">
      <w:pPr>
        <w:pStyle w:val="10"/>
        <w:spacing w:line="403" w:lineRule="auto"/>
        <w:ind w:left="420" w:right="226"/>
        <w:jc w:val="center"/>
        <w:rPr>
          <w:rFonts w:ascii="仿宋" w:hAnsi="仿宋" w:eastAsia="楷体"/>
          <w:b/>
          <w:sz w:val="44"/>
          <w:szCs w:val="44"/>
        </w:rPr>
      </w:pPr>
      <w:r>
        <w:rPr>
          <w:rFonts w:hint="eastAsia" w:ascii="仿宋" w:hAnsi="仿宋" w:eastAsia="楷体"/>
          <w:b/>
          <w:sz w:val="44"/>
          <w:szCs w:val="44"/>
        </w:rPr>
        <w:t>汽车零部件产业园（二期）及配套设施项目专项债券实施方案</w:t>
      </w:r>
    </w:p>
    <w:p w14:paraId="42AF5590">
      <w:pPr>
        <w:ind w:left="-141" w:leftChars="-67" w:right="-99" w:rightChars="-47" w:firstLine="439" w:firstLineChars="157"/>
        <w:rPr>
          <w:rFonts w:ascii="宋体" w:hAnsi="宋体" w:eastAsia="宋体"/>
          <w:sz w:val="28"/>
          <w:szCs w:val="28"/>
        </w:rPr>
      </w:pPr>
    </w:p>
    <w:p w14:paraId="227662BE">
      <w:pPr>
        <w:ind w:left="-141" w:leftChars="-67" w:right="-99" w:rightChars="-47" w:firstLine="439" w:firstLineChars="157"/>
        <w:rPr>
          <w:rFonts w:ascii="宋体" w:hAnsi="宋体" w:eastAsia="宋体"/>
          <w:sz w:val="28"/>
          <w:szCs w:val="28"/>
        </w:rPr>
      </w:pPr>
    </w:p>
    <w:p w14:paraId="57ECDC63">
      <w:pPr>
        <w:ind w:left="-141" w:leftChars="-67" w:right="-99" w:rightChars="-47" w:firstLine="439" w:firstLineChars="157"/>
        <w:rPr>
          <w:rFonts w:ascii="宋体" w:hAnsi="宋体" w:eastAsia="宋体"/>
          <w:sz w:val="28"/>
          <w:szCs w:val="28"/>
        </w:rPr>
      </w:pPr>
    </w:p>
    <w:p w14:paraId="49F716C3">
      <w:pPr>
        <w:ind w:left="-141" w:leftChars="-67" w:right="-99" w:rightChars="-47" w:firstLine="439" w:firstLineChars="157"/>
        <w:rPr>
          <w:rFonts w:ascii="宋体" w:hAnsi="宋体" w:eastAsia="宋体"/>
          <w:sz w:val="28"/>
          <w:szCs w:val="28"/>
          <w:u w:val="single"/>
        </w:rPr>
      </w:pPr>
    </w:p>
    <w:p w14:paraId="42F0E845">
      <w:pPr>
        <w:ind w:left="-141" w:leftChars="-67" w:right="-99" w:rightChars="-47" w:firstLine="439" w:firstLineChars="157"/>
        <w:rPr>
          <w:rFonts w:ascii="宋体" w:hAnsi="宋体" w:eastAsia="宋体"/>
          <w:sz w:val="28"/>
          <w:szCs w:val="28"/>
          <w:u w:val="single"/>
        </w:rPr>
      </w:pPr>
    </w:p>
    <w:p w14:paraId="03A219D4">
      <w:pPr>
        <w:ind w:left="-141" w:leftChars="-67" w:right="-99" w:rightChars="-47" w:firstLine="502" w:firstLineChars="157"/>
        <w:rPr>
          <w:sz w:val="32"/>
          <w:szCs w:val="32"/>
          <w:u w:val="single"/>
        </w:rPr>
      </w:pPr>
    </w:p>
    <w:p w14:paraId="1EA76B36">
      <w:pPr>
        <w:ind w:left="-141" w:leftChars="-67" w:right="-99" w:rightChars="-47" w:firstLine="502" w:firstLineChars="157"/>
        <w:rPr>
          <w:sz w:val="32"/>
          <w:szCs w:val="32"/>
          <w:u w:val="single"/>
        </w:rPr>
      </w:pPr>
    </w:p>
    <w:p w14:paraId="42723201">
      <w:pPr>
        <w:spacing w:line="360" w:lineRule="auto"/>
        <w:rPr>
          <w:rFonts w:ascii="仿宋" w:hAnsi="仿宋" w:eastAsia="楷体"/>
          <w:b/>
          <w:sz w:val="44"/>
          <w:szCs w:val="44"/>
        </w:rPr>
      </w:pPr>
    </w:p>
    <w:p w14:paraId="55C2BCA3">
      <w:pPr>
        <w:spacing w:line="360" w:lineRule="auto"/>
        <w:jc w:val="center"/>
        <w:rPr>
          <w:rFonts w:ascii="仿宋" w:hAnsi="仿宋" w:eastAsia="楷体"/>
          <w:b/>
          <w:sz w:val="44"/>
          <w:szCs w:val="44"/>
        </w:rPr>
      </w:pPr>
      <w:r>
        <w:rPr>
          <w:rFonts w:hint="eastAsia" w:ascii="仿宋" w:hAnsi="仿宋" w:eastAsia="楷体"/>
          <w:b/>
          <w:sz w:val="44"/>
          <w:szCs w:val="44"/>
        </w:rPr>
        <w:t>南昌</w:t>
      </w:r>
      <w:r>
        <w:rPr>
          <w:rFonts w:hint="eastAsia" w:ascii="仿宋" w:hAnsi="仿宋" w:eastAsia="楷体"/>
          <w:b/>
          <w:sz w:val="44"/>
          <w:szCs w:val="44"/>
          <w:lang w:val="en-US" w:eastAsia="zh-CN"/>
        </w:rPr>
        <w:t>市</w:t>
      </w:r>
      <w:r>
        <w:rPr>
          <w:rFonts w:hint="eastAsia" w:ascii="仿宋" w:hAnsi="仿宋" w:eastAsia="楷体"/>
          <w:b/>
          <w:sz w:val="44"/>
          <w:szCs w:val="44"/>
        </w:rPr>
        <w:t>财政局</w:t>
      </w:r>
    </w:p>
    <w:p w14:paraId="6A45FC64">
      <w:pPr>
        <w:spacing w:line="360" w:lineRule="auto"/>
        <w:jc w:val="center"/>
        <w:rPr>
          <w:rFonts w:ascii="仿宋" w:hAnsi="仿宋" w:eastAsia="楷体"/>
          <w:b/>
          <w:sz w:val="44"/>
          <w:szCs w:val="44"/>
        </w:rPr>
      </w:pPr>
      <w:r>
        <w:rPr>
          <w:rFonts w:hint="eastAsia" w:ascii="仿宋" w:hAnsi="仿宋" w:eastAsia="楷体"/>
          <w:b/>
          <w:sz w:val="44"/>
          <w:szCs w:val="44"/>
        </w:rPr>
        <w:t>二〇二四年九月</w:t>
      </w:r>
    </w:p>
    <w:p w14:paraId="01E9BC81">
      <w:pPr>
        <w:spacing w:line="360" w:lineRule="auto"/>
        <w:jc w:val="center"/>
        <w:rPr>
          <w:rFonts w:ascii="仿宋" w:hAnsi="仿宋" w:eastAsia="楷体"/>
          <w:b/>
          <w:sz w:val="44"/>
          <w:szCs w:val="44"/>
        </w:rPr>
      </w:pPr>
    </w:p>
    <w:p w14:paraId="0667886D">
      <w:pPr>
        <w:rPr>
          <w:rFonts w:ascii="仿宋" w:hAnsi="仿宋" w:eastAsia="楷体"/>
          <w:b/>
          <w:sz w:val="44"/>
          <w:szCs w:val="44"/>
        </w:rPr>
      </w:pPr>
      <w:r>
        <w:rPr>
          <w:rFonts w:ascii="仿宋" w:hAnsi="仿宋" w:eastAsia="楷体"/>
          <w:b/>
          <w:sz w:val="44"/>
          <w:szCs w:val="44"/>
        </w:rPr>
        <w:br w:type="page"/>
      </w:r>
    </w:p>
    <w:p w14:paraId="67712E69">
      <w:pPr>
        <w:spacing w:line="360" w:lineRule="auto"/>
        <w:jc w:val="center"/>
        <w:rPr>
          <w:rFonts w:ascii="仿宋" w:hAnsi="仿宋" w:eastAsia="楷体"/>
          <w:b/>
          <w:sz w:val="44"/>
          <w:szCs w:val="44"/>
        </w:rPr>
      </w:pPr>
    </w:p>
    <w:p w14:paraId="5835D55A">
      <w:pPr>
        <w:ind w:right="-99" w:rightChars="-47"/>
        <w:rPr>
          <w:rFonts w:ascii="楷体" w:hAnsi="楷体" w:eastAsia="楷体"/>
          <w:b/>
          <w:sz w:val="44"/>
          <w:szCs w:val="44"/>
        </w:rPr>
      </w:pPr>
    </w:p>
    <w:p w14:paraId="204E4424">
      <w:pPr>
        <w:ind w:right="-99" w:rightChars="-47"/>
        <w:jc w:val="center"/>
        <w:rPr>
          <w:rFonts w:ascii="楷体" w:hAnsi="楷体" w:eastAsia="楷体"/>
          <w:b/>
          <w:sz w:val="44"/>
          <w:szCs w:val="44"/>
        </w:rPr>
      </w:pPr>
      <w:r>
        <w:rPr>
          <w:rFonts w:hint="eastAsia" w:ascii="楷体" w:hAnsi="楷体" w:eastAsia="楷体"/>
          <w:b/>
          <w:sz w:val="44"/>
          <w:szCs w:val="44"/>
        </w:rPr>
        <w:t>前言</w:t>
      </w:r>
    </w:p>
    <w:p w14:paraId="5B2A4639">
      <w:pPr>
        <w:pStyle w:val="20"/>
        <w:spacing w:before="0" w:beforeAutospacing="0" w:after="300" w:afterAutospacing="0" w:line="240" w:lineRule="auto"/>
        <w:ind w:firstLine="560" w:firstLineChars="200"/>
        <w:rPr>
          <w:rFonts w:ascii="楷体" w:hAnsi="楷体" w:eastAsia="楷体" w:cs="楷体"/>
          <w:bCs/>
          <w:sz w:val="28"/>
          <w:szCs w:val="28"/>
        </w:rPr>
      </w:pPr>
      <w:r>
        <w:rPr>
          <w:rFonts w:hint="eastAsia" w:ascii="楷体" w:hAnsi="楷体" w:eastAsia="楷体" w:cs="楷体"/>
          <w:bCs/>
          <w:kern w:val="2"/>
          <w:sz w:val="28"/>
          <w:szCs w:val="28"/>
        </w:rPr>
        <w:t>2024年是全面贯彻落实党的二十大精神的第二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01D20733">
      <w:pPr>
        <w:ind w:left="-141" w:leftChars="-67" w:right="-99" w:rightChars="-47" w:firstLine="439" w:firstLineChars="157"/>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。汽车零部件产业园（二期）及配套设施项目拟于本期发行地方政府专项债</w:t>
      </w:r>
      <w:r>
        <w:rPr>
          <w:rFonts w:ascii="楷体" w:hAnsi="楷体" w:eastAsia="楷体" w:cs="楷体"/>
          <w:bCs/>
          <w:sz w:val="28"/>
          <w:szCs w:val="28"/>
        </w:rPr>
        <w:t>融资</w:t>
      </w:r>
      <w:r>
        <w:rPr>
          <w:rFonts w:hint="eastAsia" w:ascii="楷体" w:hAnsi="楷体" w:eastAsia="楷体" w:cs="楷体"/>
          <w:bCs/>
          <w:sz w:val="28"/>
          <w:szCs w:val="28"/>
        </w:rPr>
        <w:t>0.485</w:t>
      </w:r>
      <w:r>
        <w:rPr>
          <w:rFonts w:ascii="楷体" w:hAnsi="楷体" w:eastAsia="楷体" w:cs="楷体"/>
          <w:bCs/>
          <w:sz w:val="28"/>
          <w:szCs w:val="28"/>
        </w:rPr>
        <w:t>亿元</w:t>
      </w:r>
      <w:r>
        <w:rPr>
          <w:rFonts w:hint="eastAsia" w:ascii="楷体" w:hAnsi="楷体" w:eastAsia="楷体" w:cs="楷体"/>
          <w:bCs/>
          <w:sz w:val="28"/>
          <w:szCs w:val="28"/>
        </w:rPr>
        <w:t>。</w:t>
      </w:r>
    </w:p>
    <w:p w14:paraId="0DEEEEDE">
      <w:pPr>
        <w:widowControl/>
        <w:autoSpaceDE w:val="0"/>
        <w:autoSpaceDN w:val="0"/>
        <w:spacing w:after="240" w:line="360" w:lineRule="auto"/>
        <w:ind w:left="-141" w:leftChars="-67" w:right="-99" w:rightChars="-47" w:firstLine="439" w:firstLineChars="157"/>
        <w:jc w:val="left"/>
        <w:rPr>
          <w:rFonts w:ascii="宋体" w:hAnsi="宋体" w:eastAsia="宋体"/>
          <w:sz w:val="28"/>
          <w:szCs w:val="28"/>
        </w:rPr>
        <w:sectPr>
          <w:footerReference r:id="rId25" w:type="default"/>
          <w:pgSz w:w="11906" w:h="16838"/>
          <w:pgMar w:top="1440" w:right="1133" w:bottom="1440" w:left="1800" w:header="851" w:footer="992" w:gutter="0"/>
          <w:cols w:space="425" w:num="1"/>
          <w:docGrid w:type="lines" w:linePitch="312" w:charSpace="0"/>
        </w:sect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4DFEBEBB">
      <w:pPr>
        <w:widowControl/>
        <w:spacing w:line="560" w:lineRule="exact"/>
        <w:jc w:val="left"/>
        <w:outlineLvl w:val="0"/>
        <w:rPr>
          <w:rFonts w:ascii="黑体" w:hAnsi="黑体" w:eastAsia="黑体" w:cs="黑体"/>
          <w:sz w:val="28"/>
          <w:szCs w:val="28"/>
        </w:rPr>
      </w:pPr>
      <w:bookmarkStart w:id="168" w:name="_Toc44517279"/>
      <w:bookmarkStart w:id="169" w:name="_Toc2702_WPSOffice_Level1"/>
      <w:r>
        <w:rPr>
          <w:rFonts w:hint="eastAsia" w:ascii="黑体" w:hAnsi="黑体" w:eastAsia="黑体" w:cs="黑体"/>
          <w:sz w:val="28"/>
          <w:szCs w:val="28"/>
        </w:rPr>
        <w:t>一、项目概况</w:t>
      </w:r>
      <w:bookmarkEnd w:id="168"/>
      <w:bookmarkEnd w:id="169"/>
    </w:p>
    <w:p w14:paraId="570AA516">
      <w:pPr>
        <w:widowControl/>
        <w:spacing w:line="560" w:lineRule="exact"/>
        <w:ind w:firstLine="560" w:firstLineChars="200"/>
        <w:jc w:val="left"/>
        <w:outlineLvl w:val="1"/>
        <w:rPr>
          <w:rFonts w:ascii="楷体" w:hAnsi="楷体" w:eastAsia="楷体" w:cs="楷体"/>
          <w:b/>
          <w:bCs/>
          <w:sz w:val="28"/>
          <w:szCs w:val="28"/>
        </w:rPr>
      </w:pPr>
      <w:bookmarkStart w:id="170" w:name="_Toc9331_WPSOffice_Level2"/>
      <w:bookmarkStart w:id="171" w:name="_Toc44517280"/>
      <w:r>
        <w:rPr>
          <w:rFonts w:hint="eastAsia" w:ascii="楷体" w:hAnsi="楷体" w:eastAsia="楷体" w:cs="楷体"/>
          <w:b/>
          <w:bCs/>
          <w:sz w:val="28"/>
          <w:szCs w:val="28"/>
        </w:rPr>
        <w:t>（一）项目所在地基本情况</w:t>
      </w:r>
      <w:bookmarkEnd w:id="170"/>
      <w:bookmarkEnd w:id="171"/>
    </w:p>
    <w:p w14:paraId="4967CA19">
      <w:pPr>
        <w:pStyle w:val="39"/>
        <w:spacing w:line="560" w:lineRule="exact"/>
        <w:ind w:left="-140" w:leftChars="-67" w:right="-98" w:rightChars="-47" w:firstLine="560" w:firstLineChars="200"/>
        <w:outlineLvl w:val="2"/>
        <w:rPr>
          <w:rFonts w:ascii="楷体" w:hAnsi="楷体" w:eastAsia="楷体"/>
          <w:b w:val="0"/>
        </w:rPr>
      </w:pPr>
      <w:bookmarkStart w:id="172" w:name="_Toc44517281"/>
      <w:r>
        <w:rPr>
          <w:rFonts w:hint="eastAsia" w:ascii="楷体" w:hAnsi="楷体" w:eastAsia="楷体"/>
          <w:b w:val="0"/>
        </w:rPr>
        <w:t>1、</w:t>
      </w:r>
      <w:r>
        <w:rPr>
          <w:rFonts w:ascii="楷体" w:hAnsi="楷体" w:eastAsia="楷体"/>
          <w:b w:val="0"/>
        </w:rPr>
        <w:t>所在地情况</w:t>
      </w:r>
      <w:bookmarkEnd w:id="172"/>
    </w:p>
    <w:p w14:paraId="05316A97">
      <w:pPr>
        <w:pStyle w:val="30"/>
        <w:spacing w:line="560" w:lineRule="exact"/>
        <w:ind w:firstLine="480" w:firstLineChars="200"/>
        <w:rPr>
          <w:rFonts w:ascii="宋体" w:hAnsi="宋体" w:cs="宋体"/>
          <w:color w:val="auto"/>
          <w:kern w:val="2"/>
        </w:rPr>
      </w:pPr>
      <w:r>
        <w:rPr>
          <w:rFonts w:hint="eastAsia" w:ascii="宋体" w:hAnsi="宋体" w:cs="宋体"/>
          <w:color w:val="auto"/>
          <w:kern w:val="2"/>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71E2097E">
      <w:pPr>
        <w:pStyle w:val="30"/>
        <w:spacing w:line="560" w:lineRule="exact"/>
        <w:ind w:firstLine="480" w:firstLineChars="200"/>
        <w:rPr>
          <w:rFonts w:ascii="宋体" w:hAnsi="宋体" w:cs="宋体"/>
          <w:color w:val="auto"/>
          <w:kern w:val="2"/>
        </w:rPr>
      </w:pPr>
      <w:r>
        <w:rPr>
          <w:rFonts w:hint="eastAsia" w:ascii="宋体" w:hAnsi="宋体" w:cs="宋体"/>
          <w:color w:val="auto"/>
          <w:kern w:val="2"/>
        </w:rPr>
        <w:t>南昌县面积1810.7平方公里；辖7个乡9个镇、1个国家级开发区和银三角管委会；2017年，户籍总人口1039778人，全县地区生产总值（GDP）782亿，按可比价格计算，比2016年增长9.2%。</w:t>
      </w:r>
    </w:p>
    <w:p w14:paraId="465C1535">
      <w:pPr>
        <w:pStyle w:val="30"/>
        <w:spacing w:line="560" w:lineRule="exact"/>
        <w:ind w:firstLine="480" w:firstLineChars="200"/>
        <w:rPr>
          <w:rFonts w:ascii="宋体" w:hAnsi="宋体" w:cs="宋体"/>
          <w:color w:val="auto"/>
          <w:kern w:val="2"/>
        </w:rPr>
      </w:pPr>
      <w:r>
        <w:rPr>
          <w:rFonts w:hint="eastAsia" w:ascii="宋体" w:hAnsi="宋体" w:cs="宋体"/>
          <w:color w:val="auto"/>
          <w:kern w:val="2"/>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6AE63F71">
      <w:pPr>
        <w:widowControl/>
        <w:spacing w:line="5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28EC8CC2">
      <w:pPr>
        <w:widowControl/>
        <w:spacing w:line="560" w:lineRule="exact"/>
        <w:ind w:firstLine="480" w:firstLineChars="200"/>
        <w:jc w:val="left"/>
        <w:rPr>
          <w:rFonts w:ascii="Times New Roman" w:eastAsia="仿宋" w:cs="Times New Roman"/>
          <w:sz w:val="28"/>
          <w:szCs w:val="28"/>
        </w:rPr>
      </w:pPr>
      <w:r>
        <w:rPr>
          <w:rFonts w:hint="eastAsia" w:ascii="宋体" w:hAnsi="宋体" w:eastAsia="宋体" w:cs="宋体"/>
          <w:sz w:val="24"/>
          <w:szCs w:val="24"/>
        </w:rPr>
        <w:t>南昌县作为江西省的首府首县，财政总收入连续四年保持“每年缩短一个月”的破百亿速度，全国百强连续十一年进位赶超，在2019年县域经济与县域综合发展百强排位中，较2018年上升4位，排名第25位。获评2019年度中国营商环境百佳示范县市、中国全面小康十大示范县市。</w:t>
      </w:r>
    </w:p>
    <w:p w14:paraId="661F39AE">
      <w:pPr>
        <w:pStyle w:val="39"/>
        <w:spacing w:before="244"/>
        <w:ind w:left="-140" w:leftChars="-67" w:right="-98" w:rightChars="-47" w:firstLine="439" w:firstLineChars="157"/>
        <w:outlineLvl w:val="2"/>
        <w:rPr>
          <w:rFonts w:ascii="楷体" w:hAnsi="楷体" w:eastAsia="楷体"/>
          <w:b w:val="0"/>
        </w:rPr>
      </w:pPr>
      <w:bookmarkStart w:id="173" w:name="_Toc44517282"/>
      <w:r>
        <w:rPr>
          <w:rFonts w:hint="eastAsia" w:ascii="楷体" w:hAnsi="楷体" w:eastAsia="楷体"/>
          <w:b w:val="0"/>
        </w:rPr>
        <w:t>2、</w:t>
      </w:r>
      <w:r>
        <w:rPr>
          <w:rFonts w:ascii="楷体" w:hAnsi="楷体" w:eastAsia="楷体"/>
          <w:b w:val="0"/>
        </w:rPr>
        <w:t>财政收支情况</w:t>
      </w:r>
      <w:bookmarkEnd w:id="173"/>
    </w:p>
    <w:p w14:paraId="7A776FEB">
      <w:pPr>
        <w:widowControl/>
        <w:spacing w:before="100" w:beforeAutospacing="1" w:after="100" w:afterAutospacing="1"/>
        <w:ind w:firstLine="480"/>
        <w:jc w:val="center"/>
        <w:rPr>
          <w:rFonts w:ascii="宋体" w:hAnsi="宋体" w:eastAsia="宋体" w:cs="宋体"/>
          <w:kern w:val="0"/>
          <w:sz w:val="24"/>
          <w:szCs w:val="24"/>
        </w:rPr>
      </w:pPr>
      <w:bookmarkStart w:id="174" w:name="_Toc44517283"/>
      <w:r>
        <w:rPr>
          <w:rFonts w:ascii="宋体" w:hAnsi="宋体" w:eastAsia="宋体" w:cs="宋体"/>
          <w:kern w:val="0"/>
          <w:sz w:val="24"/>
          <w:szCs w:val="24"/>
        </w:rPr>
        <w:t>南昌县财政支出情况</w:t>
      </w:r>
    </w:p>
    <w:p w14:paraId="26F8A395">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4"/>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50"/>
        <w:gridCol w:w="1343"/>
        <w:gridCol w:w="1362"/>
        <w:gridCol w:w="1338"/>
      </w:tblGrid>
      <w:tr w14:paraId="4CD39E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bottom w:val="outset" w:color="auto" w:sz="6" w:space="0"/>
              <w:right w:val="outset" w:color="auto" w:sz="6" w:space="0"/>
            </w:tcBorders>
            <w:shd w:val="clear" w:color="auto" w:fill="BEBEBE"/>
            <w:noWrap/>
            <w:vAlign w:val="center"/>
          </w:tcPr>
          <w:p w14:paraId="5F8C4916">
            <w:pPr>
              <w:widowControl/>
              <w:spacing w:before="100" w:beforeAutospacing="1" w:after="100" w:afterAutospacing="1"/>
              <w:jc w:val="center"/>
              <w:rPr>
                <w:rFonts w:ascii="宋体" w:hAnsi="宋体" w:eastAsia="宋体" w:cs="宋体"/>
                <w:kern w:val="0"/>
                <w:sz w:val="24"/>
                <w:szCs w:val="24"/>
              </w:rPr>
            </w:pPr>
            <w:bookmarkStart w:id="175" w:name="_Toc18099_WPSOffice_Level2"/>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tcPr>
          <w:p w14:paraId="2720D2A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tcPr>
          <w:p w14:paraId="4A13829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tcPr>
          <w:p w14:paraId="733911B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2023年</w:t>
            </w:r>
          </w:p>
        </w:tc>
      </w:tr>
      <w:tr w14:paraId="704ED6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4817185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tcPr>
          <w:p w14:paraId="71AE79E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tcPr>
          <w:p w14:paraId="2DF76B3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tcPr>
          <w:p w14:paraId="1430BF3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1340</w:t>
            </w:r>
          </w:p>
        </w:tc>
      </w:tr>
      <w:tr w14:paraId="27FB5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7A0EF75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tcPr>
          <w:p w14:paraId="5A7D5BD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tcPr>
          <w:p w14:paraId="275EB6B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tcPr>
          <w:p w14:paraId="21B0295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84.9</w:t>
            </w:r>
          </w:p>
        </w:tc>
      </w:tr>
      <w:tr w14:paraId="1957D4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374BE1D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tcPr>
          <w:p w14:paraId="297943F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tcPr>
          <w:p w14:paraId="7EB478C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tcPr>
          <w:p w14:paraId="271E80C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37.1</w:t>
            </w:r>
          </w:p>
        </w:tc>
      </w:tr>
      <w:tr w14:paraId="606B5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1C2DC1F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tcPr>
          <w:p w14:paraId="3A0E5AE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tcPr>
          <w:p w14:paraId="488EACB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tcPr>
          <w:p w14:paraId="2DCF62F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33.8</w:t>
            </w:r>
          </w:p>
        </w:tc>
      </w:tr>
      <w:tr w14:paraId="12BC5A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 w:hRule="atLeast"/>
          <w:tblCellSpacing w:w="0" w:type="dxa"/>
        </w:trPr>
        <w:tc>
          <w:tcPr>
            <w:tcW w:w="4225" w:type="dxa"/>
            <w:tcBorders>
              <w:top w:val="outset" w:color="auto" w:sz="6" w:space="0"/>
              <w:bottom w:val="outset" w:color="auto" w:sz="6" w:space="0"/>
              <w:right w:val="outset" w:color="auto" w:sz="6" w:space="0"/>
            </w:tcBorders>
            <w:noWrap/>
            <w:vAlign w:val="center"/>
          </w:tcPr>
          <w:p w14:paraId="4B6C0AC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tcPr>
          <w:p w14:paraId="6B41296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tcPr>
          <w:p w14:paraId="70D059D7">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tcPr>
          <w:p w14:paraId="455EA4E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30.3</w:t>
            </w:r>
          </w:p>
        </w:tc>
      </w:tr>
      <w:tr w14:paraId="6BE967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305" w:hRule="atLeast"/>
          <w:tblCellSpacing w:w="0" w:type="dxa"/>
        </w:trPr>
        <w:tc>
          <w:tcPr>
            <w:tcW w:w="4225" w:type="dxa"/>
            <w:tcBorders>
              <w:top w:val="outset" w:color="auto" w:sz="6" w:space="0"/>
              <w:right w:val="outset" w:color="auto" w:sz="6" w:space="0"/>
            </w:tcBorders>
            <w:noWrap/>
            <w:vAlign w:val="center"/>
          </w:tcPr>
          <w:p w14:paraId="2D387E3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tcPr>
          <w:p w14:paraId="7BA324A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tcPr>
          <w:p w14:paraId="7DB02A88">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tcPr>
          <w:p w14:paraId="75268E4E">
            <w:pPr>
              <w:widowControl/>
              <w:jc w:val="center"/>
              <w:rPr>
                <w:rFonts w:ascii="宋体" w:hAnsi="宋体" w:eastAsia="宋体" w:cs="宋体"/>
                <w:kern w:val="0"/>
                <w:sz w:val="24"/>
                <w:szCs w:val="24"/>
              </w:rPr>
            </w:pPr>
            <w:r>
              <w:rPr>
                <w:rFonts w:hint="eastAsia" w:ascii="宋体" w:hAnsi="宋体" w:eastAsia="宋体" w:cs="宋体"/>
                <w:kern w:val="0"/>
                <w:sz w:val="24"/>
                <w:szCs w:val="24"/>
              </w:rPr>
              <w:t>14.1</w:t>
            </w:r>
          </w:p>
        </w:tc>
      </w:tr>
    </w:tbl>
    <w:p w14:paraId="55CD60CF">
      <w:pPr>
        <w:widowControl/>
        <w:spacing w:line="560" w:lineRule="exact"/>
        <w:jc w:val="left"/>
        <w:outlineLvl w:val="1"/>
        <w:rPr>
          <w:rFonts w:ascii="楷体" w:hAnsi="楷体" w:eastAsia="楷体" w:cs="楷体"/>
          <w:b/>
          <w:bCs/>
          <w:sz w:val="28"/>
          <w:szCs w:val="28"/>
        </w:rPr>
      </w:pPr>
      <w:r>
        <w:rPr>
          <w:rFonts w:hint="eastAsia" w:ascii="楷体" w:hAnsi="楷体" w:eastAsia="楷体" w:cs="楷体"/>
          <w:b/>
          <w:bCs/>
          <w:sz w:val="28"/>
          <w:szCs w:val="28"/>
        </w:rPr>
        <w:t>（二）项目实施背景</w:t>
      </w:r>
      <w:bookmarkEnd w:id="174"/>
      <w:bookmarkEnd w:id="175"/>
    </w:p>
    <w:p w14:paraId="4A19DE08">
      <w:pPr>
        <w:widowControl/>
        <w:spacing w:line="520" w:lineRule="exact"/>
        <w:ind w:firstLine="480" w:firstLineChars="200"/>
        <w:rPr>
          <w:rFonts w:cs="仿宋" w:asciiTheme="minorEastAsia" w:hAnsiTheme="minorEastAsia"/>
          <w:sz w:val="24"/>
          <w:szCs w:val="24"/>
        </w:rPr>
      </w:pPr>
      <w:bookmarkStart w:id="176" w:name="_Toc24868_WPSOffice_Level2"/>
      <w:bookmarkStart w:id="177" w:name="_Toc44517284"/>
      <w:r>
        <w:rPr>
          <w:rFonts w:hint="eastAsia" w:cs="仿宋" w:asciiTheme="minorEastAsia" w:hAnsiTheme="minorEastAsia"/>
          <w:sz w:val="24"/>
          <w:szCs w:val="24"/>
        </w:rPr>
        <w:t>汽车特别是用于消费的私人轿车保有量的多少，与经济发展、经济活跃程度、地区生产总值、人均生产总值的增长有着密切的联系。随着邓州市经济的持续快速发展以及人民群众收入水平的不断提高，将有越来越多的家庭具备购买私人轿车的能力。汽车保有量的增多，使废旧汽车数量呈现不断增长的态势。据公安部统计，2021年全国机动车保有量达3.95亿辆，扣除报废注销量比2020年增加2350万辆，增长6.32%。2021年全国新注册登记机动车3674万辆，比2020年增加346万辆，增长10.38%；比2019年增加460万，增长14.31%。全国有79个城市的汽车保有量超过100万辆，同比增加9个城市，35个城市超200万辆，20个城市超300万辆。其中汽车3.02亿辆；机动车驾驶人达4.81亿人，其中汽车驾驶人4.44亿人。2021年全国新注册登记机动车3674万辆，新领证驾驶人2750万人。南昌县作为全国百强县之一，尤其区域内汽车工业制造水平在国内属于领先地位，为了更好地发挥区域优势，满足市场需求，促进经济发展，必须大力发展汽车产业，汽车零部件服务中心作为汽车工业产业园区的重要服务平台，建成后将加快推进落实政府招商引资工作的开展，更好地服务后续入驻企业，从而促进产业集聚、企业集群和土地资源的集约利用。</w:t>
      </w:r>
    </w:p>
    <w:p w14:paraId="5FC8252D">
      <w:pPr>
        <w:widowControl/>
        <w:spacing w:line="52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南昌县正处于加快新型工业化进程的关键时期，面临着多区域合作、多机遇重叠的发展新兴机遇。结合区域实际情况合理规划建设是贯彻落实科学发展观，转变经济增长方式，构建资源节约型经济体系和资源节约型社会的具体体现；是优化我市土地资源配置，缓解用地紧张矛盾，为企业搭建发展平台，解决工业企业用地难问题的有力举措；是培育优势行业，促进开发区、工业集中区建设，促进工业集聚发展，大力推进小蓝经开区产城融合发展，带动南部汽车城区域的开放和建设的有效途径。</w:t>
      </w:r>
    </w:p>
    <w:p w14:paraId="2473AB5A">
      <w:pPr>
        <w:widowControl/>
        <w:spacing w:line="52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项目的建设有利于加快推进汽车产业工业园区的形成，促进产业集聚发展，除少数管理人员和关键岗位技术人员由企业解决外，新增员工均由当地招工解决，项目建成后，将为当地提供大量就业机会，吸收下岗职工与闲置人口再就业，可促进当地经济和谐发展；此外，本项目的实施可带动相关行业上下游产业的发展，对于提高南昌县的综合实力，以及促进当地经济建设着非常重要的意义。</w:t>
      </w:r>
    </w:p>
    <w:p w14:paraId="60223103">
      <w:pPr>
        <w:spacing w:before="8" w:line="460" w:lineRule="atLeast"/>
        <w:ind w:right="143"/>
        <w:rPr>
          <w:rFonts w:ascii="楷体" w:hAnsi="楷体" w:eastAsia="楷体" w:cs="楷体"/>
          <w:b/>
          <w:bCs/>
          <w:sz w:val="28"/>
          <w:szCs w:val="28"/>
        </w:rPr>
      </w:pPr>
      <w:r>
        <w:rPr>
          <w:rFonts w:hint="eastAsia" w:ascii="楷体" w:hAnsi="楷体" w:eastAsia="楷体" w:cs="楷体"/>
          <w:b/>
          <w:bCs/>
          <w:sz w:val="28"/>
          <w:szCs w:val="28"/>
        </w:rPr>
        <w:t>（三）项目基本情况</w:t>
      </w:r>
      <w:bookmarkEnd w:id="176"/>
      <w:bookmarkEnd w:id="177"/>
    </w:p>
    <w:p w14:paraId="2A7B6A97">
      <w:pPr>
        <w:widowControl/>
        <w:spacing w:line="560" w:lineRule="exact"/>
        <w:jc w:val="left"/>
        <w:rPr>
          <w:rFonts w:cs="仿宋" w:asciiTheme="minorEastAsia" w:hAnsiTheme="minorEastAsia"/>
          <w:sz w:val="24"/>
          <w:szCs w:val="24"/>
        </w:rPr>
      </w:pPr>
      <w:r>
        <w:rPr>
          <w:rFonts w:hint="eastAsia" w:cs="仿宋" w:asciiTheme="minorEastAsia" w:hAnsiTheme="minorEastAsia"/>
          <w:sz w:val="24"/>
          <w:szCs w:val="24"/>
        </w:rPr>
        <w:t>项目名称：汽车零部件产业园（二期）及配套设施项目</w:t>
      </w:r>
    </w:p>
    <w:p w14:paraId="357A490B">
      <w:pPr>
        <w:spacing w:line="520" w:lineRule="exact"/>
        <w:rPr>
          <w:rFonts w:cs="仿宋" w:asciiTheme="minorEastAsia" w:hAnsiTheme="minorEastAsia"/>
          <w:sz w:val="24"/>
          <w:szCs w:val="24"/>
        </w:rPr>
      </w:pPr>
      <w:r>
        <w:rPr>
          <w:rFonts w:hint="eastAsia" w:cs="仿宋" w:asciiTheme="minorEastAsia" w:hAnsiTheme="minorEastAsia"/>
          <w:sz w:val="24"/>
          <w:szCs w:val="24"/>
        </w:rPr>
        <w:t>建设单位：南昌小蓝经济技术开发区经济发展投资有限责任公司</w:t>
      </w:r>
    </w:p>
    <w:p w14:paraId="227C0255">
      <w:pPr>
        <w:pStyle w:val="10"/>
        <w:spacing w:after="0" w:line="560" w:lineRule="exact"/>
        <w:rPr>
          <w:rFonts w:asciiTheme="minorEastAsia" w:hAnsiTheme="minorEastAsia"/>
          <w:sz w:val="24"/>
          <w:szCs w:val="24"/>
        </w:rPr>
      </w:pPr>
      <w:r>
        <w:rPr>
          <w:rFonts w:hint="eastAsia" w:asciiTheme="minorEastAsia" w:hAnsiTheme="minorEastAsia"/>
          <w:sz w:val="24"/>
          <w:szCs w:val="24"/>
        </w:rPr>
        <w:t>项目建设地址：项目位于南昌县小蓝经济技术开发区，项目基地东至涟漪路，西至振铃东路，北至迎富大道，南为工业用地。</w:t>
      </w:r>
    </w:p>
    <w:p w14:paraId="061AD61E">
      <w:pPr>
        <w:spacing w:line="520" w:lineRule="exact"/>
        <w:rPr>
          <w:rFonts w:asciiTheme="minorEastAsia" w:hAnsiTheme="minorEastAsia"/>
          <w:sz w:val="24"/>
          <w:szCs w:val="24"/>
        </w:rPr>
      </w:pPr>
      <w:r>
        <w:rPr>
          <w:rFonts w:hint="eastAsia" w:asciiTheme="minorEastAsia" w:hAnsiTheme="minorEastAsia"/>
          <w:sz w:val="24"/>
          <w:szCs w:val="24"/>
        </w:rPr>
        <w:t>建设内容及规模：本项目主要建设内容为建设车间厂房、附属用房和配套设施（含道路、停车位）的土建及装饰装修工程以及给排水工程、电气工程、消防工程、相关总图及其他工程设施等。</w:t>
      </w:r>
    </w:p>
    <w:p w14:paraId="5E0B7BF2">
      <w:pPr>
        <w:spacing w:line="520" w:lineRule="exact"/>
        <w:ind w:firstLine="480" w:firstLineChars="200"/>
        <w:rPr>
          <w:rFonts w:asciiTheme="minorEastAsia" w:hAnsiTheme="minorEastAsia"/>
          <w:sz w:val="24"/>
          <w:szCs w:val="24"/>
        </w:rPr>
      </w:pPr>
      <w:r>
        <w:rPr>
          <w:rFonts w:asciiTheme="minorEastAsia" w:hAnsiTheme="minorEastAsia"/>
          <w:sz w:val="24"/>
          <w:szCs w:val="24"/>
        </w:rPr>
        <w:t>项目总用地面积164307.34</w:t>
      </w:r>
      <w:r>
        <w:rPr>
          <w:rFonts w:hint="eastAsia" w:asciiTheme="minorEastAsia" w:hAnsiTheme="minorEastAsia"/>
          <w:sz w:val="24"/>
          <w:szCs w:val="24"/>
        </w:rPr>
        <w:t>㎡</w:t>
      </w:r>
      <w:r>
        <w:rPr>
          <w:rFonts w:asciiTheme="minorEastAsia" w:hAnsiTheme="minorEastAsia"/>
          <w:sz w:val="24"/>
          <w:szCs w:val="24"/>
        </w:rPr>
        <w:t>（约246.46亩），总建筑面积162925.06</w:t>
      </w:r>
      <w:r>
        <w:rPr>
          <w:rFonts w:hint="eastAsia" w:asciiTheme="minorEastAsia" w:hAnsiTheme="minorEastAsia"/>
          <w:sz w:val="24"/>
          <w:szCs w:val="24"/>
        </w:rPr>
        <w:t>㎡。</w:t>
      </w:r>
      <w:r>
        <w:rPr>
          <w:rFonts w:asciiTheme="minorEastAsia" w:hAnsiTheme="minorEastAsia"/>
          <w:sz w:val="24"/>
          <w:szCs w:val="24"/>
        </w:rPr>
        <w:t>计容建筑面积230233.67</w:t>
      </w:r>
      <w:r>
        <w:rPr>
          <w:rFonts w:hint="eastAsia" w:asciiTheme="minorEastAsia" w:hAnsiTheme="minorEastAsia"/>
          <w:sz w:val="24"/>
          <w:szCs w:val="24"/>
        </w:rPr>
        <w:t>㎡</w:t>
      </w:r>
      <w:r>
        <w:rPr>
          <w:rFonts w:asciiTheme="minorEastAsia" w:hAnsiTheme="minorEastAsia"/>
          <w:sz w:val="24"/>
          <w:szCs w:val="24"/>
        </w:rPr>
        <w:t>,其中生产性用房建筑面积208103.37</w:t>
      </w:r>
      <w:r>
        <w:rPr>
          <w:rFonts w:hint="eastAsia" w:asciiTheme="minorEastAsia" w:hAnsiTheme="minorEastAsia"/>
          <w:sz w:val="24"/>
          <w:szCs w:val="24"/>
        </w:rPr>
        <w:t>㎡</w:t>
      </w:r>
      <w:r>
        <w:rPr>
          <w:rFonts w:asciiTheme="minorEastAsia" w:hAnsiTheme="minorEastAsia"/>
          <w:sz w:val="24"/>
          <w:szCs w:val="24"/>
        </w:rPr>
        <w:t>（生产车间、附属用房），非生产性用房建筑面积22130.30</w:t>
      </w:r>
      <w:r>
        <w:rPr>
          <w:rFonts w:hint="eastAsia" w:asciiTheme="minorEastAsia" w:hAnsiTheme="minorEastAsia"/>
          <w:sz w:val="24"/>
          <w:szCs w:val="24"/>
        </w:rPr>
        <w:t>㎡</w:t>
      </w:r>
      <w:r>
        <w:rPr>
          <w:rFonts w:asciiTheme="minorEastAsia" w:hAnsiTheme="minorEastAsia"/>
          <w:sz w:val="24"/>
          <w:szCs w:val="24"/>
        </w:rPr>
        <w:t>（办公、宿舍、食堂、门卫）</w:t>
      </w:r>
      <w:r>
        <w:rPr>
          <w:rFonts w:hint="eastAsia" w:asciiTheme="minorEastAsia" w:hAnsiTheme="minorEastAsia"/>
          <w:sz w:val="24"/>
          <w:szCs w:val="24"/>
        </w:rPr>
        <w:t>，厂房配套道路2271.686米，道路红线宽度40米</w:t>
      </w:r>
      <w:r>
        <w:rPr>
          <w:rFonts w:asciiTheme="minorEastAsia" w:hAnsiTheme="minorEastAsia"/>
          <w:sz w:val="24"/>
          <w:szCs w:val="24"/>
        </w:rPr>
        <w:t>,建筑占地面积90569.88</w:t>
      </w:r>
      <w:r>
        <w:rPr>
          <w:rFonts w:hint="eastAsia" w:asciiTheme="minorEastAsia" w:hAnsiTheme="minorEastAsia"/>
          <w:sz w:val="24"/>
          <w:szCs w:val="24"/>
        </w:rPr>
        <w:t>㎡</w:t>
      </w:r>
      <w:r>
        <w:rPr>
          <w:rFonts w:asciiTheme="minorEastAsia" w:hAnsiTheme="minorEastAsia"/>
          <w:sz w:val="24"/>
          <w:szCs w:val="24"/>
        </w:rPr>
        <w:t>,建筑密度55.12%，容积率1.40,绿地率5.13%,机动车停车位596个，非机动车位2975个</w:t>
      </w:r>
      <w:r>
        <w:rPr>
          <w:rFonts w:hint="eastAsia" w:asciiTheme="minorEastAsia" w:hAnsiTheme="minorEastAsia"/>
          <w:sz w:val="24"/>
          <w:szCs w:val="24"/>
        </w:rPr>
        <w:t>。</w:t>
      </w:r>
    </w:p>
    <w:p w14:paraId="02064D3D">
      <w:pPr>
        <w:spacing w:line="520" w:lineRule="exact"/>
        <w:rPr>
          <w:rFonts w:asciiTheme="minorEastAsia" w:hAnsiTheme="minorEastAsia"/>
          <w:sz w:val="24"/>
          <w:szCs w:val="24"/>
        </w:rPr>
      </w:pPr>
    </w:p>
    <w:p w14:paraId="33E2613C">
      <w:pPr>
        <w:pStyle w:val="10"/>
        <w:spacing w:after="0" w:line="560" w:lineRule="exact"/>
        <w:rPr>
          <w:rFonts w:asciiTheme="minorEastAsia" w:hAnsiTheme="minorEastAsia"/>
          <w:sz w:val="24"/>
          <w:szCs w:val="24"/>
        </w:rPr>
      </w:pPr>
    </w:p>
    <w:p w14:paraId="4E097263">
      <w:pPr>
        <w:widowControl/>
        <w:spacing w:line="560" w:lineRule="exact"/>
        <w:jc w:val="left"/>
        <w:rPr>
          <w:rFonts w:ascii="楷体" w:hAnsi="楷体" w:eastAsia="楷体" w:cs="楷体"/>
          <w:b/>
          <w:bCs/>
          <w:sz w:val="28"/>
          <w:szCs w:val="28"/>
        </w:rPr>
      </w:pPr>
      <w:bookmarkStart w:id="178" w:name="_Toc12016_WPSOffice_Level2"/>
      <w:r>
        <w:rPr>
          <w:rFonts w:hint="eastAsia" w:ascii="楷体" w:hAnsi="楷体" w:eastAsia="楷体" w:cs="楷体"/>
          <w:b/>
          <w:bCs/>
          <w:sz w:val="28"/>
          <w:szCs w:val="28"/>
        </w:rPr>
        <w:t>项目总投资额</w:t>
      </w:r>
      <w:bookmarkEnd w:id="178"/>
    </w:p>
    <w:p w14:paraId="0A9AABF6">
      <w:pPr>
        <w:pStyle w:val="20"/>
        <w:spacing w:before="0" w:beforeAutospacing="0" w:afterLines="50" w:afterAutospacing="0" w:line="360" w:lineRule="auto"/>
        <w:ind w:firstLine="480" w:firstLineChars="200"/>
        <w:jc w:val="both"/>
        <w:rPr>
          <w:sz w:val="24"/>
          <w:szCs w:val="24"/>
        </w:rPr>
      </w:pPr>
      <w:bookmarkStart w:id="179" w:name="_Toc9331_WPSOffice_Level1"/>
      <w:bookmarkStart w:id="180" w:name="_Toc44517285"/>
      <w:r>
        <w:rPr>
          <w:rFonts w:hint="eastAsia"/>
          <w:sz w:val="24"/>
          <w:szCs w:val="24"/>
        </w:rPr>
        <w:t>202</w:t>
      </w:r>
      <w:r>
        <w:rPr>
          <w:sz w:val="24"/>
          <w:szCs w:val="24"/>
        </w:rPr>
        <w:t>4</w:t>
      </w:r>
      <w:r>
        <w:rPr>
          <w:rFonts w:hint="eastAsia"/>
          <w:sz w:val="24"/>
          <w:szCs w:val="24"/>
        </w:rPr>
        <w:t>年江西省汽车零部件产业园(二期)及配套设施建设项目建设项目（以下简称“本项目”）为基建项目，根据南昌县发展和改革委员会《关于汽车零部件产业园(二期)及配套设施建设项目初步设计的批复》（南发改投字〔20</w:t>
      </w:r>
      <w:r>
        <w:rPr>
          <w:sz w:val="24"/>
          <w:szCs w:val="24"/>
        </w:rPr>
        <w:t>2</w:t>
      </w:r>
      <w:r>
        <w:rPr>
          <w:rFonts w:hint="eastAsia"/>
          <w:sz w:val="24"/>
          <w:szCs w:val="24"/>
        </w:rPr>
        <w:t>2〕11号），批复总投资额66,118.00万元。根据可研报告，该项目静态总投资62,925.81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02238F74">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523"/>
        <w:gridCol w:w="1417"/>
        <w:gridCol w:w="1301"/>
        <w:gridCol w:w="1481"/>
        <w:gridCol w:w="1301"/>
        <w:gridCol w:w="1120"/>
      </w:tblGrid>
      <w:tr w14:paraId="648E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0" w:type="auto"/>
            <w:shd w:val="clear" w:color="auto" w:fill="auto"/>
            <w:noWrap/>
            <w:vAlign w:val="center"/>
          </w:tcPr>
          <w:p w14:paraId="2B4F2D9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0" w:type="auto"/>
            <w:shd w:val="clear" w:color="auto" w:fill="auto"/>
            <w:noWrap/>
            <w:vAlign w:val="center"/>
          </w:tcPr>
          <w:p w14:paraId="4D353C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0" w:type="auto"/>
            <w:shd w:val="clear" w:color="auto" w:fill="auto"/>
            <w:noWrap/>
            <w:vAlign w:val="center"/>
          </w:tcPr>
          <w:p w14:paraId="47B4F9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0" w:type="auto"/>
            <w:shd w:val="clear" w:color="auto" w:fill="auto"/>
            <w:noWrap/>
            <w:vAlign w:val="center"/>
          </w:tcPr>
          <w:p w14:paraId="137065C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0" w:type="auto"/>
            <w:shd w:val="clear" w:color="auto" w:fill="auto"/>
            <w:noWrap/>
            <w:vAlign w:val="center"/>
          </w:tcPr>
          <w:p w14:paraId="7AF4EC3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0" w:type="auto"/>
            <w:shd w:val="clear" w:color="auto" w:fill="auto"/>
            <w:noWrap/>
            <w:vAlign w:val="center"/>
          </w:tcPr>
          <w:p w14:paraId="5C913DE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0" w:type="auto"/>
            <w:shd w:val="clear" w:color="auto" w:fill="auto"/>
            <w:noWrap/>
            <w:vAlign w:val="center"/>
          </w:tcPr>
          <w:p w14:paraId="5516FA6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78CA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0" w:type="auto"/>
            <w:shd w:val="clear" w:color="auto" w:fill="auto"/>
            <w:noWrap/>
            <w:vAlign w:val="center"/>
          </w:tcPr>
          <w:p w14:paraId="3CBF48C4">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0" w:type="auto"/>
            <w:shd w:val="clear" w:color="auto" w:fill="auto"/>
            <w:vAlign w:val="center"/>
          </w:tcPr>
          <w:p w14:paraId="22B69498">
            <w:pPr>
              <w:widowControl/>
              <w:jc w:val="center"/>
              <w:rPr>
                <w:rFonts w:ascii="宋体" w:hAnsi="宋体" w:eastAsia="宋体" w:cs="宋体"/>
                <w:color w:val="000000"/>
                <w:kern w:val="0"/>
                <w:sz w:val="18"/>
                <w:szCs w:val="18"/>
              </w:rPr>
            </w:pPr>
            <w:r>
              <w:rPr>
                <w:rFonts w:hint="eastAsia" w:ascii="宋体" w:hAnsi="宋体" w:cs="宋体"/>
                <w:color w:val="000000"/>
                <w:kern w:val="0"/>
                <w:sz w:val="18"/>
                <w:szCs w:val="18"/>
              </w:rPr>
              <w:t>南昌小蓝经济技术开发区经济发展投资有限责任公司</w:t>
            </w:r>
          </w:p>
        </w:tc>
        <w:tc>
          <w:tcPr>
            <w:tcW w:w="0" w:type="auto"/>
            <w:shd w:val="clear" w:color="auto" w:fill="auto"/>
            <w:vAlign w:val="center"/>
          </w:tcPr>
          <w:p w14:paraId="72D3CECA">
            <w:pPr>
              <w:widowControl/>
              <w:jc w:val="center"/>
              <w:rPr>
                <w:rFonts w:ascii="宋体" w:hAnsi="宋体" w:eastAsia="宋体" w:cs="宋体"/>
                <w:color w:val="000000"/>
                <w:kern w:val="0"/>
                <w:sz w:val="18"/>
                <w:szCs w:val="18"/>
                <w:highlight w:val="yellow"/>
              </w:rPr>
            </w:pPr>
            <w:r>
              <w:rPr>
                <w:rFonts w:hint="eastAsia" w:ascii="宋体" w:hAnsi="宋体" w:cs="宋体"/>
                <w:color w:val="000000"/>
                <w:kern w:val="0"/>
                <w:sz w:val="18"/>
                <w:szCs w:val="18"/>
              </w:rPr>
              <w:t>汽车零部件产业园(二期)及配套设施建设项目</w:t>
            </w:r>
          </w:p>
        </w:tc>
        <w:tc>
          <w:tcPr>
            <w:tcW w:w="1301" w:type="dxa"/>
            <w:shd w:val="clear" w:color="auto" w:fill="auto"/>
            <w:noWrap/>
            <w:vAlign w:val="center"/>
          </w:tcPr>
          <w:p w14:paraId="605AE825">
            <w:pPr>
              <w:widowControl/>
              <w:jc w:val="center"/>
              <w:textAlignment w:val="center"/>
              <w:rPr>
                <w:rFonts w:ascii="宋体" w:hAnsi="宋体" w:cs="宋体"/>
                <w:color w:val="000000"/>
                <w:kern w:val="0"/>
                <w:sz w:val="18"/>
                <w:szCs w:val="18"/>
                <w:highlight w:val="yellow"/>
              </w:rPr>
            </w:pPr>
            <w:r>
              <w:rPr>
                <w:rFonts w:hint="eastAsia" w:ascii="宋体" w:hAnsi="宋体" w:eastAsia="宋体" w:cs="宋体"/>
                <w:color w:val="000000"/>
                <w:kern w:val="0"/>
                <w:sz w:val="18"/>
                <w:szCs w:val="18"/>
              </w:rPr>
              <w:t>62,925.81</w:t>
            </w:r>
          </w:p>
        </w:tc>
        <w:tc>
          <w:tcPr>
            <w:tcW w:w="1481" w:type="dxa"/>
            <w:shd w:val="clear" w:color="auto" w:fill="auto"/>
            <w:vAlign w:val="center"/>
          </w:tcPr>
          <w:p w14:paraId="2EFF1A8F">
            <w:pPr>
              <w:widowControl/>
              <w:jc w:val="center"/>
              <w:textAlignment w:val="center"/>
              <w:rPr>
                <w:rFonts w:ascii="宋体" w:hAnsi="宋体" w:cs="宋体"/>
                <w:color w:val="000000"/>
                <w:kern w:val="0"/>
                <w:sz w:val="18"/>
                <w:szCs w:val="18"/>
                <w:highlight w:val="yellow"/>
              </w:rPr>
            </w:pPr>
            <w:r>
              <w:rPr>
                <w:rFonts w:hint="eastAsia" w:ascii="宋体" w:hAnsi="宋体" w:eastAsia="宋体" w:cs="宋体"/>
                <w:color w:val="000000"/>
                <w:kern w:val="0"/>
                <w:sz w:val="18"/>
                <w:szCs w:val="18"/>
              </w:rPr>
              <w:t>3,167.48</w:t>
            </w:r>
          </w:p>
        </w:tc>
        <w:tc>
          <w:tcPr>
            <w:tcW w:w="1301" w:type="dxa"/>
            <w:shd w:val="clear" w:color="auto" w:fill="auto"/>
            <w:noWrap/>
            <w:vAlign w:val="center"/>
          </w:tcPr>
          <w:p w14:paraId="444B1BF2">
            <w:pPr>
              <w:widowControl/>
              <w:jc w:val="center"/>
              <w:textAlignment w:val="center"/>
              <w:rPr>
                <w:rFonts w:ascii="宋体" w:hAnsi="宋体" w:cs="宋体"/>
                <w:color w:val="000000"/>
                <w:kern w:val="0"/>
                <w:sz w:val="18"/>
                <w:szCs w:val="18"/>
                <w:highlight w:val="yellow"/>
              </w:rPr>
            </w:pPr>
            <w:r>
              <w:rPr>
                <w:rFonts w:hint="eastAsia" w:ascii="宋体" w:hAnsi="宋体" w:eastAsia="宋体" w:cs="宋体"/>
                <w:color w:val="000000"/>
                <w:kern w:val="0"/>
                <w:sz w:val="18"/>
                <w:szCs w:val="18"/>
              </w:rPr>
              <w:t>24.71</w:t>
            </w:r>
          </w:p>
        </w:tc>
        <w:tc>
          <w:tcPr>
            <w:tcW w:w="1120" w:type="dxa"/>
            <w:shd w:val="clear" w:color="auto" w:fill="auto"/>
            <w:noWrap/>
            <w:vAlign w:val="center"/>
          </w:tcPr>
          <w:p w14:paraId="5B83A974">
            <w:pPr>
              <w:widowControl/>
              <w:jc w:val="center"/>
              <w:textAlignment w:val="center"/>
              <w:rPr>
                <w:rFonts w:ascii="宋体" w:hAnsi="宋体" w:cs="宋体"/>
                <w:color w:val="000000"/>
                <w:kern w:val="0"/>
                <w:sz w:val="18"/>
                <w:szCs w:val="18"/>
                <w:highlight w:val="yellow"/>
              </w:rPr>
            </w:pPr>
            <w:r>
              <w:rPr>
                <w:rFonts w:hint="eastAsia" w:ascii="宋体" w:hAnsi="宋体" w:eastAsia="宋体" w:cs="宋体"/>
                <w:color w:val="000000"/>
                <w:kern w:val="0"/>
                <w:sz w:val="18"/>
                <w:szCs w:val="18"/>
              </w:rPr>
              <w:t>66,118.00</w:t>
            </w:r>
          </w:p>
        </w:tc>
      </w:tr>
    </w:tbl>
    <w:p w14:paraId="05114384">
      <w:pPr>
        <w:pStyle w:val="20"/>
        <w:spacing w:before="0" w:beforeAutospacing="0" w:afterLines="50" w:afterAutospacing="0" w:line="360" w:lineRule="auto"/>
        <w:ind w:firstLine="480" w:firstLineChars="200"/>
        <w:jc w:val="both"/>
        <w:rPr>
          <w:sz w:val="24"/>
          <w:szCs w:val="24"/>
        </w:rPr>
      </w:pPr>
      <w:r>
        <w:rPr>
          <w:rFonts w:hint="eastAsia"/>
          <w:sz w:val="24"/>
          <w:szCs w:val="24"/>
        </w:rPr>
        <w:t>为了保障以上建设项目合理的融资需求，更好地发挥专项债券对本项目的支持作用，本次项目计划通过自筹资金及发行地方政府专项债券的方式完成项目建设。南昌小蓝经济技术开发区经济发展投资有限责任公司申请地方政府专项债券的明细情况见下表：</w:t>
      </w:r>
    </w:p>
    <w:p w14:paraId="4075AE9D">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4"/>
        <w:tblW w:w="58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1138"/>
        <w:gridCol w:w="1399"/>
        <w:gridCol w:w="1399"/>
        <w:gridCol w:w="1099"/>
        <w:gridCol w:w="1186"/>
        <w:gridCol w:w="1164"/>
        <w:gridCol w:w="1166"/>
        <w:gridCol w:w="1176"/>
      </w:tblGrid>
      <w:tr w14:paraId="3A87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93" w:type="pct"/>
            <w:vMerge w:val="restart"/>
            <w:shd w:val="clear" w:color="auto" w:fill="auto"/>
            <w:noWrap/>
            <w:vAlign w:val="center"/>
          </w:tcPr>
          <w:p w14:paraId="15EE6A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562" w:type="pct"/>
            <w:vMerge w:val="restart"/>
            <w:shd w:val="clear" w:color="auto" w:fill="auto"/>
            <w:noWrap/>
            <w:vAlign w:val="center"/>
          </w:tcPr>
          <w:p w14:paraId="63D626C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691" w:type="pct"/>
            <w:vMerge w:val="restart"/>
            <w:shd w:val="clear" w:color="auto" w:fill="auto"/>
            <w:vAlign w:val="center"/>
          </w:tcPr>
          <w:p w14:paraId="499F24DE">
            <w:pPr>
              <w:widowControl/>
              <w:jc w:val="center"/>
              <w:rPr>
                <w:rFonts w:ascii="宋体" w:hAnsi="宋体" w:eastAsia="宋体" w:cs="宋体"/>
                <w:b/>
                <w:bCs/>
                <w:color w:val="000000"/>
                <w:kern w:val="0"/>
                <w:sz w:val="18"/>
                <w:szCs w:val="18"/>
              </w:rPr>
            </w:pPr>
            <w:r>
              <w:rPr>
                <w:rFonts w:hint="eastAsia" w:ascii="宋体" w:hAnsi="宋体" w:cs="宋体"/>
                <w:b/>
                <w:bCs/>
                <w:color w:val="000000"/>
                <w:kern w:val="0"/>
                <w:sz w:val="18"/>
                <w:szCs w:val="18"/>
              </w:rPr>
              <w:t>其中：银行借款</w:t>
            </w:r>
          </w:p>
        </w:tc>
        <w:tc>
          <w:tcPr>
            <w:tcW w:w="691" w:type="pct"/>
            <w:vMerge w:val="restart"/>
            <w:shd w:val="clear" w:color="auto" w:fill="auto"/>
            <w:vAlign w:val="center"/>
          </w:tcPr>
          <w:p w14:paraId="0019B19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2861" w:type="pct"/>
            <w:gridSpan w:val="5"/>
            <w:shd w:val="clear" w:color="auto" w:fill="auto"/>
            <w:vAlign w:val="center"/>
          </w:tcPr>
          <w:p w14:paraId="59AB971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05F3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93" w:type="pct"/>
            <w:vMerge w:val="continue"/>
            <w:vAlign w:val="center"/>
          </w:tcPr>
          <w:p w14:paraId="524A2042">
            <w:pPr>
              <w:widowControl/>
              <w:jc w:val="center"/>
              <w:rPr>
                <w:rFonts w:ascii="宋体" w:hAnsi="宋体" w:cs="宋体"/>
                <w:b/>
                <w:bCs/>
                <w:color w:val="000000"/>
                <w:kern w:val="0"/>
                <w:sz w:val="18"/>
                <w:szCs w:val="18"/>
              </w:rPr>
            </w:pPr>
          </w:p>
        </w:tc>
        <w:tc>
          <w:tcPr>
            <w:tcW w:w="562" w:type="pct"/>
            <w:vMerge w:val="continue"/>
            <w:vAlign w:val="center"/>
          </w:tcPr>
          <w:p w14:paraId="236C9D74">
            <w:pPr>
              <w:widowControl/>
              <w:jc w:val="center"/>
              <w:rPr>
                <w:rFonts w:ascii="宋体" w:hAnsi="宋体" w:cs="宋体"/>
                <w:b/>
                <w:bCs/>
                <w:color w:val="000000"/>
                <w:kern w:val="0"/>
                <w:sz w:val="18"/>
                <w:szCs w:val="18"/>
              </w:rPr>
            </w:pPr>
          </w:p>
        </w:tc>
        <w:tc>
          <w:tcPr>
            <w:tcW w:w="691" w:type="pct"/>
            <w:vMerge w:val="continue"/>
            <w:vAlign w:val="center"/>
          </w:tcPr>
          <w:p w14:paraId="1FF04395">
            <w:pPr>
              <w:widowControl/>
              <w:jc w:val="center"/>
              <w:rPr>
                <w:rFonts w:ascii="宋体" w:hAnsi="宋体" w:cs="宋体"/>
                <w:b/>
                <w:bCs/>
                <w:color w:val="000000"/>
                <w:kern w:val="0"/>
                <w:sz w:val="18"/>
                <w:szCs w:val="18"/>
              </w:rPr>
            </w:pPr>
          </w:p>
        </w:tc>
        <w:tc>
          <w:tcPr>
            <w:tcW w:w="691" w:type="pct"/>
            <w:vMerge w:val="continue"/>
            <w:vAlign w:val="center"/>
          </w:tcPr>
          <w:p w14:paraId="24E6C55F">
            <w:pPr>
              <w:widowControl/>
              <w:jc w:val="center"/>
              <w:rPr>
                <w:rFonts w:ascii="宋体" w:hAnsi="宋体" w:cs="宋体"/>
                <w:b/>
                <w:bCs/>
                <w:color w:val="000000"/>
                <w:kern w:val="0"/>
                <w:sz w:val="18"/>
                <w:szCs w:val="18"/>
              </w:rPr>
            </w:pPr>
          </w:p>
        </w:tc>
        <w:tc>
          <w:tcPr>
            <w:tcW w:w="543" w:type="pct"/>
            <w:shd w:val="clear" w:color="auto" w:fill="auto"/>
            <w:vAlign w:val="center"/>
          </w:tcPr>
          <w:p w14:paraId="5A6ACE8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86" w:type="pct"/>
            <w:shd w:val="clear" w:color="auto" w:fill="auto"/>
            <w:vAlign w:val="center"/>
          </w:tcPr>
          <w:p w14:paraId="2E7F401D">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2024年发行</w:t>
            </w:r>
          </w:p>
        </w:tc>
        <w:tc>
          <w:tcPr>
            <w:tcW w:w="575" w:type="pct"/>
            <w:shd w:val="clear" w:color="auto" w:fill="auto"/>
            <w:noWrap/>
            <w:vAlign w:val="center"/>
          </w:tcPr>
          <w:p w14:paraId="0CF29CE9">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2025年发行</w:t>
            </w:r>
          </w:p>
        </w:tc>
        <w:tc>
          <w:tcPr>
            <w:tcW w:w="576" w:type="pct"/>
            <w:shd w:val="clear" w:color="auto" w:fill="auto"/>
            <w:noWrap/>
            <w:vAlign w:val="center"/>
          </w:tcPr>
          <w:p w14:paraId="0A760CAA">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2026年发行</w:t>
            </w:r>
          </w:p>
        </w:tc>
        <w:tc>
          <w:tcPr>
            <w:tcW w:w="579" w:type="pct"/>
            <w:shd w:val="clear" w:color="auto" w:fill="auto"/>
            <w:noWrap/>
            <w:vAlign w:val="center"/>
          </w:tcPr>
          <w:p w14:paraId="553EAD77">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2027年发行</w:t>
            </w:r>
          </w:p>
        </w:tc>
      </w:tr>
      <w:tr w14:paraId="33F2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93" w:type="pct"/>
            <w:shd w:val="clear" w:color="auto" w:fill="auto"/>
            <w:noWrap/>
            <w:vAlign w:val="center"/>
          </w:tcPr>
          <w:p w14:paraId="3F50FC93">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62" w:type="pct"/>
            <w:shd w:val="clear" w:color="auto" w:fill="auto"/>
            <w:noWrap/>
            <w:vAlign w:val="center"/>
          </w:tcPr>
          <w:p w14:paraId="09488B35">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66,118.00</w:t>
            </w:r>
          </w:p>
        </w:tc>
        <w:tc>
          <w:tcPr>
            <w:tcW w:w="691" w:type="pct"/>
            <w:shd w:val="clear" w:color="auto" w:fill="auto"/>
            <w:noWrap/>
            <w:vAlign w:val="center"/>
          </w:tcPr>
          <w:p w14:paraId="1B67B047">
            <w:pPr>
              <w:widowControl/>
              <w:jc w:val="center"/>
              <w:textAlignment w:val="center"/>
              <w:rPr>
                <w:rFonts w:ascii="宋体" w:hAnsi="宋体" w:eastAsia="宋体" w:cs="宋体"/>
                <w:color w:val="000000"/>
                <w:kern w:val="0"/>
                <w:sz w:val="18"/>
                <w:szCs w:val="18"/>
              </w:rPr>
            </w:pPr>
            <w:r>
              <w:rPr>
                <w:rFonts w:hint="eastAsia" w:ascii="宋体" w:hAnsi="宋体" w:cs="宋体"/>
                <w:color w:val="000000"/>
                <w:kern w:val="0"/>
                <w:sz w:val="18"/>
                <w:szCs w:val="18"/>
              </w:rPr>
              <w:t>22,000.00</w:t>
            </w:r>
          </w:p>
        </w:tc>
        <w:tc>
          <w:tcPr>
            <w:tcW w:w="691" w:type="pct"/>
            <w:shd w:val="clear" w:color="auto" w:fill="auto"/>
            <w:noWrap/>
            <w:vAlign w:val="center"/>
          </w:tcPr>
          <w:p w14:paraId="73EA64D3">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13,223.60</w:t>
            </w:r>
          </w:p>
        </w:tc>
        <w:tc>
          <w:tcPr>
            <w:tcW w:w="543" w:type="pct"/>
            <w:shd w:val="clear" w:color="auto" w:fill="auto"/>
            <w:vAlign w:val="center"/>
          </w:tcPr>
          <w:p w14:paraId="796EDCE5">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30,894.40</w:t>
            </w:r>
          </w:p>
        </w:tc>
        <w:tc>
          <w:tcPr>
            <w:tcW w:w="586" w:type="pct"/>
            <w:shd w:val="clear" w:color="auto" w:fill="auto"/>
            <w:noWrap/>
            <w:vAlign w:val="center"/>
          </w:tcPr>
          <w:p w14:paraId="1904F11A">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4,850.00</w:t>
            </w:r>
          </w:p>
        </w:tc>
        <w:tc>
          <w:tcPr>
            <w:tcW w:w="575" w:type="pct"/>
            <w:shd w:val="clear" w:color="auto" w:fill="auto"/>
            <w:noWrap/>
            <w:vAlign w:val="center"/>
          </w:tcPr>
          <w:p w14:paraId="1541AB97">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16,684.00</w:t>
            </w:r>
          </w:p>
        </w:tc>
        <w:tc>
          <w:tcPr>
            <w:tcW w:w="576" w:type="pct"/>
            <w:shd w:val="clear" w:color="auto" w:fill="auto"/>
            <w:noWrap/>
            <w:vAlign w:val="center"/>
          </w:tcPr>
          <w:p w14:paraId="2A6B54E8">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7,023.00</w:t>
            </w:r>
          </w:p>
        </w:tc>
        <w:tc>
          <w:tcPr>
            <w:tcW w:w="579" w:type="pct"/>
            <w:shd w:val="clear" w:color="auto" w:fill="auto"/>
            <w:noWrap/>
            <w:vAlign w:val="center"/>
          </w:tcPr>
          <w:p w14:paraId="0C136B2E">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2,337.40</w:t>
            </w:r>
          </w:p>
        </w:tc>
      </w:tr>
    </w:tbl>
    <w:p w14:paraId="414C3952">
      <w:pPr>
        <w:pStyle w:val="20"/>
        <w:spacing w:beforeLines="50" w:beforeAutospacing="0" w:afterLines="50" w:afterAutospacing="0" w:line="360" w:lineRule="auto"/>
        <w:ind w:firstLine="480" w:firstLineChars="200"/>
        <w:jc w:val="both"/>
        <w:rPr>
          <w:sz w:val="24"/>
          <w:szCs w:val="24"/>
        </w:rPr>
      </w:pPr>
      <w:r>
        <w:rPr>
          <w:rFonts w:hint="eastAsia"/>
          <w:sz w:val="24"/>
          <w:szCs w:val="24"/>
        </w:rPr>
        <w:t>按照发行方案及筹资计划，本次拟发行项目的总投资估算为66,118.00万元，通过自筹资金、申请专项债券等途径解决，其一，自筹资金13,223.60万元；其二，拟发行专项债券30,894.40万元，发行期限30年，其中，本次申请发行4,850.00万，2025年计划发行16,684.00万元，2026年计划发行7,023.00万元，2027年计划发行2,337.40万元；其三，银行借款22,000.00万元，贷款期限15年，其中，2024年借款21,400.00万元，2025年计划贷款600.00万元。</w:t>
      </w:r>
    </w:p>
    <w:p w14:paraId="6CDE68B1">
      <w:pPr>
        <w:pStyle w:val="20"/>
        <w:spacing w:before="0" w:beforeAutospacing="0" w:afterLines="50" w:afterAutospacing="0" w:line="360" w:lineRule="auto"/>
        <w:ind w:firstLine="480" w:firstLineChars="200"/>
        <w:rPr>
          <w:sz w:val="24"/>
          <w:szCs w:val="24"/>
        </w:rPr>
      </w:pPr>
      <w:r>
        <w:rPr>
          <w:rFonts w:hint="eastAsia"/>
          <w:sz w:val="24"/>
          <w:szCs w:val="24"/>
        </w:rPr>
        <w:t>根据《汽车零部件产业园(二期)及配套设施建设项目可行性研究报告》（以下简称“可研报告”），汽车零部件产业园(二期)及配套设施建设项目项目建设内容为：本项目主要建设内容为建设车间厂房、附属用房和配套设施（含道路、停车位）的土建及装饰装修工程以及给排水工程、电气工程、消防工程、相关总图及其他工程设施等。</w:t>
      </w:r>
    </w:p>
    <w:p w14:paraId="7102D27D">
      <w:pPr>
        <w:pStyle w:val="20"/>
        <w:spacing w:before="0" w:beforeAutospacing="0" w:afterLines="50" w:afterAutospacing="0" w:line="360" w:lineRule="auto"/>
        <w:ind w:firstLine="480" w:firstLineChars="200"/>
        <w:rPr>
          <w:sz w:val="24"/>
          <w:szCs w:val="24"/>
        </w:rPr>
      </w:pPr>
      <w:r>
        <w:rPr>
          <w:rFonts w:hint="eastAsia"/>
          <w:sz w:val="24"/>
          <w:szCs w:val="24"/>
        </w:rPr>
        <w:t>项目总用地面积164307.34㎡（约246.46亩），总建筑面积162925.06㎡。计容建筑面积230233.67㎡,其中生产性用房建筑面积208103.37㎡（生产车间、附属用房），非生产性用房建筑面积22130.30㎡（办公、宿舍、食堂、门卫），厂房配套道路2271.686米，道路红线宽度40米,建筑占地面积90569.88㎡,建筑密度55.12%，容积率1.40,绿地率5.13%,机动车停车位596个，非机动车位2975个。</w:t>
      </w:r>
    </w:p>
    <w:p w14:paraId="78EEADAA">
      <w:pPr>
        <w:pStyle w:val="20"/>
        <w:spacing w:before="0" w:beforeAutospacing="0" w:afterLines="50" w:afterAutospacing="0" w:line="360" w:lineRule="auto"/>
        <w:ind w:firstLine="480" w:firstLineChars="200"/>
        <w:rPr>
          <w:sz w:val="24"/>
          <w:szCs w:val="24"/>
        </w:rPr>
      </w:pPr>
      <w:r>
        <w:rPr>
          <w:rFonts w:hint="eastAsia"/>
          <w:sz w:val="24"/>
          <w:szCs w:val="24"/>
        </w:rPr>
        <w:t>根据可研报告及其批复，本项目静态总投资估算详见表1-1；项目建设期内的年度资金计划表详见表1-2。</w:t>
      </w:r>
    </w:p>
    <w:p w14:paraId="707D57DD">
      <w:pPr>
        <w:pStyle w:val="20"/>
        <w:spacing w:before="0" w:beforeAutospacing="0" w:afterLines="50" w:afterAutospacing="0" w:line="360" w:lineRule="exact"/>
        <w:ind w:firstLine="420" w:firstLineChars="200"/>
        <w:jc w:val="center"/>
        <w:rPr>
          <w:sz w:val="21"/>
          <w:szCs w:val="21"/>
        </w:rPr>
      </w:pPr>
      <w:r>
        <w:rPr>
          <w:rFonts w:hint="eastAsia"/>
          <w:b/>
          <w:sz w:val="21"/>
          <w:szCs w:val="21"/>
        </w:rPr>
        <w:t>表1-</w:t>
      </w:r>
      <w:r>
        <w:rPr>
          <w:b/>
          <w:sz w:val="21"/>
          <w:szCs w:val="21"/>
        </w:rPr>
        <w:t xml:space="preserve">1  </w:t>
      </w:r>
      <w:r>
        <w:rPr>
          <w:rFonts w:hint="eastAsia"/>
          <w:b/>
          <w:sz w:val="21"/>
          <w:szCs w:val="21"/>
        </w:rPr>
        <w:t>项目静态总投资估算表</w:t>
      </w:r>
    </w:p>
    <w:p w14:paraId="09BE600A">
      <w:pPr>
        <w:pStyle w:val="20"/>
        <w:spacing w:before="0" w:beforeAutospacing="0" w:afterLines="50" w:afterAutospacing="0" w:line="360" w:lineRule="exact"/>
        <w:ind w:firstLine="360" w:firstLineChars="200"/>
        <w:jc w:val="right"/>
        <w:rPr>
          <w:sz w:val="21"/>
          <w:szCs w:val="21"/>
        </w:rPr>
      </w:pPr>
      <w:r>
        <w:rPr>
          <w:rFonts w:hint="eastAsia"/>
          <w:sz w:val="18"/>
          <w:szCs w:val="18"/>
        </w:rPr>
        <w:t>单位：万元</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3547"/>
        <w:gridCol w:w="3250"/>
      </w:tblGrid>
      <w:tr w14:paraId="0E37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1" w:type="pct"/>
            <w:shd w:val="clear" w:color="auto" w:fill="auto"/>
            <w:noWrap/>
            <w:vAlign w:val="center"/>
          </w:tcPr>
          <w:p w14:paraId="28F6F7CD">
            <w:pPr>
              <w:widowControl/>
              <w:jc w:val="center"/>
              <w:rPr>
                <w:rFonts w:ascii="宋体" w:hAnsi="宋体" w:cs="宋体"/>
                <w:b/>
                <w:bCs/>
                <w:kern w:val="0"/>
                <w:sz w:val="18"/>
                <w:szCs w:val="18"/>
              </w:rPr>
            </w:pPr>
            <w:r>
              <w:rPr>
                <w:rFonts w:hint="eastAsia" w:ascii="宋体" w:hAnsi="宋体" w:cs="宋体"/>
                <w:b/>
                <w:bCs/>
                <w:kern w:val="0"/>
                <w:sz w:val="18"/>
                <w:szCs w:val="18"/>
              </w:rPr>
              <w:t>序号</w:t>
            </w:r>
          </w:p>
        </w:tc>
        <w:tc>
          <w:tcPr>
            <w:tcW w:w="2033" w:type="pct"/>
            <w:shd w:val="clear" w:color="auto" w:fill="auto"/>
            <w:noWrap/>
            <w:vAlign w:val="center"/>
          </w:tcPr>
          <w:p w14:paraId="6195CB9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1864" w:type="pct"/>
            <w:shd w:val="clear" w:color="auto" w:fill="auto"/>
            <w:noWrap/>
            <w:vAlign w:val="center"/>
          </w:tcPr>
          <w:p w14:paraId="05F89B71">
            <w:pPr>
              <w:widowControl/>
              <w:jc w:val="center"/>
              <w:rPr>
                <w:rFonts w:ascii="宋体" w:hAnsi="宋体" w:cs="宋体"/>
                <w:b/>
                <w:bCs/>
                <w:kern w:val="0"/>
                <w:sz w:val="18"/>
                <w:szCs w:val="18"/>
              </w:rPr>
            </w:pPr>
            <w:r>
              <w:rPr>
                <w:rFonts w:hint="eastAsia" w:ascii="宋体" w:hAnsi="宋体" w:cs="宋体"/>
                <w:b/>
                <w:bCs/>
                <w:kern w:val="0"/>
                <w:sz w:val="18"/>
                <w:szCs w:val="18"/>
              </w:rPr>
              <w:t>合计</w:t>
            </w:r>
          </w:p>
        </w:tc>
      </w:tr>
      <w:tr w14:paraId="06FF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101" w:type="pct"/>
            <w:shd w:val="clear" w:color="auto" w:fill="auto"/>
            <w:noWrap/>
            <w:vAlign w:val="center"/>
          </w:tcPr>
          <w:p w14:paraId="4E7FE9BE">
            <w:pPr>
              <w:widowControl/>
              <w:jc w:val="center"/>
              <w:rPr>
                <w:rFonts w:ascii="宋体" w:hAnsi="宋体" w:cs="宋体"/>
                <w:kern w:val="0"/>
                <w:sz w:val="18"/>
                <w:szCs w:val="18"/>
              </w:rPr>
            </w:pPr>
            <w:r>
              <w:rPr>
                <w:rFonts w:hint="eastAsia" w:ascii="宋体" w:hAnsi="宋体" w:cs="宋体"/>
                <w:kern w:val="0"/>
                <w:sz w:val="18"/>
                <w:szCs w:val="18"/>
              </w:rPr>
              <w:t>1</w:t>
            </w:r>
          </w:p>
        </w:tc>
        <w:tc>
          <w:tcPr>
            <w:tcW w:w="2033" w:type="pct"/>
            <w:shd w:val="clear" w:color="auto" w:fill="auto"/>
            <w:vAlign w:val="center"/>
          </w:tcPr>
          <w:p w14:paraId="51274FA3">
            <w:pPr>
              <w:widowControl/>
              <w:jc w:val="center"/>
              <w:rPr>
                <w:rFonts w:ascii="宋体" w:hAnsi="宋体" w:cs="宋体"/>
                <w:kern w:val="0"/>
                <w:sz w:val="18"/>
                <w:szCs w:val="18"/>
              </w:rPr>
            </w:pPr>
            <w:r>
              <w:rPr>
                <w:rFonts w:hint="eastAsia" w:ascii="宋体" w:hAnsi="宋体" w:cs="宋体"/>
                <w:kern w:val="0"/>
                <w:sz w:val="18"/>
                <w:szCs w:val="18"/>
              </w:rPr>
              <w:t>工程费用</w:t>
            </w:r>
          </w:p>
        </w:tc>
        <w:tc>
          <w:tcPr>
            <w:tcW w:w="3165" w:type="dxa"/>
            <w:shd w:val="clear" w:color="auto" w:fill="auto"/>
            <w:vAlign w:val="center"/>
          </w:tcPr>
          <w:p w14:paraId="69DBF1A5">
            <w:pPr>
              <w:widowControl/>
              <w:jc w:val="center"/>
              <w:textAlignment w:val="center"/>
              <w:rPr>
                <w:rFonts w:ascii="宋体" w:hAnsi="宋体" w:cs="宋体"/>
                <w:kern w:val="0"/>
                <w:sz w:val="18"/>
                <w:szCs w:val="18"/>
                <w:highlight w:val="yellow"/>
              </w:rPr>
            </w:pPr>
            <w:r>
              <w:rPr>
                <w:rFonts w:hint="eastAsia" w:ascii="宋体" w:hAnsi="宋体" w:eastAsia="宋体" w:cs="宋体"/>
                <w:color w:val="000000"/>
                <w:kern w:val="0"/>
                <w:sz w:val="18"/>
                <w:szCs w:val="18"/>
              </w:rPr>
              <w:t>55,931.81</w:t>
            </w:r>
          </w:p>
        </w:tc>
      </w:tr>
      <w:tr w14:paraId="0BC4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101" w:type="pct"/>
            <w:shd w:val="clear" w:color="auto" w:fill="auto"/>
            <w:noWrap/>
            <w:vAlign w:val="center"/>
          </w:tcPr>
          <w:p w14:paraId="00E7F8F9">
            <w:pPr>
              <w:widowControl/>
              <w:jc w:val="center"/>
              <w:rPr>
                <w:rFonts w:ascii="宋体" w:hAnsi="宋体" w:cs="宋体"/>
                <w:kern w:val="0"/>
                <w:sz w:val="18"/>
                <w:szCs w:val="18"/>
              </w:rPr>
            </w:pPr>
            <w:r>
              <w:rPr>
                <w:rFonts w:hint="eastAsia" w:ascii="宋体" w:hAnsi="宋体" w:cs="宋体"/>
                <w:kern w:val="0"/>
                <w:sz w:val="18"/>
                <w:szCs w:val="18"/>
              </w:rPr>
              <w:t>2</w:t>
            </w:r>
          </w:p>
        </w:tc>
        <w:tc>
          <w:tcPr>
            <w:tcW w:w="2033" w:type="pct"/>
            <w:shd w:val="clear" w:color="auto" w:fill="auto"/>
            <w:vAlign w:val="center"/>
          </w:tcPr>
          <w:p w14:paraId="03431A46">
            <w:pPr>
              <w:widowControl/>
              <w:jc w:val="center"/>
              <w:rPr>
                <w:rFonts w:ascii="宋体" w:hAnsi="宋体" w:cs="宋体"/>
                <w:kern w:val="0"/>
                <w:sz w:val="18"/>
                <w:szCs w:val="18"/>
              </w:rPr>
            </w:pPr>
            <w:r>
              <w:rPr>
                <w:rFonts w:hint="eastAsia" w:ascii="宋体" w:hAnsi="宋体" w:cs="宋体"/>
                <w:kern w:val="0"/>
                <w:sz w:val="18"/>
                <w:szCs w:val="18"/>
              </w:rPr>
              <w:t>工程建设其他费用</w:t>
            </w:r>
          </w:p>
        </w:tc>
        <w:tc>
          <w:tcPr>
            <w:tcW w:w="3165" w:type="dxa"/>
            <w:shd w:val="clear" w:color="auto" w:fill="auto"/>
            <w:vAlign w:val="center"/>
          </w:tcPr>
          <w:p w14:paraId="7D7FEA99">
            <w:pPr>
              <w:widowControl/>
              <w:jc w:val="center"/>
              <w:textAlignment w:val="center"/>
              <w:rPr>
                <w:rFonts w:ascii="宋体" w:hAnsi="宋体" w:cs="宋体"/>
                <w:kern w:val="0"/>
                <w:sz w:val="18"/>
                <w:szCs w:val="18"/>
                <w:highlight w:val="yellow"/>
              </w:rPr>
            </w:pPr>
            <w:r>
              <w:rPr>
                <w:rFonts w:hint="eastAsia" w:ascii="宋体" w:hAnsi="宋体" w:eastAsia="宋体" w:cs="宋体"/>
                <w:color w:val="000000"/>
                <w:kern w:val="0"/>
                <w:sz w:val="18"/>
                <w:szCs w:val="18"/>
              </w:rPr>
              <w:t>5,249.00</w:t>
            </w:r>
          </w:p>
        </w:tc>
      </w:tr>
      <w:tr w14:paraId="1CB3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101" w:type="pct"/>
            <w:shd w:val="clear" w:color="auto" w:fill="auto"/>
            <w:noWrap/>
            <w:vAlign w:val="center"/>
          </w:tcPr>
          <w:p w14:paraId="35340D9C">
            <w:pPr>
              <w:widowControl/>
              <w:jc w:val="center"/>
              <w:rPr>
                <w:rFonts w:ascii="宋体" w:hAnsi="宋体" w:cs="宋体"/>
                <w:kern w:val="0"/>
                <w:sz w:val="18"/>
                <w:szCs w:val="18"/>
              </w:rPr>
            </w:pPr>
            <w:r>
              <w:rPr>
                <w:rFonts w:hint="eastAsia" w:ascii="宋体" w:hAnsi="宋体" w:cs="宋体"/>
                <w:kern w:val="0"/>
                <w:sz w:val="18"/>
                <w:szCs w:val="18"/>
              </w:rPr>
              <w:t>3</w:t>
            </w:r>
          </w:p>
        </w:tc>
        <w:tc>
          <w:tcPr>
            <w:tcW w:w="2033" w:type="pct"/>
            <w:shd w:val="clear" w:color="auto" w:fill="auto"/>
            <w:vAlign w:val="center"/>
          </w:tcPr>
          <w:p w14:paraId="23948B2F">
            <w:pPr>
              <w:widowControl/>
              <w:jc w:val="center"/>
              <w:rPr>
                <w:rFonts w:ascii="宋体" w:hAnsi="宋体" w:cs="宋体"/>
                <w:kern w:val="0"/>
                <w:sz w:val="18"/>
                <w:szCs w:val="18"/>
              </w:rPr>
            </w:pPr>
            <w:r>
              <w:rPr>
                <w:rFonts w:hint="eastAsia" w:ascii="宋体" w:hAnsi="宋体" w:cs="宋体"/>
                <w:kern w:val="0"/>
                <w:sz w:val="18"/>
                <w:szCs w:val="18"/>
              </w:rPr>
              <w:t>预备费</w:t>
            </w:r>
          </w:p>
        </w:tc>
        <w:tc>
          <w:tcPr>
            <w:tcW w:w="3165" w:type="dxa"/>
            <w:shd w:val="clear" w:color="auto" w:fill="auto"/>
            <w:vAlign w:val="center"/>
          </w:tcPr>
          <w:p w14:paraId="7196C9DA">
            <w:pPr>
              <w:widowControl/>
              <w:jc w:val="center"/>
              <w:textAlignment w:val="center"/>
              <w:rPr>
                <w:rFonts w:ascii="宋体" w:hAnsi="宋体" w:cs="宋体"/>
                <w:kern w:val="0"/>
                <w:sz w:val="18"/>
                <w:szCs w:val="18"/>
                <w:highlight w:val="yellow"/>
              </w:rPr>
            </w:pPr>
            <w:r>
              <w:rPr>
                <w:rFonts w:hint="eastAsia" w:ascii="宋体" w:hAnsi="宋体" w:eastAsia="宋体" w:cs="宋体"/>
                <w:color w:val="000000"/>
                <w:kern w:val="0"/>
                <w:sz w:val="18"/>
                <w:szCs w:val="18"/>
              </w:rPr>
              <w:t>1,745.00</w:t>
            </w:r>
          </w:p>
        </w:tc>
      </w:tr>
      <w:tr w14:paraId="5AAD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135" w:type="pct"/>
            <w:gridSpan w:val="2"/>
            <w:shd w:val="clear" w:color="auto" w:fill="auto"/>
            <w:noWrap/>
            <w:vAlign w:val="center"/>
          </w:tcPr>
          <w:p w14:paraId="1F5AFC55">
            <w:pPr>
              <w:widowControl/>
              <w:jc w:val="center"/>
              <w:rPr>
                <w:rFonts w:ascii="宋体" w:hAnsi="宋体" w:cs="宋体"/>
                <w:b/>
                <w:bCs/>
                <w:kern w:val="0"/>
                <w:sz w:val="18"/>
                <w:szCs w:val="18"/>
              </w:rPr>
            </w:pPr>
            <w:r>
              <w:rPr>
                <w:rFonts w:hint="eastAsia" w:ascii="宋体" w:hAnsi="宋体" w:cs="宋体"/>
                <w:b/>
                <w:bCs/>
                <w:kern w:val="0"/>
                <w:sz w:val="18"/>
                <w:szCs w:val="18"/>
              </w:rPr>
              <w:t>项目静态总投资</w:t>
            </w:r>
          </w:p>
        </w:tc>
        <w:tc>
          <w:tcPr>
            <w:tcW w:w="3165" w:type="dxa"/>
            <w:shd w:val="clear" w:color="auto" w:fill="auto"/>
            <w:vAlign w:val="center"/>
          </w:tcPr>
          <w:p w14:paraId="2052DD14">
            <w:pPr>
              <w:widowControl/>
              <w:jc w:val="center"/>
              <w:textAlignment w:val="center"/>
              <w:rPr>
                <w:rFonts w:ascii="宋体" w:hAnsi="宋体" w:cs="宋体"/>
                <w:b/>
                <w:bCs/>
                <w:kern w:val="0"/>
                <w:sz w:val="18"/>
                <w:szCs w:val="18"/>
                <w:highlight w:val="yellow"/>
              </w:rPr>
            </w:pPr>
            <w:r>
              <w:rPr>
                <w:rFonts w:hint="eastAsia" w:ascii="宋体" w:hAnsi="宋体" w:eastAsia="宋体" w:cs="宋体"/>
                <w:b/>
                <w:bCs/>
                <w:color w:val="000000"/>
                <w:kern w:val="0"/>
                <w:sz w:val="18"/>
                <w:szCs w:val="18"/>
              </w:rPr>
              <w:t>62,925.81</w:t>
            </w:r>
          </w:p>
        </w:tc>
      </w:tr>
    </w:tbl>
    <w:p w14:paraId="1DF03C9A">
      <w:pPr>
        <w:spacing w:beforeLines="50" w:line="360" w:lineRule="auto"/>
        <w:ind w:firstLine="420" w:firstLineChars="200"/>
        <w:jc w:val="center"/>
        <w:rPr>
          <w:rFonts w:ascii="宋体" w:hAnsi="宋体" w:cs="仿宋"/>
          <w:b/>
          <w:bCs/>
          <w:szCs w:val="28"/>
        </w:rPr>
      </w:pPr>
      <w:r>
        <w:rPr>
          <w:rFonts w:hint="eastAsia" w:ascii="宋体" w:hAnsi="宋体" w:cs="仿宋"/>
          <w:b/>
          <w:bCs/>
          <w:szCs w:val="28"/>
        </w:rPr>
        <w:t>表1-2 项目分年度支出计划表</w:t>
      </w:r>
    </w:p>
    <w:p w14:paraId="7A9AE13C">
      <w:pPr>
        <w:ind w:firstLine="360" w:firstLineChars="200"/>
        <w:jc w:val="right"/>
        <w:rPr>
          <w:rFonts w:ascii="宋体" w:hAnsi="宋体" w:cs="仿宋"/>
          <w:b/>
          <w:bCs/>
          <w:sz w:val="18"/>
          <w:szCs w:val="18"/>
        </w:rPr>
      </w:pPr>
      <w:r>
        <w:rPr>
          <w:rFonts w:hint="eastAsia"/>
          <w:sz w:val="18"/>
          <w:szCs w:val="18"/>
        </w:rPr>
        <w:t>单位：万元</w:t>
      </w:r>
    </w:p>
    <w:tbl>
      <w:tblPr>
        <w:tblStyle w:val="24"/>
        <w:tblW w:w="9275" w:type="dxa"/>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413"/>
        <w:gridCol w:w="1033"/>
        <w:gridCol w:w="942"/>
        <w:gridCol w:w="1033"/>
        <w:gridCol w:w="1033"/>
        <w:gridCol w:w="1033"/>
        <w:gridCol w:w="942"/>
        <w:gridCol w:w="1120"/>
      </w:tblGrid>
      <w:tr w14:paraId="3A31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6" w:type="dxa"/>
            <w:shd w:val="clear" w:color="auto" w:fill="auto"/>
            <w:vAlign w:val="center"/>
          </w:tcPr>
          <w:p w14:paraId="03D350A8">
            <w:pPr>
              <w:widowControl/>
              <w:jc w:val="center"/>
              <w:rPr>
                <w:rFonts w:ascii="宋体" w:hAnsi="宋体" w:cs="宋体"/>
                <w:b/>
                <w:bCs/>
                <w:kern w:val="0"/>
                <w:sz w:val="18"/>
                <w:szCs w:val="18"/>
              </w:rPr>
            </w:pPr>
            <w:r>
              <w:rPr>
                <w:rFonts w:hint="eastAsia" w:ascii="宋体" w:hAnsi="宋体" w:cs="宋体"/>
                <w:b/>
                <w:bCs/>
                <w:sz w:val="18"/>
                <w:szCs w:val="18"/>
              </w:rPr>
              <w:t>序号</w:t>
            </w:r>
          </w:p>
        </w:tc>
        <w:tc>
          <w:tcPr>
            <w:tcW w:w="1413" w:type="dxa"/>
            <w:shd w:val="clear" w:color="auto" w:fill="auto"/>
            <w:vAlign w:val="center"/>
          </w:tcPr>
          <w:p w14:paraId="6FC250F6">
            <w:pPr>
              <w:jc w:val="center"/>
              <w:rPr>
                <w:rFonts w:ascii="宋体" w:hAnsi="宋体" w:cs="宋体"/>
                <w:b/>
                <w:bCs/>
                <w:sz w:val="18"/>
                <w:szCs w:val="18"/>
              </w:rPr>
            </w:pPr>
            <w:r>
              <w:rPr>
                <w:rFonts w:hint="eastAsia" w:ascii="宋体" w:hAnsi="宋体" w:cs="宋体"/>
                <w:b/>
                <w:bCs/>
                <w:sz w:val="18"/>
                <w:szCs w:val="18"/>
              </w:rPr>
              <w:t>费用类型</w:t>
            </w:r>
          </w:p>
        </w:tc>
        <w:tc>
          <w:tcPr>
            <w:tcW w:w="1033" w:type="dxa"/>
            <w:shd w:val="clear" w:color="auto" w:fill="auto"/>
            <w:vAlign w:val="center"/>
          </w:tcPr>
          <w:p w14:paraId="1D0CF2B0">
            <w:pPr>
              <w:widowControl/>
              <w:jc w:val="center"/>
              <w:textAlignment w:val="center"/>
              <w:rPr>
                <w:rFonts w:ascii="宋体" w:hAnsi="宋体" w:cs="宋体"/>
                <w:b/>
                <w:bCs/>
                <w:sz w:val="18"/>
                <w:szCs w:val="18"/>
              </w:rPr>
            </w:pPr>
            <w:r>
              <w:rPr>
                <w:rFonts w:hint="eastAsia" w:ascii="宋体" w:hAnsi="宋体" w:eastAsia="宋体" w:cs="宋体"/>
                <w:b/>
                <w:bCs/>
                <w:color w:val="000000"/>
                <w:kern w:val="0"/>
                <w:sz w:val="18"/>
                <w:szCs w:val="18"/>
              </w:rPr>
              <w:t>小计</w:t>
            </w:r>
          </w:p>
        </w:tc>
        <w:tc>
          <w:tcPr>
            <w:tcW w:w="942" w:type="dxa"/>
            <w:vAlign w:val="center"/>
          </w:tcPr>
          <w:p w14:paraId="67D99A90">
            <w:pPr>
              <w:widowControl/>
              <w:jc w:val="center"/>
              <w:textAlignment w:val="center"/>
              <w:rPr>
                <w:rFonts w:ascii="宋体" w:hAnsi="宋体" w:eastAsia="宋体" w:cs="宋体"/>
                <w:b/>
                <w:bCs/>
                <w:sz w:val="18"/>
                <w:szCs w:val="18"/>
              </w:rPr>
            </w:pPr>
            <w:r>
              <w:rPr>
                <w:rFonts w:hint="eastAsia" w:ascii="宋体" w:hAnsi="宋体" w:eastAsia="宋体" w:cs="宋体"/>
                <w:b/>
                <w:bCs/>
                <w:color w:val="000000"/>
                <w:kern w:val="0"/>
                <w:sz w:val="18"/>
                <w:szCs w:val="18"/>
              </w:rPr>
              <w:t>2022年</w:t>
            </w:r>
          </w:p>
        </w:tc>
        <w:tc>
          <w:tcPr>
            <w:tcW w:w="1033" w:type="dxa"/>
            <w:shd w:val="clear" w:color="auto" w:fill="auto"/>
            <w:vAlign w:val="center"/>
          </w:tcPr>
          <w:p w14:paraId="4398E7E9">
            <w:pPr>
              <w:widowControl/>
              <w:jc w:val="center"/>
              <w:textAlignment w:val="center"/>
              <w:rPr>
                <w:rFonts w:ascii="宋体" w:hAnsi="宋体" w:eastAsia="宋体" w:cs="宋体"/>
                <w:b/>
                <w:bCs/>
                <w:sz w:val="18"/>
                <w:szCs w:val="18"/>
              </w:rPr>
            </w:pPr>
            <w:r>
              <w:rPr>
                <w:rFonts w:hint="eastAsia" w:ascii="宋体" w:hAnsi="宋体" w:eastAsia="宋体" w:cs="宋体"/>
                <w:b/>
                <w:bCs/>
                <w:color w:val="000000"/>
                <w:kern w:val="0"/>
                <w:sz w:val="18"/>
                <w:szCs w:val="18"/>
              </w:rPr>
              <w:t>2023年</w:t>
            </w:r>
          </w:p>
        </w:tc>
        <w:tc>
          <w:tcPr>
            <w:tcW w:w="1033" w:type="dxa"/>
            <w:shd w:val="clear" w:color="auto" w:fill="auto"/>
            <w:vAlign w:val="center"/>
          </w:tcPr>
          <w:p w14:paraId="5B259666">
            <w:pPr>
              <w:widowControl/>
              <w:jc w:val="center"/>
              <w:textAlignment w:val="center"/>
              <w:rPr>
                <w:rFonts w:ascii="宋体" w:hAnsi="宋体" w:eastAsia="宋体" w:cs="宋体"/>
                <w:b/>
                <w:bCs/>
                <w:sz w:val="18"/>
                <w:szCs w:val="18"/>
              </w:rPr>
            </w:pPr>
            <w:r>
              <w:rPr>
                <w:rFonts w:hint="eastAsia" w:ascii="宋体" w:hAnsi="宋体" w:eastAsia="宋体" w:cs="宋体"/>
                <w:b/>
                <w:bCs/>
                <w:color w:val="000000"/>
                <w:kern w:val="0"/>
                <w:sz w:val="18"/>
                <w:szCs w:val="18"/>
              </w:rPr>
              <w:t>2024年</w:t>
            </w:r>
          </w:p>
        </w:tc>
        <w:tc>
          <w:tcPr>
            <w:tcW w:w="1033" w:type="dxa"/>
            <w:shd w:val="clear" w:color="auto" w:fill="auto"/>
            <w:vAlign w:val="center"/>
          </w:tcPr>
          <w:p w14:paraId="39E4E7F5">
            <w:pPr>
              <w:widowControl/>
              <w:jc w:val="center"/>
              <w:textAlignment w:val="center"/>
              <w:rPr>
                <w:rFonts w:ascii="宋体" w:hAnsi="宋体" w:eastAsia="宋体" w:cs="宋体"/>
                <w:b/>
                <w:kern w:val="0"/>
                <w:sz w:val="18"/>
                <w:szCs w:val="18"/>
              </w:rPr>
            </w:pPr>
            <w:r>
              <w:rPr>
                <w:rFonts w:hint="eastAsia" w:ascii="宋体" w:hAnsi="宋体" w:eastAsia="宋体" w:cs="宋体"/>
                <w:b/>
                <w:bCs/>
                <w:color w:val="000000"/>
                <w:kern w:val="0"/>
                <w:sz w:val="18"/>
                <w:szCs w:val="18"/>
              </w:rPr>
              <w:t>2025年</w:t>
            </w:r>
          </w:p>
        </w:tc>
        <w:tc>
          <w:tcPr>
            <w:tcW w:w="942" w:type="dxa"/>
            <w:shd w:val="clear" w:color="auto" w:fill="auto"/>
            <w:vAlign w:val="center"/>
          </w:tcPr>
          <w:p w14:paraId="3280B7B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2026年</w:t>
            </w:r>
          </w:p>
        </w:tc>
        <w:tc>
          <w:tcPr>
            <w:tcW w:w="1120" w:type="dxa"/>
            <w:shd w:val="clear" w:color="auto" w:fill="auto"/>
            <w:vAlign w:val="center"/>
          </w:tcPr>
          <w:p w14:paraId="6FB74835">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2027年</w:t>
            </w:r>
          </w:p>
        </w:tc>
      </w:tr>
      <w:tr w14:paraId="710A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6" w:type="dxa"/>
            <w:shd w:val="clear" w:color="auto" w:fill="auto"/>
            <w:vAlign w:val="center"/>
          </w:tcPr>
          <w:p w14:paraId="044E98B1">
            <w:pPr>
              <w:jc w:val="center"/>
              <w:rPr>
                <w:rFonts w:ascii="宋体" w:hAnsi="宋体" w:cs="宋体"/>
                <w:b/>
                <w:bCs/>
                <w:sz w:val="18"/>
                <w:szCs w:val="18"/>
              </w:rPr>
            </w:pPr>
            <w:r>
              <w:rPr>
                <w:rFonts w:hint="eastAsia" w:ascii="宋体" w:hAnsi="宋体" w:cs="宋体"/>
                <w:b/>
                <w:bCs/>
                <w:sz w:val="18"/>
                <w:szCs w:val="18"/>
              </w:rPr>
              <w:t>1</w:t>
            </w:r>
          </w:p>
        </w:tc>
        <w:tc>
          <w:tcPr>
            <w:tcW w:w="1413" w:type="dxa"/>
            <w:shd w:val="clear" w:color="auto" w:fill="auto"/>
            <w:vAlign w:val="center"/>
          </w:tcPr>
          <w:p w14:paraId="3AE5FF2D">
            <w:pPr>
              <w:jc w:val="center"/>
              <w:rPr>
                <w:rFonts w:ascii="宋体" w:hAnsi="宋体" w:cs="宋体"/>
                <w:sz w:val="18"/>
                <w:szCs w:val="18"/>
              </w:rPr>
            </w:pPr>
            <w:r>
              <w:rPr>
                <w:rFonts w:hint="eastAsia" w:ascii="宋体" w:hAnsi="宋体" w:cs="宋体"/>
                <w:sz w:val="18"/>
                <w:szCs w:val="18"/>
              </w:rPr>
              <w:t>工程费用</w:t>
            </w:r>
          </w:p>
        </w:tc>
        <w:tc>
          <w:tcPr>
            <w:tcW w:w="1033" w:type="dxa"/>
            <w:shd w:val="clear" w:color="auto" w:fill="auto"/>
            <w:vAlign w:val="center"/>
          </w:tcPr>
          <w:p w14:paraId="48A33D05">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55,931.81</w:t>
            </w:r>
          </w:p>
        </w:tc>
        <w:tc>
          <w:tcPr>
            <w:tcW w:w="942" w:type="dxa"/>
            <w:shd w:val="clear" w:color="auto" w:fill="auto"/>
            <w:vAlign w:val="center"/>
          </w:tcPr>
          <w:p w14:paraId="0D10CE92">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805.00</w:t>
            </w:r>
          </w:p>
        </w:tc>
        <w:tc>
          <w:tcPr>
            <w:tcW w:w="1033" w:type="dxa"/>
            <w:shd w:val="clear" w:color="auto" w:fill="auto"/>
            <w:vAlign w:val="center"/>
          </w:tcPr>
          <w:p w14:paraId="14498E7C">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10,184.00</w:t>
            </w:r>
          </w:p>
        </w:tc>
        <w:tc>
          <w:tcPr>
            <w:tcW w:w="1033" w:type="dxa"/>
            <w:shd w:val="clear" w:color="auto" w:fill="auto"/>
            <w:vAlign w:val="center"/>
          </w:tcPr>
          <w:p w14:paraId="283B165B">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23,714.31</w:t>
            </w:r>
          </w:p>
        </w:tc>
        <w:tc>
          <w:tcPr>
            <w:tcW w:w="1033" w:type="dxa"/>
            <w:shd w:val="clear" w:color="auto" w:fill="auto"/>
            <w:vAlign w:val="center"/>
          </w:tcPr>
          <w:p w14:paraId="4F680BB1">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15,161.02</w:t>
            </w:r>
          </w:p>
        </w:tc>
        <w:tc>
          <w:tcPr>
            <w:tcW w:w="942" w:type="dxa"/>
            <w:shd w:val="clear" w:color="auto" w:fill="auto"/>
            <w:vAlign w:val="center"/>
          </w:tcPr>
          <w:p w14:paraId="469ED566">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5,250.33</w:t>
            </w:r>
          </w:p>
        </w:tc>
        <w:tc>
          <w:tcPr>
            <w:tcW w:w="1120" w:type="dxa"/>
            <w:shd w:val="clear" w:color="auto" w:fill="auto"/>
            <w:vAlign w:val="center"/>
          </w:tcPr>
          <w:p w14:paraId="48F05F4F">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817.15</w:t>
            </w:r>
          </w:p>
        </w:tc>
      </w:tr>
      <w:tr w14:paraId="5CC3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6" w:type="dxa"/>
            <w:shd w:val="clear" w:color="auto" w:fill="auto"/>
            <w:vAlign w:val="center"/>
          </w:tcPr>
          <w:p w14:paraId="03216254">
            <w:pPr>
              <w:jc w:val="center"/>
              <w:rPr>
                <w:rFonts w:ascii="宋体" w:hAnsi="宋体" w:cs="宋体"/>
                <w:b/>
                <w:bCs/>
                <w:sz w:val="18"/>
                <w:szCs w:val="18"/>
              </w:rPr>
            </w:pPr>
            <w:r>
              <w:rPr>
                <w:rFonts w:hint="eastAsia" w:ascii="宋体" w:hAnsi="宋体" w:cs="宋体"/>
                <w:b/>
                <w:bCs/>
                <w:sz w:val="18"/>
                <w:szCs w:val="18"/>
              </w:rPr>
              <w:t>2</w:t>
            </w:r>
          </w:p>
        </w:tc>
        <w:tc>
          <w:tcPr>
            <w:tcW w:w="1413" w:type="dxa"/>
            <w:shd w:val="clear" w:color="auto" w:fill="auto"/>
            <w:vAlign w:val="center"/>
          </w:tcPr>
          <w:p w14:paraId="3AD4B652">
            <w:pPr>
              <w:jc w:val="center"/>
              <w:rPr>
                <w:rFonts w:ascii="宋体" w:hAnsi="宋体" w:cs="宋体"/>
                <w:sz w:val="18"/>
                <w:szCs w:val="18"/>
              </w:rPr>
            </w:pPr>
            <w:r>
              <w:rPr>
                <w:rFonts w:hint="eastAsia" w:ascii="宋体" w:hAnsi="宋体" w:cs="宋体"/>
                <w:sz w:val="18"/>
                <w:szCs w:val="18"/>
              </w:rPr>
              <w:t>工程建设其他费用</w:t>
            </w:r>
          </w:p>
        </w:tc>
        <w:tc>
          <w:tcPr>
            <w:tcW w:w="1033" w:type="dxa"/>
            <w:shd w:val="clear" w:color="auto" w:fill="auto"/>
            <w:vAlign w:val="center"/>
          </w:tcPr>
          <w:p w14:paraId="292B2D5E">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5,249.00</w:t>
            </w:r>
          </w:p>
        </w:tc>
        <w:tc>
          <w:tcPr>
            <w:tcW w:w="942" w:type="dxa"/>
            <w:shd w:val="clear" w:color="auto" w:fill="auto"/>
            <w:vAlign w:val="center"/>
          </w:tcPr>
          <w:p w14:paraId="10C78F28">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714.00</w:t>
            </w:r>
          </w:p>
        </w:tc>
        <w:tc>
          <w:tcPr>
            <w:tcW w:w="1033" w:type="dxa"/>
            <w:shd w:val="clear" w:color="auto" w:fill="auto"/>
            <w:vAlign w:val="center"/>
          </w:tcPr>
          <w:p w14:paraId="46EBF011">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642.00</w:t>
            </w:r>
          </w:p>
        </w:tc>
        <w:tc>
          <w:tcPr>
            <w:tcW w:w="1033" w:type="dxa"/>
            <w:shd w:val="clear" w:color="auto" w:fill="auto"/>
            <w:vAlign w:val="center"/>
          </w:tcPr>
          <w:p w14:paraId="4595A044">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2,254.21</w:t>
            </w:r>
          </w:p>
        </w:tc>
        <w:tc>
          <w:tcPr>
            <w:tcW w:w="1033" w:type="dxa"/>
            <w:shd w:val="clear" w:color="auto" w:fill="auto"/>
            <w:vAlign w:val="center"/>
          </w:tcPr>
          <w:p w14:paraId="450B153D">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1,034.7</w:t>
            </w:r>
            <w:r>
              <w:rPr>
                <w:rFonts w:hint="eastAsia" w:ascii="宋体" w:hAnsi="宋体" w:cs="宋体"/>
                <w:color w:val="000000"/>
                <w:kern w:val="0"/>
                <w:sz w:val="18"/>
                <w:szCs w:val="18"/>
              </w:rPr>
              <w:t>2</w:t>
            </w:r>
          </w:p>
        </w:tc>
        <w:tc>
          <w:tcPr>
            <w:tcW w:w="942" w:type="dxa"/>
            <w:shd w:val="clear" w:color="auto" w:fill="auto"/>
            <w:vAlign w:val="center"/>
          </w:tcPr>
          <w:p w14:paraId="1A5856C8">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450.00</w:t>
            </w:r>
          </w:p>
        </w:tc>
        <w:tc>
          <w:tcPr>
            <w:tcW w:w="1120" w:type="dxa"/>
            <w:shd w:val="clear" w:color="auto" w:fill="auto"/>
            <w:vAlign w:val="center"/>
          </w:tcPr>
          <w:p w14:paraId="53E408E0">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154.07</w:t>
            </w:r>
          </w:p>
        </w:tc>
      </w:tr>
      <w:tr w14:paraId="699D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726" w:type="dxa"/>
            <w:shd w:val="clear" w:color="auto" w:fill="auto"/>
            <w:vAlign w:val="center"/>
          </w:tcPr>
          <w:p w14:paraId="1A9DE2CA">
            <w:pPr>
              <w:jc w:val="center"/>
              <w:rPr>
                <w:rFonts w:ascii="宋体" w:hAnsi="宋体" w:cs="宋体"/>
                <w:b/>
                <w:bCs/>
                <w:sz w:val="18"/>
                <w:szCs w:val="18"/>
              </w:rPr>
            </w:pPr>
            <w:r>
              <w:rPr>
                <w:rFonts w:hint="eastAsia" w:ascii="宋体" w:hAnsi="宋体" w:cs="宋体"/>
                <w:b/>
                <w:bCs/>
                <w:sz w:val="18"/>
                <w:szCs w:val="18"/>
              </w:rPr>
              <w:t>3</w:t>
            </w:r>
          </w:p>
        </w:tc>
        <w:tc>
          <w:tcPr>
            <w:tcW w:w="1413" w:type="dxa"/>
            <w:shd w:val="clear" w:color="auto" w:fill="auto"/>
            <w:vAlign w:val="center"/>
          </w:tcPr>
          <w:p w14:paraId="35F35BB7">
            <w:pPr>
              <w:jc w:val="center"/>
              <w:rPr>
                <w:rFonts w:ascii="宋体" w:hAnsi="宋体" w:cs="宋体"/>
                <w:sz w:val="18"/>
                <w:szCs w:val="18"/>
              </w:rPr>
            </w:pPr>
            <w:r>
              <w:rPr>
                <w:rFonts w:hint="eastAsia" w:ascii="宋体" w:hAnsi="宋体" w:cs="宋体"/>
                <w:sz w:val="18"/>
                <w:szCs w:val="18"/>
              </w:rPr>
              <w:t>预备费</w:t>
            </w:r>
          </w:p>
        </w:tc>
        <w:tc>
          <w:tcPr>
            <w:tcW w:w="1033" w:type="dxa"/>
            <w:shd w:val="clear" w:color="auto" w:fill="auto"/>
            <w:vAlign w:val="center"/>
          </w:tcPr>
          <w:p w14:paraId="3B0A5BC3">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1,745.00</w:t>
            </w:r>
          </w:p>
        </w:tc>
        <w:tc>
          <w:tcPr>
            <w:tcW w:w="942" w:type="dxa"/>
            <w:shd w:val="clear" w:color="auto" w:fill="auto"/>
            <w:vAlign w:val="center"/>
          </w:tcPr>
          <w:p w14:paraId="6154592B">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25.00</w:t>
            </w:r>
          </w:p>
        </w:tc>
        <w:tc>
          <w:tcPr>
            <w:tcW w:w="1033" w:type="dxa"/>
            <w:shd w:val="clear" w:color="auto" w:fill="auto"/>
            <w:vAlign w:val="center"/>
          </w:tcPr>
          <w:p w14:paraId="5006AE48">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305.00</w:t>
            </w:r>
          </w:p>
        </w:tc>
        <w:tc>
          <w:tcPr>
            <w:tcW w:w="1033" w:type="dxa"/>
            <w:shd w:val="clear" w:color="auto" w:fill="auto"/>
            <w:vAlign w:val="center"/>
          </w:tcPr>
          <w:p w14:paraId="4ACE3CD4">
            <w:pPr>
              <w:widowControl/>
              <w:jc w:val="center"/>
              <w:textAlignment w:val="center"/>
              <w:rPr>
                <w:rFonts w:ascii="宋体" w:hAnsi="宋体" w:eastAsia="宋体" w:cs="宋体"/>
                <w:sz w:val="18"/>
                <w:szCs w:val="18"/>
                <w:highlight w:val="yellow"/>
              </w:rPr>
            </w:pPr>
            <w:r>
              <w:rPr>
                <w:rFonts w:hint="eastAsia" w:ascii="宋体" w:hAnsi="宋体" w:eastAsia="宋体" w:cs="宋体"/>
                <w:color w:val="000000"/>
                <w:kern w:val="0"/>
                <w:sz w:val="18"/>
                <w:szCs w:val="18"/>
              </w:rPr>
              <w:t>717.07</w:t>
            </w:r>
          </w:p>
        </w:tc>
        <w:tc>
          <w:tcPr>
            <w:tcW w:w="1033" w:type="dxa"/>
            <w:shd w:val="clear" w:color="auto" w:fill="auto"/>
            <w:vAlign w:val="center"/>
          </w:tcPr>
          <w:p w14:paraId="57A8F1B7">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481.27</w:t>
            </w:r>
          </w:p>
        </w:tc>
        <w:tc>
          <w:tcPr>
            <w:tcW w:w="942" w:type="dxa"/>
            <w:shd w:val="clear" w:color="auto" w:fill="auto"/>
            <w:vAlign w:val="center"/>
          </w:tcPr>
          <w:p w14:paraId="3E175F35">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190.00</w:t>
            </w:r>
          </w:p>
        </w:tc>
        <w:tc>
          <w:tcPr>
            <w:tcW w:w="1120" w:type="dxa"/>
            <w:shd w:val="clear" w:color="auto" w:fill="auto"/>
            <w:vAlign w:val="center"/>
          </w:tcPr>
          <w:p w14:paraId="5BC68B23">
            <w:pPr>
              <w:widowControl/>
              <w:jc w:val="center"/>
              <w:textAlignment w:val="center"/>
              <w:rPr>
                <w:rFonts w:ascii="宋体" w:hAnsi="宋体" w:eastAsia="宋体" w:cs="宋体"/>
                <w:color w:val="000000"/>
                <w:kern w:val="0"/>
                <w:sz w:val="18"/>
                <w:szCs w:val="18"/>
                <w:highlight w:val="yellow"/>
              </w:rPr>
            </w:pPr>
            <w:r>
              <w:rPr>
                <w:rFonts w:hint="eastAsia" w:ascii="宋体" w:hAnsi="宋体" w:eastAsia="宋体" w:cs="宋体"/>
                <w:color w:val="000000"/>
                <w:kern w:val="0"/>
                <w:sz w:val="18"/>
                <w:szCs w:val="18"/>
              </w:rPr>
              <w:t>26.66</w:t>
            </w:r>
          </w:p>
        </w:tc>
      </w:tr>
      <w:tr w14:paraId="730E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2139" w:type="dxa"/>
            <w:gridSpan w:val="2"/>
            <w:shd w:val="clear" w:color="auto" w:fill="auto"/>
            <w:vAlign w:val="center"/>
          </w:tcPr>
          <w:p w14:paraId="519F4E61">
            <w:pPr>
              <w:jc w:val="center"/>
              <w:rPr>
                <w:rFonts w:ascii="宋体" w:hAnsi="宋体" w:cs="宋体"/>
                <w:b/>
                <w:bCs/>
                <w:sz w:val="18"/>
                <w:szCs w:val="18"/>
              </w:rPr>
            </w:pPr>
            <w:r>
              <w:rPr>
                <w:rFonts w:hint="eastAsia" w:ascii="宋体" w:hAnsi="宋体" w:cs="宋体"/>
                <w:b/>
                <w:bCs/>
                <w:sz w:val="18"/>
                <w:szCs w:val="18"/>
              </w:rPr>
              <w:t>本次建设项目支出总计</w:t>
            </w:r>
          </w:p>
        </w:tc>
        <w:tc>
          <w:tcPr>
            <w:tcW w:w="1033" w:type="dxa"/>
            <w:shd w:val="clear" w:color="auto" w:fill="auto"/>
            <w:vAlign w:val="center"/>
          </w:tcPr>
          <w:p w14:paraId="33BA7FEB">
            <w:pPr>
              <w:widowControl/>
              <w:jc w:val="center"/>
              <w:textAlignment w:val="center"/>
              <w:rPr>
                <w:rFonts w:ascii="宋体" w:hAnsi="宋体" w:eastAsia="宋体" w:cs="宋体"/>
                <w:b/>
                <w:bCs/>
                <w:sz w:val="18"/>
                <w:szCs w:val="18"/>
                <w:highlight w:val="yellow"/>
              </w:rPr>
            </w:pPr>
            <w:r>
              <w:rPr>
                <w:rFonts w:hint="eastAsia" w:ascii="宋体" w:hAnsi="宋体" w:eastAsia="宋体" w:cs="宋体"/>
                <w:b/>
                <w:bCs/>
                <w:color w:val="000000"/>
                <w:kern w:val="0"/>
                <w:sz w:val="18"/>
                <w:szCs w:val="18"/>
              </w:rPr>
              <w:t>62,925.81</w:t>
            </w:r>
          </w:p>
        </w:tc>
        <w:tc>
          <w:tcPr>
            <w:tcW w:w="942" w:type="dxa"/>
            <w:shd w:val="clear" w:color="auto" w:fill="auto"/>
            <w:vAlign w:val="center"/>
          </w:tcPr>
          <w:p w14:paraId="20A4DE7A">
            <w:pPr>
              <w:widowControl/>
              <w:jc w:val="center"/>
              <w:textAlignment w:val="center"/>
              <w:rPr>
                <w:rFonts w:ascii="宋体" w:hAnsi="宋体" w:eastAsia="宋体" w:cs="宋体"/>
                <w:b/>
                <w:bCs/>
                <w:sz w:val="18"/>
                <w:szCs w:val="18"/>
                <w:highlight w:val="yellow"/>
              </w:rPr>
            </w:pPr>
            <w:r>
              <w:rPr>
                <w:rFonts w:hint="eastAsia" w:ascii="宋体" w:hAnsi="宋体" w:eastAsia="宋体" w:cs="宋体"/>
                <w:b/>
                <w:bCs/>
                <w:color w:val="000000"/>
                <w:kern w:val="0"/>
                <w:sz w:val="18"/>
                <w:szCs w:val="18"/>
              </w:rPr>
              <w:t>1,544.00</w:t>
            </w:r>
          </w:p>
        </w:tc>
        <w:tc>
          <w:tcPr>
            <w:tcW w:w="1033" w:type="dxa"/>
            <w:shd w:val="clear" w:color="auto" w:fill="auto"/>
            <w:vAlign w:val="center"/>
          </w:tcPr>
          <w:p w14:paraId="44229E7F">
            <w:pPr>
              <w:widowControl/>
              <w:jc w:val="center"/>
              <w:textAlignment w:val="center"/>
              <w:rPr>
                <w:rFonts w:ascii="宋体" w:hAnsi="宋体" w:eastAsia="宋体" w:cs="宋体"/>
                <w:b/>
                <w:bCs/>
                <w:sz w:val="18"/>
                <w:szCs w:val="18"/>
                <w:highlight w:val="yellow"/>
              </w:rPr>
            </w:pPr>
            <w:r>
              <w:rPr>
                <w:rFonts w:hint="eastAsia" w:ascii="宋体" w:hAnsi="宋体" w:eastAsia="宋体" w:cs="宋体"/>
                <w:b/>
                <w:bCs/>
                <w:color w:val="000000"/>
                <w:kern w:val="0"/>
                <w:sz w:val="18"/>
                <w:szCs w:val="18"/>
              </w:rPr>
              <w:t>11,131.00</w:t>
            </w:r>
          </w:p>
        </w:tc>
        <w:tc>
          <w:tcPr>
            <w:tcW w:w="1033" w:type="dxa"/>
            <w:shd w:val="clear" w:color="auto" w:fill="auto"/>
            <w:vAlign w:val="center"/>
          </w:tcPr>
          <w:p w14:paraId="083B3987">
            <w:pPr>
              <w:widowControl/>
              <w:jc w:val="center"/>
              <w:textAlignment w:val="center"/>
              <w:rPr>
                <w:rFonts w:ascii="宋体" w:hAnsi="宋体" w:eastAsia="宋体" w:cs="宋体"/>
                <w:b/>
                <w:bCs/>
                <w:sz w:val="18"/>
                <w:szCs w:val="18"/>
                <w:highlight w:val="yellow"/>
              </w:rPr>
            </w:pPr>
            <w:r>
              <w:rPr>
                <w:rFonts w:hint="eastAsia" w:ascii="宋体" w:hAnsi="宋体" w:eastAsia="宋体" w:cs="宋体"/>
                <w:b/>
                <w:bCs/>
                <w:color w:val="000000"/>
                <w:kern w:val="0"/>
                <w:sz w:val="18"/>
                <w:szCs w:val="18"/>
              </w:rPr>
              <w:t>26,685.59</w:t>
            </w:r>
          </w:p>
        </w:tc>
        <w:tc>
          <w:tcPr>
            <w:tcW w:w="1033" w:type="dxa"/>
            <w:shd w:val="clear" w:color="auto" w:fill="auto"/>
            <w:vAlign w:val="center"/>
          </w:tcPr>
          <w:p w14:paraId="38F15105">
            <w:pPr>
              <w:widowControl/>
              <w:jc w:val="center"/>
              <w:textAlignment w:val="center"/>
              <w:rPr>
                <w:rFonts w:ascii="宋体" w:hAnsi="宋体" w:eastAsia="宋体" w:cs="宋体"/>
                <w:b/>
                <w:bCs/>
                <w:color w:val="000000"/>
                <w:kern w:val="0"/>
                <w:sz w:val="18"/>
                <w:szCs w:val="18"/>
                <w:highlight w:val="yellow"/>
              </w:rPr>
            </w:pPr>
            <w:r>
              <w:rPr>
                <w:rFonts w:hint="eastAsia" w:ascii="宋体" w:hAnsi="宋体" w:eastAsia="宋体" w:cs="宋体"/>
                <w:b/>
                <w:bCs/>
                <w:color w:val="000000"/>
                <w:kern w:val="0"/>
                <w:sz w:val="18"/>
                <w:szCs w:val="18"/>
              </w:rPr>
              <w:t>16,677.01</w:t>
            </w:r>
          </w:p>
        </w:tc>
        <w:tc>
          <w:tcPr>
            <w:tcW w:w="942" w:type="dxa"/>
            <w:shd w:val="clear" w:color="auto" w:fill="auto"/>
            <w:vAlign w:val="center"/>
          </w:tcPr>
          <w:p w14:paraId="75DC712E">
            <w:pPr>
              <w:widowControl/>
              <w:jc w:val="center"/>
              <w:textAlignment w:val="center"/>
              <w:rPr>
                <w:rFonts w:ascii="宋体" w:hAnsi="宋体" w:eastAsia="宋体" w:cs="宋体"/>
                <w:b/>
                <w:bCs/>
                <w:color w:val="000000"/>
                <w:kern w:val="0"/>
                <w:sz w:val="18"/>
                <w:szCs w:val="18"/>
                <w:highlight w:val="yellow"/>
              </w:rPr>
            </w:pPr>
            <w:r>
              <w:rPr>
                <w:rFonts w:hint="eastAsia" w:ascii="宋体" w:hAnsi="宋体" w:eastAsia="宋体" w:cs="宋体"/>
                <w:b/>
                <w:bCs/>
                <w:color w:val="000000"/>
                <w:kern w:val="0"/>
                <w:sz w:val="18"/>
                <w:szCs w:val="18"/>
              </w:rPr>
              <w:t>5,890.33</w:t>
            </w:r>
          </w:p>
        </w:tc>
        <w:tc>
          <w:tcPr>
            <w:tcW w:w="1120" w:type="dxa"/>
            <w:shd w:val="clear" w:color="auto" w:fill="auto"/>
            <w:vAlign w:val="center"/>
          </w:tcPr>
          <w:p w14:paraId="7BFF12B1">
            <w:pPr>
              <w:widowControl/>
              <w:jc w:val="center"/>
              <w:textAlignment w:val="center"/>
              <w:rPr>
                <w:rFonts w:ascii="宋体" w:hAnsi="宋体" w:eastAsia="宋体" w:cs="宋体"/>
                <w:b/>
                <w:bCs/>
                <w:color w:val="000000"/>
                <w:kern w:val="0"/>
                <w:sz w:val="18"/>
                <w:szCs w:val="18"/>
                <w:highlight w:val="yellow"/>
              </w:rPr>
            </w:pPr>
            <w:r>
              <w:rPr>
                <w:rFonts w:hint="eastAsia" w:ascii="宋体" w:hAnsi="宋体" w:eastAsia="宋体" w:cs="宋体"/>
                <w:b/>
                <w:bCs/>
                <w:color w:val="000000"/>
                <w:kern w:val="0"/>
                <w:sz w:val="18"/>
                <w:szCs w:val="18"/>
              </w:rPr>
              <w:t>997.88</w:t>
            </w:r>
          </w:p>
        </w:tc>
      </w:tr>
    </w:tbl>
    <w:p w14:paraId="5EFDDCF8">
      <w:pPr>
        <w:pStyle w:val="20"/>
        <w:spacing w:before="0" w:beforeAutospacing="0" w:afterLines="50" w:afterAutospacing="0" w:line="360" w:lineRule="exact"/>
        <w:ind w:firstLine="357"/>
        <w:jc w:val="both"/>
        <w:rPr>
          <w:sz w:val="18"/>
          <w:szCs w:val="18"/>
        </w:rPr>
      </w:pPr>
      <w:r>
        <w:rPr>
          <w:rFonts w:hint="eastAsia"/>
          <w:sz w:val="18"/>
          <w:szCs w:val="18"/>
        </w:rPr>
        <w:t>注：1、项目建设期66个月。</w:t>
      </w:r>
    </w:p>
    <w:p w14:paraId="6EF526EA">
      <w:pPr>
        <w:pStyle w:val="20"/>
        <w:spacing w:before="0" w:beforeAutospacing="0" w:afterLines="50" w:afterAutospacing="0" w:line="360" w:lineRule="exact"/>
        <w:ind w:firstLine="357"/>
        <w:jc w:val="both"/>
        <w:rPr>
          <w:sz w:val="18"/>
          <w:szCs w:val="18"/>
        </w:rPr>
      </w:pPr>
      <w:r>
        <w:rPr>
          <w:sz w:val="18"/>
          <w:szCs w:val="18"/>
        </w:rPr>
        <w:t>2</w:t>
      </w:r>
      <w:r>
        <w:rPr>
          <w:rFonts w:hint="eastAsia"/>
          <w:sz w:val="18"/>
          <w:szCs w:val="18"/>
        </w:rPr>
        <w:t>、项目分年度支出计划上表中仅考虑静态总投资部分，建设期利息在资金充足性分析表中反映。</w:t>
      </w:r>
    </w:p>
    <w:p w14:paraId="4DE9EE53">
      <w:pPr>
        <w:widowControl/>
        <w:spacing w:line="560" w:lineRule="exact"/>
        <w:ind w:firstLine="560" w:firstLineChars="200"/>
        <w:jc w:val="left"/>
        <w:outlineLvl w:val="0"/>
        <w:rPr>
          <w:rFonts w:ascii="黑体" w:hAnsi="黑体" w:eastAsia="黑体" w:cs="黑体"/>
          <w:sz w:val="28"/>
          <w:szCs w:val="28"/>
        </w:rPr>
      </w:pPr>
      <w:r>
        <w:rPr>
          <w:rFonts w:hint="eastAsia" w:ascii="黑体" w:hAnsi="黑体" w:eastAsia="黑体" w:cs="黑体"/>
          <w:sz w:val="28"/>
          <w:szCs w:val="28"/>
        </w:rPr>
        <w:t>二、项目投资估算及资金筹措方案</w:t>
      </w:r>
      <w:bookmarkEnd w:id="179"/>
      <w:bookmarkEnd w:id="180"/>
    </w:p>
    <w:p w14:paraId="4E4A4AE0">
      <w:pPr>
        <w:widowControl/>
        <w:spacing w:line="560" w:lineRule="exact"/>
        <w:ind w:firstLine="560" w:firstLineChars="200"/>
        <w:jc w:val="left"/>
        <w:outlineLvl w:val="1"/>
        <w:rPr>
          <w:rFonts w:ascii="楷体" w:hAnsi="楷体" w:eastAsia="楷体" w:cs="楷体"/>
          <w:b/>
          <w:bCs/>
          <w:sz w:val="28"/>
          <w:szCs w:val="28"/>
        </w:rPr>
      </w:pPr>
      <w:bookmarkStart w:id="181" w:name="_Toc44517286"/>
      <w:bookmarkStart w:id="182" w:name="_Toc1798_WPSOffice_Level2"/>
      <w:r>
        <w:rPr>
          <w:rFonts w:hint="eastAsia" w:ascii="楷体" w:hAnsi="楷体" w:eastAsia="楷体" w:cs="楷体"/>
          <w:b/>
          <w:bCs/>
          <w:sz w:val="28"/>
          <w:szCs w:val="28"/>
        </w:rPr>
        <w:t>（一）投资估算</w:t>
      </w:r>
      <w:bookmarkEnd w:id="181"/>
      <w:bookmarkEnd w:id="182"/>
    </w:p>
    <w:p w14:paraId="14AE8D89">
      <w:pPr>
        <w:pStyle w:val="39"/>
        <w:spacing w:before="244"/>
        <w:ind w:left="-140" w:leftChars="-67" w:right="-98" w:rightChars="-47" w:firstLine="560" w:firstLineChars="200"/>
        <w:outlineLvl w:val="2"/>
        <w:rPr>
          <w:rFonts w:ascii="楷体" w:hAnsi="楷体" w:eastAsia="楷体"/>
          <w:b w:val="0"/>
        </w:rPr>
      </w:pPr>
      <w:bookmarkStart w:id="183" w:name="_Toc44517287"/>
      <w:r>
        <w:rPr>
          <w:rFonts w:hint="eastAsia" w:ascii="楷体" w:hAnsi="楷体" w:eastAsia="楷体"/>
          <w:b w:val="0"/>
        </w:rPr>
        <w:t>1、估算编制依据</w:t>
      </w:r>
      <w:bookmarkEnd w:id="183"/>
    </w:p>
    <w:p w14:paraId="2AA1FB0E">
      <w:pPr>
        <w:spacing w:beforeLines="50" w:afterLines="50" w:line="560" w:lineRule="exact"/>
        <w:ind w:left="718" w:leftChars="228" w:hanging="240" w:hangingChars="100"/>
        <w:rPr>
          <w:rFonts w:ascii="宋体" w:hAnsi="宋体" w:eastAsia="宋体" w:cs="宋体"/>
          <w:color w:val="000000" w:themeColor="text1"/>
          <w:sz w:val="24"/>
          <w:szCs w:val="24"/>
          <w14:textFill>
            <w14:solidFill>
              <w14:schemeClr w14:val="tx1"/>
            </w14:solidFill>
          </w14:textFill>
        </w:rPr>
      </w:pPr>
      <w:bookmarkStart w:id="184" w:name="_Toc44517288"/>
      <w:r>
        <w:rPr>
          <w:rFonts w:hint="eastAsia" w:ascii="宋体" w:hAnsi="宋体" w:eastAsia="宋体" w:cs="宋体"/>
          <w:color w:val="000000" w:themeColor="text1"/>
          <w:sz w:val="24"/>
          <w:szCs w:val="24"/>
          <w14:textFill>
            <w14:solidFill>
              <w14:schemeClr w14:val="tx1"/>
            </w14:solidFill>
          </w14:textFill>
        </w:rPr>
        <w:t>1)关于对关于对汽车零部件产业园（二期）及配套设施项目可行性研究报告的批复》（南发改投字[2022]11号）</w:t>
      </w:r>
    </w:p>
    <w:p w14:paraId="68560F5B">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2)财政部《关于试点发展项目收益与融资自求平衡的地方政府专项债券品种的通知》（财预〔2017〕89号文）；</w:t>
      </w:r>
    </w:p>
    <w:p w14:paraId="0356A5A3">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3)财政部《关于做好2018年地方政府债券发行工作的意见》（财库〔2018〕61号）；</w:t>
      </w:r>
    </w:p>
    <w:p w14:paraId="166F3D08">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4)《国家鼓励发展的资源节约综合利用和环境保护技术》（国家发展改革委令[2005]第65号）；</w:t>
      </w:r>
    </w:p>
    <w:p w14:paraId="4720ABE4">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5)《中华人民共和国电力法（2015年修正）》（国家主席令[2015]第24号）；</w:t>
      </w:r>
    </w:p>
    <w:p w14:paraId="71CEEE18">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6)《水利建设项目经济评价规范》（SL72-2013）；</w:t>
      </w:r>
    </w:p>
    <w:p w14:paraId="2D2276FA">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7)《水电建设项目经济评价规范》（DL/T5441-2010）；</w:t>
      </w:r>
    </w:p>
    <w:p w14:paraId="1F4E81B6">
      <w:pPr>
        <w:spacing w:beforeLines="50" w:afterLines="50"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8)《汽车零部件产业园（二期）及配套设施项目可行性研究报告》；</w:t>
      </w:r>
    </w:p>
    <w:p w14:paraId="22C62360">
      <w:pPr>
        <w:widowControl/>
        <w:spacing w:line="560" w:lineRule="exact"/>
        <w:ind w:firstLine="480" w:firstLineChars="200"/>
        <w:jc w:val="left"/>
        <w:rPr>
          <w:rFonts w:ascii="楷体" w:hAnsi="楷体" w:eastAsia="楷体" w:cs="楷体"/>
          <w:sz w:val="28"/>
          <w:szCs w:val="28"/>
        </w:rPr>
      </w:pPr>
      <w:r>
        <w:rPr>
          <w:rFonts w:hint="eastAsia" w:ascii="宋体" w:hAnsi="宋体" w:eastAsia="宋体" w:cs="宋体"/>
          <w:color w:val="000000" w:themeColor="text1"/>
          <w:sz w:val="24"/>
          <w:szCs w:val="24"/>
          <w14:textFill>
            <w14:solidFill>
              <w14:schemeClr w14:val="tx1"/>
            </w14:solidFill>
          </w14:textFill>
        </w:rPr>
        <w:t>9)建设工程规划设计要求（蓝协（2</w:t>
      </w:r>
      <w:r>
        <w:rPr>
          <w:rFonts w:ascii="宋体" w:hAnsi="宋体" w:eastAsia="宋体" w:cs="宋体"/>
          <w:color w:val="000000" w:themeColor="text1"/>
          <w:sz w:val="24"/>
          <w:szCs w:val="24"/>
          <w14:textFill>
            <w14:solidFill>
              <w14:schemeClr w14:val="tx1"/>
            </w14:solidFill>
          </w14:textFill>
        </w:rPr>
        <w:t>018</w:t>
      </w:r>
      <w:r>
        <w:rPr>
          <w:rFonts w:hint="eastAsia" w:ascii="宋体" w:hAnsi="宋体" w:eastAsia="宋体" w:cs="宋体"/>
          <w:color w:val="000000" w:themeColor="text1"/>
          <w:sz w:val="24"/>
          <w:szCs w:val="24"/>
          <w14:textFill>
            <w14:solidFill>
              <w14:schemeClr w14:val="tx1"/>
            </w14:solidFill>
          </w14:textFill>
        </w:rPr>
        <w:t>）第0</w:t>
      </w:r>
      <w:r>
        <w:rPr>
          <w:rFonts w:ascii="宋体" w:hAnsi="宋体" w:eastAsia="宋体" w:cs="宋体"/>
          <w:color w:val="000000" w:themeColor="text1"/>
          <w:sz w:val="24"/>
          <w:szCs w:val="24"/>
          <w14:textFill>
            <w14:solidFill>
              <w14:schemeClr w14:val="tx1"/>
            </w14:solidFill>
          </w14:textFill>
        </w:rPr>
        <w:t>01</w:t>
      </w:r>
      <w:r>
        <w:rPr>
          <w:rFonts w:hint="eastAsia" w:ascii="宋体" w:hAnsi="宋体" w:eastAsia="宋体" w:cs="宋体"/>
          <w:color w:val="000000" w:themeColor="text1"/>
          <w:sz w:val="24"/>
          <w:szCs w:val="24"/>
          <w14:textFill>
            <w14:solidFill>
              <w14:schemeClr w14:val="tx1"/>
            </w14:solidFill>
          </w14:textFill>
        </w:rPr>
        <w:t>号）；</w:t>
      </w:r>
    </w:p>
    <w:p w14:paraId="2488B7F5">
      <w:pPr>
        <w:pStyle w:val="39"/>
        <w:spacing w:before="244"/>
        <w:ind w:left="-140" w:leftChars="-67" w:right="-98" w:rightChars="-47" w:firstLine="560" w:firstLineChars="200"/>
        <w:outlineLvl w:val="2"/>
        <w:rPr>
          <w:rFonts w:ascii="楷体" w:hAnsi="楷体" w:eastAsia="楷体"/>
          <w:b w:val="0"/>
        </w:rPr>
      </w:pPr>
      <w:r>
        <w:rPr>
          <w:rFonts w:hint="eastAsia" w:ascii="楷体" w:hAnsi="楷体" w:eastAsia="楷体"/>
          <w:b w:val="0"/>
        </w:rPr>
        <w:t>2、费率及参数</w:t>
      </w:r>
      <w:bookmarkEnd w:id="184"/>
    </w:p>
    <w:p w14:paraId="22530ACB">
      <w:pPr>
        <w:spacing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本项目从客观、谨慎角度出发、发行利率取4.5%进行测算，本次债券发行按照每半年付息，到期一次性还本的方式。另外，按0.1%费率计算债券发行费用，符合专项债发行现状。</w:t>
      </w:r>
    </w:p>
    <w:p w14:paraId="07B5C27A">
      <w:pPr>
        <w:widowControl/>
        <w:spacing w:line="560" w:lineRule="exact"/>
        <w:ind w:firstLine="560" w:firstLineChars="200"/>
        <w:jc w:val="left"/>
        <w:outlineLvl w:val="1"/>
        <w:rPr>
          <w:rFonts w:ascii="楷体" w:hAnsi="楷体" w:eastAsia="楷体" w:cs="楷体"/>
          <w:b/>
          <w:bCs/>
          <w:sz w:val="28"/>
          <w:szCs w:val="28"/>
        </w:rPr>
      </w:pPr>
      <w:bookmarkStart w:id="185" w:name="_Toc44517290"/>
      <w:bookmarkStart w:id="186" w:name="_Toc27750_WPSOffice_Level2"/>
      <w:r>
        <w:rPr>
          <w:rFonts w:hint="eastAsia" w:ascii="楷体" w:hAnsi="楷体" w:eastAsia="楷体" w:cs="楷体"/>
          <w:b/>
          <w:bCs/>
          <w:sz w:val="28"/>
          <w:szCs w:val="28"/>
        </w:rPr>
        <w:t>（二）资金筹措方案</w:t>
      </w:r>
      <w:bookmarkEnd w:id="185"/>
      <w:bookmarkEnd w:id="186"/>
    </w:p>
    <w:p w14:paraId="7468E8AC">
      <w:pPr>
        <w:pStyle w:val="39"/>
        <w:spacing w:before="244"/>
        <w:ind w:left="-140" w:leftChars="-67" w:right="-98" w:rightChars="-47" w:firstLine="560" w:firstLineChars="200"/>
        <w:outlineLvl w:val="2"/>
        <w:rPr>
          <w:rFonts w:ascii="楷体" w:hAnsi="楷体" w:eastAsia="楷体"/>
          <w:b w:val="0"/>
        </w:rPr>
      </w:pPr>
      <w:bookmarkStart w:id="187" w:name="_Toc44517291"/>
      <w:r>
        <w:rPr>
          <w:rFonts w:hint="eastAsia" w:ascii="楷体" w:hAnsi="楷体" w:eastAsia="楷体"/>
          <w:b w:val="0"/>
        </w:rPr>
        <w:t>1、资金筹措原则</w:t>
      </w:r>
      <w:bookmarkEnd w:id="187"/>
    </w:p>
    <w:p w14:paraId="18147E5C">
      <w:pPr>
        <w:spacing w:line="560" w:lineRule="exact"/>
        <w:ind w:left="-140" w:leftChars="-67" w:right="-98" w:rightChars="-47" w:firstLine="480" w:firstLineChars="200"/>
        <w:rPr>
          <w:rFonts w:cs="宋体"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color w:val="000000" w:themeColor="text1"/>
          <w:sz w:val="24"/>
          <w:szCs w:val="24"/>
          <w14:textFill>
            <w14:solidFill>
              <w14:schemeClr w14:val="tx1"/>
            </w14:solidFill>
          </w14:textFill>
        </w:rPr>
        <w:t>本次资金筹措遵循以下原则：</w:t>
      </w:r>
    </w:p>
    <w:p w14:paraId="3C1C4F05">
      <w:pPr>
        <w:spacing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（1）项目投入一定资本金，保证项目顺利开工及后续融资的可能；</w:t>
      </w:r>
    </w:p>
    <w:p w14:paraId="3630FE2F">
      <w:pPr>
        <w:spacing w:line="56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（2）发行地方政府专项债券、其他融资。</w:t>
      </w:r>
    </w:p>
    <w:p w14:paraId="600CD466">
      <w:pPr>
        <w:pStyle w:val="39"/>
        <w:spacing w:before="244"/>
        <w:ind w:left="-140" w:leftChars="-67" w:right="-98" w:rightChars="-47" w:firstLine="560" w:firstLineChars="200"/>
        <w:outlineLvl w:val="2"/>
        <w:rPr>
          <w:rFonts w:ascii="楷体" w:hAnsi="楷体" w:eastAsia="楷体"/>
          <w:b w:val="0"/>
        </w:rPr>
      </w:pPr>
      <w:bookmarkStart w:id="188" w:name="_Toc44517292"/>
      <w:r>
        <w:rPr>
          <w:rFonts w:hint="eastAsia" w:ascii="楷体" w:hAnsi="楷体" w:eastAsia="楷体"/>
          <w:b w:val="0"/>
        </w:rPr>
        <w:t>2、资金筹措方案</w:t>
      </w:r>
      <w:bookmarkEnd w:id="188"/>
    </w:p>
    <w:p w14:paraId="6CE87CDB">
      <w:pPr>
        <w:pStyle w:val="20"/>
        <w:spacing w:before="0" w:beforeAutospacing="0" w:afterLines="50" w:afterAutospacing="0" w:line="360" w:lineRule="auto"/>
        <w:ind w:firstLine="480" w:firstLineChars="200"/>
        <w:jc w:val="both"/>
        <w:rPr>
          <w:sz w:val="24"/>
          <w:szCs w:val="24"/>
        </w:rPr>
      </w:pPr>
      <w:bookmarkStart w:id="189" w:name="_Toc44517293"/>
      <w:r>
        <w:rPr>
          <w:rFonts w:hint="eastAsia"/>
          <w:sz w:val="24"/>
          <w:szCs w:val="24"/>
        </w:rPr>
        <w:t>为了保障以上建设项目合理的融资需求，更好地发挥专项债券对本项目的支持作用，本次项目计划通过自筹资金及发行地方政府专项债券的方式完成项目建设。南昌小蓝经济技术开发区经济发展投资有限责任公司申请地方政府专项债券的明细情况见下表：</w:t>
      </w:r>
    </w:p>
    <w:p w14:paraId="30AA4EC4">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p w14:paraId="35F9FE53">
      <w:pPr>
        <w:pStyle w:val="20"/>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4"/>
        <w:tblW w:w="58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1138"/>
        <w:gridCol w:w="1399"/>
        <w:gridCol w:w="1399"/>
        <w:gridCol w:w="1099"/>
        <w:gridCol w:w="1186"/>
        <w:gridCol w:w="1164"/>
        <w:gridCol w:w="1166"/>
        <w:gridCol w:w="1176"/>
      </w:tblGrid>
      <w:tr w14:paraId="1E05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93" w:type="pct"/>
            <w:vMerge w:val="restart"/>
            <w:shd w:val="clear" w:color="auto" w:fill="auto"/>
            <w:noWrap/>
            <w:vAlign w:val="center"/>
          </w:tcPr>
          <w:p w14:paraId="752C7A2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562" w:type="pct"/>
            <w:vMerge w:val="restart"/>
            <w:shd w:val="clear" w:color="auto" w:fill="auto"/>
            <w:noWrap/>
            <w:vAlign w:val="center"/>
          </w:tcPr>
          <w:p w14:paraId="7A74E89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691" w:type="pct"/>
            <w:vMerge w:val="restart"/>
            <w:shd w:val="clear" w:color="auto" w:fill="auto"/>
            <w:vAlign w:val="center"/>
          </w:tcPr>
          <w:p w14:paraId="296B9758">
            <w:pPr>
              <w:widowControl/>
              <w:jc w:val="center"/>
              <w:rPr>
                <w:rFonts w:ascii="宋体" w:hAnsi="宋体" w:eastAsia="宋体" w:cs="宋体"/>
                <w:b/>
                <w:bCs/>
                <w:color w:val="000000"/>
                <w:kern w:val="0"/>
                <w:sz w:val="18"/>
                <w:szCs w:val="18"/>
              </w:rPr>
            </w:pPr>
            <w:r>
              <w:rPr>
                <w:rFonts w:hint="eastAsia" w:ascii="宋体" w:hAnsi="宋体" w:cs="宋体"/>
                <w:b/>
                <w:bCs/>
                <w:color w:val="000000"/>
                <w:kern w:val="0"/>
                <w:sz w:val="18"/>
                <w:szCs w:val="18"/>
              </w:rPr>
              <w:t>其中：银行借款</w:t>
            </w:r>
          </w:p>
        </w:tc>
        <w:tc>
          <w:tcPr>
            <w:tcW w:w="691" w:type="pct"/>
            <w:vMerge w:val="restart"/>
            <w:shd w:val="clear" w:color="auto" w:fill="auto"/>
            <w:vAlign w:val="center"/>
          </w:tcPr>
          <w:p w14:paraId="0ED08F6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2861" w:type="pct"/>
            <w:gridSpan w:val="5"/>
            <w:shd w:val="clear" w:color="auto" w:fill="auto"/>
            <w:vAlign w:val="center"/>
          </w:tcPr>
          <w:p w14:paraId="2B229A9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6BDC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93" w:type="pct"/>
            <w:vMerge w:val="continue"/>
            <w:vAlign w:val="center"/>
          </w:tcPr>
          <w:p w14:paraId="06B71BD9">
            <w:pPr>
              <w:widowControl/>
              <w:jc w:val="center"/>
              <w:rPr>
                <w:rFonts w:ascii="宋体" w:hAnsi="宋体" w:cs="宋体"/>
                <w:b/>
                <w:bCs/>
                <w:color w:val="000000"/>
                <w:kern w:val="0"/>
                <w:sz w:val="18"/>
                <w:szCs w:val="18"/>
              </w:rPr>
            </w:pPr>
          </w:p>
        </w:tc>
        <w:tc>
          <w:tcPr>
            <w:tcW w:w="562" w:type="pct"/>
            <w:vMerge w:val="continue"/>
            <w:vAlign w:val="center"/>
          </w:tcPr>
          <w:p w14:paraId="40A46DED">
            <w:pPr>
              <w:widowControl/>
              <w:jc w:val="center"/>
              <w:rPr>
                <w:rFonts w:ascii="宋体" w:hAnsi="宋体" w:cs="宋体"/>
                <w:b/>
                <w:bCs/>
                <w:color w:val="000000"/>
                <w:kern w:val="0"/>
                <w:sz w:val="18"/>
                <w:szCs w:val="18"/>
              </w:rPr>
            </w:pPr>
          </w:p>
        </w:tc>
        <w:tc>
          <w:tcPr>
            <w:tcW w:w="691" w:type="pct"/>
            <w:vMerge w:val="continue"/>
            <w:vAlign w:val="center"/>
          </w:tcPr>
          <w:p w14:paraId="6D23F3A6">
            <w:pPr>
              <w:widowControl/>
              <w:jc w:val="center"/>
              <w:rPr>
                <w:rFonts w:ascii="宋体" w:hAnsi="宋体" w:cs="宋体"/>
                <w:b/>
                <w:bCs/>
                <w:color w:val="000000"/>
                <w:kern w:val="0"/>
                <w:sz w:val="18"/>
                <w:szCs w:val="18"/>
              </w:rPr>
            </w:pPr>
          </w:p>
        </w:tc>
        <w:tc>
          <w:tcPr>
            <w:tcW w:w="691" w:type="pct"/>
            <w:vMerge w:val="continue"/>
            <w:vAlign w:val="center"/>
          </w:tcPr>
          <w:p w14:paraId="7410D584">
            <w:pPr>
              <w:widowControl/>
              <w:jc w:val="center"/>
              <w:rPr>
                <w:rFonts w:ascii="宋体" w:hAnsi="宋体" w:cs="宋体"/>
                <w:b/>
                <w:bCs/>
                <w:color w:val="000000"/>
                <w:kern w:val="0"/>
                <w:sz w:val="18"/>
                <w:szCs w:val="18"/>
              </w:rPr>
            </w:pPr>
          </w:p>
        </w:tc>
        <w:tc>
          <w:tcPr>
            <w:tcW w:w="543" w:type="pct"/>
            <w:shd w:val="clear" w:color="auto" w:fill="auto"/>
            <w:vAlign w:val="center"/>
          </w:tcPr>
          <w:p w14:paraId="0BC3DC2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86" w:type="pct"/>
            <w:shd w:val="clear" w:color="auto" w:fill="auto"/>
            <w:vAlign w:val="center"/>
          </w:tcPr>
          <w:p w14:paraId="67F71E0C">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2024年发行</w:t>
            </w:r>
          </w:p>
        </w:tc>
        <w:tc>
          <w:tcPr>
            <w:tcW w:w="575" w:type="pct"/>
            <w:shd w:val="clear" w:color="auto" w:fill="auto"/>
            <w:noWrap/>
            <w:vAlign w:val="center"/>
          </w:tcPr>
          <w:p w14:paraId="4F56D3E2">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2025年发行</w:t>
            </w:r>
          </w:p>
        </w:tc>
        <w:tc>
          <w:tcPr>
            <w:tcW w:w="576" w:type="pct"/>
            <w:shd w:val="clear" w:color="auto" w:fill="auto"/>
            <w:noWrap/>
            <w:vAlign w:val="center"/>
          </w:tcPr>
          <w:p w14:paraId="3100EBCE">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2026年发行</w:t>
            </w:r>
          </w:p>
        </w:tc>
        <w:tc>
          <w:tcPr>
            <w:tcW w:w="579" w:type="pct"/>
            <w:shd w:val="clear" w:color="auto" w:fill="auto"/>
            <w:noWrap/>
            <w:vAlign w:val="center"/>
          </w:tcPr>
          <w:p w14:paraId="1F027A7B">
            <w:pPr>
              <w:widowControl/>
              <w:jc w:val="center"/>
              <w:textAlignment w:val="center"/>
              <w:rPr>
                <w:rFonts w:ascii="宋体" w:hAnsi="宋体" w:cs="宋体"/>
                <w:b/>
                <w:bCs/>
                <w:color w:val="000000"/>
                <w:kern w:val="0"/>
                <w:sz w:val="18"/>
                <w:szCs w:val="18"/>
              </w:rPr>
            </w:pPr>
            <w:r>
              <w:rPr>
                <w:rFonts w:hint="eastAsia" w:ascii="宋体" w:hAnsi="宋体" w:eastAsia="宋体" w:cs="宋体"/>
                <w:b/>
                <w:bCs/>
                <w:color w:val="000000"/>
                <w:kern w:val="0"/>
                <w:sz w:val="18"/>
                <w:szCs w:val="18"/>
              </w:rPr>
              <w:t>2027年发行</w:t>
            </w:r>
          </w:p>
        </w:tc>
      </w:tr>
      <w:tr w14:paraId="62BE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93" w:type="pct"/>
            <w:shd w:val="clear" w:color="auto" w:fill="auto"/>
            <w:noWrap/>
            <w:vAlign w:val="center"/>
          </w:tcPr>
          <w:p w14:paraId="7130502E">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562" w:type="pct"/>
            <w:shd w:val="clear" w:color="auto" w:fill="auto"/>
            <w:noWrap/>
            <w:vAlign w:val="center"/>
          </w:tcPr>
          <w:p w14:paraId="7CE6E84B">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66,118.00</w:t>
            </w:r>
          </w:p>
        </w:tc>
        <w:tc>
          <w:tcPr>
            <w:tcW w:w="691" w:type="pct"/>
            <w:shd w:val="clear" w:color="auto" w:fill="auto"/>
            <w:noWrap/>
            <w:vAlign w:val="center"/>
          </w:tcPr>
          <w:p w14:paraId="198DAC6F">
            <w:pPr>
              <w:widowControl/>
              <w:jc w:val="center"/>
              <w:textAlignment w:val="center"/>
              <w:rPr>
                <w:rFonts w:ascii="宋体" w:hAnsi="宋体" w:eastAsia="宋体" w:cs="宋体"/>
                <w:color w:val="000000"/>
                <w:kern w:val="0"/>
                <w:sz w:val="18"/>
                <w:szCs w:val="18"/>
              </w:rPr>
            </w:pPr>
            <w:r>
              <w:rPr>
                <w:rFonts w:hint="eastAsia" w:ascii="宋体" w:hAnsi="宋体" w:cs="宋体"/>
                <w:color w:val="000000"/>
                <w:kern w:val="0"/>
                <w:sz w:val="18"/>
                <w:szCs w:val="18"/>
              </w:rPr>
              <w:t>22,000.00</w:t>
            </w:r>
          </w:p>
        </w:tc>
        <w:tc>
          <w:tcPr>
            <w:tcW w:w="691" w:type="pct"/>
            <w:shd w:val="clear" w:color="auto" w:fill="auto"/>
            <w:noWrap/>
            <w:vAlign w:val="center"/>
          </w:tcPr>
          <w:p w14:paraId="4ACB581B">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13,223.60</w:t>
            </w:r>
          </w:p>
        </w:tc>
        <w:tc>
          <w:tcPr>
            <w:tcW w:w="543" w:type="pct"/>
            <w:shd w:val="clear" w:color="auto" w:fill="auto"/>
            <w:vAlign w:val="center"/>
          </w:tcPr>
          <w:p w14:paraId="6015149F">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30,894.40</w:t>
            </w:r>
          </w:p>
        </w:tc>
        <w:tc>
          <w:tcPr>
            <w:tcW w:w="586" w:type="pct"/>
            <w:shd w:val="clear" w:color="auto" w:fill="auto"/>
            <w:noWrap/>
            <w:vAlign w:val="center"/>
          </w:tcPr>
          <w:p w14:paraId="133F1B47">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4,850.00</w:t>
            </w:r>
          </w:p>
        </w:tc>
        <w:tc>
          <w:tcPr>
            <w:tcW w:w="575" w:type="pct"/>
            <w:shd w:val="clear" w:color="auto" w:fill="auto"/>
            <w:noWrap/>
            <w:vAlign w:val="center"/>
          </w:tcPr>
          <w:p w14:paraId="69D64BAF">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16,684.00</w:t>
            </w:r>
          </w:p>
        </w:tc>
        <w:tc>
          <w:tcPr>
            <w:tcW w:w="576" w:type="pct"/>
            <w:shd w:val="clear" w:color="auto" w:fill="auto"/>
            <w:noWrap/>
            <w:vAlign w:val="center"/>
          </w:tcPr>
          <w:p w14:paraId="1EA5230C">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7,023.00</w:t>
            </w:r>
          </w:p>
        </w:tc>
        <w:tc>
          <w:tcPr>
            <w:tcW w:w="579" w:type="pct"/>
            <w:shd w:val="clear" w:color="auto" w:fill="auto"/>
            <w:noWrap/>
            <w:vAlign w:val="center"/>
          </w:tcPr>
          <w:p w14:paraId="508C22C6">
            <w:pPr>
              <w:widowControl/>
              <w:jc w:val="center"/>
              <w:textAlignment w:val="center"/>
              <w:rPr>
                <w:rFonts w:ascii="宋体" w:hAnsi="宋体" w:cs="Arial"/>
                <w:kern w:val="0"/>
                <w:sz w:val="18"/>
                <w:szCs w:val="18"/>
              </w:rPr>
            </w:pPr>
            <w:r>
              <w:rPr>
                <w:rFonts w:hint="eastAsia" w:ascii="宋体" w:hAnsi="宋体" w:eastAsia="宋体" w:cs="宋体"/>
                <w:color w:val="000000"/>
                <w:kern w:val="0"/>
                <w:sz w:val="18"/>
                <w:szCs w:val="18"/>
              </w:rPr>
              <w:t>2,337.40</w:t>
            </w:r>
          </w:p>
        </w:tc>
      </w:tr>
    </w:tbl>
    <w:p w14:paraId="30FFA19E">
      <w:pPr>
        <w:pStyle w:val="20"/>
        <w:spacing w:beforeLines="50" w:beforeAutospacing="0" w:afterLines="50" w:afterAutospacing="0" w:line="360" w:lineRule="auto"/>
        <w:ind w:firstLine="480" w:firstLineChars="200"/>
        <w:jc w:val="both"/>
        <w:rPr>
          <w:sz w:val="21"/>
          <w:szCs w:val="21"/>
        </w:rPr>
      </w:pPr>
      <w:r>
        <w:rPr>
          <w:rFonts w:hint="eastAsia"/>
          <w:sz w:val="24"/>
          <w:szCs w:val="24"/>
        </w:rPr>
        <w:t>按照发行方案及筹资计划，本次拟发行项目的总投资估算为66,118.00万元，通过自筹资金、申请专项债券等途径解决，其一，自筹资金13,223.60万元；其二，拟发行专项债券30,894.40万元，发行期限30年，其中，本次申请发行4,850.00万，2025年计划发行16,684.00万元，2026年计划发行7,023.00万元，2027年计划发行2,337.40万元；其三，银行借款22,000.00万元，贷款期限15年，其中，2024年借款21,400.00万元，2025年计划贷款600.00万元。</w:t>
      </w:r>
    </w:p>
    <w:p w14:paraId="52DE2EE1">
      <w:pPr>
        <w:widowControl/>
        <w:spacing w:line="560" w:lineRule="exact"/>
        <w:jc w:val="left"/>
        <w:outlineLvl w:val="0"/>
        <w:rPr>
          <w:rFonts w:ascii="黑体" w:hAnsi="黑体" w:eastAsia="黑体" w:cs="黑体"/>
          <w:sz w:val="28"/>
          <w:szCs w:val="28"/>
        </w:rPr>
      </w:pPr>
      <w:bookmarkStart w:id="190" w:name="_Toc18099_WPSOffice_Level1"/>
      <w:r>
        <w:rPr>
          <w:rFonts w:hint="eastAsia" w:ascii="黑体" w:hAnsi="黑体" w:eastAsia="黑体" w:cs="黑体"/>
          <w:sz w:val="28"/>
          <w:szCs w:val="28"/>
        </w:rPr>
        <w:t>三、项目预期收益、成本及融资平衡情况</w:t>
      </w:r>
      <w:bookmarkEnd w:id="189"/>
      <w:bookmarkEnd w:id="190"/>
    </w:p>
    <w:p w14:paraId="5D1C8110">
      <w:pPr>
        <w:widowControl/>
        <w:spacing w:line="560" w:lineRule="exact"/>
        <w:ind w:firstLine="560" w:firstLineChars="200"/>
        <w:jc w:val="left"/>
        <w:outlineLvl w:val="1"/>
        <w:rPr>
          <w:rFonts w:ascii="楷体" w:hAnsi="楷体" w:eastAsia="楷体" w:cs="楷体"/>
          <w:b/>
          <w:bCs/>
          <w:sz w:val="28"/>
          <w:szCs w:val="28"/>
        </w:rPr>
      </w:pPr>
      <w:bookmarkStart w:id="191" w:name="_Toc20928_WPSOffice_Level2"/>
      <w:bookmarkStart w:id="192" w:name="_Toc44517294"/>
      <w:r>
        <w:rPr>
          <w:rFonts w:hint="eastAsia" w:ascii="楷体" w:hAnsi="楷体" w:eastAsia="楷体" w:cs="楷体"/>
          <w:b/>
          <w:bCs/>
          <w:sz w:val="28"/>
          <w:szCs w:val="28"/>
        </w:rPr>
        <w:t>收入测算</w:t>
      </w:r>
      <w:bookmarkEnd w:id="191"/>
      <w:bookmarkEnd w:id="192"/>
    </w:p>
    <w:p w14:paraId="680D359B">
      <w:pPr>
        <w:pStyle w:val="20"/>
        <w:spacing w:before="0" w:beforeAutospacing="0" w:afterLines="50" w:afterAutospacing="0" w:line="360" w:lineRule="auto"/>
        <w:ind w:firstLine="480" w:firstLineChars="200"/>
        <w:jc w:val="both"/>
        <w:rPr>
          <w:sz w:val="21"/>
          <w:szCs w:val="21"/>
        </w:rPr>
      </w:pPr>
      <w:bookmarkStart w:id="193" w:name="_Toc44517297"/>
      <w:bookmarkStart w:id="194" w:name="_Toc6709_WPSOffice_Level2"/>
      <w:r>
        <w:rPr>
          <w:rFonts w:hint="eastAsia"/>
          <w:sz w:val="24"/>
          <w:szCs w:val="24"/>
        </w:rPr>
        <w:t>本次申请发行的202</w:t>
      </w:r>
      <w:r>
        <w:rPr>
          <w:sz w:val="24"/>
          <w:szCs w:val="24"/>
        </w:rPr>
        <w:t>4</w:t>
      </w:r>
      <w:r>
        <w:rPr>
          <w:rFonts w:hint="eastAsia"/>
          <w:sz w:val="24"/>
          <w:szCs w:val="24"/>
        </w:rPr>
        <w:t>年江西省汽车零部件产业园(二期)及配套设施建设项目专项债券项目，预计业务活动现金流入合计为196,164.74万元，其中标准厂房租赁收入177,309.18万元，配套用房租赁收入18,855.56万元</w:t>
      </w:r>
      <w:r>
        <w:rPr>
          <w:sz w:val="24"/>
          <w:szCs w:val="24"/>
        </w:rPr>
        <w:t>。</w:t>
      </w:r>
      <w:r>
        <w:rPr>
          <w:rFonts w:hint="eastAsia"/>
          <w:sz w:val="24"/>
          <w:szCs w:val="24"/>
        </w:rPr>
        <w:t>项目自运营期（2028</w:t>
      </w:r>
      <w:r>
        <w:rPr>
          <w:sz w:val="24"/>
          <w:szCs w:val="24"/>
        </w:rPr>
        <w:t>年</w:t>
      </w:r>
      <w:r>
        <w:rPr>
          <w:rFonts w:hint="eastAsia"/>
          <w:sz w:val="24"/>
          <w:szCs w:val="24"/>
        </w:rPr>
        <w:t>1月）开始至债券到期的项目收益年度分布情况如下：</w:t>
      </w:r>
    </w:p>
    <w:p w14:paraId="57E34D04">
      <w:pPr>
        <w:pStyle w:val="20"/>
        <w:keepNext/>
        <w:spacing w:before="0" w:beforeAutospacing="0" w:after="0" w:afterAutospacing="0" w:line="360" w:lineRule="exact"/>
        <w:jc w:val="center"/>
        <w:rPr>
          <w:b/>
          <w:sz w:val="21"/>
          <w:szCs w:val="21"/>
        </w:rPr>
      </w:pPr>
      <w:r>
        <w:rPr>
          <w:rFonts w:hint="eastAsia"/>
          <w:b/>
          <w:sz w:val="21"/>
          <w:szCs w:val="21"/>
        </w:rPr>
        <w:t>表3-</w:t>
      </w:r>
      <w:r>
        <w:rPr>
          <w:b/>
          <w:sz w:val="21"/>
          <w:szCs w:val="21"/>
        </w:rPr>
        <w:t xml:space="preserve">1  </w:t>
      </w:r>
      <w:r>
        <w:rPr>
          <w:rFonts w:hint="eastAsia"/>
          <w:b/>
          <w:sz w:val="21"/>
          <w:szCs w:val="21"/>
        </w:rPr>
        <w:t>项目收益年度分布情况分析</w:t>
      </w:r>
    </w:p>
    <w:p w14:paraId="4928215C">
      <w:pPr>
        <w:pStyle w:val="20"/>
        <w:keepNext/>
        <w:spacing w:before="0" w:beforeAutospacing="0" w:after="0" w:afterAutospacing="0" w:line="360" w:lineRule="exact"/>
        <w:ind w:right="54" w:rightChars="26" w:firstLine="360" w:firstLineChars="200"/>
        <w:jc w:val="right"/>
        <w:rPr>
          <w:sz w:val="18"/>
          <w:szCs w:val="18"/>
        </w:rPr>
      </w:pPr>
      <w:r>
        <w:rPr>
          <w:rFonts w:hint="eastAsia"/>
          <w:sz w:val="18"/>
          <w:szCs w:val="18"/>
        </w:rPr>
        <w:t>单位：万元</w:t>
      </w:r>
    </w:p>
    <w:tbl>
      <w:tblPr>
        <w:tblStyle w:val="24"/>
        <w:tblW w:w="4999" w:type="pct"/>
        <w:tblInd w:w="0" w:type="dxa"/>
        <w:tblLayout w:type="autofit"/>
        <w:tblCellMar>
          <w:top w:w="0" w:type="dxa"/>
          <w:left w:w="108" w:type="dxa"/>
          <w:bottom w:w="0" w:type="dxa"/>
          <w:right w:w="108" w:type="dxa"/>
        </w:tblCellMar>
      </w:tblPr>
      <w:tblGrid>
        <w:gridCol w:w="1329"/>
        <w:gridCol w:w="2761"/>
        <w:gridCol w:w="2761"/>
        <w:gridCol w:w="1867"/>
      </w:tblGrid>
      <w:tr w14:paraId="752D315E">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D4C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年份</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1396E">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标准厂房租赁收入</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2041">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配套用房租赁收入</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41EDC">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合计</w:t>
            </w:r>
          </w:p>
        </w:tc>
      </w:tr>
      <w:tr w14:paraId="753ABE02">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0DC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2028年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80B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4,744.76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C19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504.57</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A1E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5,249.33</w:t>
            </w:r>
          </w:p>
        </w:tc>
      </w:tr>
      <w:tr w14:paraId="10F3CF42">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D8D1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2029年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C8D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4,981.99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3EEA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529.80</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31F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5,511.79</w:t>
            </w:r>
          </w:p>
        </w:tc>
      </w:tr>
      <w:tr w14:paraId="4E7320BF">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CED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2030年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B152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4,981.99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BAC7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529.80</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EAEE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5,511.79</w:t>
            </w:r>
          </w:p>
        </w:tc>
      </w:tr>
      <w:tr w14:paraId="07C05C00">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189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2031年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1D9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4,981.99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740E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529.80</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DF21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5,511.79</w:t>
            </w:r>
          </w:p>
        </w:tc>
      </w:tr>
      <w:tr w14:paraId="7BB82AB0">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3C8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2032年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E435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5,231.09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76B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556.29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6820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5,787.38</w:t>
            </w:r>
          </w:p>
        </w:tc>
      </w:tr>
      <w:tr w14:paraId="1573F2A6">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6AF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2033年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68B1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5,231.09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D48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556.29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E6BE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5,787.38</w:t>
            </w:r>
          </w:p>
        </w:tc>
      </w:tr>
      <w:tr w14:paraId="63C2084B">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9AF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2034年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0AD1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5,231.09</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E83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556.29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71E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5,787.38</w:t>
            </w:r>
          </w:p>
        </w:tc>
      </w:tr>
      <w:tr w14:paraId="522E622E">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A37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2035年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494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5,492.06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061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584.04</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A40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6,076.10</w:t>
            </w:r>
          </w:p>
        </w:tc>
      </w:tr>
      <w:tr w14:paraId="6C51F4FA">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A75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2036年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2841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5,492.06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0B6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584.04</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E48E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6,076.10</w:t>
            </w:r>
          </w:p>
        </w:tc>
      </w:tr>
      <w:tr w14:paraId="71119DE6">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63C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2037年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294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5,492.06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F8C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584.04</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816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6,076.10</w:t>
            </w:r>
          </w:p>
        </w:tc>
      </w:tr>
      <w:tr w14:paraId="2602DFDE">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FF9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2038年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71B7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5,767.25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029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613.31</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2D08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6,380.56</w:t>
            </w:r>
          </w:p>
        </w:tc>
      </w:tr>
      <w:tr w14:paraId="1CF8C044">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01E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2039年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F0A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5,767.25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6CF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613.31</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B21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6,380.56</w:t>
            </w:r>
          </w:p>
        </w:tc>
      </w:tr>
      <w:tr w14:paraId="5DAD3AB9">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F5C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2040年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E36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5,767.25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521B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613.31</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03E4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6,380.56</w:t>
            </w:r>
          </w:p>
        </w:tc>
      </w:tr>
      <w:tr w14:paraId="577488F3">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1A7E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2041年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B73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6,056.68</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BD1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644.08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4C1A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6,700.76</w:t>
            </w:r>
          </w:p>
        </w:tc>
      </w:tr>
      <w:tr w14:paraId="45E57BF9">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E2AC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2042年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0B6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6,056.68</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DB0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644.08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71B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6,700.76</w:t>
            </w:r>
          </w:p>
        </w:tc>
      </w:tr>
      <w:tr w14:paraId="012FFB11">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464B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2043年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F518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6,056.68</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358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644.08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87B5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6,700.76</w:t>
            </w:r>
          </w:p>
        </w:tc>
      </w:tr>
      <w:tr w14:paraId="06B0D386">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4306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2044年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0A7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6,360.35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030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676.38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92F7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7,036.73</w:t>
            </w:r>
          </w:p>
        </w:tc>
      </w:tr>
      <w:tr w14:paraId="1E51E328">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0AF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2045年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1C5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6,360.35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590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676.38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EDF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7,036.73</w:t>
            </w:r>
          </w:p>
        </w:tc>
      </w:tr>
      <w:tr w14:paraId="6EE6DA1A">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CF1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2046年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D89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6,360.35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BFD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676.38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8B7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7,036.73</w:t>
            </w:r>
          </w:p>
        </w:tc>
      </w:tr>
      <w:tr w14:paraId="34D84EBB">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D169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2047年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8DD4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6,678.25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642D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710.18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DBC6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7,388.43</w:t>
            </w:r>
          </w:p>
        </w:tc>
      </w:tr>
      <w:tr w14:paraId="2C5E7563">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709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2048年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755D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6,678.25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8DB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710.18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4BA3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7,388.43</w:t>
            </w:r>
          </w:p>
        </w:tc>
      </w:tr>
      <w:tr w14:paraId="44AE4681">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ED5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2049年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0E5E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6,678.25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174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710.18</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484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7,388.43</w:t>
            </w:r>
          </w:p>
        </w:tc>
      </w:tr>
      <w:tr w14:paraId="7197C170">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63B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2050年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D29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7,012.75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FBD3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745.76</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C28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7,758.51</w:t>
            </w:r>
          </w:p>
        </w:tc>
      </w:tr>
      <w:tr w14:paraId="5B9D2175">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8445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2051年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60E5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7,012.75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418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745.76</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FB1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7,758.51</w:t>
            </w:r>
          </w:p>
        </w:tc>
      </w:tr>
      <w:tr w14:paraId="1A15F0D7">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308B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2052年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D56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7,012.75</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C1C2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745.76</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3C6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7,758.51</w:t>
            </w:r>
          </w:p>
        </w:tc>
      </w:tr>
      <w:tr w14:paraId="59EF2880">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F5D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2053年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8946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7,363.86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459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783.09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E599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8,146.95</w:t>
            </w:r>
          </w:p>
        </w:tc>
      </w:tr>
      <w:tr w14:paraId="583736CF">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A9B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2054年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B88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7,363.86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4A18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783.09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2DBC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8,146.95</w:t>
            </w:r>
          </w:p>
        </w:tc>
      </w:tr>
      <w:tr w14:paraId="78D9F212">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847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2055年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F77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7,363.86</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583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783.09</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570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8,146.95</w:t>
            </w:r>
          </w:p>
        </w:tc>
      </w:tr>
      <w:tr w14:paraId="71ACF9A2">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9FE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2056年</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6AD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7,731.58</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455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822.20</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71D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8,553.78</w:t>
            </w:r>
          </w:p>
        </w:tc>
      </w:tr>
      <w:tr w14:paraId="3785BEB4">
        <w:trPr>
          <w:trHeight w:val="28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C9B8">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合计</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DA873">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177,309.18</w:t>
            </w:r>
          </w:p>
        </w:tc>
        <w:tc>
          <w:tcPr>
            <w:tcW w:w="1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485A">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18,855.56</w:t>
            </w:r>
          </w:p>
        </w:tc>
        <w:tc>
          <w:tcPr>
            <w:tcW w:w="10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D986">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196,164.74</w:t>
            </w:r>
          </w:p>
        </w:tc>
      </w:tr>
    </w:tbl>
    <w:p w14:paraId="7A82FA55">
      <w:pPr>
        <w:pStyle w:val="20"/>
        <w:spacing w:before="0" w:beforeAutospacing="0" w:afterLines="50" w:afterAutospacing="0" w:line="360" w:lineRule="exact"/>
        <w:ind w:firstLine="360" w:firstLineChars="200"/>
        <w:rPr>
          <w:sz w:val="18"/>
          <w:szCs w:val="18"/>
        </w:rPr>
      </w:pPr>
      <w:r>
        <w:rPr>
          <w:rFonts w:hint="eastAsia"/>
          <w:sz w:val="18"/>
          <w:szCs w:val="18"/>
        </w:rPr>
        <w:t>注：2</w:t>
      </w:r>
      <w:r>
        <w:rPr>
          <w:sz w:val="18"/>
          <w:szCs w:val="18"/>
        </w:rPr>
        <w:t>02</w:t>
      </w:r>
      <w:r>
        <w:rPr>
          <w:rFonts w:hint="eastAsia"/>
          <w:sz w:val="18"/>
          <w:szCs w:val="18"/>
        </w:rPr>
        <w:t>4年-2027年发行债券，最后一期债券到期年份为2</w:t>
      </w:r>
      <w:r>
        <w:rPr>
          <w:sz w:val="18"/>
          <w:szCs w:val="18"/>
        </w:rPr>
        <w:t>0</w:t>
      </w:r>
      <w:r>
        <w:rPr>
          <w:rFonts w:hint="eastAsia"/>
          <w:sz w:val="18"/>
          <w:szCs w:val="18"/>
        </w:rPr>
        <w:t>57</w:t>
      </w:r>
      <w:r>
        <w:rPr>
          <w:sz w:val="18"/>
          <w:szCs w:val="18"/>
        </w:rPr>
        <w:t>年</w:t>
      </w:r>
      <w:r>
        <w:rPr>
          <w:rFonts w:hint="eastAsia"/>
          <w:sz w:val="18"/>
          <w:szCs w:val="18"/>
        </w:rPr>
        <w:t>。因此，2</w:t>
      </w:r>
      <w:r>
        <w:rPr>
          <w:sz w:val="18"/>
          <w:szCs w:val="18"/>
        </w:rPr>
        <w:t>0</w:t>
      </w:r>
      <w:r>
        <w:rPr>
          <w:rFonts w:hint="eastAsia"/>
          <w:sz w:val="18"/>
          <w:szCs w:val="18"/>
        </w:rPr>
        <w:t>57</w:t>
      </w:r>
      <w:r>
        <w:rPr>
          <w:sz w:val="18"/>
          <w:szCs w:val="18"/>
        </w:rPr>
        <w:t>年</w:t>
      </w:r>
      <w:r>
        <w:rPr>
          <w:rFonts w:hint="eastAsia"/>
          <w:sz w:val="18"/>
          <w:szCs w:val="18"/>
        </w:rPr>
        <w:t>及以后的收入成本暂忽略不计，故上表中仅列示从运营期（2028年1月）开始至2</w:t>
      </w:r>
      <w:r>
        <w:rPr>
          <w:sz w:val="18"/>
          <w:szCs w:val="18"/>
        </w:rPr>
        <w:t>0</w:t>
      </w:r>
      <w:r>
        <w:rPr>
          <w:rFonts w:hint="eastAsia"/>
          <w:sz w:val="18"/>
          <w:szCs w:val="18"/>
        </w:rPr>
        <w:t>56</w:t>
      </w:r>
      <w:r>
        <w:rPr>
          <w:sz w:val="18"/>
          <w:szCs w:val="18"/>
        </w:rPr>
        <w:t>年12</w:t>
      </w:r>
      <w:r>
        <w:rPr>
          <w:rFonts w:hint="eastAsia"/>
          <w:sz w:val="18"/>
          <w:szCs w:val="18"/>
        </w:rPr>
        <w:t>月的收入数据。</w:t>
      </w:r>
    </w:p>
    <w:p w14:paraId="04B06AC4">
      <w:pPr>
        <w:pStyle w:val="20"/>
        <w:spacing w:before="0" w:beforeAutospacing="0" w:afterLines="50" w:afterAutospacing="0" w:line="360" w:lineRule="auto"/>
        <w:ind w:firstLine="480" w:firstLineChars="200"/>
        <w:rPr>
          <w:sz w:val="24"/>
          <w:szCs w:val="24"/>
        </w:rPr>
      </w:pPr>
      <w:r>
        <w:rPr>
          <w:rFonts w:hint="eastAsia"/>
          <w:sz w:val="24"/>
          <w:szCs w:val="24"/>
        </w:rPr>
        <w:t>本项目经营收入的估算依据如下：</w:t>
      </w:r>
    </w:p>
    <w:p w14:paraId="036055DA">
      <w:pPr>
        <w:pStyle w:val="20"/>
        <w:spacing w:before="0" w:beforeAutospacing="0" w:afterLines="50" w:afterAutospacing="0" w:line="360" w:lineRule="auto"/>
        <w:ind w:firstLine="480" w:firstLineChars="200"/>
        <w:rPr>
          <w:sz w:val="24"/>
          <w:szCs w:val="24"/>
          <w:shd w:val="clear" w:color="auto" w:fill="FFFFFF" w:themeFill="background1"/>
        </w:rPr>
      </w:pPr>
      <w:r>
        <w:rPr>
          <w:rFonts w:hint="eastAsia"/>
          <w:sz w:val="24"/>
          <w:szCs w:val="24"/>
          <w:shd w:val="clear" w:color="auto" w:fill="FFFFFF" w:themeFill="background1"/>
        </w:rPr>
        <w:t>（1）标准厂房租赁收入：本项目厂房建筑租金单价参考与江铃汽车股份有限公司签订的合同，单价20元/㎡。本项目厂房建筑面积为208103.37㎡，在项目第3年开始运行，出租率为第一年90%，第二年95%，第三年及之后95%，且考虑社会经济发展及通货膨胀率，厂房租赁收入费用按每三年5%的增长率计算。</w:t>
      </w:r>
    </w:p>
    <w:p w14:paraId="666E3244">
      <w:pPr>
        <w:pStyle w:val="20"/>
        <w:spacing w:before="0" w:beforeAutospacing="0" w:afterLines="50" w:afterAutospacing="0" w:line="360" w:lineRule="auto"/>
        <w:ind w:firstLine="480" w:firstLineChars="200"/>
        <w:rPr>
          <w:sz w:val="24"/>
          <w:szCs w:val="24"/>
          <w:shd w:val="clear" w:color="auto" w:fill="FFFFFF" w:themeFill="background1"/>
        </w:rPr>
      </w:pPr>
      <w:r>
        <w:rPr>
          <w:rFonts w:hint="eastAsia"/>
          <w:sz w:val="24"/>
          <w:szCs w:val="24"/>
          <w:shd w:val="clear" w:color="auto" w:fill="FFFFFF" w:themeFill="background1"/>
        </w:rPr>
        <w:t>（2）配套用房租赁收入：本项目厂房建筑租金单价参考与江铃汽车股份有限公司签订的合同，单价20元/㎡。本项目厂房建筑面积为22130.30㎡，在项目第3年开始运行，出租率为第一年90%，第二年95%，第三年及之后95%，且考虑社会经济发展及通货膨胀率，厂房租赁收入费用按每三年5%的增长率计算。</w:t>
      </w:r>
    </w:p>
    <w:p w14:paraId="61CCF891">
      <w:pPr>
        <w:pStyle w:val="20"/>
        <w:spacing w:before="0" w:beforeAutospacing="0" w:afterLines="50" w:afterAutospacing="0" w:line="360" w:lineRule="auto"/>
        <w:ind w:firstLine="480" w:firstLineChars="200"/>
        <w:jc w:val="both"/>
        <w:rPr>
          <w:sz w:val="24"/>
          <w:szCs w:val="24"/>
        </w:rPr>
      </w:pPr>
      <w:r>
        <w:rPr>
          <w:rFonts w:hint="eastAsia"/>
          <w:sz w:val="24"/>
          <w:szCs w:val="24"/>
        </w:rPr>
        <w:t>南昌小蓝经济技术开发区经济发展投资有限责任公司综合考虑适度增长因素，保守预测了2026</w:t>
      </w:r>
      <w:r>
        <w:rPr>
          <w:sz w:val="24"/>
          <w:szCs w:val="24"/>
        </w:rPr>
        <w:t>-</w:t>
      </w:r>
      <w:r>
        <w:rPr>
          <w:rFonts w:hint="eastAsia"/>
          <w:sz w:val="24"/>
          <w:szCs w:val="24"/>
        </w:rPr>
        <w:t>2054年的收入、支出，在本项目的实施过程中，可以产生持续稳定的收益，各年现金流入及现金流出均保持了稳定的增长，且保持了现金结余的总体增长。</w:t>
      </w:r>
    </w:p>
    <w:p w14:paraId="750BAE20"/>
    <w:p w14:paraId="258A5CBD">
      <w:pPr>
        <w:pStyle w:val="39"/>
        <w:spacing w:before="244"/>
        <w:ind w:left="-140" w:leftChars="-67" w:right="-98" w:rightChars="-47" w:firstLine="560" w:firstLineChars="200"/>
        <w:outlineLvl w:val="2"/>
        <w:rPr>
          <w:rFonts w:ascii="楷体" w:hAnsi="楷体" w:eastAsia="楷体" w:cs="楷体"/>
        </w:rPr>
      </w:pPr>
      <w:r>
        <w:rPr>
          <w:rFonts w:hint="eastAsia" w:ascii="楷体" w:hAnsi="楷体" w:eastAsia="楷体" w:cs="楷体"/>
        </w:rPr>
        <w:t>（二）项目运营成本测算</w:t>
      </w:r>
      <w:bookmarkEnd w:id="193"/>
      <w:bookmarkEnd w:id="194"/>
    </w:p>
    <w:p w14:paraId="05DC8B95">
      <w:pPr>
        <w:pStyle w:val="20"/>
        <w:spacing w:before="0" w:beforeAutospacing="0" w:afterLines="50" w:afterAutospacing="0" w:line="360" w:lineRule="auto"/>
        <w:ind w:firstLine="480" w:firstLineChars="200"/>
        <w:rPr>
          <w:sz w:val="24"/>
          <w:szCs w:val="24"/>
        </w:rPr>
      </w:pPr>
      <w:bookmarkStart w:id="195" w:name="_Toc44517299"/>
      <w:r>
        <w:rPr>
          <w:rFonts w:hint="eastAsia"/>
          <w:sz w:val="24"/>
          <w:szCs w:val="24"/>
        </w:rPr>
        <w:t>项目支出按照支出用途分类可分为：外购燃料及动力、工资及福利费估算、修理费等各项费用支出，因充足性分析主要依据对现金流量进行分析，故对于不需付现的费用（如折旧摊销等）暂不在支出情况预测表中反映。</w:t>
      </w:r>
    </w:p>
    <w:p w14:paraId="4493E272">
      <w:pPr>
        <w:pStyle w:val="20"/>
        <w:spacing w:before="0" w:beforeAutospacing="0" w:afterLines="50" w:afterAutospacing="0" w:line="360" w:lineRule="auto"/>
        <w:ind w:firstLine="480" w:firstLineChars="200"/>
        <w:rPr>
          <w:sz w:val="24"/>
          <w:szCs w:val="24"/>
        </w:rPr>
      </w:pPr>
      <w:r>
        <w:rPr>
          <w:rFonts w:hint="eastAsia"/>
          <w:sz w:val="24"/>
          <w:szCs w:val="24"/>
        </w:rPr>
        <w:t>可研报告及《实施方案》中明确了各项成本的估算标准如下：</w:t>
      </w:r>
    </w:p>
    <w:p w14:paraId="5C6C32FB">
      <w:pPr>
        <w:pStyle w:val="20"/>
        <w:spacing w:before="0" w:beforeAutospacing="0" w:afterLines="50" w:afterAutospacing="0" w:line="360" w:lineRule="auto"/>
        <w:ind w:firstLine="480" w:firstLineChars="200"/>
        <w:jc w:val="both"/>
        <w:rPr>
          <w:sz w:val="24"/>
          <w:szCs w:val="24"/>
        </w:rPr>
      </w:pPr>
      <w:r>
        <w:rPr>
          <w:rFonts w:hint="eastAsia"/>
          <w:sz w:val="24"/>
          <w:szCs w:val="24"/>
        </w:rPr>
        <w:t>（1）外购动力：本项目外购动力主要为项目的日常管理以及室外用水、用电消耗。项目计算期内每年共计用电362.52万度电，按0.83元/度计算；用水18.49万吨，按3元/吨计算。</w:t>
      </w:r>
    </w:p>
    <w:p w14:paraId="25D94258">
      <w:pPr>
        <w:pStyle w:val="20"/>
        <w:spacing w:before="0" w:beforeAutospacing="0" w:afterLines="50" w:afterAutospacing="0" w:line="360" w:lineRule="auto"/>
        <w:ind w:firstLine="480" w:firstLineChars="200"/>
        <w:jc w:val="both"/>
        <w:rPr>
          <w:sz w:val="24"/>
          <w:szCs w:val="24"/>
        </w:rPr>
      </w:pPr>
      <w:r>
        <w:rPr>
          <w:rFonts w:hint="eastAsia"/>
          <w:sz w:val="24"/>
          <w:szCs w:val="24"/>
        </w:rPr>
        <w:t>（2）工资及福利费：项目建成预计需要保安、管理人员等共计15人。平均每人0.5万元/月。</w:t>
      </w:r>
    </w:p>
    <w:p w14:paraId="4D069CF5">
      <w:pPr>
        <w:pStyle w:val="20"/>
        <w:spacing w:before="0" w:beforeAutospacing="0" w:afterLines="50" w:afterAutospacing="0" w:line="360" w:lineRule="auto"/>
        <w:ind w:firstLine="480" w:firstLineChars="200"/>
        <w:jc w:val="both"/>
        <w:rPr>
          <w:sz w:val="24"/>
          <w:szCs w:val="24"/>
        </w:rPr>
      </w:pPr>
      <w:r>
        <w:rPr>
          <w:rFonts w:hint="eastAsia"/>
          <w:sz w:val="24"/>
          <w:szCs w:val="24"/>
        </w:rPr>
        <w:t>（3）修理费：本项目修理费主要为设备维护费以及基础设施维护运营费，修理费按照设备购置与安装费用的3%计算。</w:t>
      </w:r>
    </w:p>
    <w:p w14:paraId="67EB5E97">
      <w:pPr>
        <w:pStyle w:val="20"/>
        <w:spacing w:before="0" w:beforeAutospacing="0" w:afterLines="50" w:afterAutospacing="0" w:line="360" w:lineRule="auto"/>
        <w:ind w:firstLine="480" w:firstLineChars="200"/>
        <w:jc w:val="both"/>
        <w:rPr>
          <w:sz w:val="24"/>
          <w:szCs w:val="24"/>
        </w:rPr>
      </w:pPr>
      <w:r>
        <w:rPr>
          <w:rFonts w:hint="eastAsia"/>
          <w:sz w:val="24"/>
          <w:szCs w:val="24"/>
        </w:rPr>
        <w:t>（4）其他费用主要用于研发费、接待费、差旅费、运输费及其他费用，按收入的0.5%计算。</w:t>
      </w:r>
    </w:p>
    <w:p w14:paraId="793259BE">
      <w:pPr>
        <w:pStyle w:val="20"/>
        <w:spacing w:before="0" w:beforeAutospacing="0" w:afterLines="50" w:afterAutospacing="0" w:line="360" w:lineRule="auto"/>
        <w:ind w:firstLine="480" w:firstLineChars="200"/>
        <w:jc w:val="both"/>
        <w:rPr>
          <w:sz w:val="24"/>
          <w:szCs w:val="24"/>
        </w:rPr>
      </w:pPr>
      <w:r>
        <w:rPr>
          <w:rFonts w:hint="eastAsia"/>
          <w:sz w:val="24"/>
          <w:szCs w:val="24"/>
        </w:rPr>
        <w:t>（5）本项目的税金包括增值税、城市维护建设税、教育税附加。运营期内增值税税率按厂房租赁收入和配套用房租赁收入按9%计；城市维护建设税按7%计；教育附加按3%计；地方教育附加税按2%计；房产税按租赁收入的12%计；印花税按0.5%计。</w:t>
      </w:r>
    </w:p>
    <w:p w14:paraId="5DF904F2">
      <w:pPr>
        <w:pStyle w:val="20"/>
        <w:spacing w:before="0" w:beforeAutospacing="0" w:afterLines="50" w:afterAutospacing="0" w:line="360" w:lineRule="auto"/>
        <w:ind w:firstLine="480" w:firstLineChars="200"/>
        <w:jc w:val="both"/>
        <w:rPr>
          <w:sz w:val="24"/>
          <w:szCs w:val="24"/>
        </w:rPr>
      </w:pPr>
      <w:r>
        <w:rPr>
          <w:rFonts w:hint="eastAsia"/>
          <w:sz w:val="24"/>
          <w:szCs w:val="24"/>
        </w:rPr>
        <w:t>本项目业务活动支出预测情况如下表3</w:t>
      </w:r>
      <w:r>
        <w:rPr>
          <w:sz w:val="24"/>
          <w:szCs w:val="24"/>
        </w:rPr>
        <w:t>-3</w:t>
      </w:r>
      <w:r>
        <w:rPr>
          <w:rFonts w:hint="eastAsia"/>
          <w:sz w:val="24"/>
          <w:szCs w:val="24"/>
        </w:rPr>
        <w:t>所示：</w:t>
      </w:r>
    </w:p>
    <w:p w14:paraId="2FC39123">
      <w:pPr>
        <w:pStyle w:val="20"/>
        <w:spacing w:before="0" w:beforeAutospacing="0" w:afterLines="50" w:afterAutospacing="0" w:line="360" w:lineRule="exact"/>
        <w:ind w:firstLine="420" w:firstLineChars="200"/>
        <w:jc w:val="center"/>
        <w:rPr>
          <w:sz w:val="18"/>
          <w:szCs w:val="18"/>
        </w:rPr>
      </w:pPr>
      <w:r>
        <w:rPr>
          <w:rFonts w:hint="eastAsia"/>
          <w:b/>
          <w:sz w:val="21"/>
          <w:szCs w:val="21"/>
        </w:rPr>
        <w:t>表3-</w:t>
      </w:r>
      <w:r>
        <w:rPr>
          <w:b/>
          <w:sz w:val="21"/>
          <w:szCs w:val="21"/>
        </w:rPr>
        <w:t xml:space="preserve">3  </w:t>
      </w:r>
      <w:r>
        <w:rPr>
          <w:rFonts w:hint="eastAsia"/>
          <w:b/>
          <w:sz w:val="21"/>
          <w:szCs w:val="21"/>
        </w:rPr>
        <w:t>业务活动支出情况预测表</w:t>
      </w:r>
    </w:p>
    <w:p w14:paraId="09ECAC8C">
      <w:pPr>
        <w:pStyle w:val="20"/>
        <w:spacing w:before="0" w:beforeAutospacing="0" w:afterLines="50" w:afterAutospacing="0" w:line="360" w:lineRule="exact"/>
        <w:ind w:firstLine="360" w:firstLineChars="200"/>
        <w:jc w:val="right"/>
        <w:rPr>
          <w:sz w:val="18"/>
          <w:szCs w:val="18"/>
        </w:rPr>
      </w:pPr>
      <w:r>
        <w:rPr>
          <w:rFonts w:hint="eastAsia"/>
          <w:sz w:val="18"/>
          <w:szCs w:val="18"/>
        </w:rPr>
        <w:t>单位：万元</w:t>
      </w:r>
    </w:p>
    <w:tbl>
      <w:tblPr>
        <w:tblStyle w:val="24"/>
        <w:tblW w:w="4997" w:type="pct"/>
        <w:tblInd w:w="0" w:type="dxa"/>
        <w:tblLayout w:type="autofit"/>
        <w:tblCellMar>
          <w:top w:w="0" w:type="dxa"/>
          <w:left w:w="108" w:type="dxa"/>
          <w:bottom w:w="0" w:type="dxa"/>
          <w:right w:w="108" w:type="dxa"/>
        </w:tblCellMar>
      </w:tblPr>
      <w:tblGrid>
        <w:gridCol w:w="990"/>
        <w:gridCol w:w="1278"/>
        <w:gridCol w:w="1833"/>
        <w:gridCol w:w="2057"/>
        <w:gridCol w:w="1278"/>
        <w:gridCol w:w="1279"/>
      </w:tblGrid>
      <w:tr w14:paraId="216BA722">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CA6B">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年份</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A8C6">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税费</w:t>
            </w:r>
          </w:p>
        </w:tc>
        <w:tc>
          <w:tcPr>
            <w:tcW w:w="10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235F9">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外购燃料及动力</w:t>
            </w:r>
          </w:p>
        </w:tc>
        <w:tc>
          <w:tcPr>
            <w:tcW w:w="1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FA0B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工资及福利费估算</w:t>
            </w:r>
          </w:p>
        </w:tc>
        <w:tc>
          <w:tcPr>
            <w:tcW w:w="7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698A5">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修理费</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14DC">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含税合计</w:t>
            </w:r>
          </w:p>
        </w:tc>
      </w:tr>
      <w:tr w14:paraId="74284E50">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C338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2028年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B52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1,175.85</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428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ACCD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90.00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CB2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D536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1,967.95</w:t>
            </w:r>
          </w:p>
        </w:tc>
      </w:tr>
      <w:tr w14:paraId="4D566565">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9DE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2029年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69D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1,234.63</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120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BE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94.50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3E7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B6A7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2,031.23</w:t>
            </w:r>
          </w:p>
        </w:tc>
      </w:tr>
      <w:tr w14:paraId="31C223FD">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1480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2030年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2B4C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1,234.63</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3673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5065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94.50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F6A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7D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2,031.23</w:t>
            </w:r>
          </w:p>
        </w:tc>
      </w:tr>
      <w:tr w14:paraId="798DE543">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B87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2031年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D61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1,234.63</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66E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62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94.50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0D4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8D6E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2,031.23</w:t>
            </w:r>
          </w:p>
        </w:tc>
      </w:tr>
      <w:tr w14:paraId="3594FCEE">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EBB1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2032年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183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1,296.37</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C86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0E9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99.30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8E7A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D873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2,097.77</w:t>
            </w:r>
          </w:p>
        </w:tc>
      </w:tr>
      <w:tr w14:paraId="4D14854D">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23A5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2033年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E0AC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1,296.37</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55F8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3823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99.30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2331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5B5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2,097.77</w:t>
            </w:r>
          </w:p>
        </w:tc>
      </w:tr>
      <w:tr w14:paraId="3D39E1AF">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436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2034年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17D9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1,296.37</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A51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5BD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99.30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757D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485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2,097.77</w:t>
            </w:r>
          </w:p>
        </w:tc>
      </w:tr>
      <w:tr w14:paraId="1B35BC3A">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C7F9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2035年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326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1,361.04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A27B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102C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104.25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F39F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CE2F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2,167.39</w:t>
            </w:r>
          </w:p>
        </w:tc>
      </w:tr>
      <w:tr w14:paraId="15E235B8">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E88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2036年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3F49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1,361.04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C91D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B6D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104.25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BB0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BE2B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2,167.39</w:t>
            </w:r>
          </w:p>
        </w:tc>
      </w:tr>
      <w:tr w14:paraId="4292CA5E">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E862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2037年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E0C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1,361.04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35D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6D5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104.25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511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BD18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2,167.39</w:t>
            </w:r>
          </w:p>
        </w:tc>
      </w:tr>
      <w:tr w14:paraId="67345475">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CF6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2038年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FD22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1,429.24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1FF8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CD3D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109.50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296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E06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2,240.84</w:t>
            </w:r>
          </w:p>
        </w:tc>
      </w:tr>
      <w:tr w14:paraId="111C41F2">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C9E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2039年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DC8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1,429.24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755D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7F4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109.50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38A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14C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2,240.84</w:t>
            </w:r>
          </w:p>
        </w:tc>
      </w:tr>
      <w:tr w14:paraId="5C546CCA">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0BEF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2040年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83F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1,429.24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A6D9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9D06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109.50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B49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BC54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2,240.84</w:t>
            </w:r>
          </w:p>
        </w:tc>
      </w:tr>
      <w:tr w14:paraId="117F2B1E">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02B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2041年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3EA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1,500.96</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AA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74CA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115.05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817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CC5A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2,318.11</w:t>
            </w:r>
          </w:p>
        </w:tc>
      </w:tr>
      <w:tr w14:paraId="4A5A912F">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4600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2042年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320E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1,500.96</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E90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015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115.05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F551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8A15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2,318.11</w:t>
            </w:r>
          </w:p>
        </w:tc>
      </w:tr>
      <w:tr w14:paraId="640C6E82">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824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2043年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9B7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1,500.96</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B5B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5B4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115.05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46AB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7BC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2,318.11</w:t>
            </w:r>
          </w:p>
        </w:tc>
      </w:tr>
      <w:tr w14:paraId="340E3546">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D4A6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2044年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26C9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1,576.24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2B4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FA1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120.75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6CE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966D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2,399.09</w:t>
            </w:r>
          </w:p>
        </w:tc>
      </w:tr>
      <w:tr w14:paraId="5B5E2AEF">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A9A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2045年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1EE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1,576.24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A5C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DA3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120.75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807D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DE1B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2,399.09</w:t>
            </w:r>
          </w:p>
        </w:tc>
      </w:tr>
      <w:tr w14:paraId="5440C878">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B3D6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2046年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8609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1,576.24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B15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55C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120.75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B4A7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92AB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2,399.09</w:t>
            </w:r>
          </w:p>
        </w:tc>
      </w:tr>
      <w:tr w14:paraId="6F1BFE5B">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88FE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2047年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05FA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1,655.01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FE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4AF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126.75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8DF6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EE5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2,483.86</w:t>
            </w:r>
          </w:p>
        </w:tc>
      </w:tr>
      <w:tr w14:paraId="531AB2B4">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9C7D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2048年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F97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1,655.01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FF2C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92F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126.75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802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DF60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2,483.86</w:t>
            </w:r>
          </w:p>
        </w:tc>
      </w:tr>
      <w:tr w14:paraId="52BA0C19">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6A8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2049年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E7A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1,655.01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34B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33B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126.75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CE2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48D2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2,483.86</w:t>
            </w:r>
          </w:p>
        </w:tc>
      </w:tr>
      <w:tr w14:paraId="100EE7D5">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CF6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2050年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2B0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1,737.90</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53AD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1E5A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133.05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63F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BB8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2,573.05</w:t>
            </w:r>
          </w:p>
        </w:tc>
      </w:tr>
      <w:tr w14:paraId="13F4F7B0">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B71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2051年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D0D9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1,737.90</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DAB7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86F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133.05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DB1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3A2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2,573.05</w:t>
            </w:r>
          </w:p>
        </w:tc>
      </w:tr>
      <w:tr w14:paraId="6BAA1D2B">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85A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2052年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3CA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1,737.90</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3A2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6B1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133.05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A4D7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07B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2,573.05</w:t>
            </w:r>
          </w:p>
        </w:tc>
      </w:tr>
      <w:tr w14:paraId="152493C1">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75D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2053年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BBB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1,824.91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0C8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C01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139.65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636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9EF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2,666.66</w:t>
            </w:r>
          </w:p>
        </w:tc>
      </w:tr>
      <w:tr w14:paraId="1EFC904D">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A779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2054年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CF59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1,824.91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FEF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00E4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139.65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5A4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AD2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2,666.66</w:t>
            </w:r>
          </w:p>
        </w:tc>
      </w:tr>
      <w:tr w14:paraId="13050E6A">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7D65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2055年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722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1,824.91</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060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1C1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139.65</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41D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C99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2,666.66</w:t>
            </w:r>
          </w:p>
        </w:tc>
      </w:tr>
      <w:tr w14:paraId="6B5809B9">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C5F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2056年</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A3ED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1,916.04</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514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356.36</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0EE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146.70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FF91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345.74</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1DB7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2,764.84</w:t>
            </w:r>
          </w:p>
        </w:tc>
      </w:tr>
      <w:tr w14:paraId="3A43EE74">
        <w:trPr>
          <w:trHeight w:val="283" w:hRule="atLeast"/>
        </w:trPr>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D6FEF">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合计</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CB35F">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43,940.79</w:t>
            </w:r>
          </w:p>
        </w:tc>
        <w:tc>
          <w:tcPr>
            <w:tcW w:w="10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4D94E">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10,334.44</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0D0A">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3,365.10</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C1995">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10,026.46</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613F">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67,666.79</w:t>
            </w:r>
          </w:p>
        </w:tc>
      </w:tr>
    </w:tbl>
    <w:p w14:paraId="3B48742B">
      <w:pPr>
        <w:pStyle w:val="20"/>
        <w:spacing w:before="0" w:beforeAutospacing="0" w:afterLines="50" w:afterAutospacing="0" w:line="360" w:lineRule="exact"/>
        <w:ind w:firstLine="360" w:firstLineChars="200"/>
        <w:jc w:val="both"/>
        <w:rPr>
          <w:rFonts w:ascii="微软雅黑" w:hAnsi="微软雅黑" w:eastAsia="微软雅黑" w:cs="微软雅黑"/>
          <w:bCs/>
          <w:color w:val="000000"/>
        </w:rPr>
      </w:pPr>
      <w:r>
        <w:rPr>
          <w:rFonts w:hint="eastAsia"/>
          <w:sz w:val="18"/>
          <w:szCs w:val="18"/>
        </w:rPr>
        <w:t>注：支出情况预测表主要体现的是需要支付现金的成本费用部分，故对于不需付现的费用（如折旧摊销等）无需考虑。</w:t>
      </w:r>
    </w:p>
    <w:p w14:paraId="5E4887B5">
      <w:pPr>
        <w:pStyle w:val="20"/>
        <w:spacing w:before="0" w:beforeAutospacing="0" w:afterLines="50" w:afterAutospacing="0" w:line="360" w:lineRule="exact"/>
        <w:ind w:firstLine="360" w:firstLineChars="200"/>
        <w:jc w:val="both"/>
        <w:rPr>
          <w:color w:val="000000" w:themeColor="text1"/>
          <w:sz w:val="18"/>
          <w:szCs w:val="18"/>
          <w14:textFill>
            <w14:solidFill>
              <w14:schemeClr w14:val="tx1"/>
            </w14:solidFill>
          </w14:textFill>
        </w:rPr>
      </w:pPr>
    </w:p>
    <w:bookmarkEnd w:id="195"/>
    <w:p w14:paraId="688F96FE">
      <w:pPr>
        <w:widowControl/>
        <w:spacing w:line="560" w:lineRule="exact"/>
        <w:ind w:firstLine="560" w:firstLineChars="200"/>
        <w:jc w:val="left"/>
        <w:outlineLvl w:val="1"/>
        <w:rPr>
          <w:rFonts w:ascii="楷体" w:hAnsi="楷体" w:eastAsia="楷体" w:cs="楷体"/>
          <w:b/>
          <w:bCs/>
          <w:sz w:val="28"/>
          <w:szCs w:val="28"/>
        </w:rPr>
      </w:pPr>
      <w:bookmarkStart w:id="196" w:name="_Toc27772_WPSOffice_Level2"/>
      <w:bookmarkStart w:id="197" w:name="_Toc44517301"/>
      <w:r>
        <w:rPr>
          <w:rFonts w:hint="eastAsia" w:ascii="楷体" w:hAnsi="楷体" w:eastAsia="楷体" w:cs="楷体"/>
          <w:b/>
          <w:bCs/>
          <w:sz w:val="28"/>
          <w:szCs w:val="28"/>
        </w:rPr>
        <w:t>（三）项目资金测算平衡表</w:t>
      </w:r>
      <w:bookmarkEnd w:id="196"/>
      <w:bookmarkEnd w:id="197"/>
    </w:p>
    <w:p w14:paraId="15ED339F">
      <w:pPr>
        <w:pStyle w:val="20"/>
        <w:spacing w:before="0" w:beforeAutospacing="0" w:afterLines="50" w:afterAutospacing="0" w:line="360" w:lineRule="exact"/>
        <w:ind w:firstLine="420" w:firstLineChars="200"/>
        <w:jc w:val="both"/>
        <w:rPr>
          <w:sz w:val="21"/>
          <w:szCs w:val="21"/>
        </w:rPr>
      </w:pPr>
      <w:bookmarkStart w:id="198" w:name="_Toc44517304"/>
      <w:bookmarkStart w:id="199" w:name="_Toc36580114"/>
      <w:r>
        <w:rPr>
          <w:rFonts w:hint="eastAsia"/>
          <w:sz w:val="21"/>
          <w:szCs w:val="21"/>
        </w:rPr>
        <w:t>本次南昌小蓝经济技术开发区经济发展投资有限责任公司组织申报发行202</w:t>
      </w:r>
      <w:r>
        <w:rPr>
          <w:sz w:val="21"/>
          <w:szCs w:val="21"/>
        </w:rPr>
        <w:t>4</w:t>
      </w:r>
      <w:r>
        <w:rPr>
          <w:rFonts w:hint="eastAsia"/>
          <w:sz w:val="21"/>
          <w:szCs w:val="21"/>
        </w:rPr>
        <w:t>年江西省汽车零部件产业园(二期)及配套设施建设项目的总投资额69,088.80万元。计划发行专项债券金额30,894.40万元，发行期限30年，其中：本次申请发行4,850.00万元，2025年计划发行16,684.00万元，2026年计划发行7,023.00万元，2027年计划发行2,337.40万元。从客观、谨慎角度出发，202</w:t>
      </w:r>
      <w:r>
        <w:rPr>
          <w:sz w:val="21"/>
          <w:szCs w:val="21"/>
        </w:rPr>
        <w:t>4</w:t>
      </w:r>
      <w:r>
        <w:rPr>
          <w:rFonts w:hint="eastAsia"/>
          <w:sz w:val="21"/>
          <w:szCs w:val="21"/>
        </w:rPr>
        <w:t>年及之后发行的债券年利率暂取4.5</w:t>
      </w:r>
      <w:r>
        <w:rPr>
          <w:sz w:val="21"/>
          <w:szCs w:val="21"/>
        </w:rPr>
        <w:t>0</w:t>
      </w:r>
      <w:r>
        <w:rPr>
          <w:rFonts w:hint="eastAsia"/>
          <w:sz w:val="21"/>
          <w:szCs w:val="21"/>
        </w:rPr>
        <w:t>%,发行费率暂按照0.08%测算，据此预计专项债券利息合计为41,707.51万元，预计发行费用为24.71万元。</w:t>
      </w:r>
    </w:p>
    <w:p w14:paraId="1F44CAC2">
      <w:pPr>
        <w:pStyle w:val="20"/>
        <w:spacing w:before="0" w:beforeAutospacing="0" w:afterLines="50" w:afterAutospacing="0" w:line="360" w:lineRule="exact"/>
        <w:ind w:firstLine="420" w:firstLineChars="200"/>
        <w:jc w:val="both"/>
        <w:rPr>
          <w:sz w:val="21"/>
          <w:szCs w:val="21"/>
        </w:rPr>
      </w:pPr>
      <w:r>
        <w:rPr>
          <w:rFonts w:hint="eastAsia"/>
          <w:sz w:val="21"/>
          <w:szCs w:val="21"/>
        </w:rPr>
        <w:t>按照该</w:t>
      </w:r>
      <w:r>
        <w:rPr>
          <w:sz w:val="21"/>
          <w:szCs w:val="21"/>
        </w:rPr>
        <w:t>项目</w:t>
      </w:r>
      <w:r>
        <w:rPr>
          <w:rFonts w:hint="eastAsia"/>
          <w:sz w:val="21"/>
          <w:szCs w:val="21"/>
        </w:rPr>
        <w:t>专项债券发行计划</w:t>
      </w:r>
      <w:r>
        <w:rPr>
          <w:sz w:val="21"/>
          <w:szCs w:val="21"/>
        </w:rPr>
        <w:t>，</w:t>
      </w:r>
      <w:r>
        <w:rPr>
          <w:rFonts w:hint="eastAsia"/>
          <w:sz w:val="21"/>
          <w:szCs w:val="21"/>
        </w:rPr>
        <w:t>30年期债券以年利率</w:t>
      </w:r>
      <w:r>
        <w:rPr>
          <w:sz w:val="21"/>
          <w:szCs w:val="21"/>
        </w:rPr>
        <w:t>4</w:t>
      </w:r>
      <w:r>
        <w:rPr>
          <w:rFonts w:hint="eastAsia"/>
          <w:sz w:val="21"/>
          <w:szCs w:val="21"/>
        </w:rPr>
        <w:t>.5</w:t>
      </w:r>
      <w:r>
        <w:rPr>
          <w:sz w:val="21"/>
          <w:szCs w:val="21"/>
        </w:rPr>
        <w:t>0%</w:t>
      </w:r>
      <w:r>
        <w:rPr>
          <w:rFonts w:hint="eastAsia"/>
          <w:sz w:val="21"/>
          <w:szCs w:val="21"/>
        </w:rPr>
        <w:t>预计</w:t>
      </w:r>
      <w:r>
        <w:rPr>
          <w:sz w:val="21"/>
          <w:szCs w:val="21"/>
        </w:rPr>
        <w:t>每年</w:t>
      </w:r>
      <w:r>
        <w:rPr>
          <w:rFonts w:hint="eastAsia"/>
          <w:sz w:val="21"/>
          <w:szCs w:val="21"/>
        </w:rPr>
        <w:t>利息支出，每半年支付一次利息，到期一次还本</w:t>
      </w:r>
      <w:r>
        <w:rPr>
          <w:rFonts w:hint="eastAsia"/>
          <w:szCs w:val="21"/>
        </w:rPr>
        <w:t>，</w:t>
      </w:r>
      <w:r>
        <w:rPr>
          <w:rFonts w:hint="eastAsia"/>
          <w:sz w:val="21"/>
          <w:szCs w:val="21"/>
        </w:rPr>
        <w:t>本项目专项债券还本付息情况如下表所示：</w:t>
      </w:r>
    </w:p>
    <w:p w14:paraId="4C1406B2">
      <w:pPr>
        <w:jc w:val="center"/>
        <w:rPr>
          <w:rFonts w:ascii="宋体" w:hAnsi="宋体" w:cs="仿宋"/>
          <w:b/>
          <w:szCs w:val="24"/>
        </w:rPr>
      </w:pPr>
      <w:r>
        <w:rPr>
          <w:rFonts w:hint="eastAsia" w:ascii="宋体" w:hAnsi="宋体" w:cs="仿宋"/>
          <w:b/>
          <w:szCs w:val="24"/>
        </w:rPr>
        <w:t>表3</w:t>
      </w:r>
      <w:r>
        <w:rPr>
          <w:rFonts w:hint="eastAsia" w:ascii="宋体" w:hAnsi="宋体"/>
          <w:b/>
          <w:szCs w:val="24"/>
        </w:rPr>
        <w:t>-</w:t>
      </w:r>
      <w:r>
        <w:rPr>
          <w:rFonts w:ascii="宋体" w:hAnsi="宋体"/>
          <w:b/>
          <w:szCs w:val="24"/>
        </w:rPr>
        <w:t>2</w:t>
      </w:r>
      <w:r>
        <w:rPr>
          <w:rFonts w:hint="eastAsia" w:ascii="宋体" w:hAnsi="宋体" w:cs="仿宋"/>
          <w:b/>
          <w:szCs w:val="24"/>
        </w:rPr>
        <w:t>专项债券还本付息情况预测表</w:t>
      </w:r>
    </w:p>
    <w:p w14:paraId="65EB533F">
      <w:pPr>
        <w:jc w:val="right"/>
        <w:rPr>
          <w:rFonts w:ascii="宋体" w:hAnsi="宋体" w:cs="仿宋"/>
          <w:sz w:val="18"/>
          <w:szCs w:val="18"/>
        </w:rPr>
      </w:pPr>
      <w:r>
        <w:rPr>
          <w:rFonts w:hint="eastAsia" w:ascii="宋体" w:hAnsi="宋体" w:cs="仿宋"/>
          <w:sz w:val="18"/>
          <w:szCs w:val="18"/>
        </w:rPr>
        <w:t>单位：万元</w:t>
      </w:r>
    </w:p>
    <w:tbl>
      <w:tblPr>
        <w:tblStyle w:val="24"/>
        <w:tblW w:w="4997" w:type="pct"/>
        <w:tblInd w:w="0" w:type="dxa"/>
        <w:tblLayout w:type="autofit"/>
        <w:tblCellMar>
          <w:top w:w="0" w:type="dxa"/>
          <w:left w:w="108" w:type="dxa"/>
          <w:bottom w:w="0" w:type="dxa"/>
          <w:right w:w="108" w:type="dxa"/>
        </w:tblCellMar>
      </w:tblPr>
      <w:tblGrid>
        <w:gridCol w:w="936"/>
        <w:gridCol w:w="1524"/>
        <w:gridCol w:w="1210"/>
        <w:gridCol w:w="1100"/>
        <w:gridCol w:w="1210"/>
        <w:gridCol w:w="1210"/>
        <w:gridCol w:w="1525"/>
      </w:tblGrid>
      <w:tr w14:paraId="5E0BC062">
        <w:trPr>
          <w:trHeight w:val="283" w:hRule="atLeast"/>
        </w:trPr>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941F9">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 份</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9990">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期初债券余额</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E784F">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本期发行</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17527">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发行费用</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42FFF">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本期付息</w:t>
            </w:r>
          </w:p>
        </w:tc>
        <w:tc>
          <w:tcPr>
            <w:tcW w:w="6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42F58">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本期还本</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754F2">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期末债券余额</w:t>
            </w:r>
          </w:p>
        </w:tc>
      </w:tr>
      <w:tr w14:paraId="7CA400BA">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699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2024年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F32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CB2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4,850.00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3C3B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3.88</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304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109.13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958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047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4,850.00</w:t>
            </w:r>
          </w:p>
        </w:tc>
      </w:tr>
      <w:tr w14:paraId="102A825F">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7723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2025年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901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4,850.00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D42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16,684.00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48B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13.35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8CC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593.64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155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B2E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21,534.00</w:t>
            </w:r>
          </w:p>
        </w:tc>
      </w:tr>
      <w:tr w14:paraId="58FFCDED">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A86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2026年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FC0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21,534.00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FA2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7,023.00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A75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5.62</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CA1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1,127.05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1B8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C9B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28,557.00</w:t>
            </w:r>
          </w:p>
        </w:tc>
      </w:tr>
      <w:tr w14:paraId="0EED108C">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355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2027年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8FC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28,557.00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3433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2,337.40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D3C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09C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1,337.66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866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E0A5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409B1046">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3F0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2028年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2E2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26B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EFD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85F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3CF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4FC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113E2684">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3DD2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2029年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971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8552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BB2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C79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65D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78C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7CC0F729">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611F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2030年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16F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00F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311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8DA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59E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758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3E277469">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DB1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2031年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89D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77E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959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A44F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674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DF8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1A8875C">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AEB3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2032年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CD5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1EB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4F5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811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F696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9710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34FCDD2D">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5D1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2033年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66E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46E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7D8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F9D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0DE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7176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7D9DEB6C">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40F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2034年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1AE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1A0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D79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324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43A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942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66D2E21C">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C4F3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2035年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74B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D48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25C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C75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566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5D4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089E4A81">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626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2036年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571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D38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4B9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D02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390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031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2461E011">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07E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2037年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410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0A8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D88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489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4BE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5E8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34F58BC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E5B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2038年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671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DAC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FE14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634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727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07F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37D4E381">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20F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2039年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EAE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9572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003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D216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081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642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2BB8901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33C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2040年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973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0B7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2A5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479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A3A2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1F44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142491E">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1CC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2041年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C7C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2A9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A57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504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466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A2C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0213E27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544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2042年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109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858C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978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1DD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4D0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015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E940311">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550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2043年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3ED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D74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AC1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760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C5342">
            <w:pPr>
              <w:jc w:val="center"/>
              <w:rPr>
                <w:rFonts w:ascii="宋体" w:hAnsi="宋体" w:eastAsia="宋体" w:cs="宋体"/>
                <w:color w:val="000000"/>
                <w:sz w:val="18"/>
                <w:szCs w:val="18"/>
              </w:rPr>
            </w:pP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6DC0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661D0FF3">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600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2044年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BF2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92B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C46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DCB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C38B8">
            <w:pPr>
              <w:jc w:val="center"/>
              <w:rPr>
                <w:rFonts w:ascii="宋体" w:hAnsi="宋体" w:eastAsia="宋体" w:cs="宋体"/>
                <w:color w:val="000000"/>
                <w:sz w:val="18"/>
                <w:szCs w:val="18"/>
              </w:rPr>
            </w:pP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0CE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1B52415">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2E6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2045年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E8F3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0D2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157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D72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26CB">
            <w:pPr>
              <w:jc w:val="center"/>
              <w:rPr>
                <w:rFonts w:ascii="宋体" w:hAnsi="宋体" w:eastAsia="宋体" w:cs="宋体"/>
                <w:color w:val="000000"/>
                <w:sz w:val="18"/>
                <w:szCs w:val="18"/>
              </w:rPr>
            </w:pP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5782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73119F0">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4F3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2046年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9D6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45B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ECF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A88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634E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8BE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5E42E438">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0BA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2047年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879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3F86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DEB1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C33D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F8A9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E04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40FBB175">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0D1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2048年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5D8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260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73F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C5B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F32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9FC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1A7841C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339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2049年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5C2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216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E6A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EAC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558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2A6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04D1BB84">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30B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2050年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D8C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486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6C4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406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E31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0965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6A0F15C5">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FA1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2051年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E16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7DD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CEF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996E">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601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757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15FE7EF8">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E6D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2052年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793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CA14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978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382E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08F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443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108451A6">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CADCD">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2053年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051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4EF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5A3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B77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1,390.25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E23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9DE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r>
      <w:tr w14:paraId="38F32B0A">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A03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2054年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B57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30,894.40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B31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8D9D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79C9">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1,281.13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8E6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4,850.00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7CE5">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26,044.40</w:t>
            </w:r>
          </w:p>
        </w:tc>
      </w:tr>
      <w:tr w14:paraId="6696F08F">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CCA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2055年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0494">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26,044.40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4A1A">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EA3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3356">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796.61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0AB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16,684.00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AFB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9,360.40</w:t>
            </w:r>
          </w:p>
        </w:tc>
      </w:tr>
      <w:tr w14:paraId="3720CC7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10DF">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2056年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8D38B">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9,360.40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A245">
            <w:pPr>
              <w:jc w:val="center"/>
              <w:rPr>
                <w:rFonts w:ascii="宋体" w:hAnsi="宋体" w:eastAsia="宋体" w:cs="宋体"/>
                <w:color w:val="000000"/>
                <w:sz w:val="18"/>
                <w:szCs w:val="18"/>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2B85">
            <w:pPr>
              <w:jc w:val="center"/>
              <w:rPr>
                <w:rFonts w:ascii="宋体" w:hAnsi="宋体" w:eastAsia="宋体" w:cs="宋体"/>
                <w:color w:val="000000"/>
                <w:sz w:val="18"/>
                <w:szCs w:val="18"/>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30C8">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263.20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1F93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7,023.00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6EA1">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2,337.40</w:t>
            </w:r>
          </w:p>
        </w:tc>
      </w:tr>
      <w:tr w14:paraId="5A56B4F6">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D0F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2057年</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DC52">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2,337.40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D588">
            <w:pPr>
              <w:jc w:val="center"/>
              <w:rPr>
                <w:rFonts w:ascii="宋体" w:hAnsi="宋体" w:eastAsia="宋体" w:cs="宋体"/>
                <w:color w:val="000000"/>
                <w:sz w:val="18"/>
                <w:szCs w:val="18"/>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A109">
            <w:pPr>
              <w:jc w:val="center"/>
              <w:rPr>
                <w:rFonts w:ascii="宋体" w:hAnsi="宋体" w:eastAsia="宋体" w:cs="宋体"/>
                <w:color w:val="000000"/>
                <w:sz w:val="18"/>
                <w:szCs w:val="18"/>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A4C7">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52.59</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775A3">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2,337.40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9C6C">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t>
            </w:r>
          </w:p>
        </w:tc>
      </w:tr>
      <w:tr w14:paraId="06EBB9BB">
        <w:trPr>
          <w:trHeight w:val="283"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7A61">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合计</w:t>
            </w:r>
          </w:p>
        </w:tc>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7AC9">
            <w:pPr>
              <w:jc w:val="center"/>
              <w:rPr>
                <w:rFonts w:ascii="宋体" w:hAnsi="宋体" w:eastAsia="宋体" w:cs="宋体"/>
                <w:b/>
                <w:bCs/>
                <w:color w:val="000000"/>
                <w:sz w:val="18"/>
                <w:szCs w:val="18"/>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F97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30,894.40</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7C28">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24.71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7026">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41,707.51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AB5A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30,894.40</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449D">
            <w:pPr>
              <w:jc w:val="center"/>
              <w:rPr>
                <w:rFonts w:ascii="宋体" w:hAnsi="宋体" w:eastAsia="宋体" w:cs="宋体"/>
                <w:b/>
                <w:bCs/>
                <w:color w:val="000000"/>
                <w:sz w:val="18"/>
                <w:szCs w:val="18"/>
              </w:rPr>
            </w:pPr>
          </w:p>
        </w:tc>
      </w:tr>
    </w:tbl>
    <w:p w14:paraId="6666DE90">
      <w:pPr>
        <w:pStyle w:val="20"/>
        <w:spacing w:before="0" w:beforeAutospacing="0" w:afterLines="50" w:afterAutospacing="0" w:line="360" w:lineRule="exact"/>
        <w:ind w:firstLine="360" w:firstLineChars="200"/>
        <w:jc w:val="both"/>
        <w:rPr>
          <w:sz w:val="18"/>
          <w:szCs w:val="18"/>
        </w:rPr>
      </w:pPr>
      <w:r>
        <w:rPr>
          <w:rFonts w:hint="eastAsia" w:cs="Times New Roman"/>
          <w:sz w:val="18"/>
          <w:szCs w:val="18"/>
        </w:rPr>
        <w:t>注：30</w:t>
      </w:r>
      <w:r>
        <w:rPr>
          <w:sz w:val="18"/>
          <w:szCs w:val="18"/>
        </w:rPr>
        <w:t>年</w:t>
      </w:r>
      <w:r>
        <w:rPr>
          <w:rFonts w:hint="eastAsia"/>
          <w:sz w:val="18"/>
          <w:szCs w:val="18"/>
        </w:rPr>
        <w:t>期债券分别从债券发行年（</w:t>
      </w:r>
      <w:r>
        <w:rPr>
          <w:sz w:val="18"/>
          <w:szCs w:val="18"/>
        </w:rPr>
        <w:t>202</w:t>
      </w:r>
      <w:r>
        <w:rPr>
          <w:rFonts w:hint="eastAsia"/>
          <w:sz w:val="18"/>
          <w:szCs w:val="18"/>
        </w:rPr>
        <w:t>4年）起按照每半年支付一次债券利息</w:t>
      </w:r>
      <w:r>
        <w:rPr>
          <w:rFonts w:hint="eastAsia" w:cs="Times New Roman"/>
          <w:sz w:val="18"/>
          <w:szCs w:val="18"/>
        </w:rPr>
        <w:t>。</w:t>
      </w:r>
    </w:p>
    <w:p w14:paraId="3926E096">
      <w:pPr>
        <w:pStyle w:val="20"/>
        <w:spacing w:before="0" w:beforeAutospacing="0" w:afterLines="50" w:afterAutospacing="0" w:line="360" w:lineRule="exact"/>
        <w:ind w:firstLine="420" w:firstLineChars="200"/>
        <w:jc w:val="both"/>
        <w:rPr>
          <w:sz w:val="21"/>
          <w:szCs w:val="21"/>
        </w:rPr>
      </w:pPr>
      <w:r>
        <w:rPr>
          <w:rFonts w:hint="eastAsia"/>
          <w:sz w:val="21"/>
          <w:szCs w:val="21"/>
        </w:rPr>
        <w:t>项目收益同时需覆盖借款还本付息。2024年8月南昌小蓝经济技术开发区经济发展投资有限责任公司中国工商银行股份有限公司南昌支行申请银行借款22,000.00万元，到2039年还本付息，利率3.65%。</w:t>
      </w:r>
    </w:p>
    <w:p w14:paraId="40F7C3B7">
      <w:pPr>
        <w:jc w:val="center"/>
        <w:rPr>
          <w:rFonts w:ascii="宋体" w:hAnsi="宋体" w:cs="仿宋"/>
          <w:b/>
          <w:szCs w:val="24"/>
        </w:rPr>
      </w:pPr>
      <w:r>
        <w:rPr>
          <w:rFonts w:hint="eastAsia" w:ascii="宋体" w:hAnsi="宋体" w:cs="仿宋"/>
          <w:b/>
          <w:szCs w:val="24"/>
        </w:rPr>
        <w:t>表3</w:t>
      </w:r>
      <w:r>
        <w:rPr>
          <w:rFonts w:hint="eastAsia" w:ascii="宋体" w:hAnsi="宋体"/>
          <w:b/>
          <w:szCs w:val="24"/>
        </w:rPr>
        <w:t xml:space="preserve">-4 </w:t>
      </w:r>
      <w:r>
        <w:rPr>
          <w:rFonts w:hint="eastAsia" w:ascii="宋体" w:hAnsi="宋体" w:cs="仿宋"/>
          <w:b/>
          <w:szCs w:val="24"/>
        </w:rPr>
        <w:t>银行贷款还本付息表</w:t>
      </w:r>
    </w:p>
    <w:p w14:paraId="0CA1662A">
      <w:pPr>
        <w:jc w:val="right"/>
        <w:rPr>
          <w:rFonts w:ascii="宋体" w:hAnsi="宋体" w:cs="仿宋"/>
          <w:b/>
          <w:szCs w:val="24"/>
        </w:rPr>
      </w:pPr>
      <w:r>
        <w:rPr>
          <w:rFonts w:hint="eastAsia" w:ascii="宋体" w:hAnsi="宋体" w:cs="仿宋"/>
          <w:sz w:val="18"/>
          <w:szCs w:val="18"/>
        </w:rPr>
        <w:t>单位：万元</w:t>
      </w:r>
    </w:p>
    <w:tbl>
      <w:tblPr>
        <w:tblStyle w:val="24"/>
        <w:tblW w:w="4998" w:type="pct"/>
        <w:tblInd w:w="0" w:type="dxa"/>
        <w:tblLayout w:type="autofit"/>
        <w:tblCellMar>
          <w:top w:w="0" w:type="dxa"/>
          <w:left w:w="108" w:type="dxa"/>
          <w:bottom w:w="0" w:type="dxa"/>
          <w:right w:w="108" w:type="dxa"/>
        </w:tblCellMar>
      </w:tblPr>
      <w:tblGrid>
        <w:gridCol w:w="1074"/>
        <w:gridCol w:w="1744"/>
        <w:gridCol w:w="1385"/>
        <w:gridCol w:w="1385"/>
        <w:gridCol w:w="1385"/>
        <w:gridCol w:w="1744"/>
      </w:tblGrid>
      <w:tr w14:paraId="29D24A75">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F69E">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年份</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3CA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期初借款余额</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1F0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本期贷款</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A832">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本期还本</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8C8A">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本期付息</w:t>
            </w:r>
          </w:p>
        </w:tc>
        <w:tc>
          <w:tcPr>
            <w:tcW w:w="1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379E">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期末借款余额</w:t>
            </w:r>
          </w:p>
        </w:tc>
      </w:tr>
      <w:tr w14:paraId="1DB325FF">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A74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2024年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6E2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A366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21,400.00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8849B">
            <w:pPr>
              <w:jc w:val="center"/>
              <w:rPr>
                <w:rFonts w:ascii="宋体" w:hAnsi="宋体" w:eastAsia="宋体" w:cs="宋体"/>
                <w:color w:val="000000"/>
                <w:sz w:val="18"/>
                <w:szCs w:val="18"/>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F56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7FD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21,400.00</w:t>
            </w:r>
          </w:p>
        </w:tc>
      </w:tr>
      <w:tr w14:paraId="023E0EAC">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F88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2025年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E7D7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21,400.00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0F2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8BA8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F06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781.10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77B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21,750.00</w:t>
            </w:r>
          </w:p>
        </w:tc>
      </w:tr>
      <w:tr w14:paraId="5064AA87">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207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2026年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9109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21,750.00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87E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B93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5B2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EEA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21,150.00</w:t>
            </w:r>
          </w:p>
        </w:tc>
      </w:tr>
      <w:tr w14:paraId="445DEC2F">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E5A7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2027年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BF5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21,150.00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064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F8C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CD69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2CF7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20,300.00</w:t>
            </w:r>
          </w:p>
        </w:tc>
      </w:tr>
      <w:tr w14:paraId="044C8269">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D1C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2028年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6409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80CD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D2BC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1,300.00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97B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B50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19,000.00</w:t>
            </w:r>
          </w:p>
        </w:tc>
      </w:tr>
      <w:tr w14:paraId="1F7EB576">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DD2A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2029年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5BF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19,000.00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8594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BD3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1,600.00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99A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EFEE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17,400.00</w:t>
            </w:r>
          </w:p>
        </w:tc>
      </w:tr>
      <w:tr w14:paraId="7D018D2C">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C6DD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2030年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FF6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17,400.00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2CF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54A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1,650.00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A77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ACB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15,750.00</w:t>
            </w:r>
          </w:p>
        </w:tc>
      </w:tr>
      <w:tr w14:paraId="00CA15FA">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A69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2031年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731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15,750.00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2C3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192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1,700.00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2A94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E7B6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14,050.00</w:t>
            </w:r>
          </w:p>
        </w:tc>
      </w:tr>
      <w:tr w14:paraId="48DEF29C">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4FEB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2032年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82DB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14,050.00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80E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E9A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1,700.00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47F6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94EB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12,350.00</w:t>
            </w:r>
          </w:p>
        </w:tc>
      </w:tr>
      <w:tr w14:paraId="58F846FA">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8DD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2033年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44C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12,350.00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BD2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D4322">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1,750.00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AA47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B03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10,600.00</w:t>
            </w:r>
          </w:p>
        </w:tc>
      </w:tr>
      <w:tr w14:paraId="09BA0128">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BAE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2034年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CF5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10,600.00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45617">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A26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1,850.00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D0B21">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FC5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8,750.00</w:t>
            </w:r>
          </w:p>
        </w:tc>
      </w:tr>
      <w:tr w14:paraId="5B91FA46">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0D7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2035年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C86E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8,750.00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91F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5967D">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1,900.00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EE0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123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6,850.00</w:t>
            </w:r>
          </w:p>
        </w:tc>
      </w:tr>
      <w:tr w14:paraId="37B28B8A">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4A94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2036年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89F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6,850.00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A92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B1A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1,900.00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FAE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768DF">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4,950.00</w:t>
            </w:r>
          </w:p>
        </w:tc>
      </w:tr>
      <w:tr w14:paraId="75112ABE">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9F5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2037年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7D2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4,950.00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7E67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1B3B">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1,950.00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37AD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4A83">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3,000.00</w:t>
            </w:r>
          </w:p>
        </w:tc>
      </w:tr>
      <w:tr w14:paraId="443955C3">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9BC46">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2038年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DA17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3,000.00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AFC0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4A19">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304B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803.00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8F1C">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1,000.00</w:t>
            </w:r>
          </w:p>
        </w:tc>
      </w:tr>
      <w:tr w14:paraId="0C9F414F">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DBAA">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2039年</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3F68">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AD30">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E9A64">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1,000.00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DA5E">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824.90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D105">
            <w:pPr>
              <w:widowControl/>
              <w:jc w:val="center"/>
              <w:textAlignment w:val="bottom"/>
              <w:rPr>
                <w:rFonts w:ascii="宋体" w:hAnsi="宋体" w:eastAsia="宋体" w:cs="宋体"/>
                <w:color w:val="000000"/>
                <w:sz w:val="18"/>
                <w:szCs w:val="18"/>
              </w:rPr>
            </w:pPr>
            <w:r>
              <w:rPr>
                <w:rFonts w:hint="eastAsia" w:ascii="宋体" w:hAnsi="宋体" w:eastAsia="宋体" w:cs="宋体"/>
                <w:color w:val="000000"/>
                <w:kern w:val="0"/>
                <w:sz w:val="18"/>
                <w:szCs w:val="18"/>
              </w:rPr>
              <w:t>-</w:t>
            </w:r>
          </w:p>
        </w:tc>
      </w:tr>
      <w:tr w14:paraId="718C1741">
        <w:trPr>
          <w:trHeight w:val="28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B999">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合计</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A989">
            <w:pPr>
              <w:jc w:val="center"/>
              <w:rPr>
                <w:rFonts w:ascii="宋体" w:hAnsi="宋体" w:eastAsia="宋体" w:cs="宋体"/>
                <w:b/>
                <w:bCs/>
                <w:color w:val="000000"/>
                <w:sz w:val="18"/>
                <w:szCs w:val="18"/>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92AC">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22,000.00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09F6F">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22,000.00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7DF0F">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12,045.00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DBC40">
            <w:pPr>
              <w:widowControl/>
              <w:jc w:val="center"/>
              <w:textAlignment w:val="bottom"/>
              <w:rPr>
                <w:rFonts w:ascii="宋体" w:hAnsi="宋体" w:eastAsia="宋体" w:cs="宋体"/>
                <w:b/>
                <w:bCs/>
                <w:color w:val="000000"/>
                <w:sz w:val="18"/>
                <w:szCs w:val="18"/>
              </w:rPr>
            </w:pPr>
            <w:r>
              <w:rPr>
                <w:rFonts w:hint="eastAsia" w:ascii="宋体" w:hAnsi="宋体" w:eastAsia="宋体" w:cs="宋体"/>
                <w:b/>
                <w:bCs/>
                <w:color w:val="000000"/>
                <w:kern w:val="0"/>
                <w:sz w:val="18"/>
                <w:szCs w:val="18"/>
              </w:rPr>
              <w:t>-</w:t>
            </w:r>
          </w:p>
        </w:tc>
      </w:tr>
    </w:tbl>
    <w:p w14:paraId="53837F89">
      <w:pPr>
        <w:pStyle w:val="20"/>
        <w:spacing w:before="0" w:beforeAutospacing="0" w:afterLines="50" w:afterAutospacing="0" w:line="360" w:lineRule="exact"/>
        <w:ind w:firstLine="420" w:firstLineChars="200"/>
        <w:jc w:val="both"/>
        <w:rPr>
          <w:color w:val="000000" w:themeColor="text1"/>
          <w:sz w:val="21"/>
          <w:szCs w:val="21"/>
          <w14:textFill>
            <w14:solidFill>
              <w14:schemeClr w14:val="tx1"/>
            </w14:solidFill>
          </w14:textFill>
        </w:rPr>
      </w:pPr>
    </w:p>
    <w:bookmarkEnd w:id="198"/>
    <w:bookmarkEnd w:id="199"/>
    <w:p w14:paraId="1364CB89">
      <w:pPr>
        <w:pStyle w:val="20"/>
        <w:spacing w:before="0" w:beforeAutospacing="0" w:afterLines="50" w:afterAutospacing="0" w:line="360" w:lineRule="exact"/>
        <w:ind w:firstLine="420" w:firstLineChars="200"/>
        <w:jc w:val="both"/>
        <w:rPr>
          <w:sz w:val="21"/>
          <w:szCs w:val="21"/>
        </w:rPr>
      </w:pPr>
      <w:bookmarkStart w:id="200" w:name="_Toc24868_WPSOffice_Level1"/>
      <w:bookmarkStart w:id="201" w:name="_Toc44517305"/>
      <w:r>
        <w:rPr>
          <w:rFonts w:hint="eastAsia"/>
          <w:sz w:val="21"/>
          <w:szCs w:val="21"/>
        </w:rPr>
        <w:t>202</w:t>
      </w:r>
      <w:r>
        <w:rPr>
          <w:sz w:val="21"/>
          <w:szCs w:val="21"/>
        </w:rPr>
        <w:t>4</w:t>
      </w:r>
      <w:r>
        <w:rPr>
          <w:rFonts w:hint="eastAsia"/>
          <w:sz w:val="21"/>
          <w:szCs w:val="21"/>
        </w:rPr>
        <w:t>年江西省汽车零部件产业园(二期)及配套设施建设项目专项债券项目实施方案资金充足性分析情况具体如下表3</w:t>
      </w:r>
      <w:r>
        <w:rPr>
          <w:sz w:val="21"/>
          <w:szCs w:val="21"/>
        </w:rPr>
        <w:t>-4</w:t>
      </w:r>
      <w:r>
        <w:rPr>
          <w:rFonts w:hint="eastAsia"/>
          <w:sz w:val="21"/>
          <w:szCs w:val="21"/>
        </w:rPr>
        <w:t>及图3-</w:t>
      </w:r>
      <w:r>
        <w:rPr>
          <w:sz w:val="21"/>
          <w:szCs w:val="21"/>
        </w:rPr>
        <w:t>1</w:t>
      </w:r>
      <w:r>
        <w:rPr>
          <w:rFonts w:hint="eastAsia"/>
          <w:sz w:val="21"/>
          <w:szCs w:val="21"/>
        </w:rPr>
        <w:t>所示：</w:t>
      </w:r>
    </w:p>
    <w:p w14:paraId="4342ED0F">
      <w:pPr>
        <w:pStyle w:val="20"/>
        <w:spacing w:afterLines="50" w:afterAutospacing="0" w:line="360" w:lineRule="exact"/>
        <w:ind w:firstLine="440" w:firstLineChars="200"/>
        <w:jc w:val="center"/>
        <w:rPr>
          <w:b/>
        </w:rPr>
        <w:sectPr>
          <w:pgSz w:w="11906" w:h="16838"/>
          <w:pgMar w:top="1531" w:right="1701" w:bottom="1418" w:left="1701" w:header="851" w:footer="992" w:gutter="0"/>
          <w:cols w:space="425" w:num="1"/>
          <w:docGrid w:type="linesAndChars" w:linePitch="312" w:charSpace="0"/>
        </w:sectPr>
      </w:pPr>
    </w:p>
    <w:p w14:paraId="6504378A">
      <w:pPr>
        <w:pStyle w:val="20"/>
        <w:spacing w:before="0" w:beforeAutospacing="0" w:afterLines="50" w:afterAutospacing="0" w:line="360" w:lineRule="exact"/>
        <w:ind w:firstLine="420" w:firstLineChars="200"/>
        <w:jc w:val="center"/>
        <w:rPr>
          <w:b/>
          <w:sz w:val="21"/>
          <w:szCs w:val="21"/>
        </w:rPr>
      </w:pPr>
      <w:r>
        <w:rPr>
          <w:rFonts w:hint="eastAsia"/>
          <w:b/>
          <w:sz w:val="21"/>
          <w:szCs w:val="21"/>
        </w:rPr>
        <w:t>表3-</w:t>
      </w:r>
      <w:r>
        <w:rPr>
          <w:b/>
          <w:sz w:val="21"/>
          <w:szCs w:val="21"/>
        </w:rPr>
        <w:t xml:space="preserve">4  </w:t>
      </w:r>
      <w:r>
        <w:rPr>
          <w:rFonts w:hint="eastAsia"/>
          <w:b/>
          <w:sz w:val="21"/>
          <w:szCs w:val="21"/>
        </w:rPr>
        <w:t>202</w:t>
      </w:r>
      <w:r>
        <w:rPr>
          <w:b/>
          <w:sz w:val="21"/>
          <w:szCs w:val="21"/>
        </w:rPr>
        <w:t>4</w:t>
      </w:r>
      <w:r>
        <w:rPr>
          <w:rFonts w:hint="eastAsia"/>
          <w:b/>
          <w:sz w:val="21"/>
          <w:szCs w:val="21"/>
        </w:rPr>
        <w:t>年江西省汽车零部件产业园(二期)及配套设施建设项目实施方案资金充足性分析情况表</w:t>
      </w:r>
    </w:p>
    <w:p w14:paraId="5BBE2C79">
      <w:pPr>
        <w:pStyle w:val="20"/>
        <w:spacing w:before="0" w:beforeAutospacing="0" w:after="50" w:afterAutospacing="0" w:line="360" w:lineRule="exact"/>
        <w:ind w:right="-510" w:rightChars="-243" w:firstLine="360" w:firstLineChars="200"/>
        <w:jc w:val="right"/>
        <w:rPr>
          <w:sz w:val="18"/>
          <w:szCs w:val="18"/>
        </w:rPr>
      </w:pPr>
      <w:r>
        <w:rPr>
          <w:rFonts w:hint="eastAsia"/>
          <w:sz w:val="18"/>
          <w:szCs w:val="18"/>
        </w:rPr>
        <w:t>单位：万元</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717"/>
        <w:gridCol w:w="1155"/>
        <w:gridCol w:w="1156"/>
        <w:gridCol w:w="1063"/>
        <w:gridCol w:w="1063"/>
        <w:gridCol w:w="969"/>
        <w:gridCol w:w="1063"/>
        <w:gridCol w:w="1063"/>
        <w:gridCol w:w="1063"/>
        <w:gridCol w:w="1063"/>
        <w:gridCol w:w="1063"/>
        <w:gridCol w:w="1063"/>
      </w:tblGrid>
      <w:tr w14:paraId="0FC5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212" w:type="pct"/>
            <w:shd w:val="clear" w:color="auto" w:fill="auto"/>
            <w:vAlign w:val="center"/>
          </w:tcPr>
          <w:p w14:paraId="65F6C80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08" w:type="pct"/>
            <w:shd w:val="clear" w:color="auto" w:fill="auto"/>
            <w:vAlign w:val="center"/>
          </w:tcPr>
          <w:p w14:paraId="1ABA904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年份</w:t>
            </w:r>
          </w:p>
        </w:tc>
        <w:tc>
          <w:tcPr>
            <w:tcW w:w="409" w:type="pct"/>
            <w:shd w:val="clear" w:color="auto" w:fill="auto"/>
            <w:vAlign w:val="center"/>
          </w:tcPr>
          <w:p w14:paraId="7E1936EE">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1156" w:type="dxa"/>
            <w:shd w:val="clear" w:color="auto" w:fill="auto"/>
            <w:vAlign w:val="center"/>
          </w:tcPr>
          <w:p w14:paraId="1A3B287B">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2022年</w:t>
            </w:r>
          </w:p>
        </w:tc>
        <w:tc>
          <w:tcPr>
            <w:tcW w:w="1063" w:type="dxa"/>
            <w:shd w:val="clear" w:color="auto" w:fill="auto"/>
            <w:vAlign w:val="center"/>
          </w:tcPr>
          <w:p w14:paraId="17BFD9C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2023年</w:t>
            </w:r>
          </w:p>
        </w:tc>
        <w:tc>
          <w:tcPr>
            <w:tcW w:w="1063" w:type="dxa"/>
            <w:shd w:val="clear" w:color="auto" w:fill="auto"/>
            <w:vAlign w:val="center"/>
          </w:tcPr>
          <w:p w14:paraId="65AB9892">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2024年</w:t>
            </w:r>
          </w:p>
        </w:tc>
        <w:tc>
          <w:tcPr>
            <w:tcW w:w="969" w:type="dxa"/>
            <w:shd w:val="clear" w:color="auto" w:fill="auto"/>
            <w:vAlign w:val="center"/>
          </w:tcPr>
          <w:p w14:paraId="644A94E3">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2025年</w:t>
            </w:r>
          </w:p>
        </w:tc>
        <w:tc>
          <w:tcPr>
            <w:tcW w:w="1063" w:type="dxa"/>
            <w:shd w:val="clear" w:color="auto" w:fill="auto"/>
            <w:vAlign w:val="center"/>
          </w:tcPr>
          <w:p w14:paraId="64421C32">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2026年</w:t>
            </w:r>
          </w:p>
        </w:tc>
        <w:tc>
          <w:tcPr>
            <w:tcW w:w="1063" w:type="dxa"/>
            <w:shd w:val="clear" w:color="auto" w:fill="auto"/>
            <w:vAlign w:val="center"/>
          </w:tcPr>
          <w:p w14:paraId="3FF9189A">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2027年</w:t>
            </w:r>
          </w:p>
        </w:tc>
        <w:tc>
          <w:tcPr>
            <w:tcW w:w="1063" w:type="dxa"/>
            <w:shd w:val="clear" w:color="auto" w:fill="auto"/>
            <w:vAlign w:val="center"/>
          </w:tcPr>
          <w:p w14:paraId="0ECAF810">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2028年</w:t>
            </w:r>
          </w:p>
        </w:tc>
        <w:tc>
          <w:tcPr>
            <w:tcW w:w="1063" w:type="dxa"/>
            <w:shd w:val="clear" w:color="auto" w:fill="auto"/>
            <w:vAlign w:val="center"/>
          </w:tcPr>
          <w:p w14:paraId="7AC7954C">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2029年</w:t>
            </w:r>
          </w:p>
        </w:tc>
        <w:tc>
          <w:tcPr>
            <w:tcW w:w="1063" w:type="dxa"/>
            <w:shd w:val="clear" w:color="auto" w:fill="auto"/>
            <w:vAlign w:val="center"/>
          </w:tcPr>
          <w:p w14:paraId="141214C8">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2030年</w:t>
            </w:r>
          </w:p>
        </w:tc>
        <w:tc>
          <w:tcPr>
            <w:tcW w:w="1063" w:type="dxa"/>
            <w:shd w:val="clear" w:color="auto" w:fill="auto"/>
            <w:vAlign w:val="center"/>
          </w:tcPr>
          <w:p w14:paraId="3617596A">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2031年</w:t>
            </w:r>
          </w:p>
        </w:tc>
      </w:tr>
      <w:tr w14:paraId="70CC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69E3B48F">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w:t>
            </w:r>
          </w:p>
        </w:tc>
        <w:tc>
          <w:tcPr>
            <w:tcW w:w="608" w:type="pct"/>
            <w:shd w:val="clear" w:color="auto" w:fill="auto"/>
            <w:vAlign w:val="center"/>
          </w:tcPr>
          <w:p w14:paraId="4EA4AE18">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现金流入</w:t>
            </w:r>
          </w:p>
        </w:tc>
        <w:tc>
          <w:tcPr>
            <w:tcW w:w="1155" w:type="dxa"/>
            <w:shd w:val="clear" w:color="auto" w:fill="auto"/>
            <w:vAlign w:val="center"/>
          </w:tcPr>
          <w:p w14:paraId="1AEB3A3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262,282.73</w:t>
            </w:r>
          </w:p>
        </w:tc>
        <w:tc>
          <w:tcPr>
            <w:tcW w:w="1156" w:type="dxa"/>
            <w:shd w:val="clear" w:color="auto" w:fill="auto"/>
            <w:vAlign w:val="center"/>
          </w:tcPr>
          <w:p w14:paraId="512C085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1,544.00</w:t>
            </w:r>
          </w:p>
        </w:tc>
        <w:tc>
          <w:tcPr>
            <w:tcW w:w="1063" w:type="dxa"/>
            <w:shd w:val="clear" w:color="auto" w:fill="auto"/>
            <w:vAlign w:val="center"/>
          </w:tcPr>
          <w:p w14:paraId="20DB555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11,131.00</w:t>
            </w:r>
          </w:p>
        </w:tc>
        <w:tc>
          <w:tcPr>
            <w:tcW w:w="1063" w:type="dxa"/>
            <w:shd w:val="clear" w:color="auto" w:fill="auto"/>
            <w:vAlign w:val="center"/>
          </w:tcPr>
          <w:p w14:paraId="041D263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26,798.59</w:t>
            </w:r>
          </w:p>
        </w:tc>
        <w:tc>
          <w:tcPr>
            <w:tcW w:w="969" w:type="dxa"/>
            <w:shd w:val="clear" w:color="auto" w:fill="auto"/>
            <w:vAlign w:val="center"/>
          </w:tcPr>
          <w:p w14:paraId="6CF37A9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17,284.00</w:t>
            </w:r>
          </w:p>
        </w:tc>
        <w:tc>
          <w:tcPr>
            <w:tcW w:w="1063" w:type="dxa"/>
            <w:shd w:val="clear" w:color="auto" w:fill="auto"/>
            <w:vAlign w:val="center"/>
          </w:tcPr>
          <w:p w14:paraId="39FE4A8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7,023.00</w:t>
            </w:r>
          </w:p>
        </w:tc>
        <w:tc>
          <w:tcPr>
            <w:tcW w:w="1063" w:type="dxa"/>
            <w:shd w:val="clear" w:color="auto" w:fill="auto"/>
            <w:vAlign w:val="center"/>
          </w:tcPr>
          <w:p w14:paraId="7CCA939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2,337.40</w:t>
            </w:r>
          </w:p>
        </w:tc>
        <w:tc>
          <w:tcPr>
            <w:tcW w:w="1063" w:type="dxa"/>
            <w:shd w:val="clear" w:color="auto" w:fill="auto"/>
            <w:vAlign w:val="center"/>
          </w:tcPr>
          <w:p w14:paraId="7B4C067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5,249.33</w:t>
            </w:r>
          </w:p>
        </w:tc>
        <w:tc>
          <w:tcPr>
            <w:tcW w:w="1063" w:type="dxa"/>
            <w:shd w:val="clear" w:color="auto" w:fill="auto"/>
            <w:vAlign w:val="center"/>
          </w:tcPr>
          <w:p w14:paraId="27ADF59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142F565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5547823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r>
      <w:tr w14:paraId="2652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2159F3E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08" w:type="pct"/>
            <w:shd w:val="clear" w:color="auto" w:fill="auto"/>
            <w:vAlign w:val="center"/>
          </w:tcPr>
          <w:p w14:paraId="05C3B7E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业务活动现金流入</w:t>
            </w:r>
          </w:p>
        </w:tc>
        <w:tc>
          <w:tcPr>
            <w:tcW w:w="1155" w:type="dxa"/>
            <w:shd w:val="clear" w:color="auto" w:fill="auto"/>
            <w:vAlign w:val="center"/>
          </w:tcPr>
          <w:p w14:paraId="47854F7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156" w:type="dxa"/>
            <w:shd w:val="clear" w:color="auto" w:fill="auto"/>
            <w:vAlign w:val="center"/>
          </w:tcPr>
          <w:p w14:paraId="4FCE198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54F51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6CB3C7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57235B7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D6307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AEAE09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67CC809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5,249.33</w:t>
            </w:r>
          </w:p>
        </w:tc>
        <w:tc>
          <w:tcPr>
            <w:tcW w:w="1063" w:type="dxa"/>
            <w:shd w:val="clear" w:color="auto" w:fill="auto"/>
            <w:vAlign w:val="center"/>
          </w:tcPr>
          <w:p w14:paraId="39931C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157FC44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68815CE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r>
      <w:tr w14:paraId="33CD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3811BC3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08" w:type="pct"/>
            <w:shd w:val="clear" w:color="auto" w:fill="auto"/>
            <w:vAlign w:val="center"/>
          </w:tcPr>
          <w:p w14:paraId="265EB0D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财政补贴收入</w:t>
            </w:r>
          </w:p>
        </w:tc>
        <w:tc>
          <w:tcPr>
            <w:tcW w:w="1155" w:type="dxa"/>
            <w:shd w:val="clear" w:color="auto" w:fill="auto"/>
            <w:vAlign w:val="center"/>
          </w:tcPr>
          <w:p w14:paraId="4105B7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56" w:type="dxa"/>
            <w:shd w:val="clear" w:color="auto" w:fill="auto"/>
            <w:vAlign w:val="center"/>
          </w:tcPr>
          <w:p w14:paraId="35D5F7FB">
            <w:pPr>
              <w:jc w:val="center"/>
              <w:rPr>
                <w:rFonts w:ascii="宋体" w:hAnsi="宋体" w:eastAsia="宋体" w:cs="宋体"/>
                <w:color w:val="000000"/>
                <w:kern w:val="0"/>
                <w:sz w:val="18"/>
                <w:szCs w:val="18"/>
              </w:rPr>
            </w:pPr>
          </w:p>
        </w:tc>
        <w:tc>
          <w:tcPr>
            <w:tcW w:w="1063" w:type="dxa"/>
            <w:shd w:val="clear" w:color="auto" w:fill="auto"/>
            <w:vAlign w:val="center"/>
          </w:tcPr>
          <w:p w14:paraId="010735E0">
            <w:pPr>
              <w:jc w:val="center"/>
              <w:rPr>
                <w:rFonts w:ascii="宋体" w:hAnsi="宋体" w:eastAsia="宋体" w:cs="宋体"/>
                <w:color w:val="000000"/>
                <w:kern w:val="0"/>
                <w:sz w:val="18"/>
                <w:szCs w:val="18"/>
              </w:rPr>
            </w:pPr>
          </w:p>
        </w:tc>
        <w:tc>
          <w:tcPr>
            <w:tcW w:w="1063" w:type="dxa"/>
            <w:shd w:val="clear" w:color="auto" w:fill="auto"/>
            <w:vAlign w:val="center"/>
          </w:tcPr>
          <w:p w14:paraId="73AE9ED0">
            <w:pPr>
              <w:jc w:val="center"/>
              <w:rPr>
                <w:rFonts w:ascii="宋体" w:hAnsi="宋体" w:eastAsia="宋体" w:cs="宋体"/>
                <w:color w:val="000000"/>
                <w:kern w:val="0"/>
                <w:sz w:val="18"/>
                <w:szCs w:val="18"/>
              </w:rPr>
            </w:pPr>
          </w:p>
        </w:tc>
        <w:tc>
          <w:tcPr>
            <w:tcW w:w="969" w:type="dxa"/>
            <w:shd w:val="clear" w:color="auto" w:fill="auto"/>
            <w:vAlign w:val="center"/>
          </w:tcPr>
          <w:p w14:paraId="73D07BEB">
            <w:pPr>
              <w:jc w:val="center"/>
              <w:rPr>
                <w:rFonts w:ascii="宋体" w:hAnsi="宋体" w:eastAsia="宋体" w:cs="宋体"/>
                <w:color w:val="000000"/>
                <w:kern w:val="0"/>
                <w:sz w:val="18"/>
                <w:szCs w:val="18"/>
              </w:rPr>
            </w:pPr>
          </w:p>
        </w:tc>
        <w:tc>
          <w:tcPr>
            <w:tcW w:w="1063" w:type="dxa"/>
            <w:shd w:val="clear" w:color="auto" w:fill="auto"/>
            <w:vAlign w:val="center"/>
          </w:tcPr>
          <w:p w14:paraId="73AEBF13">
            <w:pPr>
              <w:jc w:val="center"/>
              <w:rPr>
                <w:rFonts w:ascii="宋体" w:hAnsi="宋体" w:eastAsia="宋体" w:cs="宋体"/>
                <w:color w:val="000000"/>
                <w:kern w:val="0"/>
                <w:sz w:val="18"/>
                <w:szCs w:val="18"/>
              </w:rPr>
            </w:pPr>
          </w:p>
        </w:tc>
        <w:tc>
          <w:tcPr>
            <w:tcW w:w="1063" w:type="dxa"/>
            <w:shd w:val="clear" w:color="auto" w:fill="auto"/>
            <w:vAlign w:val="center"/>
          </w:tcPr>
          <w:p w14:paraId="33BC16B3">
            <w:pPr>
              <w:jc w:val="center"/>
              <w:rPr>
                <w:rFonts w:ascii="宋体" w:hAnsi="宋体" w:eastAsia="宋体" w:cs="宋体"/>
                <w:color w:val="000000"/>
                <w:kern w:val="0"/>
                <w:sz w:val="18"/>
                <w:szCs w:val="18"/>
              </w:rPr>
            </w:pPr>
          </w:p>
        </w:tc>
        <w:tc>
          <w:tcPr>
            <w:tcW w:w="1063" w:type="dxa"/>
            <w:shd w:val="clear" w:color="auto" w:fill="auto"/>
            <w:vAlign w:val="center"/>
          </w:tcPr>
          <w:p w14:paraId="7AC5F661">
            <w:pPr>
              <w:jc w:val="center"/>
              <w:rPr>
                <w:rFonts w:ascii="宋体" w:hAnsi="宋体" w:eastAsia="宋体" w:cs="宋体"/>
                <w:color w:val="000000"/>
                <w:kern w:val="0"/>
                <w:sz w:val="18"/>
                <w:szCs w:val="18"/>
              </w:rPr>
            </w:pPr>
          </w:p>
        </w:tc>
        <w:tc>
          <w:tcPr>
            <w:tcW w:w="1063" w:type="dxa"/>
            <w:shd w:val="clear" w:color="auto" w:fill="auto"/>
            <w:vAlign w:val="center"/>
          </w:tcPr>
          <w:p w14:paraId="1FA902F1">
            <w:pPr>
              <w:jc w:val="center"/>
              <w:rPr>
                <w:rFonts w:ascii="宋体" w:hAnsi="宋体" w:eastAsia="宋体" w:cs="宋体"/>
                <w:color w:val="000000"/>
                <w:kern w:val="0"/>
                <w:sz w:val="18"/>
                <w:szCs w:val="18"/>
              </w:rPr>
            </w:pPr>
          </w:p>
        </w:tc>
        <w:tc>
          <w:tcPr>
            <w:tcW w:w="1063" w:type="dxa"/>
            <w:shd w:val="clear" w:color="auto" w:fill="auto"/>
            <w:vAlign w:val="center"/>
          </w:tcPr>
          <w:p w14:paraId="250CE240">
            <w:pPr>
              <w:jc w:val="center"/>
              <w:rPr>
                <w:rFonts w:ascii="宋体" w:hAnsi="宋体" w:eastAsia="宋体" w:cs="宋体"/>
                <w:color w:val="000000"/>
                <w:kern w:val="0"/>
                <w:sz w:val="18"/>
                <w:szCs w:val="18"/>
              </w:rPr>
            </w:pPr>
          </w:p>
        </w:tc>
        <w:tc>
          <w:tcPr>
            <w:tcW w:w="1063" w:type="dxa"/>
            <w:shd w:val="clear" w:color="auto" w:fill="auto"/>
            <w:vAlign w:val="center"/>
          </w:tcPr>
          <w:p w14:paraId="0E1C5E39">
            <w:pPr>
              <w:jc w:val="center"/>
              <w:rPr>
                <w:rFonts w:ascii="宋体" w:hAnsi="宋体" w:eastAsia="宋体" w:cs="宋体"/>
                <w:color w:val="000000"/>
                <w:kern w:val="0"/>
                <w:sz w:val="18"/>
                <w:szCs w:val="18"/>
              </w:rPr>
            </w:pPr>
          </w:p>
        </w:tc>
      </w:tr>
      <w:tr w14:paraId="357F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0B818A8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08" w:type="pct"/>
            <w:shd w:val="clear" w:color="auto" w:fill="auto"/>
            <w:vAlign w:val="center"/>
          </w:tcPr>
          <w:p w14:paraId="3A762A8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经营收入</w:t>
            </w:r>
          </w:p>
        </w:tc>
        <w:tc>
          <w:tcPr>
            <w:tcW w:w="1155" w:type="dxa"/>
            <w:shd w:val="clear" w:color="auto" w:fill="auto"/>
            <w:vAlign w:val="center"/>
          </w:tcPr>
          <w:p w14:paraId="15B65BD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156" w:type="dxa"/>
            <w:shd w:val="clear" w:color="auto" w:fill="auto"/>
            <w:vAlign w:val="center"/>
          </w:tcPr>
          <w:p w14:paraId="022BC3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71B9F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9844D0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7FE5092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F114EA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E7B63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F246BC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5,249.33</w:t>
            </w:r>
          </w:p>
        </w:tc>
        <w:tc>
          <w:tcPr>
            <w:tcW w:w="1063" w:type="dxa"/>
            <w:shd w:val="clear" w:color="auto" w:fill="auto"/>
            <w:vAlign w:val="center"/>
          </w:tcPr>
          <w:p w14:paraId="6CE8B3D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3CE2FDC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c>
          <w:tcPr>
            <w:tcW w:w="1063" w:type="dxa"/>
            <w:shd w:val="clear" w:color="auto" w:fill="auto"/>
            <w:vAlign w:val="center"/>
          </w:tcPr>
          <w:p w14:paraId="26FE57F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5,511.79</w:t>
            </w:r>
          </w:p>
        </w:tc>
      </w:tr>
      <w:tr w14:paraId="4A18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14124BA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08" w:type="pct"/>
            <w:shd w:val="clear" w:color="auto" w:fill="auto"/>
            <w:vAlign w:val="center"/>
          </w:tcPr>
          <w:p w14:paraId="51C7F20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融资活动现金流入</w:t>
            </w:r>
          </w:p>
        </w:tc>
        <w:tc>
          <w:tcPr>
            <w:tcW w:w="1155" w:type="dxa"/>
            <w:shd w:val="clear" w:color="auto" w:fill="auto"/>
            <w:vAlign w:val="center"/>
          </w:tcPr>
          <w:p w14:paraId="5FAECB4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52,894.40</w:t>
            </w:r>
          </w:p>
        </w:tc>
        <w:tc>
          <w:tcPr>
            <w:tcW w:w="1156" w:type="dxa"/>
            <w:shd w:val="clear" w:color="auto" w:fill="auto"/>
            <w:vAlign w:val="center"/>
          </w:tcPr>
          <w:p w14:paraId="30B00E2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DEE74C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3BBC233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26,250.00</w:t>
            </w:r>
          </w:p>
        </w:tc>
        <w:tc>
          <w:tcPr>
            <w:tcW w:w="969" w:type="dxa"/>
            <w:shd w:val="clear" w:color="auto" w:fill="auto"/>
            <w:vAlign w:val="center"/>
          </w:tcPr>
          <w:p w14:paraId="5C3B74D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17,284.00</w:t>
            </w:r>
          </w:p>
        </w:tc>
        <w:tc>
          <w:tcPr>
            <w:tcW w:w="1063" w:type="dxa"/>
            <w:shd w:val="clear" w:color="auto" w:fill="auto"/>
            <w:vAlign w:val="center"/>
          </w:tcPr>
          <w:p w14:paraId="5B6F0E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7,023.00</w:t>
            </w:r>
          </w:p>
        </w:tc>
        <w:tc>
          <w:tcPr>
            <w:tcW w:w="1063" w:type="dxa"/>
            <w:shd w:val="clear" w:color="auto" w:fill="auto"/>
            <w:vAlign w:val="center"/>
          </w:tcPr>
          <w:p w14:paraId="0776BC7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2,337.40</w:t>
            </w:r>
          </w:p>
        </w:tc>
        <w:tc>
          <w:tcPr>
            <w:tcW w:w="1063" w:type="dxa"/>
            <w:shd w:val="clear" w:color="auto" w:fill="auto"/>
            <w:vAlign w:val="center"/>
          </w:tcPr>
          <w:p w14:paraId="160DC20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3797FE0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0BDF3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890992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7077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1E2220A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08" w:type="pct"/>
            <w:shd w:val="clear" w:color="auto" w:fill="auto"/>
            <w:vAlign w:val="center"/>
          </w:tcPr>
          <w:p w14:paraId="59F54C6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债券融资款</w:t>
            </w:r>
          </w:p>
        </w:tc>
        <w:tc>
          <w:tcPr>
            <w:tcW w:w="1155" w:type="dxa"/>
            <w:shd w:val="clear" w:color="auto" w:fill="auto"/>
            <w:vAlign w:val="center"/>
          </w:tcPr>
          <w:p w14:paraId="424F16E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156" w:type="dxa"/>
            <w:shd w:val="clear" w:color="auto" w:fill="auto"/>
            <w:vAlign w:val="center"/>
          </w:tcPr>
          <w:p w14:paraId="1C63699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DCAEBC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C373E7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4,850.00</w:t>
            </w:r>
          </w:p>
        </w:tc>
        <w:tc>
          <w:tcPr>
            <w:tcW w:w="969" w:type="dxa"/>
            <w:shd w:val="clear" w:color="auto" w:fill="auto"/>
            <w:vAlign w:val="center"/>
          </w:tcPr>
          <w:p w14:paraId="11915D1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16,684.00</w:t>
            </w:r>
          </w:p>
        </w:tc>
        <w:tc>
          <w:tcPr>
            <w:tcW w:w="1063" w:type="dxa"/>
            <w:shd w:val="clear" w:color="auto" w:fill="auto"/>
            <w:vAlign w:val="center"/>
          </w:tcPr>
          <w:p w14:paraId="64BA73B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7,023.00</w:t>
            </w:r>
          </w:p>
        </w:tc>
        <w:tc>
          <w:tcPr>
            <w:tcW w:w="1063" w:type="dxa"/>
            <w:shd w:val="clear" w:color="auto" w:fill="auto"/>
            <w:vAlign w:val="center"/>
          </w:tcPr>
          <w:p w14:paraId="2316A0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2,337.40</w:t>
            </w:r>
          </w:p>
        </w:tc>
        <w:tc>
          <w:tcPr>
            <w:tcW w:w="1063" w:type="dxa"/>
            <w:shd w:val="clear" w:color="auto" w:fill="auto"/>
            <w:vAlign w:val="center"/>
          </w:tcPr>
          <w:p w14:paraId="1BD46311">
            <w:pPr>
              <w:jc w:val="center"/>
              <w:rPr>
                <w:rFonts w:ascii="宋体" w:hAnsi="宋体" w:eastAsia="宋体" w:cs="宋体"/>
                <w:color w:val="000000"/>
                <w:kern w:val="0"/>
                <w:sz w:val="18"/>
                <w:szCs w:val="18"/>
              </w:rPr>
            </w:pPr>
          </w:p>
        </w:tc>
        <w:tc>
          <w:tcPr>
            <w:tcW w:w="1063" w:type="dxa"/>
            <w:shd w:val="clear" w:color="auto" w:fill="auto"/>
            <w:vAlign w:val="center"/>
          </w:tcPr>
          <w:p w14:paraId="4BB35444">
            <w:pPr>
              <w:jc w:val="center"/>
              <w:rPr>
                <w:rFonts w:ascii="宋体" w:hAnsi="宋体" w:eastAsia="宋体" w:cs="宋体"/>
                <w:color w:val="000000"/>
                <w:kern w:val="0"/>
                <w:sz w:val="18"/>
                <w:szCs w:val="18"/>
              </w:rPr>
            </w:pPr>
          </w:p>
        </w:tc>
        <w:tc>
          <w:tcPr>
            <w:tcW w:w="1063" w:type="dxa"/>
            <w:shd w:val="clear" w:color="auto" w:fill="auto"/>
            <w:vAlign w:val="center"/>
          </w:tcPr>
          <w:p w14:paraId="17CE42DF">
            <w:pPr>
              <w:jc w:val="center"/>
              <w:rPr>
                <w:rFonts w:ascii="宋体" w:hAnsi="宋体" w:eastAsia="宋体" w:cs="宋体"/>
                <w:color w:val="000000"/>
                <w:kern w:val="0"/>
                <w:sz w:val="18"/>
                <w:szCs w:val="18"/>
              </w:rPr>
            </w:pPr>
          </w:p>
        </w:tc>
        <w:tc>
          <w:tcPr>
            <w:tcW w:w="1063" w:type="dxa"/>
            <w:shd w:val="clear" w:color="auto" w:fill="auto"/>
            <w:vAlign w:val="center"/>
          </w:tcPr>
          <w:p w14:paraId="30CEE0B3">
            <w:pPr>
              <w:jc w:val="center"/>
              <w:rPr>
                <w:rFonts w:ascii="宋体" w:hAnsi="宋体" w:eastAsia="宋体" w:cs="宋体"/>
                <w:color w:val="000000"/>
                <w:kern w:val="0"/>
                <w:sz w:val="18"/>
                <w:szCs w:val="18"/>
              </w:rPr>
            </w:pPr>
          </w:p>
        </w:tc>
      </w:tr>
      <w:tr w14:paraId="2AFB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02A67B1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08" w:type="pct"/>
            <w:shd w:val="clear" w:color="auto" w:fill="auto"/>
            <w:vAlign w:val="center"/>
          </w:tcPr>
          <w:p w14:paraId="0CF543D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其他融资款</w:t>
            </w:r>
          </w:p>
        </w:tc>
        <w:tc>
          <w:tcPr>
            <w:tcW w:w="1155" w:type="dxa"/>
            <w:shd w:val="clear" w:color="auto" w:fill="auto"/>
            <w:vAlign w:val="center"/>
          </w:tcPr>
          <w:p w14:paraId="6FE2A1A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156" w:type="dxa"/>
            <w:shd w:val="clear" w:color="auto" w:fill="auto"/>
            <w:vAlign w:val="center"/>
          </w:tcPr>
          <w:p w14:paraId="58379F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6E97D2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3D0829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21,400.00</w:t>
            </w:r>
          </w:p>
        </w:tc>
        <w:tc>
          <w:tcPr>
            <w:tcW w:w="969" w:type="dxa"/>
            <w:shd w:val="clear" w:color="auto" w:fill="auto"/>
            <w:vAlign w:val="center"/>
          </w:tcPr>
          <w:p w14:paraId="1BCF3D0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600.00</w:t>
            </w:r>
          </w:p>
        </w:tc>
        <w:tc>
          <w:tcPr>
            <w:tcW w:w="1063" w:type="dxa"/>
            <w:shd w:val="clear" w:color="auto" w:fill="auto"/>
            <w:vAlign w:val="center"/>
          </w:tcPr>
          <w:p w14:paraId="35CADD6B">
            <w:pPr>
              <w:jc w:val="center"/>
              <w:rPr>
                <w:rFonts w:ascii="宋体" w:hAnsi="宋体" w:eastAsia="宋体" w:cs="宋体"/>
                <w:color w:val="000000"/>
                <w:kern w:val="0"/>
                <w:sz w:val="18"/>
                <w:szCs w:val="18"/>
              </w:rPr>
            </w:pPr>
          </w:p>
        </w:tc>
        <w:tc>
          <w:tcPr>
            <w:tcW w:w="1063" w:type="dxa"/>
            <w:shd w:val="clear" w:color="auto" w:fill="auto"/>
            <w:vAlign w:val="center"/>
          </w:tcPr>
          <w:p w14:paraId="14917675">
            <w:pPr>
              <w:jc w:val="center"/>
              <w:rPr>
                <w:rFonts w:ascii="宋体" w:hAnsi="宋体" w:eastAsia="宋体" w:cs="宋体"/>
                <w:color w:val="000000"/>
                <w:kern w:val="0"/>
                <w:sz w:val="18"/>
                <w:szCs w:val="18"/>
              </w:rPr>
            </w:pPr>
          </w:p>
        </w:tc>
        <w:tc>
          <w:tcPr>
            <w:tcW w:w="1063" w:type="dxa"/>
            <w:shd w:val="clear" w:color="auto" w:fill="auto"/>
            <w:vAlign w:val="center"/>
          </w:tcPr>
          <w:p w14:paraId="09439839">
            <w:pPr>
              <w:jc w:val="center"/>
              <w:rPr>
                <w:rFonts w:ascii="宋体" w:hAnsi="宋体" w:eastAsia="宋体" w:cs="宋体"/>
                <w:color w:val="000000"/>
                <w:kern w:val="0"/>
                <w:sz w:val="18"/>
                <w:szCs w:val="18"/>
              </w:rPr>
            </w:pPr>
          </w:p>
        </w:tc>
        <w:tc>
          <w:tcPr>
            <w:tcW w:w="1063" w:type="dxa"/>
            <w:shd w:val="clear" w:color="auto" w:fill="auto"/>
            <w:vAlign w:val="center"/>
          </w:tcPr>
          <w:p w14:paraId="6BAB06A3">
            <w:pPr>
              <w:jc w:val="center"/>
              <w:rPr>
                <w:rFonts w:ascii="宋体" w:hAnsi="宋体" w:eastAsia="宋体" w:cs="宋体"/>
                <w:color w:val="000000"/>
                <w:kern w:val="0"/>
                <w:sz w:val="18"/>
                <w:szCs w:val="18"/>
              </w:rPr>
            </w:pPr>
          </w:p>
        </w:tc>
        <w:tc>
          <w:tcPr>
            <w:tcW w:w="1063" w:type="dxa"/>
            <w:shd w:val="clear" w:color="auto" w:fill="auto"/>
            <w:vAlign w:val="center"/>
          </w:tcPr>
          <w:p w14:paraId="54C730FC">
            <w:pPr>
              <w:jc w:val="center"/>
              <w:rPr>
                <w:rFonts w:ascii="宋体" w:hAnsi="宋体" w:eastAsia="宋体" w:cs="宋体"/>
                <w:color w:val="000000"/>
                <w:kern w:val="0"/>
                <w:sz w:val="18"/>
                <w:szCs w:val="18"/>
              </w:rPr>
            </w:pPr>
          </w:p>
        </w:tc>
        <w:tc>
          <w:tcPr>
            <w:tcW w:w="1063" w:type="dxa"/>
            <w:shd w:val="clear" w:color="auto" w:fill="auto"/>
            <w:vAlign w:val="center"/>
          </w:tcPr>
          <w:p w14:paraId="3CFEAD7A">
            <w:pPr>
              <w:jc w:val="center"/>
              <w:rPr>
                <w:rFonts w:ascii="宋体" w:hAnsi="宋体" w:eastAsia="宋体" w:cs="宋体"/>
                <w:color w:val="000000"/>
                <w:kern w:val="0"/>
                <w:sz w:val="18"/>
                <w:szCs w:val="18"/>
              </w:rPr>
            </w:pPr>
          </w:p>
        </w:tc>
      </w:tr>
      <w:tr w14:paraId="39EB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2AB1AC2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08" w:type="pct"/>
            <w:shd w:val="clear" w:color="auto" w:fill="auto"/>
            <w:vAlign w:val="center"/>
          </w:tcPr>
          <w:p w14:paraId="6887FCD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资本金投入</w:t>
            </w:r>
          </w:p>
        </w:tc>
        <w:tc>
          <w:tcPr>
            <w:tcW w:w="1155" w:type="dxa"/>
            <w:shd w:val="clear" w:color="auto" w:fill="auto"/>
            <w:vAlign w:val="center"/>
          </w:tcPr>
          <w:p w14:paraId="6EF75E1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13,223.59</w:t>
            </w:r>
          </w:p>
        </w:tc>
        <w:tc>
          <w:tcPr>
            <w:tcW w:w="1156" w:type="dxa"/>
            <w:shd w:val="clear" w:color="auto" w:fill="auto"/>
            <w:vAlign w:val="center"/>
          </w:tcPr>
          <w:p w14:paraId="1257978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1,544.00</w:t>
            </w:r>
          </w:p>
        </w:tc>
        <w:tc>
          <w:tcPr>
            <w:tcW w:w="1063" w:type="dxa"/>
            <w:shd w:val="clear" w:color="auto" w:fill="auto"/>
            <w:vAlign w:val="center"/>
          </w:tcPr>
          <w:p w14:paraId="7386CC1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11,131.00</w:t>
            </w:r>
          </w:p>
        </w:tc>
        <w:tc>
          <w:tcPr>
            <w:tcW w:w="1063" w:type="dxa"/>
            <w:shd w:val="clear" w:color="auto" w:fill="auto"/>
            <w:vAlign w:val="center"/>
          </w:tcPr>
          <w:p w14:paraId="2F07325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548.59</w:t>
            </w:r>
          </w:p>
        </w:tc>
        <w:tc>
          <w:tcPr>
            <w:tcW w:w="969" w:type="dxa"/>
            <w:shd w:val="clear" w:color="auto" w:fill="auto"/>
            <w:vAlign w:val="center"/>
          </w:tcPr>
          <w:p w14:paraId="2846EA4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9210A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31819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1E14884">
            <w:pPr>
              <w:jc w:val="center"/>
              <w:rPr>
                <w:rFonts w:ascii="宋体" w:hAnsi="宋体" w:eastAsia="宋体" w:cs="宋体"/>
                <w:color w:val="000000"/>
                <w:kern w:val="0"/>
                <w:sz w:val="18"/>
                <w:szCs w:val="18"/>
              </w:rPr>
            </w:pPr>
          </w:p>
        </w:tc>
        <w:tc>
          <w:tcPr>
            <w:tcW w:w="1063" w:type="dxa"/>
            <w:shd w:val="clear" w:color="auto" w:fill="auto"/>
            <w:vAlign w:val="center"/>
          </w:tcPr>
          <w:p w14:paraId="1497B32C">
            <w:pPr>
              <w:jc w:val="center"/>
              <w:rPr>
                <w:rFonts w:ascii="宋体" w:hAnsi="宋体" w:eastAsia="宋体" w:cs="宋体"/>
                <w:color w:val="000000"/>
                <w:kern w:val="0"/>
                <w:sz w:val="18"/>
                <w:szCs w:val="18"/>
              </w:rPr>
            </w:pPr>
          </w:p>
        </w:tc>
        <w:tc>
          <w:tcPr>
            <w:tcW w:w="1063" w:type="dxa"/>
            <w:shd w:val="clear" w:color="auto" w:fill="auto"/>
            <w:vAlign w:val="center"/>
          </w:tcPr>
          <w:p w14:paraId="79007536">
            <w:pPr>
              <w:jc w:val="center"/>
              <w:rPr>
                <w:rFonts w:ascii="宋体" w:hAnsi="宋体" w:eastAsia="宋体" w:cs="宋体"/>
                <w:color w:val="000000"/>
                <w:kern w:val="0"/>
                <w:sz w:val="18"/>
                <w:szCs w:val="18"/>
              </w:rPr>
            </w:pPr>
          </w:p>
        </w:tc>
        <w:tc>
          <w:tcPr>
            <w:tcW w:w="1063" w:type="dxa"/>
            <w:shd w:val="clear" w:color="auto" w:fill="auto"/>
            <w:vAlign w:val="center"/>
          </w:tcPr>
          <w:p w14:paraId="218F8935">
            <w:pPr>
              <w:jc w:val="center"/>
              <w:rPr>
                <w:rFonts w:ascii="宋体" w:hAnsi="宋体" w:eastAsia="宋体" w:cs="宋体"/>
                <w:color w:val="000000"/>
                <w:kern w:val="0"/>
                <w:sz w:val="18"/>
                <w:szCs w:val="18"/>
              </w:rPr>
            </w:pPr>
          </w:p>
        </w:tc>
      </w:tr>
      <w:tr w14:paraId="7578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3FDDC07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p>
        </w:tc>
        <w:tc>
          <w:tcPr>
            <w:tcW w:w="608" w:type="pct"/>
            <w:shd w:val="clear" w:color="auto" w:fill="auto"/>
            <w:vAlign w:val="center"/>
          </w:tcPr>
          <w:p w14:paraId="4522A30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现金流出</w:t>
            </w:r>
          </w:p>
        </w:tc>
        <w:tc>
          <w:tcPr>
            <w:tcW w:w="1155" w:type="dxa"/>
            <w:shd w:val="clear" w:color="auto" w:fill="auto"/>
            <w:vAlign w:val="center"/>
          </w:tcPr>
          <w:p w14:paraId="74594B0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237,264.23</w:t>
            </w:r>
          </w:p>
        </w:tc>
        <w:tc>
          <w:tcPr>
            <w:tcW w:w="1156" w:type="dxa"/>
            <w:shd w:val="clear" w:color="auto" w:fill="auto"/>
            <w:vAlign w:val="center"/>
          </w:tcPr>
          <w:p w14:paraId="57EA987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1,544.00</w:t>
            </w:r>
          </w:p>
        </w:tc>
        <w:tc>
          <w:tcPr>
            <w:tcW w:w="1063" w:type="dxa"/>
            <w:shd w:val="clear" w:color="auto" w:fill="auto"/>
            <w:vAlign w:val="center"/>
          </w:tcPr>
          <w:p w14:paraId="2F7699E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11,131.00</w:t>
            </w:r>
          </w:p>
        </w:tc>
        <w:tc>
          <w:tcPr>
            <w:tcW w:w="1063" w:type="dxa"/>
            <w:shd w:val="clear" w:color="auto" w:fill="auto"/>
            <w:vAlign w:val="center"/>
          </w:tcPr>
          <w:p w14:paraId="10274D4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26,798.61</w:t>
            </w:r>
          </w:p>
        </w:tc>
        <w:tc>
          <w:tcPr>
            <w:tcW w:w="969" w:type="dxa"/>
            <w:shd w:val="clear" w:color="auto" w:fill="auto"/>
            <w:vAlign w:val="center"/>
          </w:tcPr>
          <w:p w14:paraId="562B2AF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17,534.00</w:t>
            </w:r>
          </w:p>
        </w:tc>
        <w:tc>
          <w:tcPr>
            <w:tcW w:w="1063" w:type="dxa"/>
            <w:shd w:val="clear" w:color="auto" w:fill="auto"/>
            <w:vAlign w:val="center"/>
          </w:tcPr>
          <w:p w14:paraId="6F588FD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8,404.10</w:t>
            </w:r>
          </w:p>
        </w:tc>
        <w:tc>
          <w:tcPr>
            <w:tcW w:w="1063" w:type="dxa"/>
            <w:shd w:val="clear" w:color="auto" w:fill="auto"/>
            <w:vAlign w:val="center"/>
          </w:tcPr>
          <w:p w14:paraId="79AD794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3,990.40</w:t>
            </w:r>
          </w:p>
        </w:tc>
        <w:tc>
          <w:tcPr>
            <w:tcW w:w="1063" w:type="dxa"/>
            <w:shd w:val="clear" w:color="auto" w:fill="auto"/>
            <w:vAlign w:val="center"/>
          </w:tcPr>
          <w:p w14:paraId="3A44FF9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5,461.20</w:t>
            </w:r>
          </w:p>
        </w:tc>
        <w:tc>
          <w:tcPr>
            <w:tcW w:w="1063" w:type="dxa"/>
            <w:shd w:val="clear" w:color="auto" w:fill="auto"/>
            <w:vAlign w:val="center"/>
          </w:tcPr>
          <w:p w14:paraId="120E62C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5,824.48</w:t>
            </w:r>
          </w:p>
        </w:tc>
        <w:tc>
          <w:tcPr>
            <w:tcW w:w="1063" w:type="dxa"/>
            <w:shd w:val="clear" w:color="auto" w:fill="auto"/>
            <w:vAlign w:val="center"/>
          </w:tcPr>
          <w:p w14:paraId="1CBF4B4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5,874.48</w:t>
            </w:r>
          </w:p>
        </w:tc>
        <w:tc>
          <w:tcPr>
            <w:tcW w:w="1063" w:type="dxa"/>
            <w:shd w:val="clear" w:color="auto" w:fill="auto"/>
            <w:vAlign w:val="center"/>
          </w:tcPr>
          <w:p w14:paraId="17B5C07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5,924.48</w:t>
            </w:r>
          </w:p>
        </w:tc>
      </w:tr>
      <w:tr w14:paraId="26BA9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102C792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08" w:type="pct"/>
            <w:shd w:val="clear" w:color="auto" w:fill="auto"/>
            <w:vAlign w:val="center"/>
          </w:tcPr>
          <w:p w14:paraId="7623905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业务活动现金流出</w:t>
            </w:r>
          </w:p>
        </w:tc>
        <w:tc>
          <w:tcPr>
            <w:tcW w:w="1155" w:type="dxa"/>
            <w:shd w:val="clear" w:color="auto" w:fill="auto"/>
            <w:vAlign w:val="center"/>
          </w:tcPr>
          <w:p w14:paraId="4EA3A29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67,666.79</w:t>
            </w:r>
          </w:p>
        </w:tc>
        <w:tc>
          <w:tcPr>
            <w:tcW w:w="1156" w:type="dxa"/>
            <w:shd w:val="clear" w:color="auto" w:fill="auto"/>
            <w:vAlign w:val="center"/>
          </w:tcPr>
          <w:p w14:paraId="08C43D3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3A8D3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6342935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2DE0F71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09AE04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A2281D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E45A8C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1,967.95</w:t>
            </w:r>
          </w:p>
        </w:tc>
        <w:tc>
          <w:tcPr>
            <w:tcW w:w="1063" w:type="dxa"/>
            <w:shd w:val="clear" w:color="auto" w:fill="auto"/>
            <w:vAlign w:val="center"/>
          </w:tcPr>
          <w:p w14:paraId="075ED6B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2,031.23</w:t>
            </w:r>
          </w:p>
        </w:tc>
        <w:tc>
          <w:tcPr>
            <w:tcW w:w="1063" w:type="dxa"/>
            <w:shd w:val="clear" w:color="auto" w:fill="auto"/>
            <w:vAlign w:val="center"/>
          </w:tcPr>
          <w:p w14:paraId="09AE6DA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2,031.23</w:t>
            </w:r>
          </w:p>
        </w:tc>
        <w:tc>
          <w:tcPr>
            <w:tcW w:w="1063" w:type="dxa"/>
            <w:shd w:val="clear" w:color="auto" w:fill="auto"/>
            <w:vAlign w:val="center"/>
          </w:tcPr>
          <w:p w14:paraId="68E8B8E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2,031.23</w:t>
            </w:r>
          </w:p>
        </w:tc>
      </w:tr>
      <w:tr w14:paraId="271A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4C1C094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08" w:type="pct"/>
            <w:shd w:val="clear" w:color="auto" w:fill="auto"/>
            <w:vAlign w:val="center"/>
          </w:tcPr>
          <w:p w14:paraId="40832F6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运营成本</w:t>
            </w:r>
          </w:p>
        </w:tc>
        <w:tc>
          <w:tcPr>
            <w:tcW w:w="1155" w:type="dxa"/>
            <w:shd w:val="clear" w:color="auto" w:fill="auto"/>
            <w:vAlign w:val="center"/>
          </w:tcPr>
          <w:p w14:paraId="4403E55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23,726.00</w:t>
            </w:r>
          </w:p>
        </w:tc>
        <w:tc>
          <w:tcPr>
            <w:tcW w:w="1156" w:type="dxa"/>
            <w:shd w:val="clear" w:color="auto" w:fill="auto"/>
            <w:vAlign w:val="center"/>
          </w:tcPr>
          <w:p w14:paraId="4DC1322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50CF7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8278DC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73DFA97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CE514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F50737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9B9ADC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792.10</w:t>
            </w:r>
          </w:p>
        </w:tc>
        <w:tc>
          <w:tcPr>
            <w:tcW w:w="1063" w:type="dxa"/>
            <w:shd w:val="clear" w:color="auto" w:fill="auto"/>
            <w:vAlign w:val="center"/>
          </w:tcPr>
          <w:p w14:paraId="56D557B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796.60</w:t>
            </w:r>
          </w:p>
        </w:tc>
        <w:tc>
          <w:tcPr>
            <w:tcW w:w="1063" w:type="dxa"/>
            <w:shd w:val="clear" w:color="auto" w:fill="auto"/>
            <w:vAlign w:val="center"/>
          </w:tcPr>
          <w:p w14:paraId="1167E36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796.60</w:t>
            </w:r>
          </w:p>
        </w:tc>
        <w:tc>
          <w:tcPr>
            <w:tcW w:w="1063" w:type="dxa"/>
            <w:shd w:val="clear" w:color="auto" w:fill="auto"/>
            <w:vAlign w:val="center"/>
          </w:tcPr>
          <w:p w14:paraId="3FF3785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796.60</w:t>
            </w:r>
          </w:p>
        </w:tc>
      </w:tr>
      <w:tr w14:paraId="16F9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1D30E64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08" w:type="pct"/>
            <w:shd w:val="clear" w:color="auto" w:fill="auto"/>
            <w:vAlign w:val="center"/>
          </w:tcPr>
          <w:p w14:paraId="204C72E2">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税金支出</w:t>
            </w:r>
          </w:p>
        </w:tc>
        <w:tc>
          <w:tcPr>
            <w:tcW w:w="1155" w:type="dxa"/>
            <w:shd w:val="clear" w:color="auto" w:fill="auto"/>
            <w:vAlign w:val="center"/>
          </w:tcPr>
          <w:p w14:paraId="209986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43,940.79</w:t>
            </w:r>
          </w:p>
        </w:tc>
        <w:tc>
          <w:tcPr>
            <w:tcW w:w="1156" w:type="dxa"/>
            <w:shd w:val="clear" w:color="auto" w:fill="auto"/>
            <w:vAlign w:val="center"/>
          </w:tcPr>
          <w:p w14:paraId="4A9BCD9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28031A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1BFF429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0558D73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75804A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B65183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1E3CBCB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1,175.85</w:t>
            </w:r>
          </w:p>
        </w:tc>
        <w:tc>
          <w:tcPr>
            <w:tcW w:w="1063" w:type="dxa"/>
            <w:shd w:val="clear" w:color="auto" w:fill="auto"/>
            <w:vAlign w:val="center"/>
          </w:tcPr>
          <w:p w14:paraId="39E85E2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1,234.63</w:t>
            </w:r>
          </w:p>
        </w:tc>
        <w:tc>
          <w:tcPr>
            <w:tcW w:w="1063" w:type="dxa"/>
            <w:shd w:val="clear" w:color="auto" w:fill="auto"/>
            <w:vAlign w:val="center"/>
          </w:tcPr>
          <w:p w14:paraId="2AD9767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1,234.63</w:t>
            </w:r>
          </w:p>
        </w:tc>
        <w:tc>
          <w:tcPr>
            <w:tcW w:w="1063" w:type="dxa"/>
            <w:shd w:val="clear" w:color="auto" w:fill="auto"/>
            <w:vAlign w:val="center"/>
          </w:tcPr>
          <w:p w14:paraId="49BC370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1,234.63</w:t>
            </w:r>
          </w:p>
        </w:tc>
      </w:tr>
      <w:tr w14:paraId="0606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2F7413E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08" w:type="pct"/>
            <w:shd w:val="clear" w:color="auto" w:fill="auto"/>
            <w:vAlign w:val="center"/>
          </w:tcPr>
          <w:p w14:paraId="302A0BD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建设投资现金流出</w:t>
            </w:r>
          </w:p>
        </w:tc>
        <w:tc>
          <w:tcPr>
            <w:tcW w:w="1155" w:type="dxa"/>
            <w:shd w:val="clear" w:color="auto" w:fill="auto"/>
            <w:vAlign w:val="center"/>
          </w:tcPr>
          <w:p w14:paraId="25FF5DA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62,925.82</w:t>
            </w:r>
          </w:p>
        </w:tc>
        <w:tc>
          <w:tcPr>
            <w:tcW w:w="1156" w:type="dxa"/>
            <w:shd w:val="clear" w:color="auto" w:fill="auto"/>
            <w:vAlign w:val="center"/>
          </w:tcPr>
          <w:p w14:paraId="269653E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1,544.00</w:t>
            </w:r>
          </w:p>
        </w:tc>
        <w:tc>
          <w:tcPr>
            <w:tcW w:w="1063" w:type="dxa"/>
            <w:shd w:val="clear" w:color="auto" w:fill="auto"/>
            <w:vAlign w:val="center"/>
          </w:tcPr>
          <w:p w14:paraId="3117A23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11,131.00</w:t>
            </w:r>
          </w:p>
        </w:tc>
        <w:tc>
          <w:tcPr>
            <w:tcW w:w="1063" w:type="dxa"/>
            <w:shd w:val="clear" w:color="auto" w:fill="auto"/>
            <w:vAlign w:val="center"/>
          </w:tcPr>
          <w:p w14:paraId="30CBC9B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26,685.60</w:t>
            </w:r>
          </w:p>
        </w:tc>
        <w:tc>
          <w:tcPr>
            <w:tcW w:w="969" w:type="dxa"/>
            <w:shd w:val="clear" w:color="auto" w:fill="auto"/>
            <w:vAlign w:val="center"/>
          </w:tcPr>
          <w:p w14:paraId="179B6DA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16,677.01</w:t>
            </w:r>
          </w:p>
        </w:tc>
        <w:tc>
          <w:tcPr>
            <w:tcW w:w="1063" w:type="dxa"/>
            <w:shd w:val="clear" w:color="auto" w:fill="auto"/>
            <w:vAlign w:val="center"/>
          </w:tcPr>
          <w:p w14:paraId="6B43D49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5,890.33</w:t>
            </w:r>
          </w:p>
        </w:tc>
        <w:tc>
          <w:tcPr>
            <w:tcW w:w="1063" w:type="dxa"/>
            <w:shd w:val="clear" w:color="auto" w:fill="auto"/>
            <w:vAlign w:val="center"/>
          </w:tcPr>
          <w:p w14:paraId="783B232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997.88</w:t>
            </w:r>
          </w:p>
        </w:tc>
        <w:tc>
          <w:tcPr>
            <w:tcW w:w="1063" w:type="dxa"/>
            <w:shd w:val="clear" w:color="auto" w:fill="auto"/>
            <w:vAlign w:val="center"/>
          </w:tcPr>
          <w:p w14:paraId="66634AC0">
            <w:pPr>
              <w:jc w:val="center"/>
              <w:rPr>
                <w:rFonts w:ascii="宋体" w:hAnsi="宋体" w:eastAsia="宋体" w:cs="宋体"/>
                <w:color w:val="000000"/>
                <w:kern w:val="0"/>
                <w:sz w:val="18"/>
                <w:szCs w:val="18"/>
              </w:rPr>
            </w:pPr>
          </w:p>
        </w:tc>
        <w:tc>
          <w:tcPr>
            <w:tcW w:w="1063" w:type="dxa"/>
            <w:shd w:val="clear" w:color="auto" w:fill="auto"/>
            <w:vAlign w:val="center"/>
          </w:tcPr>
          <w:p w14:paraId="5AE5C7F0">
            <w:pPr>
              <w:jc w:val="center"/>
              <w:rPr>
                <w:rFonts w:ascii="宋体" w:hAnsi="宋体" w:eastAsia="宋体" w:cs="宋体"/>
                <w:color w:val="000000"/>
                <w:kern w:val="0"/>
                <w:sz w:val="18"/>
                <w:szCs w:val="18"/>
              </w:rPr>
            </w:pPr>
          </w:p>
        </w:tc>
        <w:tc>
          <w:tcPr>
            <w:tcW w:w="1063" w:type="dxa"/>
            <w:shd w:val="clear" w:color="auto" w:fill="auto"/>
            <w:vAlign w:val="center"/>
          </w:tcPr>
          <w:p w14:paraId="76062B54">
            <w:pPr>
              <w:jc w:val="center"/>
              <w:rPr>
                <w:rFonts w:ascii="宋体" w:hAnsi="宋体" w:eastAsia="宋体" w:cs="宋体"/>
                <w:color w:val="000000"/>
                <w:kern w:val="0"/>
                <w:sz w:val="18"/>
                <w:szCs w:val="18"/>
              </w:rPr>
            </w:pPr>
          </w:p>
        </w:tc>
        <w:tc>
          <w:tcPr>
            <w:tcW w:w="1063" w:type="dxa"/>
            <w:shd w:val="clear" w:color="auto" w:fill="auto"/>
            <w:vAlign w:val="center"/>
          </w:tcPr>
          <w:p w14:paraId="5E08F17F">
            <w:pPr>
              <w:jc w:val="center"/>
              <w:rPr>
                <w:rFonts w:ascii="宋体" w:hAnsi="宋体" w:eastAsia="宋体" w:cs="宋体"/>
                <w:color w:val="000000"/>
                <w:kern w:val="0"/>
                <w:sz w:val="18"/>
                <w:szCs w:val="18"/>
              </w:rPr>
            </w:pPr>
          </w:p>
        </w:tc>
      </w:tr>
      <w:tr w14:paraId="34EB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16EB8FD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08" w:type="pct"/>
            <w:shd w:val="clear" w:color="auto" w:fill="auto"/>
            <w:vAlign w:val="center"/>
          </w:tcPr>
          <w:p w14:paraId="63E27AF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融资活动现金流出</w:t>
            </w:r>
          </w:p>
        </w:tc>
        <w:tc>
          <w:tcPr>
            <w:tcW w:w="1155" w:type="dxa"/>
            <w:shd w:val="clear" w:color="auto" w:fill="auto"/>
            <w:vAlign w:val="center"/>
          </w:tcPr>
          <w:p w14:paraId="2DBC928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106,671.62</w:t>
            </w:r>
          </w:p>
        </w:tc>
        <w:tc>
          <w:tcPr>
            <w:tcW w:w="1156" w:type="dxa"/>
            <w:shd w:val="clear" w:color="auto" w:fill="auto"/>
            <w:vAlign w:val="center"/>
          </w:tcPr>
          <w:p w14:paraId="39BE41E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1A63DF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1E3EABF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113.01</w:t>
            </w:r>
          </w:p>
        </w:tc>
        <w:tc>
          <w:tcPr>
            <w:tcW w:w="969" w:type="dxa"/>
            <w:shd w:val="clear" w:color="auto" w:fill="auto"/>
            <w:vAlign w:val="center"/>
          </w:tcPr>
          <w:p w14:paraId="36B26DC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856.99</w:t>
            </w:r>
          </w:p>
        </w:tc>
        <w:tc>
          <w:tcPr>
            <w:tcW w:w="1063" w:type="dxa"/>
            <w:shd w:val="clear" w:color="auto" w:fill="auto"/>
            <w:vAlign w:val="center"/>
          </w:tcPr>
          <w:p w14:paraId="120AA07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2,513.77</w:t>
            </w:r>
          </w:p>
        </w:tc>
        <w:tc>
          <w:tcPr>
            <w:tcW w:w="1063" w:type="dxa"/>
            <w:shd w:val="clear" w:color="auto" w:fill="auto"/>
            <w:vAlign w:val="center"/>
          </w:tcPr>
          <w:p w14:paraId="5CEE712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2,992.52</w:t>
            </w:r>
          </w:p>
        </w:tc>
        <w:tc>
          <w:tcPr>
            <w:tcW w:w="1063" w:type="dxa"/>
            <w:shd w:val="clear" w:color="auto" w:fill="auto"/>
            <w:vAlign w:val="center"/>
          </w:tcPr>
          <w:p w14:paraId="45908F4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3,493.25</w:t>
            </w:r>
          </w:p>
        </w:tc>
        <w:tc>
          <w:tcPr>
            <w:tcW w:w="1063" w:type="dxa"/>
            <w:shd w:val="clear" w:color="auto" w:fill="auto"/>
            <w:vAlign w:val="center"/>
          </w:tcPr>
          <w:p w14:paraId="299CE74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3,793.25</w:t>
            </w:r>
          </w:p>
        </w:tc>
        <w:tc>
          <w:tcPr>
            <w:tcW w:w="1063" w:type="dxa"/>
            <w:shd w:val="clear" w:color="auto" w:fill="auto"/>
            <w:vAlign w:val="center"/>
          </w:tcPr>
          <w:p w14:paraId="6286DC8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3,843.25</w:t>
            </w:r>
          </w:p>
        </w:tc>
        <w:tc>
          <w:tcPr>
            <w:tcW w:w="1063" w:type="dxa"/>
            <w:shd w:val="clear" w:color="auto" w:fill="auto"/>
            <w:vAlign w:val="center"/>
          </w:tcPr>
          <w:p w14:paraId="5328EF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3,893.25</w:t>
            </w:r>
          </w:p>
        </w:tc>
      </w:tr>
      <w:tr w14:paraId="0579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7F1A4F9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08" w:type="pct"/>
            <w:shd w:val="clear" w:color="auto" w:fill="auto"/>
            <w:vAlign w:val="center"/>
          </w:tcPr>
          <w:p w14:paraId="5F07C89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1155" w:type="dxa"/>
            <w:shd w:val="clear" w:color="auto" w:fill="auto"/>
            <w:vAlign w:val="center"/>
          </w:tcPr>
          <w:p w14:paraId="67EE9FD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24.71</w:t>
            </w:r>
          </w:p>
        </w:tc>
        <w:tc>
          <w:tcPr>
            <w:tcW w:w="1156" w:type="dxa"/>
            <w:shd w:val="clear" w:color="auto" w:fill="auto"/>
            <w:vAlign w:val="center"/>
          </w:tcPr>
          <w:p w14:paraId="0A4B59F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627BFD8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1597815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3.88</w:t>
            </w:r>
          </w:p>
        </w:tc>
        <w:tc>
          <w:tcPr>
            <w:tcW w:w="969" w:type="dxa"/>
            <w:shd w:val="clear" w:color="auto" w:fill="auto"/>
            <w:vAlign w:val="center"/>
          </w:tcPr>
          <w:p w14:paraId="7CE2C15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13.35</w:t>
            </w:r>
          </w:p>
        </w:tc>
        <w:tc>
          <w:tcPr>
            <w:tcW w:w="1063" w:type="dxa"/>
            <w:shd w:val="clear" w:color="auto" w:fill="auto"/>
            <w:vAlign w:val="center"/>
          </w:tcPr>
          <w:p w14:paraId="4E9633F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5.62</w:t>
            </w:r>
          </w:p>
        </w:tc>
        <w:tc>
          <w:tcPr>
            <w:tcW w:w="1063" w:type="dxa"/>
            <w:shd w:val="clear" w:color="auto" w:fill="auto"/>
            <w:vAlign w:val="center"/>
          </w:tcPr>
          <w:p w14:paraId="6B1AB06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1.86</w:t>
            </w:r>
          </w:p>
        </w:tc>
        <w:tc>
          <w:tcPr>
            <w:tcW w:w="1063" w:type="dxa"/>
            <w:shd w:val="clear" w:color="auto" w:fill="auto"/>
            <w:vAlign w:val="center"/>
          </w:tcPr>
          <w:p w14:paraId="67F86BD9">
            <w:pPr>
              <w:jc w:val="center"/>
              <w:rPr>
                <w:rFonts w:ascii="宋体" w:hAnsi="宋体" w:eastAsia="宋体" w:cs="宋体"/>
                <w:color w:val="000000"/>
                <w:kern w:val="0"/>
                <w:sz w:val="18"/>
                <w:szCs w:val="18"/>
              </w:rPr>
            </w:pPr>
          </w:p>
        </w:tc>
        <w:tc>
          <w:tcPr>
            <w:tcW w:w="1063" w:type="dxa"/>
            <w:shd w:val="clear" w:color="auto" w:fill="auto"/>
            <w:vAlign w:val="center"/>
          </w:tcPr>
          <w:p w14:paraId="7C014E0A">
            <w:pPr>
              <w:jc w:val="center"/>
              <w:rPr>
                <w:rFonts w:ascii="宋体" w:hAnsi="宋体" w:eastAsia="宋体" w:cs="宋体"/>
                <w:color w:val="000000"/>
                <w:kern w:val="0"/>
                <w:sz w:val="18"/>
                <w:szCs w:val="18"/>
              </w:rPr>
            </w:pPr>
          </w:p>
        </w:tc>
        <w:tc>
          <w:tcPr>
            <w:tcW w:w="1063" w:type="dxa"/>
            <w:shd w:val="clear" w:color="auto" w:fill="auto"/>
            <w:vAlign w:val="center"/>
          </w:tcPr>
          <w:p w14:paraId="37E35621">
            <w:pPr>
              <w:jc w:val="center"/>
              <w:rPr>
                <w:rFonts w:ascii="宋体" w:hAnsi="宋体" w:eastAsia="宋体" w:cs="宋体"/>
                <w:color w:val="000000"/>
                <w:kern w:val="0"/>
                <w:sz w:val="18"/>
                <w:szCs w:val="18"/>
              </w:rPr>
            </w:pPr>
          </w:p>
        </w:tc>
        <w:tc>
          <w:tcPr>
            <w:tcW w:w="1063" w:type="dxa"/>
            <w:shd w:val="clear" w:color="auto" w:fill="auto"/>
            <w:vAlign w:val="center"/>
          </w:tcPr>
          <w:p w14:paraId="1CBD9708">
            <w:pPr>
              <w:jc w:val="center"/>
              <w:rPr>
                <w:rFonts w:ascii="宋体" w:hAnsi="宋体" w:eastAsia="宋体" w:cs="宋体"/>
                <w:color w:val="000000"/>
                <w:kern w:val="0"/>
                <w:sz w:val="18"/>
                <w:szCs w:val="18"/>
              </w:rPr>
            </w:pPr>
          </w:p>
        </w:tc>
      </w:tr>
      <w:tr w14:paraId="10ED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091DBCC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08" w:type="pct"/>
            <w:shd w:val="clear" w:color="auto" w:fill="auto"/>
            <w:vAlign w:val="center"/>
          </w:tcPr>
          <w:p w14:paraId="3A7882E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偿还债券本金</w:t>
            </w:r>
          </w:p>
        </w:tc>
        <w:tc>
          <w:tcPr>
            <w:tcW w:w="1155" w:type="dxa"/>
            <w:shd w:val="clear" w:color="auto" w:fill="auto"/>
            <w:vAlign w:val="center"/>
          </w:tcPr>
          <w:p w14:paraId="032A964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156" w:type="dxa"/>
            <w:shd w:val="clear" w:color="auto" w:fill="auto"/>
            <w:vAlign w:val="center"/>
          </w:tcPr>
          <w:p w14:paraId="64F750B8">
            <w:pPr>
              <w:jc w:val="center"/>
              <w:rPr>
                <w:rFonts w:ascii="宋体" w:hAnsi="宋体" w:eastAsia="宋体" w:cs="宋体"/>
                <w:color w:val="000000"/>
                <w:kern w:val="0"/>
                <w:sz w:val="18"/>
                <w:szCs w:val="18"/>
              </w:rPr>
            </w:pPr>
          </w:p>
        </w:tc>
        <w:tc>
          <w:tcPr>
            <w:tcW w:w="1063" w:type="dxa"/>
            <w:shd w:val="clear" w:color="auto" w:fill="auto"/>
            <w:vAlign w:val="center"/>
          </w:tcPr>
          <w:p w14:paraId="71960A90">
            <w:pPr>
              <w:jc w:val="center"/>
              <w:rPr>
                <w:rFonts w:ascii="宋体" w:hAnsi="宋体" w:eastAsia="宋体" w:cs="宋体"/>
                <w:color w:val="000000"/>
                <w:kern w:val="0"/>
                <w:sz w:val="18"/>
                <w:szCs w:val="18"/>
              </w:rPr>
            </w:pPr>
          </w:p>
        </w:tc>
        <w:tc>
          <w:tcPr>
            <w:tcW w:w="1063" w:type="dxa"/>
            <w:shd w:val="clear" w:color="auto" w:fill="auto"/>
            <w:vAlign w:val="center"/>
          </w:tcPr>
          <w:p w14:paraId="35B1A071">
            <w:pPr>
              <w:jc w:val="center"/>
              <w:rPr>
                <w:rFonts w:ascii="宋体" w:hAnsi="宋体" w:eastAsia="宋体" w:cs="宋体"/>
                <w:color w:val="000000"/>
                <w:kern w:val="0"/>
                <w:sz w:val="18"/>
                <w:szCs w:val="18"/>
              </w:rPr>
            </w:pPr>
          </w:p>
        </w:tc>
        <w:tc>
          <w:tcPr>
            <w:tcW w:w="969" w:type="dxa"/>
            <w:shd w:val="clear" w:color="auto" w:fill="auto"/>
            <w:vAlign w:val="center"/>
          </w:tcPr>
          <w:p w14:paraId="7DCBCDCA">
            <w:pPr>
              <w:jc w:val="center"/>
              <w:rPr>
                <w:rFonts w:ascii="宋体" w:hAnsi="宋体" w:eastAsia="宋体" w:cs="宋体"/>
                <w:color w:val="000000"/>
                <w:kern w:val="0"/>
                <w:sz w:val="18"/>
                <w:szCs w:val="18"/>
              </w:rPr>
            </w:pPr>
          </w:p>
        </w:tc>
        <w:tc>
          <w:tcPr>
            <w:tcW w:w="1063" w:type="dxa"/>
            <w:shd w:val="clear" w:color="auto" w:fill="auto"/>
            <w:vAlign w:val="center"/>
          </w:tcPr>
          <w:p w14:paraId="6577B1F2">
            <w:pPr>
              <w:jc w:val="center"/>
              <w:rPr>
                <w:rFonts w:ascii="宋体" w:hAnsi="宋体" w:eastAsia="宋体" w:cs="宋体"/>
                <w:color w:val="000000"/>
                <w:kern w:val="0"/>
                <w:sz w:val="18"/>
                <w:szCs w:val="18"/>
              </w:rPr>
            </w:pPr>
          </w:p>
        </w:tc>
        <w:tc>
          <w:tcPr>
            <w:tcW w:w="1063" w:type="dxa"/>
            <w:shd w:val="clear" w:color="auto" w:fill="auto"/>
            <w:vAlign w:val="center"/>
          </w:tcPr>
          <w:p w14:paraId="20F344CC">
            <w:pPr>
              <w:jc w:val="center"/>
              <w:rPr>
                <w:rFonts w:ascii="宋体" w:hAnsi="宋体" w:eastAsia="宋体" w:cs="宋体"/>
                <w:color w:val="000000"/>
                <w:kern w:val="0"/>
                <w:sz w:val="18"/>
                <w:szCs w:val="18"/>
              </w:rPr>
            </w:pPr>
          </w:p>
        </w:tc>
        <w:tc>
          <w:tcPr>
            <w:tcW w:w="1063" w:type="dxa"/>
            <w:shd w:val="clear" w:color="auto" w:fill="auto"/>
            <w:vAlign w:val="center"/>
          </w:tcPr>
          <w:p w14:paraId="22F44972">
            <w:pPr>
              <w:jc w:val="center"/>
              <w:rPr>
                <w:rFonts w:ascii="宋体" w:hAnsi="宋体" w:eastAsia="宋体" w:cs="宋体"/>
                <w:color w:val="000000"/>
                <w:kern w:val="0"/>
                <w:sz w:val="18"/>
                <w:szCs w:val="18"/>
              </w:rPr>
            </w:pPr>
          </w:p>
        </w:tc>
        <w:tc>
          <w:tcPr>
            <w:tcW w:w="1063" w:type="dxa"/>
            <w:shd w:val="clear" w:color="auto" w:fill="auto"/>
            <w:vAlign w:val="center"/>
          </w:tcPr>
          <w:p w14:paraId="4804629B">
            <w:pPr>
              <w:jc w:val="center"/>
              <w:rPr>
                <w:rFonts w:ascii="宋体" w:hAnsi="宋体" w:eastAsia="宋体" w:cs="宋体"/>
                <w:color w:val="000000"/>
                <w:kern w:val="0"/>
                <w:sz w:val="18"/>
                <w:szCs w:val="18"/>
              </w:rPr>
            </w:pPr>
          </w:p>
        </w:tc>
        <w:tc>
          <w:tcPr>
            <w:tcW w:w="1063" w:type="dxa"/>
            <w:shd w:val="clear" w:color="auto" w:fill="auto"/>
            <w:vAlign w:val="center"/>
          </w:tcPr>
          <w:p w14:paraId="452AA12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3181D285">
            <w:pPr>
              <w:jc w:val="center"/>
              <w:rPr>
                <w:rFonts w:ascii="宋体" w:hAnsi="宋体" w:eastAsia="宋体" w:cs="宋体"/>
                <w:color w:val="000000"/>
                <w:kern w:val="0"/>
                <w:sz w:val="18"/>
                <w:szCs w:val="18"/>
              </w:rPr>
            </w:pPr>
          </w:p>
        </w:tc>
      </w:tr>
      <w:tr w14:paraId="7C04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69517E3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08" w:type="pct"/>
            <w:shd w:val="clear" w:color="auto" w:fill="auto"/>
            <w:vAlign w:val="center"/>
          </w:tcPr>
          <w:p w14:paraId="605B6BF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支付债券利息</w:t>
            </w:r>
          </w:p>
        </w:tc>
        <w:tc>
          <w:tcPr>
            <w:tcW w:w="1155" w:type="dxa"/>
            <w:shd w:val="clear" w:color="auto" w:fill="auto"/>
            <w:vAlign w:val="center"/>
          </w:tcPr>
          <w:p w14:paraId="2918C3D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41,707.51</w:t>
            </w:r>
          </w:p>
        </w:tc>
        <w:tc>
          <w:tcPr>
            <w:tcW w:w="1156" w:type="dxa"/>
            <w:shd w:val="clear" w:color="auto" w:fill="auto"/>
            <w:vAlign w:val="center"/>
          </w:tcPr>
          <w:p w14:paraId="55326B0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7439A7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245A995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109.13</w:t>
            </w:r>
          </w:p>
        </w:tc>
        <w:tc>
          <w:tcPr>
            <w:tcW w:w="969" w:type="dxa"/>
            <w:shd w:val="clear" w:color="auto" w:fill="auto"/>
            <w:vAlign w:val="center"/>
          </w:tcPr>
          <w:p w14:paraId="17E4C12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593.64</w:t>
            </w:r>
          </w:p>
        </w:tc>
        <w:tc>
          <w:tcPr>
            <w:tcW w:w="1063" w:type="dxa"/>
            <w:shd w:val="clear" w:color="auto" w:fill="auto"/>
            <w:vAlign w:val="center"/>
          </w:tcPr>
          <w:p w14:paraId="5085D9A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1,127.05</w:t>
            </w:r>
          </w:p>
        </w:tc>
        <w:tc>
          <w:tcPr>
            <w:tcW w:w="1063" w:type="dxa"/>
            <w:shd w:val="clear" w:color="auto" w:fill="auto"/>
            <w:vAlign w:val="center"/>
          </w:tcPr>
          <w:p w14:paraId="6545D29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1,337.66</w:t>
            </w:r>
          </w:p>
        </w:tc>
        <w:tc>
          <w:tcPr>
            <w:tcW w:w="1063" w:type="dxa"/>
            <w:shd w:val="clear" w:color="auto" w:fill="auto"/>
            <w:vAlign w:val="center"/>
          </w:tcPr>
          <w:p w14:paraId="69971C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63" w:type="dxa"/>
            <w:shd w:val="clear" w:color="auto" w:fill="auto"/>
            <w:vAlign w:val="center"/>
          </w:tcPr>
          <w:p w14:paraId="0A67C54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63" w:type="dxa"/>
            <w:shd w:val="clear" w:color="auto" w:fill="auto"/>
            <w:vAlign w:val="center"/>
          </w:tcPr>
          <w:p w14:paraId="0F2E044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63" w:type="dxa"/>
            <w:shd w:val="clear" w:color="auto" w:fill="auto"/>
            <w:vAlign w:val="center"/>
          </w:tcPr>
          <w:p w14:paraId="2E287C5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r>
      <w:tr w14:paraId="5C1C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63DD4AC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08" w:type="pct"/>
            <w:shd w:val="clear" w:color="auto" w:fill="auto"/>
            <w:vAlign w:val="center"/>
          </w:tcPr>
          <w:p w14:paraId="7F4A34B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偿还其他融资本金</w:t>
            </w:r>
          </w:p>
        </w:tc>
        <w:tc>
          <w:tcPr>
            <w:tcW w:w="1155" w:type="dxa"/>
            <w:shd w:val="clear" w:color="auto" w:fill="auto"/>
            <w:vAlign w:val="center"/>
          </w:tcPr>
          <w:p w14:paraId="559BD88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156" w:type="dxa"/>
            <w:shd w:val="clear" w:color="auto" w:fill="auto"/>
            <w:vAlign w:val="center"/>
          </w:tcPr>
          <w:p w14:paraId="13CEF5F8">
            <w:pPr>
              <w:jc w:val="center"/>
              <w:rPr>
                <w:rFonts w:ascii="宋体" w:hAnsi="宋体" w:eastAsia="宋体" w:cs="宋体"/>
                <w:color w:val="000000"/>
                <w:kern w:val="0"/>
                <w:sz w:val="18"/>
                <w:szCs w:val="18"/>
              </w:rPr>
            </w:pPr>
          </w:p>
        </w:tc>
        <w:tc>
          <w:tcPr>
            <w:tcW w:w="1063" w:type="dxa"/>
            <w:shd w:val="clear" w:color="auto" w:fill="auto"/>
            <w:vAlign w:val="center"/>
          </w:tcPr>
          <w:p w14:paraId="61934BBE">
            <w:pPr>
              <w:jc w:val="center"/>
              <w:rPr>
                <w:rFonts w:ascii="宋体" w:hAnsi="宋体" w:eastAsia="宋体" w:cs="宋体"/>
                <w:color w:val="000000"/>
                <w:kern w:val="0"/>
                <w:sz w:val="18"/>
                <w:szCs w:val="18"/>
              </w:rPr>
            </w:pPr>
          </w:p>
        </w:tc>
        <w:tc>
          <w:tcPr>
            <w:tcW w:w="1063" w:type="dxa"/>
            <w:shd w:val="clear" w:color="auto" w:fill="auto"/>
            <w:vAlign w:val="center"/>
          </w:tcPr>
          <w:p w14:paraId="7A72750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7EFD3C0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250.00</w:t>
            </w:r>
          </w:p>
        </w:tc>
        <w:tc>
          <w:tcPr>
            <w:tcW w:w="1063" w:type="dxa"/>
            <w:shd w:val="clear" w:color="auto" w:fill="auto"/>
            <w:vAlign w:val="center"/>
          </w:tcPr>
          <w:p w14:paraId="0BEC0E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600.00</w:t>
            </w:r>
          </w:p>
        </w:tc>
        <w:tc>
          <w:tcPr>
            <w:tcW w:w="1063" w:type="dxa"/>
            <w:shd w:val="clear" w:color="auto" w:fill="auto"/>
            <w:vAlign w:val="center"/>
          </w:tcPr>
          <w:p w14:paraId="137B093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850.00</w:t>
            </w:r>
          </w:p>
        </w:tc>
        <w:tc>
          <w:tcPr>
            <w:tcW w:w="1063" w:type="dxa"/>
            <w:shd w:val="clear" w:color="auto" w:fill="auto"/>
            <w:vAlign w:val="center"/>
          </w:tcPr>
          <w:p w14:paraId="6E82FC2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1,300.00</w:t>
            </w:r>
          </w:p>
        </w:tc>
        <w:tc>
          <w:tcPr>
            <w:tcW w:w="1063" w:type="dxa"/>
            <w:shd w:val="clear" w:color="auto" w:fill="auto"/>
            <w:vAlign w:val="center"/>
          </w:tcPr>
          <w:p w14:paraId="7AFFBB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1,600.00</w:t>
            </w:r>
          </w:p>
        </w:tc>
        <w:tc>
          <w:tcPr>
            <w:tcW w:w="1063" w:type="dxa"/>
            <w:shd w:val="clear" w:color="auto" w:fill="auto"/>
            <w:vAlign w:val="center"/>
          </w:tcPr>
          <w:p w14:paraId="49C537B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1,650.00</w:t>
            </w:r>
          </w:p>
        </w:tc>
        <w:tc>
          <w:tcPr>
            <w:tcW w:w="1063" w:type="dxa"/>
            <w:shd w:val="clear" w:color="auto" w:fill="auto"/>
            <w:vAlign w:val="center"/>
          </w:tcPr>
          <w:p w14:paraId="3FAF4A0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w:t>
            </w:r>
          </w:p>
        </w:tc>
      </w:tr>
      <w:tr w14:paraId="6B14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551A3B2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08" w:type="pct"/>
            <w:shd w:val="clear" w:color="auto" w:fill="auto"/>
            <w:vAlign w:val="center"/>
          </w:tcPr>
          <w:p w14:paraId="3D003CD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支付其他融资利息</w:t>
            </w:r>
          </w:p>
        </w:tc>
        <w:tc>
          <w:tcPr>
            <w:tcW w:w="1155" w:type="dxa"/>
            <w:shd w:val="clear" w:color="auto" w:fill="auto"/>
            <w:vAlign w:val="center"/>
          </w:tcPr>
          <w:p w14:paraId="35177D2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12,045.00</w:t>
            </w:r>
          </w:p>
        </w:tc>
        <w:tc>
          <w:tcPr>
            <w:tcW w:w="1156" w:type="dxa"/>
            <w:shd w:val="clear" w:color="auto" w:fill="auto"/>
            <w:noWrap/>
            <w:vAlign w:val="center"/>
          </w:tcPr>
          <w:p w14:paraId="684AF15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7404DEF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9F909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6AD3B03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4A5828B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781.10</w:t>
            </w:r>
          </w:p>
        </w:tc>
        <w:tc>
          <w:tcPr>
            <w:tcW w:w="1063" w:type="dxa"/>
            <w:shd w:val="clear" w:color="auto" w:fill="auto"/>
            <w:vAlign w:val="center"/>
          </w:tcPr>
          <w:p w14:paraId="39A87C9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63" w:type="dxa"/>
            <w:shd w:val="clear" w:color="auto" w:fill="auto"/>
            <w:vAlign w:val="center"/>
          </w:tcPr>
          <w:p w14:paraId="388562E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63" w:type="dxa"/>
            <w:shd w:val="clear" w:color="auto" w:fill="auto"/>
            <w:vAlign w:val="center"/>
          </w:tcPr>
          <w:p w14:paraId="1A9D650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63" w:type="dxa"/>
            <w:shd w:val="clear" w:color="auto" w:fill="auto"/>
            <w:vAlign w:val="center"/>
          </w:tcPr>
          <w:p w14:paraId="2AB9256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63" w:type="dxa"/>
            <w:shd w:val="clear" w:color="auto" w:fill="auto"/>
            <w:vAlign w:val="center"/>
          </w:tcPr>
          <w:p w14:paraId="3005AA3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r>
      <w:tr w14:paraId="55AE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62022147">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p>
        </w:tc>
        <w:tc>
          <w:tcPr>
            <w:tcW w:w="608" w:type="pct"/>
            <w:shd w:val="clear" w:color="auto" w:fill="auto"/>
            <w:vAlign w:val="center"/>
          </w:tcPr>
          <w:p w14:paraId="16AC41C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当期现金结余</w:t>
            </w:r>
          </w:p>
        </w:tc>
        <w:tc>
          <w:tcPr>
            <w:tcW w:w="1155" w:type="dxa"/>
            <w:shd w:val="clear" w:color="auto" w:fill="auto"/>
            <w:vAlign w:val="center"/>
          </w:tcPr>
          <w:p w14:paraId="7112850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25,018.50</w:t>
            </w:r>
          </w:p>
        </w:tc>
        <w:tc>
          <w:tcPr>
            <w:tcW w:w="1156" w:type="dxa"/>
            <w:shd w:val="clear" w:color="auto" w:fill="auto"/>
            <w:vAlign w:val="center"/>
          </w:tcPr>
          <w:p w14:paraId="7243D7B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39820A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04CAAAE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-0.02</w:t>
            </w:r>
          </w:p>
        </w:tc>
        <w:tc>
          <w:tcPr>
            <w:tcW w:w="969" w:type="dxa"/>
            <w:shd w:val="clear" w:color="auto" w:fill="auto"/>
            <w:vAlign w:val="center"/>
          </w:tcPr>
          <w:p w14:paraId="174C054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-250.00</w:t>
            </w:r>
          </w:p>
        </w:tc>
        <w:tc>
          <w:tcPr>
            <w:tcW w:w="1063" w:type="dxa"/>
            <w:shd w:val="clear" w:color="auto" w:fill="auto"/>
            <w:vAlign w:val="center"/>
          </w:tcPr>
          <w:p w14:paraId="3CDA576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-1,381.10</w:t>
            </w:r>
          </w:p>
        </w:tc>
        <w:tc>
          <w:tcPr>
            <w:tcW w:w="1063" w:type="dxa"/>
            <w:shd w:val="clear" w:color="auto" w:fill="auto"/>
            <w:vAlign w:val="center"/>
          </w:tcPr>
          <w:p w14:paraId="6E4B252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-1,653.00</w:t>
            </w:r>
          </w:p>
        </w:tc>
        <w:tc>
          <w:tcPr>
            <w:tcW w:w="1063" w:type="dxa"/>
            <w:shd w:val="clear" w:color="auto" w:fill="auto"/>
            <w:vAlign w:val="center"/>
          </w:tcPr>
          <w:p w14:paraId="0C95955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-211.87</w:t>
            </w:r>
          </w:p>
        </w:tc>
        <w:tc>
          <w:tcPr>
            <w:tcW w:w="1063" w:type="dxa"/>
            <w:shd w:val="clear" w:color="auto" w:fill="auto"/>
            <w:vAlign w:val="center"/>
          </w:tcPr>
          <w:p w14:paraId="031651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-312.69</w:t>
            </w:r>
          </w:p>
        </w:tc>
        <w:tc>
          <w:tcPr>
            <w:tcW w:w="1063" w:type="dxa"/>
            <w:shd w:val="clear" w:color="auto" w:fill="auto"/>
            <w:vAlign w:val="center"/>
          </w:tcPr>
          <w:p w14:paraId="6BE072B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-362.69</w:t>
            </w:r>
          </w:p>
        </w:tc>
        <w:tc>
          <w:tcPr>
            <w:tcW w:w="1063" w:type="dxa"/>
            <w:shd w:val="clear" w:color="auto" w:fill="auto"/>
            <w:vAlign w:val="center"/>
          </w:tcPr>
          <w:p w14:paraId="3F69F84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-412.69</w:t>
            </w:r>
          </w:p>
        </w:tc>
      </w:tr>
      <w:tr w14:paraId="1C70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0CB2C18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四</w:t>
            </w:r>
          </w:p>
        </w:tc>
        <w:tc>
          <w:tcPr>
            <w:tcW w:w="608" w:type="pct"/>
            <w:shd w:val="clear" w:color="auto" w:fill="auto"/>
            <w:vAlign w:val="center"/>
          </w:tcPr>
          <w:p w14:paraId="54F2D5F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期初现金</w:t>
            </w:r>
          </w:p>
        </w:tc>
        <w:tc>
          <w:tcPr>
            <w:tcW w:w="1155" w:type="dxa"/>
            <w:shd w:val="clear" w:color="auto" w:fill="auto"/>
            <w:vAlign w:val="center"/>
          </w:tcPr>
          <w:p w14:paraId="3EFD864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56" w:type="dxa"/>
            <w:shd w:val="clear" w:color="auto" w:fill="auto"/>
            <w:vAlign w:val="center"/>
          </w:tcPr>
          <w:p w14:paraId="0A26097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116C910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65DB294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969" w:type="dxa"/>
            <w:shd w:val="clear" w:color="auto" w:fill="auto"/>
            <w:vAlign w:val="center"/>
          </w:tcPr>
          <w:p w14:paraId="0039FE4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-0.02</w:t>
            </w:r>
          </w:p>
        </w:tc>
        <w:tc>
          <w:tcPr>
            <w:tcW w:w="1063" w:type="dxa"/>
            <w:shd w:val="clear" w:color="auto" w:fill="auto"/>
            <w:vAlign w:val="center"/>
          </w:tcPr>
          <w:p w14:paraId="620F5E8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-250.02</w:t>
            </w:r>
          </w:p>
        </w:tc>
        <w:tc>
          <w:tcPr>
            <w:tcW w:w="1063" w:type="dxa"/>
            <w:shd w:val="clear" w:color="auto" w:fill="auto"/>
            <w:vAlign w:val="center"/>
          </w:tcPr>
          <w:p w14:paraId="510C4BF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-1,631.12</w:t>
            </w:r>
          </w:p>
        </w:tc>
        <w:tc>
          <w:tcPr>
            <w:tcW w:w="1063" w:type="dxa"/>
            <w:shd w:val="clear" w:color="auto" w:fill="auto"/>
            <w:vAlign w:val="center"/>
          </w:tcPr>
          <w:p w14:paraId="52FBE3A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-3,284.12</w:t>
            </w:r>
          </w:p>
        </w:tc>
        <w:tc>
          <w:tcPr>
            <w:tcW w:w="1063" w:type="dxa"/>
            <w:shd w:val="clear" w:color="auto" w:fill="auto"/>
            <w:vAlign w:val="center"/>
          </w:tcPr>
          <w:p w14:paraId="613189E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-3,495.99</w:t>
            </w:r>
          </w:p>
        </w:tc>
        <w:tc>
          <w:tcPr>
            <w:tcW w:w="1063" w:type="dxa"/>
            <w:shd w:val="clear" w:color="auto" w:fill="auto"/>
            <w:vAlign w:val="center"/>
          </w:tcPr>
          <w:p w14:paraId="534AB81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-3,808.68</w:t>
            </w:r>
          </w:p>
        </w:tc>
        <w:tc>
          <w:tcPr>
            <w:tcW w:w="1063" w:type="dxa"/>
            <w:shd w:val="clear" w:color="auto" w:fill="auto"/>
            <w:vAlign w:val="center"/>
          </w:tcPr>
          <w:p w14:paraId="5E36886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-4,171.37</w:t>
            </w:r>
          </w:p>
        </w:tc>
      </w:tr>
      <w:tr w14:paraId="022F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212" w:type="pct"/>
            <w:shd w:val="clear" w:color="auto" w:fill="auto"/>
            <w:vAlign w:val="center"/>
          </w:tcPr>
          <w:p w14:paraId="250A0A7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五</w:t>
            </w:r>
          </w:p>
        </w:tc>
        <w:tc>
          <w:tcPr>
            <w:tcW w:w="608" w:type="pct"/>
            <w:shd w:val="clear" w:color="auto" w:fill="auto"/>
            <w:vAlign w:val="center"/>
          </w:tcPr>
          <w:p w14:paraId="79963EE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期末现金</w:t>
            </w:r>
          </w:p>
        </w:tc>
        <w:tc>
          <w:tcPr>
            <w:tcW w:w="1155" w:type="dxa"/>
            <w:shd w:val="clear" w:color="auto" w:fill="auto"/>
            <w:vAlign w:val="center"/>
          </w:tcPr>
          <w:p w14:paraId="6C59BA7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56" w:type="dxa"/>
            <w:shd w:val="clear" w:color="auto" w:fill="auto"/>
            <w:vAlign w:val="center"/>
          </w:tcPr>
          <w:p w14:paraId="2CFCB8C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555AE68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63" w:type="dxa"/>
            <w:shd w:val="clear" w:color="auto" w:fill="auto"/>
            <w:vAlign w:val="center"/>
          </w:tcPr>
          <w:p w14:paraId="38F22EA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-0.02</w:t>
            </w:r>
          </w:p>
        </w:tc>
        <w:tc>
          <w:tcPr>
            <w:tcW w:w="969" w:type="dxa"/>
            <w:shd w:val="clear" w:color="auto" w:fill="auto"/>
            <w:vAlign w:val="center"/>
          </w:tcPr>
          <w:p w14:paraId="6B2A6B7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-250.02</w:t>
            </w:r>
          </w:p>
        </w:tc>
        <w:tc>
          <w:tcPr>
            <w:tcW w:w="1063" w:type="dxa"/>
            <w:shd w:val="clear" w:color="auto" w:fill="auto"/>
            <w:vAlign w:val="center"/>
          </w:tcPr>
          <w:p w14:paraId="2924927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-1,631.12</w:t>
            </w:r>
          </w:p>
        </w:tc>
        <w:tc>
          <w:tcPr>
            <w:tcW w:w="1063" w:type="dxa"/>
            <w:shd w:val="clear" w:color="auto" w:fill="auto"/>
            <w:vAlign w:val="center"/>
          </w:tcPr>
          <w:p w14:paraId="35D21A6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-3,284.12</w:t>
            </w:r>
          </w:p>
        </w:tc>
        <w:tc>
          <w:tcPr>
            <w:tcW w:w="1063" w:type="dxa"/>
            <w:shd w:val="clear" w:color="auto" w:fill="auto"/>
            <w:vAlign w:val="center"/>
          </w:tcPr>
          <w:p w14:paraId="63126B7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-3,495.99</w:t>
            </w:r>
          </w:p>
        </w:tc>
        <w:tc>
          <w:tcPr>
            <w:tcW w:w="1063" w:type="dxa"/>
            <w:shd w:val="clear" w:color="auto" w:fill="auto"/>
            <w:vAlign w:val="center"/>
          </w:tcPr>
          <w:p w14:paraId="6008D0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-3,808.68</w:t>
            </w:r>
          </w:p>
        </w:tc>
        <w:tc>
          <w:tcPr>
            <w:tcW w:w="1063" w:type="dxa"/>
            <w:shd w:val="clear" w:color="auto" w:fill="auto"/>
            <w:vAlign w:val="center"/>
          </w:tcPr>
          <w:p w14:paraId="2A553A5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-4,171.37</w:t>
            </w:r>
          </w:p>
        </w:tc>
        <w:tc>
          <w:tcPr>
            <w:tcW w:w="1063" w:type="dxa"/>
            <w:shd w:val="clear" w:color="auto" w:fill="auto"/>
            <w:vAlign w:val="center"/>
          </w:tcPr>
          <w:p w14:paraId="20F544F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-4,584.06</w:t>
            </w:r>
          </w:p>
        </w:tc>
      </w:tr>
    </w:tbl>
    <w:p w14:paraId="5EB9ABE6">
      <w:pPr>
        <w:pStyle w:val="20"/>
        <w:spacing w:beforeLines="50" w:beforeAutospacing="0" w:afterLines="50" w:afterAutospacing="0" w:line="360" w:lineRule="exact"/>
        <w:rPr>
          <w:sz w:val="18"/>
          <w:szCs w:val="18"/>
        </w:rPr>
      </w:pPr>
      <w:r>
        <w:rPr>
          <w:rFonts w:hint="eastAsia"/>
          <w:sz w:val="18"/>
          <w:szCs w:val="18"/>
        </w:rPr>
        <w:t>续上表：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656"/>
        <w:gridCol w:w="1116"/>
        <w:gridCol w:w="1026"/>
        <w:gridCol w:w="1026"/>
        <w:gridCol w:w="1026"/>
        <w:gridCol w:w="1026"/>
        <w:gridCol w:w="1026"/>
        <w:gridCol w:w="1026"/>
        <w:gridCol w:w="1026"/>
        <w:gridCol w:w="1116"/>
        <w:gridCol w:w="1116"/>
        <w:gridCol w:w="1116"/>
      </w:tblGrid>
      <w:tr w14:paraId="2984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trPr>
        <w:tc>
          <w:tcPr>
            <w:tcW w:w="0" w:type="auto"/>
            <w:shd w:val="clear" w:color="auto" w:fill="auto"/>
            <w:vAlign w:val="center"/>
          </w:tcPr>
          <w:p w14:paraId="6EC7666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0" w:type="auto"/>
            <w:shd w:val="clear" w:color="auto" w:fill="auto"/>
            <w:vAlign w:val="center"/>
          </w:tcPr>
          <w:p w14:paraId="59B9F29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年份</w:t>
            </w:r>
          </w:p>
        </w:tc>
        <w:tc>
          <w:tcPr>
            <w:tcW w:w="0" w:type="auto"/>
            <w:shd w:val="clear" w:color="auto" w:fill="auto"/>
            <w:vAlign w:val="center"/>
          </w:tcPr>
          <w:p w14:paraId="381895A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1026" w:type="dxa"/>
            <w:shd w:val="clear" w:color="auto" w:fill="auto"/>
            <w:vAlign w:val="center"/>
          </w:tcPr>
          <w:p w14:paraId="4994D4DB">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2032年</w:t>
            </w:r>
          </w:p>
        </w:tc>
        <w:tc>
          <w:tcPr>
            <w:tcW w:w="1026" w:type="dxa"/>
            <w:shd w:val="clear" w:color="auto" w:fill="auto"/>
            <w:vAlign w:val="center"/>
          </w:tcPr>
          <w:p w14:paraId="4EB65114">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2033年</w:t>
            </w:r>
          </w:p>
        </w:tc>
        <w:tc>
          <w:tcPr>
            <w:tcW w:w="1026" w:type="dxa"/>
            <w:shd w:val="clear" w:color="auto" w:fill="auto"/>
            <w:vAlign w:val="center"/>
          </w:tcPr>
          <w:p w14:paraId="6D695B95">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2034年</w:t>
            </w:r>
          </w:p>
        </w:tc>
        <w:tc>
          <w:tcPr>
            <w:tcW w:w="1026" w:type="dxa"/>
            <w:shd w:val="clear" w:color="auto" w:fill="auto"/>
            <w:vAlign w:val="center"/>
          </w:tcPr>
          <w:p w14:paraId="00256417">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2035年</w:t>
            </w:r>
          </w:p>
        </w:tc>
        <w:tc>
          <w:tcPr>
            <w:tcW w:w="1026" w:type="dxa"/>
            <w:shd w:val="clear" w:color="auto" w:fill="auto"/>
            <w:vAlign w:val="center"/>
          </w:tcPr>
          <w:p w14:paraId="47B25CBC">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2036年</w:t>
            </w:r>
          </w:p>
        </w:tc>
        <w:tc>
          <w:tcPr>
            <w:tcW w:w="1026" w:type="dxa"/>
            <w:shd w:val="clear" w:color="auto" w:fill="auto"/>
            <w:vAlign w:val="center"/>
          </w:tcPr>
          <w:p w14:paraId="0A9E9FD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2037年</w:t>
            </w:r>
          </w:p>
        </w:tc>
        <w:tc>
          <w:tcPr>
            <w:tcW w:w="1026" w:type="dxa"/>
            <w:shd w:val="clear" w:color="auto" w:fill="auto"/>
            <w:vAlign w:val="center"/>
          </w:tcPr>
          <w:p w14:paraId="6BBD920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2038年</w:t>
            </w:r>
          </w:p>
        </w:tc>
        <w:tc>
          <w:tcPr>
            <w:tcW w:w="1116" w:type="dxa"/>
            <w:shd w:val="clear" w:color="auto" w:fill="auto"/>
            <w:vAlign w:val="center"/>
          </w:tcPr>
          <w:p w14:paraId="04144DE6">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2039年</w:t>
            </w:r>
          </w:p>
        </w:tc>
        <w:tc>
          <w:tcPr>
            <w:tcW w:w="1116" w:type="dxa"/>
            <w:shd w:val="clear" w:color="auto" w:fill="auto"/>
            <w:vAlign w:val="center"/>
          </w:tcPr>
          <w:p w14:paraId="3B5F03B1">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2040年</w:t>
            </w:r>
          </w:p>
        </w:tc>
        <w:tc>
          <w:tcPr>
            <w:tcW w:w="1116" w:type="dxa"/>
            <w:shd w:val="clear" w:color="auto" w:fill="auto"/>
            <w:vAlign w:val="center"/>
          </w:tcPr>
          <w:p w14:paraId="5A1A21F6">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2041年</w:t>
            </w:r>
          </w:p>
        </w:tc>
      </w:tr>
      <w:tr w14:paraId="1C45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40FA9F8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w:t>
            </w:r>
          </w:p>
        </w:tc>
        <w:tc>
          <w:tcPr>
            <w:tcW w:w="0" w:type="auto"/>
            <w:shd w:val="clear" w:color="auto" w:fill="auto"/>
            <w:vAlign w:val="center"/>
          </w:tcPr>
          <w:p w14:paraId="3685FCB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现金流入</w:t>
            </w:r>
          </w:p>
        </w:tc>
        <w:tc>
          <w:tcPr>
            <w:tcW w:w="1116" w:type="dxa"/>
            <w:shd w:val="clear" w:color="auto" w:fill="auto"/>
            <w:vAlign w:val="center"/>
          </w:tcPr>
          <w:p w14:paraId="68E5543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262,282.73</w:t>
            </w:r>
          </w:p>
        </w:tc>
        <w:tc>
          <w:tcPr>
            <w:tcW w:w="1026" w:type="dxa"/>
            <w:shd w:val="clear" w:color="auto" w:fill="auto"/>
            <w:vAlign w:val="center"/>
          </w:tcPr>
          <w:p w14:paraId="4F28617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7F9271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485A3E9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6707F4D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38ED1BB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36BD852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60676E6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6755766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246A67C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3D56480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r>
      <w:tr w14:paraId="4958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25C2616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0" w:type="auto"/>
            <w:shd w:val="clear" w:color="auto" w:fill="auto"/>
            <w:vAlign w:val="center"/>
          </w:tcPr>
          <w:p w14:paraId="399C6B7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业务活动现金流入</w:t>
            </w:r>
          </w:p>
        </w:tc>
        <w:tc>
          <w:tcPr>
            <w:tcW w:w="1116" w:type="dxa"/>
            <w:shd w:val="clear" w:color="auto" w:fill="auto"/>
            <w:vAlign w:val="center"/>
          </w:tcPr>
          <w:p w14:paraId="39992EA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026" w:type="dxa"/>
            <w:shd w:val="clear" w:color="auto" w:fill="auto"/>
            <w:vAlign w:val="center"/>
          </w:tcPr>
          <w:p w14:paraId="1075DAC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6471BA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2ADEA48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4040341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11614BA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604BC6E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47854AA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312B219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0EDD92C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4C3DBA3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r>
      <w:tr w14:paraId="61CF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63CDCA6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0" w:type="auto"/>
            <w:shd w:val="clear" w:color="auto" w:fill="auto"/>
            <w:vAlign w:val="center"/>
          </w:tcPr>
          <w:p w14:paraId="2B8678E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财政补贴收入</w:t>
            </w:r>
          </w:p>
        </w:tc>
        <w:tc>
          <w:tcPr>
            <w:tcW w:w="1116" w:type="dxa"/>
            <w:shd w:val="clear" w:color="auto" w:fill="auto"/>
            <w:vAlign w:val="center"/>
          </w:tcPr>
          <w:p w14:paraId="0D7B1B3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28CB3A02">
            <w:pPr>
              <w:jc w:val="center"/>
              <w:rPr>
                <w:rFonts w:ascii="宋体" w:hAnsi="宋体" w:eastAsia="宋体" w:cs="宋体"/>
                <w:color w:val="000000"/>
                <w:kern w:val="0"/>
                <w:sz w:val="18"/>
                <w:szCs w:val="18"/>
              </w:rPr>
            </w:pPr>
          </w:p>
        </w:tc>
        <w:tc>
          <w:tcPr>
            <w:tcW w:w="1026" w:type="dxa"/>
            <w:shd w:val="clear" w:color="auto" w:fill="auto"/>
            <w:vAlign w:val="center"/>
          </w:tcPr>
          <w:p w14:paraId="6D48D0FE">
            <w:pPr>
              <w:jc w:val="center"/>
              <w:rPr>
                <w:rFonts w:ascii="宋体" w:hAnsi="宋体" w:eastAsia="宋体" w:cs="宋体"/>
                <w:color w:val="000000"/>
                <w:kern w:val="0"/>
                <w:sz w:val="18"/>
                <w:szCs w:val="18"/>
              </w:rPr>
            </w:pPr>
          </w:p>
        </w:tc>
        <w:tc>
          <w:tcPr>
            <w:tcW w:w="1026" w:type="dxa"/>
            <w:shd w:val="clear" w:color="auto" w:fill="auto"/>
            <w:vAlign w:val="center"/>
          </w:tcPr>
          <w:p w14:paraId="5374483D">
            <w:pPr>
              <w:jc w:val="center"/>
              <w:rPr>
                <w:rFonts w:ascii="宋体" w:hAnsi="宋体" w:eastAsia="宋体" w:cs="宋体"/>
                <w:color w:val="000000"/>
                <w:kern w:val="0"/>
                <w:sz w:val="18"/>
                <w:szCs w:val="18"/>
              </w:rPr>
            </w:pPr>
          </w:p>
        </w:tc>
        <w:tc>
          <w:tcPr>
            <w:tcW w:w="1026" w:type="dxa"/>
            <w:shd w:val="clear" w:color="auto" w:fill="auto"/>
            <w:vAlign w:val="center"/>
          </w:tcPr>
          <w:p w14:paraId="3A517EE4">
            <w:pPr>
              <w:jc w:val="center"/>
              <w:rPr>
                <w:rFonts w:ascii="宋体" w:hAnsi="宋体" w:eastAsia="宋体" w:cs="宋体"/>
                <w:color w:val="000000"/>
                <w:kern w:val="0"/>
                <w:sz w:val="18"/>
                <w:szCs w:val="18"/>
              </w:rPr>
            </w:pPr>
          </w:p>
        </w:tc>
        <w:tc>
          <w:tcPr>
            <w:tcW w:w="1026" w:type="dxa"/>
            <w:shd w:val="clear" w:color="auto" w:fill="auto"/>
            <w:vAlign w:val="center"/>
          </w:tcPr>
          <w:p w14:paraId="461A362B">
            <w:pPr>
              <w:jc w:val="center"/>
              <w:rPr>
                <w:rFonts w:ascii="宋体" w:hAnsi="宋体" w:eastAsia="宋体" w:cs="宋体"/>
                <w:color w:val="000000"/>
                <w:kern w:val="0"/>
                <w:sz w:val="18"/>
                <w:szCs w:val="18"/>
              </w:rPr>
            </w:pPr>
          </w:p>
        </w:tc>
        <w:tc>
          <w:tcPr>
            <w:tcW w:w="1026" w:type="dxa"/>
            <w:shd w:val="clear" w:color="auto" w:fill="auto"/>
            <w:vAlign w:val="center"/>
          </w:tcPr>
          <w:p w14:paraId="292E2798">
            <w:pPr>
              <w:jc w:val="center"/>
              <w:rPr>
                <w:rFonts w:ascii="宋体" w:hAnsi="宋体" w:eastAsia="宋体" w:cs="宋体"/>
                <w:color w:val="000000"/>
                <w:kern w:val="0"/>
                <w:sz w:val="18"/>
                <w:szCs w:val="18"/>
              </w:rPr>
            </w:pPr>
          </w:p>
        </w:tc>
        <w:tc>
          <w:tcPr>
            <w:tcW w:w="1026" w:type="dxa"/>
            <w:shd w:val="clear" w:color="auto" w:fill="auto"/>
            <w:vAlign w:val="center"/>
          </w:tcPr>
          <w:p w14:paraId="1CA62189">
            <w:pPr>
              <w:jc w:val="center"/>
              <w:rPr>
                <w:rFonts w:ascii="宋体" w:hAnsi="宋体" w:eastAsia="宋体" w:cs="宋体"/>
                <w:color w:val="000000"/>
                <w:kern w:val="0"/>
                <w:sz w:val="18"/>
                <w:szCs w:val="18"/>
              </w:rPr>
            </w:pPr>
          </w:p>
        </w:tc>
        <w:tc>
          <w:tcPr>
            <w:tcW w:w="1116" w:type="dxa"/>
            <w:shd w:val="clear" w:color="auto" w:fill="auto"/>
            <w:vAlign w:val="center"/>
          </w:tcPr>
          <w:p w14:paraId="0E9D6180">
            <w:pPr>
              <w:jc w:val="center"/>
              <w:rPr>
                <w:rFonts w:ascii="宋体" w:hAnsi="宋体" w:eastAsia="宋体" w:cs="宋体"/>
                <w:color w:val="000000"/>
                <w:kern w:val="0"/>
                <w:sz w:val="18"/>
                <w:szCs w:val="18"/>
              </w:rPr>
            </w:pPr>
          </w:p>
        </w:tc>
        <w:tc>
          <w:tcPr>
            <w:tcW w:w="1116" w:type="dxa"/>
            <w:shd w:val="clear" w:color="auto" w:fill="auto"/>
            <w:vAlign w:val="center"/>
          </w:tcPr>
          <w:p w14:paraId="1F2991FF">
            <w:pPr>
              <w:jc w:val="center"/>
              <w:rPr>
                <w:rFonts w:ascii="宋体" w:hAnsi="宋体" w:eastAsia="宋体" w:cs="宋体"/>
                <w:color w:val="000000"/>
                <w:kern w:val="0"/>
                <w:sz w:val="18"/>
                <w:szCs w:val="18"/>
              </w:rPr>
            </w:pPr>
          </w:p>
        </w:tc>
        <w:tc>
          <w:tcPr>
            <w:tcW w:w="1116" w:type="dxa"/>
            <w:shd w:val="clear" w:color="auto" w:fill="auto"/>
            <w:vAlign w:val="center"/>
          </w:tcPr>
          <w:p w14:paraId="3A47230B">
            <w:pPr>
              <w:jc w:val="center"/>
              <w:rPr>
                <w:rFonts w:ascii="宋体" w:hAnsi="宋体" w:eastAsia="宋体" w:cs="宋体"/>
                <w:color w:val="000000"/>
                <w:kern w:val="0"/>
                <w:sz w:val="18"/>
                <w:szCs w:val="18"/>
              </w:rPr>
            </w:pPr>
          </w:p>
        </w:tc>
      </w:tr>
      <w:tr w14:paraId="3EDD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0E3F105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0" w:type="auto"/>
            <w:shd w:val="clear" w:color="auto" w:fill="auto"/>
            <w:vAlign w:val="center"/>
          </w:tcPr>
          <w:p w14:paraId="5DEA94C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经营收入</w:t>
            </w:r>
          </w:p>
        </w:tc>
        <w:tc>
          <w:tcPr>
            <w:tcW w:w="1116" w:type="dxa"/>
            <w:shd w:val="clear" w:color="auto" w:fill="auto"/>
            <w:vAlign w:val="center"/>
          </w:tcPr>
          <w:p w14:paraId="1CDACB3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026" w:type="dxa"/>
            <w:shd w:val="clear" w:color="auto" w:fill="auto"/>
            <w:vAlign w:val="center"/>
          </w:tcPr>
          <w:p w14:paraId="64BB185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329218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61E79E3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5,787.38</w:t>
            </w:r>
          </w:p>
        </w:tc>
        <w:tc>
          <w:tcPr>
            <w:tcW w:w="1026" w:type="dxa"/>
            <w:shd w:val="clear" w:color="auto" w:fill="auto"/>
            <w:vAlign w:val="center"/>
          </w:tcPr>
          <w:p w14:paraId="1B6045D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69A09F4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49F4CA0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6,076.10</w:t>
            </w:r>
          </w:p>
        </w:tc>
        <w:tc>
          <w:tcPr>
            <w:tcW w:w="1026" w:type="dxa"/>
            <w:shd w:val="clear" w:color="auto" w:fill="auto"/>
            <w:vAlign w:val="center"/>
          </w:tcPr>
          <w:p w14:paraId="58332B8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1855F8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56FA283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6,380.56</w:t>
            </w:r>
          </w:p>
        </w:tc>
        <w:tc>
          <w:tcPr>
            <w:tcW w:w="1116" w:type="dxa"/>
            <w:shd w:val="clear" w:color="auto" w:fill="auto"/>
            <w:vAlign w:val="center"/>
          </w:tcPr>
          <w:p w14:paraId="15B607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r>
      <w:tr w14:paraId="5A8B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7756C98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0" w:type="auto"/>
            <w:shd w:val="clear" w:color="auto" w:fill="auto"/>
            <w:vAlign w:val="center"/>
          </w:tcPr>
          <w:p w14:paraId="6D624EE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融资活动现金流入</w:t>
            </w:r>
          </w:p>
        </w:tc>
        <w:tc>
          <w:tcPr>
            <w:tcW w:w="1116" w:type="dxa"/>
            <w:shd w:val="clear" w:color="auto" w:fill="auto"/>
            <w:vAlign w:val="center"/>
          </w:tcPr>
          <w:p w14:paraId="6FD53A7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52,894.40</w:t>
            </w:r>
          </w:p>
        </w:tc>
        <w:tc>
          <w:tcPr>
            <w:tcW w:w="1026" w:type="dxa"/>
            <w:shd w:val="clear" w:color="auto" w:fill="auto"/>
            <w:vAlign w:val="center"/>
          </w:tcPr>
          <w:p w14:paraId="495838B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231F91E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2C34E31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68D73A4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6207277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56808E4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0AE7298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6" w:type="dxa"/>
            <w:shd w:val="clear" w:color="auto" w:fill="auto"/>
            <w:vAlign w:val="center"/>
          </w:tcPr>
          <w:p w14:paraId="3AA7C38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6" w:type="dxa"/>
            <w:shd w:val="clear" w:color="auto" w:fill="auto"/>
            <w:vAlign w:val="center"/>
          </w:tcPr>
          <w:p w14:paraId="7C5A566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6" w:type="dxa"/>
            <w:shd w:val="clear" w:color="auto" w:fill="auto"/>
            <w:vAlign w:val="center"/>
          </w:tcPr>
          <w:p w14:paraId="3964F6F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4A8D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137AB47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0" w:type="auto"/>
            <w:shd w:val="clear" w:color="auto" w:fill="auto"/>
            <w:vAlign w:val="center"/>
          </w:tcPr>
          <w:p w14:paraId="4E7D988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债券融资款</w:t>
            </w:r>
          </w:p>
        </w:tc>
        <w:tc>
          <w:tcPr>
            <w:tcW w:w="1116" w:type="dxa"/>
            <w:shd w:val="clear" w:color="auto" w:fill="auto"/>
            <w:vAlign w:val="center"/>
          </w:tcPr>
          <w:p w14:paraId="109219D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026" w:type="dxa"/>
            <w:shd w:val="clear" w:color="auto" w:fill="auto"/>
            <w:vAlign w:val="center"/>
          </w:tcPr>
          <w:p w14:paraId="14BBB7BC">
            <w:pPr>
              <w:jc w:val="center"/>
              <w:rPr>
                <w:rFonts w:ascii="宋体" w:hAnsi="宋体" w:eastAsia="宋体" w:cs="宋体"/>
                <w:color w:val="000000"/>
                <w:kern w:val="0"/>
                <w:sz w:val="18"/>
                <w:szCs w:val="18"/>
              </w:rPr>
            </w:pPr>
          </w:p>
        </w:tc>
        <w:tc>
          <w:tcPr>
            <w:tcW w:w="1026" w:type="dxa"/>
            <w:shd w:val="clear" w:color="auto" w:fill="auto"/>
            <w:vAlign w:val="center"/>
          </w:tcPr>
          <w:p w14:paraId="333258F2">
            <w:pPr>
              <w:jc w:val="center"/>
              <w:rPr>
                <w:rFonts w:ascii="宋体" w:hAnsi="宋体" w:eastAsia="宋体" w:cs="宋体"/>
                <w:color w:val="000000"/>
                <w:kern w:val="0"/>
                <w:sz w:val="18"/>
                <w:szCs w:val="18"/>
              </w:rPr>
            </w:pPr>
          </w:p>
        </w:tc>
        <w:tc>
          <w:tcPr>
            <w:tcW w:w="1026" w:type="dxa"/>
            <w:shd w:val="clear" w:color="auto" w:fill="auto"/>
            <w:vAlign w:val="center"/>
          </w:tcPr>
          <w:p w14:paraId="434E4ADC">
            <w:pPr>
              <w:jc w:val="center"/>
              <w:rPr>
                <w:rFonts w:ascii="宋体" w:hAnsi="宋体" w:eastAsia="宋体" w:cs="宋体"/>
                <w:color w:val="000000"/>
                <w:kern w:val="0"/>
                <w:sz w:val="18"/>
                <w:szCs w:val="18"/>
              </w:rPr>
            </w:pPr>
          </w:p>
        </w:tc>
        <w:tc>
          <w:tcPr>
            <w:tcW w:w="1026" w:type="dxa"/>
            <w:shd w:val="clear" w:color="auto" w:fill="auto"/>
            <w:vAlign w:val="center"/>
          </w:tcPr>
          <w:p w14:paraId="2338C58B">
            <w:pPr>
              <w:jc w:val="center"/>
              <w:rPr>
                <w:rFonts w:ascii="宋体" w:hAnsi="宋体" w:eastAsia="宋体" w:cs="宋体"/>
                <w:color w:val="000000"/>
                <w:kern w:val="0"/>
                <w:sz w:val="18"/>
                <w:szCs w:val="18"/>
              </w:rPr>
            </w:pPr>
          </w:p>
        </w:tc>
        <w:tc>
          <w:tcPr>
            <w:tcW w:w="1026" w:type="dxa"/>
            <w:shd w:val="clear" w:color="auto" w:fill="auto"/>
            <w:vAlign w:val="center"/>
          </w:tcPr>
          <w:p w14:paraId="788B434A">
            <w:pPr>
              <w:jc w:val="center"/>
              <w:rPr>
                <w:rFonts w:ascii="宋体" w:hAnsi="宋体" w:eastAsia="宋体" w:cs="宋体"/>
                <w:color w:val="000000"/>
                <w:kern w:val="0"/>
                <w:sz w:val="18"/>
                <w:szCs w:val="18"/>
              </w:rPr>
            </w:pPr>
          </w:p>
        </w:tc>
        <w:tc>
          <w:tcPr>
            <w:tcW w:w="1026" w:type="dxa"/>
            <w:shd w:val="clear" w:color="auto" w:fill="auto"/>
            <w:vAlign w:val="center"/>
          </w:tcPr>
          <w:p w14:paraId="79CBBD2A">
            <w:pPr>
              <w:jc w:val="center"/>
              <w:rPr>
                <w:rFonts w:ascii="宋体" w:hAnsi="宋体" w:eastAsia="宋体" w:cs="宋体"/>
                <w:color w:val="000000"/>
                <w:kern w:val="0"/>
                <w:sz w:val="18"/>
                <w:szCs w:val="18"/>
              </w:rPr>
            </w:pPr>
          </w:p>
        </w:tc>
        <w:tc>
          <w:tcPr>
            <w:tcW w:w="1026" w:type="dxa"/>
            <w:shd w:val="clear" w:color="auto" w:fill="auto"/>
            <w:vAlign w:val="center"/>
          </w:tcPr>
          <w:p w14:paraId="27D31E84">
            <w:pPr>
              <w:jc w:val="center"/>
              <w:rPr>
                <w:rFonts w:ascii="宋体" w:hAnsi="宋体" w:eastAsia="宋体" w:cs="宋体"/>
                <w:color w:val="000000"/>
                <w:kern w:val="0"/>
                <w:sz w:val="18"/>
                <w:szCs w:val="18"/>
              </w:rPr>
            </w:pPr>
          </w:p>
        </w:tc>
        <w:tc>
          <w:tcPr>
            <w:tcW w:w="1116" w:type="dxa"/>
            <w:shd w:val="clear" w:color="auto" w:fill="auto"/>
            <w:vAlign w:val="center"/>
          </w:tcPr>
          <w:p w14:paraId="242D29BD">
            <w:pPr>
              <w:jc w:val="center"/>
              <w:rPr>
                <w:rFonts w:ascii="宋体" w:hAnsi="宋体" w:eastAsia="宋体" w:cs="宋体"/>
                <w:color w:val="000000"/>
                <w:kern w:val="0"/>
                <w:sz w:val="18"/>
                <w:szCs w:val="18"/>
              </w:rPr>
            </w:pPr>
          </w:p>
        </w:tc>
        <w:tc>
          <w:tcPr>
            <w:tcW w:w="1116" w:type="dxa"/>
            <w:shd w:val="clear" w:color="auto" w:fill="auto"/>
            <w:vAlign w:val="center"/>
          </w:tcPr>
          <w:p w14:paraId="2E27B7F9">
            <w:pPr>
              <w:jc w:val="center"/>
              <w:rPr>
                <w:rFonts w:ascii="宋体" w:hAnsi="宋体" w:eastAsia="宋体" w:cs="宋体"/>
                <w:color w:val="000000"/>
                <w:kern w:val="0"/>
                <w:sz w:val="18"/>
                <w:szCs w:val="18"/>
              </w:rPr>
            </w:pPr>
          </w:p>
        </w:tc>
        <w:tc>
          <w:tcPr>
            <w:tcW w:w="1116" w:type="dxa"/>
            <w:shd w:val="clear" w:color="auto" w:fill="auto"/>
            <w:vAlign w:val="center"/>
          </w:tcPr>
          <w:p w14:paraId="1793378A">
            <w:pPr>
              <w:jc w:val="center"/>
              <w:rPr>
                <w:rFonts w:ascii="宋体" w:hAnsi="宋体" w:eastAsia="宋体" w:cs="宋体"/>
                <w:color w:val="000000"/>
                <w:kern w:val="0"/>
                <w:sz w:val="18"/>
                <w:szCs w:val="18"/>
              </w:rPr>
            </w:pPr>
          </w:p>
        </w:tc>
      </w:tr>
      <w:tr w14:paraId="5893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7B894C2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0" w:type="auto"/>
            <w:shd w:val="clear" w:color="auto" w:fill="auto"/>
            <w:vAlign w:val="center"/>
          </w:tcPr>
          <w:p w14:paraId="28DA70E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其他融资款</w:t>
            </w:r>
          </w:p>
        </w:tc>
        <w:tc>
          <w:tcPr>
            <w:tcW w:w="1116" w:type="dxa"/>
            <w:shd w:val="clear" w:color="auto" w:fill="auto"/>
            <w:vAlign w:val="center"/>
          </w:tcPr>
          <w:p w14:paraId="50CCDA8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026" w:type="dxa"/>
            <w:shd w:val="clear" w:color="auto" w:fill="auto"/>
            <w:vAlign w:val="center"/>
          </w:tcPr>
          <w:p w14:paraId="631BA175">
            <w:pPr>
              <w:jc w:val="center"/>
              <w:rPr>
                <w:rFonts w:ascii="宋体" w:hAnsi="宋体" w:eastAsia="宋体" w:cs="宋体"/>
                <w:color w:val="000000"/>
                <w:kern w:val="0"/>
                <w:sz w:val="18"/>
                <w:szCs w:val="18"/>
              </w:rPr>
            </w:pPr>
          </w:p>
        </w:tc>
        <w:tc>
          <w:tcPr>
            <w:tcW w:w="1026" w:type="dxa"/>
            <w:shd w:val="clear" w:color="auto" w:fill="auto"/>
            <w:vAlign w:val="center"/>
          </w:tcPr>
          <w:p w14:paraId="4316F8B2">
            <w:pPr>
              <w:jc w:val="center"/>
              <w:rPr>
                <w:rFonts w:ascii="宋体" w:hAnsi="宋体" w:eastAsia="宋体" w:cs="宋体"/>
                <w:color w:val="000000"/>
                <w:kern w:val="0"/>
                <w:sz w:val="18"/>
                <w:szCs w:val="18"/>
              </w:rPr>
            </w:pPr>
          </w:p>
        </w:tc>
        <w:tc>
          <w:tcPr>
            <w:tcW w:w="1026" w:type="dxa"/>
            <w:shd w:val="clear" w:color="auto" w:fill="auto"/>
            <w:vAlign w:val="center"/>
          </w:tcPr>
          <w:p w14:paraId="6DDE36B7">
            <w:pPr>
              <w:jc w:val="center"/>
              <w:rPr>
                <w:rFonts w:ascii="宋体" w:hAnsi="宋体" w:eastAsia="宋体" w:cs="宋体"/>
                <w:color w:val="000000"/>
                <w:kern w:val="0"/>
                <w:sz w:val="18"/>
                <w:szCs w:val="18"/>
              </w:rPr>
            </w:pPr>
          </w:p>
        </w:tc>
        <w:tc>
          <w:tcPr>
            <w:tcW w:w="1026" w:type="dxa"/>
            <w:shd w:val="clear" w:color="auto" w:fill="auto"/>
            <w:vAlign w:val="center"/>
          </w:tcPr>
          <w:p w14:paraId="29D5B614">
            <w:pPr>
              <w:jc w:val="center"/>
              <w:rPr>
                <w:rFonts w:ascii="宋体" w:hAnsi="宋体" w:eastAsia="宋体" w:cs="宋体"/>
                <w:color w:val="000000"/>
                <w:kern w:val="0"/>
                <w:sz w:val="18"/>
                <w:szCs w:val="18"/>
              </w:rPr>
            </w:pPr>
          </w:p>
        </w:tc>
        <w:tc>
          <w:tcPr>
            <w:tcW w:w="1026" w:type="dxa"/>
            <w:shd w:val="clear" w:color="auto" w:fill="auto"/>
            <w:vAlign w:val="center"/>
          </w:tcPr>
          <w:p w14:paraId="5ABC6260">
            <w:pPr>
              <w:jc w:val="center"/>
              <w:rPr>
                <w:rFonts w:ascii="宋体" w:hAnsi="宋体" w:eastAsia="宋体" w:cs="宋体"/>
                <w:color w:val="000000"/>
                <w:kern w:val="0"/>
                <w:sz w:val="18"/>
                <w:szCs w:val="18"/>
              </w:rPr>
            </w:pPr>
          </w:p>
        </w:tc>
        <w:tc>
          <w:tcPr>
            <w:tcW w:w="1026" w:type="dxa"/>
            <w:shd w:val="clear" w:color="auto" w:fill="auto"/>
            <w:vAlign w:val="center"/>
          </w:tcPr>
          <w:p w14:paraId="29E8029C">
            <w:pPr>
              <w:jc w:val="center"/>
              <w:rPr>
                <w:rFonts w:ascii="宋体" w:hAnsi="宋体" w:eastAsia="宋体" w:cs="宋体"/>
                <w:color w:val="000000"/>
                <w:kern w:val="0"/>
                <w:sz w:val="18"/>
                <w:szCs w:val="18"/>
              </w:rPr>
            </w:pPr>
          </w:p>
        </w:tc>
        <w:tc>
          <w:tcPr>
            <w:tcW w:w="1026" w:type="dxa"/>
            <w:shd w:val="clear" w:color="auto" w:fill="auto"/>
            <w:vAlign w:val="center"/>
          </w:tcPr>
          <w:p w14:paraId="26901B82">
            <w:pPr>
              <w:jc w:val="center"/>
              <w:rPr>
                <w:rFonts w:ascii="宋体" w:hAnsi="宋体" w:eastAsia="宋体" w:cs="宋体"/>
                <w:color w:val="000000"/>
                <w:kern w:val="0"/>
                <w:sz w:val="18"/>
                <w:szCs w:val="18"/>
              </w:rPr>
            </w:pPr>
          </w:p>
        </w:tc>
        <w:tc>
          <w:tcPr>
            <w:tcW w:w="1116" w:type="dxa"/>
            <w:shd w:val="clear" w:color="auto" w:fill="auto"/>
            <w:vAlign w:val="center"/>
          </w:tcPr>
          <w:p w14:paraId="20145E24">
            <w:pPr>
              <w:jc w:val="center"/>
              <w:rPr>
                <w:rFonts w:ascii="宋体" w:hAnsi="宋体" w:eastAsia="宋体" w:cs="宋体"/>
                <w:color w:val="000000"/>
                <w:kern w:val="0"/>
                <w:sz w:val="18"/>
                <w:szCs w:val="18"/>
              </w:rPr>
            </w:pPr>
          </w:p>
        </w:tc>
        <w:tc>
          <w:tcPr>
            <w:tcW w:w="1116" w:type="dxa"/>
            <w:shd w:val="clear" w:color="auto" w:fill="auto"/>
            <w:vAlign w:val="center"/>
          </w:tcPr>
          <w:p w14:paraId="3FD3D047">
            <w:pPr>
              <w:jc w:val="center"/>
              <w:rPr>
                <w:rFonts w:ascii="宋体" w:hAnsi="宋体" w:eastAsia="宋体" w:cs="宋体"/>
                <w:color w:val="000000"/>
                <w:kern w:val="0"/>
                <w:sz w:val="18"/>
                <w:szCs w:val="18"/>
              </w:rPr>
            </w:pPr>
          </w:p>
        </w:tc>
        <w:tc>
          <w:tcPr>
            <w:tcW w:w="1116" w:type="dxa"/>
            <w:shd w:val="clear" w:color="auto" w:fill="auto"/>
            <w:vAlign w:val="center"/>
          </w:tcPr>
          <w:p w14:paraId="1B326A5A">
            <w:pPr>
              <w:jc w:val="center"/>
              <w:rPr>
                <w:rFonts w:ascii="宋体" w:hAnsi="宋体" w:eastAsia="宋体" w:cs="宋体"/>
                <w:color w:val="000000"/>
                <w:kern w:val="0"/>
                <w:sz w:val="18"/>
                <w:szCs w:val="18"/>
              </w:rPr>
            </w:pPr>
          </w:p>
        </w:tc>
      </w:tr>
      <w:tr w14:paraId="3CF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455470C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0" w:type="auto"/>
            <w:shd w:val="clear" w:color="auto" w:fill="auto"/>
            <w:vAlign w:val="center"/>
          </w:tcPr>
          <w:p w14:paraId="2244C96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资本金投入</w:t>
            </w:r>
          </w:p>
        </w:tc>
        <w:tc>
          <w:tcPr>
            <w:tcW w:w="1116" w:type="dxa"/>
            <w:shd w:val="clear" w:color="auto" w:fill="auto"/>
            <w:vAlign w:val="center"/>
          </w:tcPr>
          <w:p w14:paraId="7174A1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13,223.59</w:t>
            </w:r>
          </w:p>
        </w:tc>
        <w:tc>
          <w:tcPr>
            <w:tcW w:w="1026" w:type="dxa"/>
            <w:shd w:val="clear" w:color="auto" w:fill="auto"/>
            <w:vAlign w:val="center"/>
          </w:tcPr>
          <w:p w14:paraId="5031C64D">
            <w:pPr>
              <w:jc w:val="center"/>
              <w:rPr>
                <w:rFonts w:ascii="宋体" w:hAnsi="宋体" w:eastAsia="宋体" w:cs="宋体"/>
                <w:color w:val="000000"/>
                <w:kern w:val="0"/>
                <w:sz w:val="18"/>
                <w:szCs w:val="18"/>
              </w:rPr>
            </w:pPr>
          </w:p>
        </w:tc>
        <w:tc>
          <w:tcPr>
            <w:tcW w:w="1026" w:type="dxa"/>
            <w:shd w:val="clear" w:color="auto" w:fill="auto"/>
            <w:vAlign w:val="center"/>
          </w:tcPr>
          <w:p w14:paraId="419B3FCB">
            <w:pPr>
              <w:jc w:val="center"/>
              <w:rPr>
                <w:rFonts w:ascii="宋体" w:hAnsi="宋体" w:eastAsia="宋体" w:cs="宋体"/>
                <w:color w:val="000000"/>
                <w:kern w:val="0"/>
                <w:sz w:val="18"/>
                <w:szCs w:val="18"/>
              </w:rPr>
            </w:pPr>
          </w:p>
        </w:tc>
        <w:tc>
          <w:tcPr>
            <w:tcW w:w="1026" w:type="dxa"/>
            <w:shd w:val="clear" w:color="auto" w:fill="auto"/>
            <w:vAlign w:val="center"/>
          </w:tcPr>
          <w:p w14:paraId="21B9788C">
            <w:pPr>
              <w:jc w:val="center"/>
              <w:rPr>
                <w:rFonts w:ascii="宋体" w:hAnsi="宋体" w:eastAsia="宋体" w:cs="宋体"/>
                <w:color w:val="000000"/>
                <w:kern w:val="0"/>
                <w:sz w:val="18"/>
                <w:szCs w:val="18"/>
              </w:rPr>
            </w:pPr>
          </w:p>
        </w:tc>
        <w:tc>
          <w:tcPr>
            <w:tcW w:w="1026" w:type="dxa"/>
            <w:shd w:val="clear" w:color="auto" w:fill="auto"/>
            <w:vAlign w:val="center"/>
          </w:tcPr>
          <w:p w14:paraId="2A5CF419">
            <w:pPr>
              <w:jc w:val="center"/>
              <w:rPr>
                <w:rFonts w:ascii="宋体" w:hAnsi="宋体" w:eastAsia="宋体" w:cs="宋体"/>
                <w:color w:val="000000"/>
                <w:kern w:val="0"/>
                <w:sz w:val="18"/>
                <w:szCs w:val="18"/>
              </w:rPr>
            </w:pPr>
          </w:p>
        </w:tc>
        <w:tc>
          <w:tcPr>
            <w:tcW w:w="1026" w:type="dxa"/>
            <w:shd w:val="clear" w:color="auto" w:fill="auto"/>
            <w:vAlign w:val="center"/>
          </w:tcPr>
          <w:p w14:paraId="0CAC476C">
            <w:pPr>
              <w:jc w:val="center"/>
              <w:rPr>
                <w:rFonts w:ascii="宋体" w:hAnsi="宋体" w:eastAsia="宋体" w:cs="宋体"/>
                <w:color w:val="000000"/>
                <w:kern w:val="0"/>
                <w:sz w:val="18"/>
                <w:szCs w:val="18"/>
              </w:rPr>
            </w:pPr>
          </w:p>
        </w:tc>
        <w:tc>
          <w:tcPr>
            <w:tcW w:w="1026" w:type="dxa"/>
            <w:shd w:val="clear" w:color="auto" w:fill="auto"/>
            <w:vAlign w:val="center"/>
          </w:tcPr>
          <w:p w14:paraId="0EC197D8">
            <w:pPr>
              <w:jc w:val="center"/>
              <w:rPr>
                <w:rFonts w:ascii="宋体" w:hAnsi="宋体" w:eastAsia="宋体" w:cs="宋体"/>
                <w:color w:val="000000"/>
                <w:kern w:val="0"/>
                <w:sz w:val="18"/>
                <w:szCs w:val="18"/>
              </w:rPr>
            </w:pPr>
          </w:p>
        </w:tc>
        <w:tc>
          <w:tcPr>
            <w:tcW w:w="1026" w:type="dxa"/>
            <w:shd w:val="clear" w:color="auto" w:fill="auto"/>
            <w:vAlign w:val="center"/>
          </w:tcPr>
          <w:p w14:paraId="7F5E6B84">
            <w:pPr>
              <w:jc w:val="center"/>
              <w:rPr>
                <w:rFonts w:ascii="宋体" w:hAnsi="宋体" w:eastAsia="宋体" w:cs="宋体"/>
                <w:color w:val="000000"/>
                <w:kern w:val="0"/>
                <w:sz w:val="18"/>
                <w:szCs w:val="18"/>
              </w:rPr>
            </w:pPr>
          </w:p>
        </w:tc>
        <w:tc>
          <w:tcPr>
            <w:tcW w:w="1116" w:type="dxa"/>
            <w:shd w:val="clear" w:color="auto" w:fill="auto"/>
            <w:vAlign w:val="center"/>
          </w:tcPr>
          <w:p w14:paraId="7A8E9ABF">
            <w:pPr>
              <w:jc w:val="center"/>
              <w:rPr>
                <w:rFonts w:ascii="宋体" w:hAnsi="宋体" w:eastAsia="宋体" w:cs="宋体"/>
                <w:color w:val="000000"/>
                <w:kern w:val="0"/>
                <w:sz w:val="18"/>
                <w:szCs w:val="18"/>
              </w:rPr>
            </w:pPr>
          </w:p>
        </w:tc>
        <w:tc>
          <w:tcPr>
            <w:tcW w:w="1116" w:type="dxa"/>
            <w:shd w:val="clear" w:color="auto" w:fill="auto"/>
            <w:vAlign w:val="center"/>
          </w:tcPr>
          <w:p w14:paraId="231237D4">
            <w:pPr>
              <w:jc w:val="center"/>
              <w:rPr>
                <w:rFonts w:ascii="宋体" w:hAnsi="宋体" w:eastAsia="宋体" w:cs="宋体"/>
                <w:color w:val="000000"/>
                <w:kern w:val="0"/>
                <w:sz w:val="18"/>
                <w:szCs w:val="18"/>
              </w:rPr>
            </w:pPr>
          </w:p>
        </w:tc>
        <w:tc>
          <w:tcPr>
            <w:tcW w:w="1116" w:type="dxa"/>
            <w:shd w:val="clear" w:color="auto" w:fill="auto"/>
            <w:vAlign w:val="center"/>
          </w:tcPr>
          <w:p w14:paraId="1743A052">
            <w:pPr>
              <w:jc w:val="center"/>
              <w:rPr>
                <w:rFonts w:ascii="宋体" w:hAnsi="宋体" w:eastAsia="宋体" w:cs="宋体"/>
                <w:color w:val="000000"/>
                <w:kern w:val="0"/>
                <w:sz w:val="18"/>
                <w:szCs w:val="18"/>
              </w:rPr>
            </w:pPr>
          </w:p>
        </w:tc>
      </w:tr>
      <w:tr w14:paraId="7EF3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6B62E35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p>
        </w:tc>
        <w:tc>
          <w:tcPr>
            <w:tcW w:w="0" w:type="auto"/>
            <w:shd w:val="clear" w:color="auto" w:fill="auto"/>
            <w:vAlign w:val="center"/>
          </w:tcPr>
          <w:p w14:paraId="6EE9893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现金流出</w:t>
            </w:r>
          </w:p>
        </w:tc>
        <w:tc>
          <w:tcPr>
            <w:tcW w:w="1116" w:type="dxa"/>
            <w:shd w:val="clear" w:color="auto" w:fill="auto"/>
            <w:vAlign w:val="center"/>
          </w:tcPr>
          <w:p w14:paraId="79EEECE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237,264.23</w:t>
            </w:r>
          </w:p>
        </w:tc>
        <w:tc>
          <w:tcPr>
            <w:tcW w:w="1026" w:type="dxa"/>
            <w:shd w:val="clear" w:color="auto" w:fill="auto"/>
            <w:vAlign w:val="center"/>
          </w:tcPr>
          <w:p w14:paraId="287682E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5,991.02</w:t>
            </w:r>
          </w:p>
        </w:tc>
        <w:tc>
          <w:tcPr>
            <w:tcW w:w="1026" w:type="dxa"/>
            <w:shd w:val="clear" w:color="auto" w:fill="auto"/>
            <w:vAlign w:val="center"/>
          </w:tcPr>
          <w:p w14:paraId="226AEA6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6,041.02</w:t>
            </w:r>
          </w:p>
        </w:tc>
        <w:tc>
          <w:tcPr>
            <w:tcW w:w="1026" w:type="dxa"/>
            <w:shd w:val="clear" w:color="auto" w:fill="auto"/>
            <w:vAlign w:val="center"/>
          </w:tcPr>
          <w:p w14:paraId="406E0A4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6,141.02</w:t>
            </w:r>
          </w:p>
        </w:tc>
        <w:tc>
          <w:tcPr>
            <w:tcW w:w="1026" w:type="dxa"/>
            <w:shd w:val="clear" w:color="auto" w:fill="auto"/>
            <w:vAlign w:val="center"/>
          </w:tcPr>
          <w:p w14:paraId="1AFB48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6,260.64</w:t>
            </w:r>
          </w:p>
        </w:tc>
        <w:tc>
          <w:tcPr>
            <w:tcW w:w="1026" w:type="dxa"/>
            <w:shd w:val="clear" w:color="auto" w:fill="auto"/>
            <w:vAlign w:val="center"/>
          </w:tcPr>
          <w:p w14:paraId="73D24E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6,260.64</w:t>
            </w:r>
          </w:p>
        </w:tc>
        <w:tc>
          <w:tcPr>
            <w:tcW w:w="1026" w:type="dxa"/>
            <w:shd w:val="clear" w:color="auto" w:fill="auto"/>
            <w:vAlign w:val="center"/>
          </w:tcPr>
          <w:p w14:paraId="65A1D6A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6,310.64</w:t>
            </w:r>
          </w:p>
        </w:tc>
        <w:tc>
          <w:tcPr>
            <w:tcW w:w="1026" w:type="dxa"/>
            <w:shd w:val="clear" w:color="auto" w:fill="auto"/>
            <w:vAlign w:val="center"/>
          </w:tcPr>
          <w:p w14:paraId="4180D1E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6,434.09</w:t>
            </w:r>
          </w:p>
        </w:tc>
        <w:tc>
          <w:tcPr>
            <w:tcW w:w="1116" w:type="dxa"/>
            <w:shd w:val="clear" w:color="auto" w:fill="auto"/>
            <w:vAlign w:val="center"/>
          </w:tcPr>
          <w:p w14:paraId="04E800E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5,434.09</w:t>
            </w:r>
          </w:p>
        </w:tc>
        <w:tc>
          <w:tcPr>
            <w:tcW w:w="1116" w:type="dxa"/>
            <w:shd w:val="clear" w:color="auto" w:fill="auto"/>
            <w:vAlign w:val="center"/>
          </w:tcPr>
          <w:p w14:paraId="5B293FA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4,455.99</w:t>
            </w:r>
          </w:p>
        </w:tc>
        <w:tc>
          <w:tcPr>
            <w:tcW w:w="1116" w:type="dxa"/>
            <w:shd w:val="clear" w:color="auto" w:fill="auto"/>
            <w:vAlign w:val="center"/>
          </w:tcPr>
          <w:p w14:paraId="453795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3,708.36</w:t>
            </w:r>
          </w:p>
        </w:tc>
      </w:tr>
      <w:tr w14:paraId="2E4C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36D5ADD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0" w:type="auto"/>
            <w:shd w:val="clear" w:color="auto" w:fill="auto"/>
            <w:vAlign w:val="center"/>
          </w:tcPr>
          <w:p w14:paraId="6FD7D31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业务活动现金流出</w:t>
            </w:r>
          </w:p>
        </w:tc>
        <w:tc>
          <w:tcPr>
            <w:tcW w:w="1116" w:type="dxa"/>
            <w:shd w:val="clear" w:color="auto" w:fill="auto"/>
            <w:vAlign w:val="center"/>
          </w:tcPr>
          <w:p w14:paraId="1096E0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67,666.79</w:t>
            </w:r>
          </w:p>
        </w:tc>
        <w:tc>
          <w:tcPr>
            <w:tcW w:w="1026" w:type="dxa"/>
            <w:shd w:val="clear" w:color="auto" w:fill="auto"/>
            <w:vAlign w:val="center"/>
          </w:tcPr>
          <w:p w14:paraId="263D421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2,097.77</w:t>
            </w:r>
          </w:p>
        </w:tc>
        <w:tc>
          <w:tcPr>
            <w:tcW w:w="1026" w:type="dxa"/>
            <w:shd w:val="clear" w:color="auto" w:fill="auto"/>
            <w:vAlign w:val="center"/>
          </w:tcPr>
          <w:p w14:paraId="4085D78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2,097.77</w:t>
            </w:r>
          </w:p>
        </w:tc>
        <w:tc>
          <w:tcPr>
            <w:tcW w:w="1026" w:type="dxa"/>
            <w:shd w:val="clear" w:color="auto" w:fill="auto"/>
            <w:vAlign w:val="center"/>
          </w:tcPr>
          <w:p w14:paraId="712AE55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2,097.77</w:t>
            </w:r>
          </w:p>
        </w:tc>
        <w:tc>
          <w:tcPr>
            <w:tcW w:w="1026" w:type="dxa"/>
            <w:shd w:val="clear" w:color="auto" w:fill="auto"/>
            <w:vAlign w:val="center"/>
          </w:tcPr>
          <w:p w14:paraId="5BC8F6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2,167.39</w:t>
            </w:r>
          </w:p>
        </w:tc>
        <w:tc>
          <w:tcPr>
            <w:tcW w:w="1026" w:type="dxa"/>
            <w:shd w:val="clear" w:color="auto" w:fill="auto"/>
            <w:vAlign w:val="center"/>
          </w:tcPr>
          <w:p w14:paraId="3BA73DA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2,167.39</w:t>
            </w:r>
          </w:p>
        </w:tc>
        <w:tc>
          <w:tcPr>
            <w:tcW w:w="1026" w:type="dxa"/>
            <w:shd w:val="clear" w:color="auto" w:fill="auto"/>
            <w:vAlign w:val="center"/>
          </w:tcPr>
          <w:p w14:paraId="107F41F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2,167.39</w:t>
            </w:r>
          </w:p>
        </w:tc>
        <w:tc>
          <w:tcPr>
            <w:tcW w:w="1026" w:type="dxa"/>
            <w:shd w:val="clear" w:color="auto" w:fill="auto"/>
            <w:vAlign w:val="center"/>
          </w:tcPr>
          <w:p w14:paraId="55AA49B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2,240.84</w:t>
            </w:r>
          </w:p>
        </w:tc>
        <w:tc>
          <w:tcPr>
            <w:tcW w:w="1116" w:type="dxa"/>
            <w:shd w:val="clear" w:color="auto" w:fill="auto"/>
            <w:vAlign w:val="center"/>
          </w:tcPr>
          <w:p w14:paraId="6643B85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2,240.84</w:t>
            </w:r>
          </w:p>
        </w:tc>
        <w:tc>
          <w:tcPr>
            <w:tcW w:w="1116" w:type="dxa"/>
            <w:shd w:val="clear" w:color="auto" w:fill="auto"/>
            <w:vAlign w:val="center"/>
          </w:tcPr>
          <w:p w14:paraId="79ADFA8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2,240.84</w:t>
            </w:r>
          </w:p>
        </w:tc>
        <w:tc>
          <w:tcPr>
            <w:tcW w:w="1116" w:type="dxa"/>
            <w:shd w:val="clear" w:color="auto" w:fill="auto"/>
            <w:vAlign w:val="center"/>
          </w:tcPr>
          <w:p w14:paraId="43E23F6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2,318.11</w:t>
            </w:r>
          </w:p>
        </w:tc>
      </w:tr>
      <w:tr w14:paraId="6A2D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3F6D989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0" w:type="auto"/>
            <w:shd w:val="clear" w:color="auto" w:fill="auto"/>
            <w:vAlign w:val="center"/>
          </w:tcPr>
          <w:p w14:paraId="0AD39DC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运营成本</w:t>
            </w:r>
          </w:p>
        </w:tc>
        <w:tc>
          <w:tcPr>
            <w:tcW w:w="1116" w:type="dxa"/>
            <w:shd w:val="clear" w:color="auto" w:fill="auto"/>
            <w:vAlign w:val="center"/>
          </w:tcPr>
          <w:p w14:paraId="3951BA5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23,726.00</w:t>
            </w:r>
          </w:p>
        </w:tc>
        <w:tc>
          <w:tcPr>
            <w:tcW w:w="1026" w:type="dxa"/>
            <w:shd w:val="clear" w:color="auto" w:fill="auto"/>
            <w:vAlign w:val="center"/>
          </w:tcPr>
          <w:p w14:paraId="7098236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801.40</w:t>
            </w:r>
          </w:p>
        </w:tc>
        <w:tc>
          <w:tcPr>
            <w:tcW w:w="1026" w:type="dxa"/>
            <w:shd w:val="clear" w:color="auto" w:fill="auto"/>
            <w:vAlign w:val="center"/>
          </w:tcPr>
          <w:p w14:paraId="514DC70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801.40</w:t>
            </w:r>
          </w:p>
        </w:tc>
        <w:tc>
          <w:tcPr>
            <w:tcW w:w="1026" w:type="dxa"/>
            <w:shd w:val="clear" w:color="auto" w:fill="auto"/>
            <w:vAlign w:val="center"/>
          </w:tcPr>
          <w:p w14:paraId="54F67C8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801.40</w:t>
            </w:r>
          </w:p>
        </w:tc>
        <w:tc>
          <w:tcPr>
            <w:tcW w:w="1026" w:type="dxa"/>
            <w:shd w:val="clear" w:color="auto" w:fill="auto"/>
            <w:vAlign w:val="center"/>
          </w:tcPr>
          <w:p w14:paraId="7ABEA0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806.35</w:t>
            </w:r>
          </w:p>
        </w:tc>
        <w:tc>
          <w:tcPr>
            <w:tcW w:w="1026" w:type="dxa"/>
            <w:shd w:val="clear" w:color="auto" w:fill="auto"/>
            <w:vAlign w:val="center"/>
          </w:tcPr>
          <w:p w14:paraId="39D35AB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806.35</w:t>
            </w:r>
          </w:p>
        </w:tc>
        <w:tc>
          <w:tcPr>
            <w:tcW w:w="1026" w:type="dxa"/>
            <w:shd w:val="clear" w:color="auto" w:fill="auto"/>
            <w:vAlign w:val="center"/>
          </w:tcPr>
          <w:p w14:paraId="02B9BA2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806.35</w:t>
            </w:r>
          </w:p>
        </w:tc>
        <w:tc>
          <w:tcPr>
            <w:tcW w:w="1026" w:type="dxa"/>
            <w:shd w:val="clear" w:color="auto" w:fill="auto"/>
            <w:vAlign w:val="center"/>
          </w:tcPr>
          <w:p w14:paraId="3BF10AB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811.60</w:t>
            </w:r>
          </w:p>
        </w:tc>
        <w:tc>
          <w:tcPr>
            <w:tcW w:w="1116" w:type="dxa"/>
            <w:shd w:val="clear" w:color="auto" w:fill="auto"/>
            <w:vAlign w:val="center"/>
          </w:tcPr>
          <w:p w14:paraId="41DC968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811.60</w:t>
            </w:r>
          </w:p>
        </w:tc>
        <w:tc>
          <w:tcPr>
            <w:tcW w:w="1116" w:type="dxa"/>
            <w:shd w:val="clear" w:color="auto" w:fill="auto"/>
            <w:vAlign w:val="center"/>
          </w:tcPr>
          <w:p w14:paraId="74D1645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811.60</w:t>
            </w:r>
          </w:p>
        </w:tc>
        <w:tc>
          <w:tcPr>
            <w:tcW w:w="1116" w:type="dxa"/>
            <w:shd w:val="clear" w:color="auto" w:fill="auto"/>
            <w:vAlign w:val="center"/>
          </w:tcPr>
          <w:p w14:paraId="43246C6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817.15</w:t>
            </w:r>
          </w:p>
        </w:tc>
      </w:tr>
      <w:tr w14:paraId="673E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34D9C6C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0" w:type="auto"/>
            <w:shd w:val="clear" w:color="auto" w:fill="auto"/>
            <w:vAlign w:val="center"/>
          </w:tcPr>
          <w:p w14:paraId="2F582FC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税金支出</w:t>
            </w:r>
          </w:p>
        </w:tc>
        <w:tc>
          <w:tcPr>
            <w:tcW w:w="1116" w:type="dxa"/>
            <w:shd w:val="clear" w:color="auto" w:fill="auto"/>
            <w:vAlign w:val="center"/>
          </w:tcPr>
          <w:p w14:paraId="6401996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43,940.79</w:t>
            </w:r>
          </w:p>
        </w:tc>
        <w:tc>
          <w:tcPr>
            <w:tcW w:w="1026" w:type="dxa"/>
            <w:shd w:val="clear" w:color="auto" w:fill="auto"/>
            <w:vAlign w:val="center"/>
          </w:tcPr>
          <w:p w14:paraId="3C63209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1,296.37</w:t>
            </w:r>
          </w:p>
        </w:tc>
        <w:tc>
          <w:tcPr>
            <w:tcW w:w="1026" w:type="dxa"/>
            <w:shd w:val="clear" w:color="auto" w:fill="auto"/>
            <w:vAlign w:val="center"/>
          </w:tcPr>
          <w:p w14:paraId="3AE892F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1,296.37</w:t>
            </w:r>
          </w:p>
        </w:tc>
        <w:tc>
          <w:tcPr>
            <w:tcW w:w="1026" w:type="dxa"/>
            <w:shd w:val="clear" w:color="auto" w:fill="auto"/>
            <w:vAlign w:val="center"/>
          </w:tcPr>
          <w:p w14:paraId="6617839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1,296.37</w:t>
            </w:r>
          </w:p>
        </w:tc>
        <w:tc>
          <w:tcPr>
            <w:tcW w:w="1026" w:type="dxa"/>
            <w:shd w:val="clear" w:color="auto" w:fill="auto"/>
            <w:vAlign w:val="center"/>
          </w:tcPr>
          <w:p w14:paraId="5B7052F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1,361.04</w:t>
            </w:r>
          </w:p>
        </w:tc>
        <w:tc>
          <w:tcPr>
            <w:tcW w:w="1026" w:type="dxa"/>
            <w:shd w:val="clear" w:color="auto" w:fill="auto"/>
            <w:vAlign w:val="center"/>
          </w:tcPr>
          <w:p w14:paraId="704B86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1,361.04</w:t>
            </w:r>
          </w:p>
        </w:tc>
        <w:tc>
          <w:tcPr>
            <w:tcW w:w="1026" w:type="dxa"/>
            <w:shd w:val="clear" w:color="auto" w:fill="auto"/>
            <w:vAlign w:val="center"/>
          </w:tcPr>
          <w:p w14:paraId="42E4C6F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1,361.04</w:t>
            </w:r>
          </w:p>
        </w:tc>
        <w:tc>
          <w:tcPr>
            <w:tcW w:w="1026" w:type="dxa"/>
            <w:shd w:val="clear" w:color="auto" w:fill="auto"/>
            <w:vAlign w:val="center"/>
          </w:tcPr>
          <w:p w14:paraId="0EBDCDA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1,429.24</w:t>
            </w:r>
          </w:p>
        </w:tc>
        <w:tc>
          <w:tcPr>
            <w:tcW w:w="1116" w:type="dxa"/>
            <w:shd w:val="clear" w:color="auto" w:fill="auto"/>
            <w:vAlign w:val="center"/>
          </w:tcPr>
          <w:p w14:paraId="3E6C58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1,429.24</w:t>
            </w:r>
          </w:p>
        </w:tc>
        <w:tc>
          <w:tcPr>
            <w:tcW w:w="1116" w:type="dxa"/>
            <w:shd w:val="clear" w:color="auto" w:fill="auto"/>
            <w:vAlign w:val="center"/>
          </w:tcPr>
          <w:p w14:paraId="69D4DD4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1,429.24</w:t>
            </w:r>
          </w:p>
        </w:tc>
        <w:tc>
          <w:tcPr>
            <w:tcW w:w="1116" w:type="dxa"/>
            <w:shd w:val="clear" w:color="auto" w:fill="auto"/>
            <w:vAlign w:val="center"/>
          </w:tcPr>
          <w:p w14:paraId="0D28F40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1,500.96</w:t>
            </w:r>
          </w:p>
        </w:tc>
      </w:tr>
      <w:tr w14:paraId="45D7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7681BAC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0" w:type="auto"/>
            <w:shd w:val="clear" w:color="auto" w:fill="auto"/>
            <w:vAlign w:val="center"/>
          </w:tcPr>
          <w:p w14:paraId="6BC1F49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建设投资现金流出</w:t>
            </w:r>
          </w:p>
        </w:tc>
        <w:tc>
          <w:tcPr>
            <w:tcW w:w="1116" w:type="dxa"/>
            <w:shd w:val="clear" w:color="auto" w:fill="auto"/>
            <w:vAlign w:val="center"/>
          </w:tcPr>
          <w:p w14:paraId="2C840D9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62,925.82</w:t>
            </w:r>
          </w:p>
        </w:tc>
        <w:tc>
          <w:tcPr>
            <w:tcW w:w="1026" w:type="dxa"/>
            <w:shd w:val="clear" w:color="auto" w:fill="auto"/>
            <w:vAlign w:val="center"/>
          </w:tcPr>
          <w:p w14:paraId="06229578">
            <w:pPr>
              <w:jc w:val="center"/>
              <w:rPr>
                <w:rFonts w:ascii="宋体" w:hAnsi="宋体" w:eastAsia="宋体" w:cs="宋体"/>
                <w:color w:val="000000"/>
                <w:kern w:val="0"/>
                <w:sz w:val="18"/>
                <w:szCs w:val="18"/>
              </w:rPr>
            </w:pPr>
          </w:p>
        </w:tc>
        <w:tc>
          <w:tcPr>
            <w:tcW w:w="1026" w:type="dxa"/>
            <w:shd w:val="clear" w:color="auto" w:fill="auto"/>
            <w:vAlign w:val="center"/>
          </w:tcPr>
          <w:p w14:paraId="2C634B07">
            <w:pPr>
              <w:jc w:val="center"/>
              <w:rPr>
                <w:rFonts w:ascii="宋体" w:hAnsi="宋体" w:eastAsia="宋体" w:cs="宋体"/>
                <w:color w:val="000000"/>
                <w:kern w:val="0"/>
                <w:sz w:val="18"/>
                <w:szCs w:val="18"/>
              </w:rPr>
            </w:pPr>
          </w:p>
        </w:tc>
        <w:tc>
          <w:tcPr>
            <w:tcW w:w="1026" w:type="dxa"/>
            <w:shd w:val="clear" w:color="auto" w:fill="auto"/>
            <w:vAlign w:val="center"/>
          </w:tcPr>
          <w:p w14:paraId="575573F2">
            <w:pPr>
              <w:jc w:val="center"/>
              <w:rPr>
                <w:rFonts w:ascii="宋体" w:hAnsi="宋体" w:eastAsia="宋体" w:cs="宋体"/>
                <w:color w:val="000000"/>
                <w:kern w:val="0"/>
                <w:sz w:val="18"/>
                <w:szCs w:val="18"/>
              </w:rPr>
            </w:pPr>
          </w:p>
        </w:tc>
        <w:tc>
          <w:tcPr>
            <w:tcW w:w="1026" w:type="dxa"/>
            <w:shd w:val="clear" w:color="auto" w:fill="auto"/>
            <w:vAlign w:val="center"/>
          </w:tcPr>
          <w:p w14:paraId="2124C26C">
            <w:pPr>
              <w:jc w:val="center"/>
              <w:rPr>
                <w:rFonts w:ascii="宋体" w:hAnsi="宋体" w:eastAsia="宋体" w:cs="宋体"/>
                <w:color w:val="000000"/>
                <w:kern w:val="0"/>
                <w:sz w:val="18"/>
                <w:szCs w:val="18"/>
              </w:rPr>
            </w:pPr>
          </w:p>
        </w:tc>
        <w:tc>
          <w:tcPr>
            <w:tcW w:w="1026" w:type="dxa"/>
            <w:shd w:val="clear" w:color="auto" w:fill="auto"/>
            <w:vAlign w:val="center"/>
          </w:tcPr>
          <w:p w14:paraId="23C2B408">
            <w:pPr>
              <w:jc w:val="center"/>
              <w:rPr>
                <w:rFonts w:ascii="宋体" w:hAnsi="宋体" w:eastAsia="宋体" w:cs="宋体"/>
                <w:color w:val="000000"/>
                <w:kern w:val="0"/>
                <w:sz w:val="18"/>
                <w:szCs w:val="18"/>
              </w:rPr>
            </w:pPr>
          </w:p>
        </w:tc>
        <w:tc>
          <w:tcPr>
            <w:tcW w:w="1026" w:type="dxa"/>
            <w:shd w:val="clear" w:color="auto" w:fill="auto"/>
            <w:vAlign w:val="center"/>
          </w:tcPr>
          <w:p w14:paraId="538DE489">
            <w:pPr>
              <w:jc w:val="center"/>
              <w:rPr>
                <w:rFonts w:ascii="宋体" w:hAnsi="宋体" w:eastAsia="宋体" w:cs="宋体"/>
                <w:color w:val="000000"/>
                <w:kern w:val="0"/>
                <w:sz w:val="18"/>
                <w:szCs w:val="18"/>
              </w:rPr>
            </w:pPr>
          </w:p>
        </w:tc>
        <w:tc>
          <w:tcPr>
            <w:tcW w:w="1026" w:type="dxa"/>
            <w:shd w:val="clear" w:color="auto" w:fill="auto"/>
            <w:vAlign w:val="center"/>
          </w:tcPr>
          <w:p w14:paraId="6406EDDD">
            <w:pPr>
              <w:jc w:val="center"/>
              <w:rPr>
                <w:rFonts w:ascii="宋体" w:hAnsi="宋体" w:eastAsia="宋体" w:cs="宋体"/>
                <w:color w:val="000000"/>
                <w:kern w:val="0"/>
                <w:sz w:val="18"/>
                <w:szCs w:val="18"/>
              </w:rPr>
            </w:pPr>
          </w:p>
        </w:tc>
        <w:tc>
          <w:tcPr>
            <w:tcW w:w="1116" w:type="dxa"/>
            <w:shd w:val="clear" w:color="auto" w:fill="auto"/>
            <w:vAlign w:val="center"/>
          </w:tcPr>
          <w:p w14:paraId="39846816">
            <w:pPr>
              <w:jc w:val="center"/>
              <w:rPr>
                <w:rFonts w:ascii="宋体" w:hAnsi="宋体" w:eastAsia="宋体" w:cs="宋体"/>
                <w:color w:val="000000"/>
                <w:kern w:val="0"/>
                <w:sz w:val="18"/>
                <w:szCs w:val="18"/>
              </w:rPr>
            </w:pPr>
          </w:p>
        </w:tc>
        <w:tc>
          <w:tcPr>
            <w:tcW w:w="1116" w:type="dxa"/>
            <w:shd w:val="clear" w:color="auto" w:fill="auto"/>
            <w:vAlign w:val="center"/>
          </w:tcPr>
          <w:p w14:paraId="3E3FA198">
            <w:pPr>
              <w:jc w:val="center"/>
              <w:rPr>
                <w:rFonts w:ascii="宋体" w:hAnsi="宋体" w:eastAsia="宋体" w:cs="宋体"/>
                <w:color w:val="000000"/>
                <w:kern w:val="0"/>
                <w:sz w:val="18"/>
                <w:szCs w:val="18"/>
              </w:rPr>
            </w:pPr>
          </w:p>
        </w:tc>
        <w:tc>
          <w:tcPr>
            <w:tcW w:w="1116" w:type="dxa"/>
            <w:shd w:val="clear" w:color="auto" w:fill="auto"/>
            <w:vAlign w:val="center"/>
          </w:tcPr>
          <w:p w14:paraId="61B362AE">
            <w:pPr>
              <w:jc w:val="center"/>
              <w:rPr>
                <w:rFonts w:ascii="宋体" w:hAnsi="宋体" w:eastAsia="宋体" w:cs="宋体"/>
                <w:color w:val="000000"/>
                <w:kern w:val="0"/>
                <w:sz w:val="18"/>
                <w:szCs w:val="18"/>
              </w:rPr>
            </w:pPr>
          </w:p>
        </w:tc>
      </w:tr>
      <w:tr w14:paraId="437A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680D805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0" w:type="auto"/>
            <w:shd w:val="clear" w:color="auto" w:fill="auto"/>
            <w:vAlign w:val="center"/>
          </w:tcPr>
          <w:p w14:paraId="5FFC190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融资活动现金流出</w:t>
            </w:r>
          </w:p>
        </w:tc>
        <w:tc>
          <w:tcPr>
            <w:tcW w:w="1116" w:type="dxa"/>
            <w:shd w:val="clear" w:color="auto" w:fill="auto"/>
            <w:vAlign w:val="center"/>
          </w:tcPr>
          <w:p w14:paraId="374E2DB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106,671.62</w:t>
            </w:r>
          </w:p>
        </w:tc>
        <w:tc>
          <w:tcPr>
            <w:tcW w:w="1026" w:type="dxa"/>
            <w:shd w:val="clear" w:color="auto" w:fill="auto"/>
            <w:vAlign w:val="center"/>
          </w:tcPr>
          <w:p w14:paraId="00E11E9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3,893.25</w:t>
            </w:r>
          </w:p>
        </w:tc>
        <w:tc>
          <w:tcPr>
            <w:tcW w:w="1026" w:type="dxa"/>
            <w:shd w:val="clear" w:color="auto" w:fill="auto"/>
            <w:vAlign w:val="center"/>
          </w:tcPr>
          <w:p w14:paraId="4E6192F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3,943.25</w:t>
            </w:r>
          </w:p>
        </w:tc>
        <w:tc>
          <w:tcPr>
            <w:tcW w:w="1026" w:type="dxa"/>
            <w:shd w:val="clear" w:color="auto" w:fill="auto"/>
            <w:vAlign w:val="center"/>
          </w:tcPr>
          <w:p w14:paraId="57F3F40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4,043.25</w:t>
            </w:r>
          </w:p>
        </w:tc>
        <w:tc>
          <w:tcPr>
            <w:tcW w:w="1026" w:type="dxa"/>
            <w:shd w:val="clear" w:color="auto" w:fill="auto"/>
            <w:vAlign w:val="center"/>
          </w:tcPr>
          <w:p w14:paraId="25E348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4,093.25</w:t>
            </w:r>
          </w:p>
        </w:tc>
        <w:tc>
          <w:tcPr>
            <w:tcW w:w="1026" w:type="dxa"/>
            <w:shd w:val="clear" w:color="auto" w:fill="auto"/>
            <w:vAlign w:val="center"/>
          </w:tcPr>
          <w:p w14:paraId="2234397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4,093.25</w:t>
            </w:r>
          </w:p>
        </w:tc>
        <w:tc>
          <w:tcPr>
            <w:tcW w:w="1026" w:type="dxa"/>
            <w:shd w:val="clear" w:color="auto" w:fill="auto"/>
            <w:vAlign w:val="center"/>
          </w:tcPr>
          <w:p w14:paraId="13A9E3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4,143.25</w:t>
            </w:r>
          </w:p>
        </w:tc>
        <w:tc>
          <w:tcPr>
            <w:tcW w:w="1026" w:type="dxa"/>
            <w:shd w:val="clear" w:color="auto" w:fill="auto"/>
            <w:vAlign w:val="center"/>
          </w:tcPr>
          <w:p w14:paraId="43D204C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4,193.25</w:t>
            </w:r>
          </w:p>
        </w:tc>
        <w:tc>
          <w:tcPr>
            <w:tcW w:w="1116" w:type="dxa"/>
            <w:shd w:val="clear" w:color="auto" w:fill="auto"/>
            <w:vAlign w:val="center"/>
          </w:tcPr>
          <w:p w14:paraId="0E63EFF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3,193.25</w:t>
            </w:r>
          </w:p>
        </w:tc>
        <w:tc>
          <w:tcPr>
            <w:tcW w:w="1116" w:type="dxa"/>
            <w:shd w:val="clear" w:color="auto" w:fill="auto"/>
            <w:vAlign w:val="center"/>
          </w:tcPr>
          <w:p w14:paraId="112F786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2,215.15</w:t>
            </w:r>
          </w:p>
        </w:tc>
        <w:tc>
          <w:tcPr>
            <w:tcW w:w="1116" w:type="dxa"/>
            <w:shd w:val="clear" w:color="auto" w:fill="auto"/>
            <w:vAlign w:val="center"/>
          </w:tcPr>
          <w:p w14:paraId="27AA18E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r>
      <w:tr w14:paraId="7388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15A2518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0" w:type="auto"/>
            <w:shd w:val="clear" w:color="auto" w:fill="auto"/>
            <w:vAlign w:val="center"/>
          </w:tcPr>
          <w:p w14:paraId="6268F38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1116" w:type="dxa"/>
            <w:shd w:val="clear" w:color="auto" w:fill="auto"/>
            <w:vAlign w:val="center"/>
          </w:tcPr>
          <w:p w14:paraId="3B5930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24.71</w:t>
            </w:r>
          </w:p>
        </w:tc>
        <w:tc>
          <w:tcPr>
            <w:tcW w:w="1026" w:type="dxa"/>
            <w:shd w:val="clear" w:color="auto" w:fill="auto"/>
            <w:vAlign w:val="center"/>
          </w:tcPr>
          <w:p w14:paraId="5AAE7EA2">
            <w:pPr>
              <w:jc w:val="center"/>
              <w:rPr>
                <w:rFonts w:ascii="宋体" w:hAnsi="宋体" w:eastAsia="宋体" w:cs="宋体"/>
                <w:color w:val="000000"/>
                <w:kern w:val="0"/>
                <w:sz w:val="18"/>
                <w:szCs w:val="18"/>
              </w:rPr>
            </w:pPr>
          </w:p>
        </w:tc>
        <w:tc>
          <w:tcPr>
            <w:tcW w:w="1026" w:type="dxa"/>
            <w:shd w:val="clear" w:color="auto" w:fill="auto"/>
            <w:vAlign w:val="center"/>
          </w:tcPr>
          <w:p w14:paraId="7E3480EA">
            <w:pPr>
              <w:jc w:val="center"/>
              <w:rPr>
                <w:rFonts w:ascii="宋体" w:hAnsi="宋体" w:eastAsia="宋体" w:cs="宋体"/>
                <w:color w:val="000000"/>
                <w:kern w:val="0"/>
                <w:sz w:val="18"/>
                <w:szCs w:val="18"/>
              </w:rPr>
            </w:pPr>
          </w:p>
        </w:tc>
        <w:tc>
          <w:tcPr>
            <w:tcW w:w="1026" w:type="dxa"/>
            <w:shd w:val="clear" w:color="auto" w:fill="auto"/>
            <w:vAlign w:val="center"/>
          </w:tcPr>
          <w:p w14:paraId="4228475F">
            <w:pPr>
              <w:jc w:val="center"/>
              <w:rPr>
                <w:rFonts w:ascii="宋体" w:hAnsi="宋体" w:eastAsia="宋体" w:cs="宋体"/>
                <w:color w:val="000000"/>
                <w:kern w:val="0"/>
                <w:sz w:val="18"/>
                <w:szCs w:val="18"/>
              </w:rPr>
            </w:pPr>
          </w:p>
        </w:tc>
        <w:tc>
          <w:tcPr>
            <w:tcW w:w="1026" w:type="dxa"/>
            <w:shd w:val="clear" w:color="auto" w:fill="auto"/>
            <w:vAlign w:val="center"/>
          </w:tcPr>
          <w:p w14:paraId="4F42BF72">
            <w:pPr>
              <w:jc w:val="center"/>
              <w:rPr>
                <w:rFonts w:ascii="宋体" w:hAnsi="宋体" w:eastAsia="宋体" w:cs="宋体"/>
                <w:color w:val="000000"/>
                <w:kern w:val="0"/>
                <w:sz w:val="18"/>
                <w:szCs w:val="18"/>
              </w:rPr>
            </w:pPr>
          </w:p>
        </w:tc>
        <w:tc>
          <w:tcPr>
            <w:tcW w:w="1026" w:type="dxa"/>
            <w:shd w:val="clear" w:color="auto" w:fill="auto"/>
            <w:vAlign w:val="center"/>
          </w:tcPr>
          <w:p w14:paraId="73F83088">
            <w:pPr>
              <w:jc w:val="center"/>
              <w:rPr>
                <w:rFonts w:ascii="宋体" w:hAnsi="宋体" w:eastAsia="宋体" w:cs="宋体"/>
                <w:color w:val="000000"/>
                <w:kern w:val="0"/>
                <w:sz w:val="18"/>
                <w:szCs w:val="18"/>
              </w:rPr>
            </w:pPr>
          </w:p>
        </w:tc>
        <w:tc>
          <w:tcPr>
            <w:tcW w:w="1026" w:type="dxa"/>
            <w:shd w:val="clear" w:color="auto" w:fill="auto"/>
            <w:vAlign w:val="center"/>
          </w:tcPr>
          <w:p w14:paraId="247E82F8">
            <w:pPr>
              <w:jc w:val="center"/>
              <w:rPr>
                <w:rFonts w:ascii="宋体" w:hAnsi="宋体" w:eastAsia="宋体" w:cs="宋体"/>
                <w:color w:val="000000"/>
                <w:kern w:val="0"/>
                <w:sz w:val="18"/>
                <w:szCs w:val="18"/>
              </w:rPr>
            </w:pPr>
          </w:p>
        </w:tc>
        <w:tc>
          <w:tcPr>
            <w:tcW w:w="1026" w:type="dxa"/>
            <w:shd w:val="clear" w:color="auto" w:fill="auto"/>
            <w:vAlign w:val="center"/>
          </w:tcPr>
          <w:p w14:paraId="2A8677D4">
            <w:pPr>
              <w:jc w:val="center"/>
              <w:rPr>
                <w:rFonts w:ascii="宋体" w:hAnsi="宋体" w:eastAsia="宋体" w:cs="宋体"/>
                <w:color w:val="000000"/>
                <w:kern w:val="0"/>
                <w:sz w:val="18"/>
                <w:szCs w:val="18"/>
              </w:rPr>
            </w:pPr>
          </w:p>
        </w:tc>
        <w:tc>
          <w:tcPr>
            <w:tcW w:w="1116" w:type="dxa"/>
            <w:shd w:val="clear" w:color="auto" w:fill="auto"/>
            <w:vAlign w:val="center"/>
          </w:tcPr>
          <w:p w14:paraId="194A36A7">
            <w:pPr>
              <w:jc w:val="center"/>
              <w:rPr>
                <w:rFonts w:ascii="宋体" w:hAnsi="宋体" w:eastAsia="宋体" w:cs="宋体"/>
                <w:color w:val="000000"/>
                <w:kern w:val="0"/>
                <w:sz w:val="18"/>
                <w:szCs w:val="18"/>
              </w:rPr>
            </w:pPr>
          </w:p>
        </w:tc>
        <w:tc>
          <w:tcPr>
            <w:tcW w:w="1116" w:type="dxa"/>
            <w:shd w:val="clear" w:color="auto" w:fill="auto"/>
            <w:vAlign w:val="center"/>
          </w:tcPr>
          <w:p w14:paraId="3D767768">
            <w:pPr>
              <w:jc w:val="center"/>
              <w:rPr>
                <w:rFonts w:ascii="宋体" w:hAnsi="宋体" w:eastAsia="宋体" w:cs="宋体"/>
                <w:color w:val="000000"/>
                <w:kern w:val="0"/>
                <w:sz w:val="18"/>
                <w:szCs w:val="18"/>
              </w:rPr>
            </w:pPr>
          </w:p>
        </w:tc>
        <w:tc>
          <w:tcPr>
            <w:tcW w:w="1116" w:type="dxa"/>
            <w:shd w:val="clear" w:color="auto" w:fill="auto"/>
            <w:vAlign w:val="center"/>
          </w:tcPr>
          <w:p w14:paraId="0870A4ED">
            <w:pPr>
              <w:jc w:val="center"/>
              <w:rPr>
                <w:rFonts w:ascii="宋体" w:hAnsi="宋体" w:eastAsia="宋体" w:cs="宋体"/>
                <w:color w:val="000000"/>
                <w:kern w:val="0"/>
                <w:sz w:val="18"/>
                <w:szCs w:val="18"/>
              </w:rPr>
            </w:pPr>
          </w:p>
        </w:tc>
      </w:tr>
      <w:tr w14:paraId="4FAF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1EC1F4D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0" w:type="auto"/>
            <w:shd w:val="clear" w:color="auto" w:fill="auto"/>
            <w:vAlign w:val="center"/>
          </w:tcPr>
          <w:p w14:paraId="3AB9E8E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偿还债券本金</w:t>
            </w:r>
          </w:p>
        </w:tc>
        <w:tc>
          <w:tcPr>
            <w:tcW w:w="1116" w:type="dxa"/>
            <w:shd w:val="clear" w:color="auto" w:fill="auto"/>
            <w:vAlign w:val="center"/>
          </w:tcPr>
          <w:p w14:paraId="6D1775D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026" w:type="dxa"/>
            <w:shd w:val="clear" w:color="auto" w:fill="auto"/>
            <w:vAlign w:val="center"/>
          </w:tcPr>
          <w:p w14:paraId="2A3D9B04">
            <w:pPr>
              <w:jc w:val="center"/>
              <w:rPr>
                <w:rFonts w:ascii="宋体" w:hAnsi="宋体" w:eastAsia="宋体" w:cs="宋体"/>
                <w:color w:val="000000"/>
                <w:kern w:val="0"/>
                <w:sz w:val="18"/>
                <w:szCs w:val="18"/>
              </w:rPr>
            </w:pPr>
          </w:p>
        </w:tc>
        <w:tc>
          <w:tcPr>
            <w:tcW w:w="1026" w:type="dxa"/>
            <w:shd w:val="clear" w:color="auto" w:fill="auto"/>
            <w:vAlign w:val="center"/>
          </w:tcPr>
          <w:p w14:paraId="5E697086">
            <w:pPr>
              <w:jc w:val="center"/>
              <w:rPr>
                <w:rFonts w:ascii="宋体" w:hAnsi="宋体" w:eastAsia="宋体" w:cs="宋体"/>
                <w:color w:val="000000"/>
                <w:kern w:val="0"/>
                <w:sz w:val="18"/>
                <w:szCs w:val="18"/>
              </w:rPr>
            </w:pPr>
          </w:p>
        </w:tc>
        <w:tc>
          <w:tcPr>
            <w:tcW w:w="1026" w:type="dxa"/>
            <w:shd w:val="clear" w:color="auto" w:fill="auto"/>
            <w:vAlign w:val="center"/>
          </w:tcPr>
          <w:p w14:paraId="56D97638">
            <w:pPr>
              <w:jc w:val="center"/>
              <w:rPr>
                <w:rFonts w:ascii="宋体" w:hAnsi="宋体" w:eastAsia="宋体" w:cs="宋体"/>
                <w:color w:val="000000"/>
                <w:kern w:val="0"/>
                <w:sz w:val="18"/>
                <w:szCs w:val="18"/>
              </w:rPr>
            </w:pPr>
          </w:p>
        </w:tc>
        <w:tc>
          <w:tcPr>
            <w:tcW w:w="1026" w:type="dxa"/>
            <w:shd w:val="clear" w:color="auto" w:fill="auto"/>
            <w:vAlign w:val="center"/>
          </w:tcPr>
          <w:p w14:paraId="360E9116">
            <w:pPr>
              <w:jc w:val="center"/>
              <w:rPr>
                <w:rFonts w:ascii="宋体" w:hAnsi="宋体" w:eastAsia="宋体" w:cs="宋体"/>
                <w:color w:val="000000"/>
                <w:kern w:val="0"/>
                <w:sz w:val="18"/>
                <w:szCs w:val="18"/>
              </w:rPr>
            </w:pPr>
          </w:p>
        </w:tc>
        <w:tc>
          <w:tcPr>
            <w:tcW w:w="1026" w:type="dxa"/>
            <w:shd w:val="clear" w:color="auto" w:fill="auto"/>
            <w:vAlign w:val="center"/>
          </w:tcPr>
          <w:p w14:paraId="36BA74DC">
            <w:pPr>
              <w:jc w:val="center"/>
              <w:rPr>
                <w:rFonts w:ascii="宋体" w:hAnsi="宋体" w:eastAsia="宋体" w:cs="宋体"/>
                <w:color w:val="000000"/>
                <w:kern w:val="0"/>
                <w:sz w:val="18"/>
                <w:szCs w:val="18"/>
              </w:rPr>
            </w:pPr>
          </w:p>
        </w:tc>
        <w:tc>
          <w:tcPr>
            <w:tcW w:w="1026" w:type="dxa"/>
            <w:shd w:val="clear" w:color="auto" w:fill="auto"/>
            <w:vAlign w:val="center"/>
          </w:tcPr>
          <w:p w14:paraId="3253379D">
            <w:pPr>
              <w:jc w:val="center"/>
              <w:rPr>
                <w:rFonts w:ascii="宋体" w:hAnsi="宋体" w:eastAsia="宋体" w:cs="宋体"/>
                <w:color w:val="000000"/>
                <w:kern w:val="0"/>
                <w:sz w:val="18"/>
                <w:szCs w:val="18"/>
              </w:rPr>
            </w:pPr>
          </w:p>
        </w:tc>
        <w:tc>
          <w:tcPr>
            <w:tcW w:w="1026" w:type="dxa"/>
            <w:shd w:val="clear" w:color="auto" w:fill="auto"/>
            <w:vAlign w:val="center"/>
          </w:tcPr>
          <w:p w14:paraId="3D89A8A0">
            <w:pPr>
              <w:jc w:val="center"/>
              <w:rPr>
                <w:rFonts w:ascii="宋体" w:hAnsi="宋体" w:eastAsia="宋体" w:cs="宋体"/>
                <w:color w:val="000000"/>
                <w:kern w:val="0"/>
                <w:sz w:val="18"/>
                <w:szCs w:val="18"/>
              </w:rPr>
            </w:pPr>
          </w:p>
        </w:tc>
        <w:tc>
          <w:tcPr>
            <w:tcW w:w="1116" w:type="dxa"/>
            <w:shd w:val="clear" w:color="auto" w:fill="auto"/>
            <w:vAlign w:val="center"/>
          </w:tcPr>
          <w:p w14:paraId="06F3450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6" w:type="dxa"/>
            <w:shd w:val="clear" w:color="auto" w:fill="auto"/>
            <w:vAlign w:val="center"/>
          </w:tcPr>
          <w:p w14:paraId="7ECEE86F">
            <w:pPr>
              <w:jc w:val="center"/>
              <w:rPr>
                <w:rFonts w:ascii="宋体" w:hAnsi="宋体" w:eastAsia="宋体" w:cs="宋体"/>
                <w:color w:val="000000"/>
                <w:kern w:val="0"/>
                <w:sz w:val="18"/>
                <w:szCs w:val="18"/>
              </w:rPr>
            </w:pPr>
          </w:p>
        </w:tc>
        <w:tc>
          <w:tcPr>
            <w:tcW w:w="1116" w:type="dxa"/>
            <w:shd w:val="clear" w:color="auto" w:fill="auto"/>
            <w:vAlign w:val="center"/>
          </w:tcPr>
          <w:p w14:paraId="373BB684">
            <w:pPr>
              <w:jc w:val="center"/>
              <w:rPr>
                <w:rFonts w:ascii="宋体" w:hAnsi="宋体" w:eastAsia="宋体" w:cs="宋体"/>
                <w:color w:val="000000"/>
                <w:kern w:val="0"/>
                <w:sz w:val="18"/>
                <w:szCs w:val="18"/>
              </w:rPr>
            </w:pPr>
          </w:p>
        </w:tc>
      </w:tr>
      <w:tr w14:paraId="2E2E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3CFC064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0" w:type="auto"/>
            <w:shd w:val="clear" w:color="auto" w:fill="auto"/>
            <w:vAlign w:val="center"/>
          </w:tcPr>
          <w:p w14:paraId="04E1705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支付债券利息</w:t>
            </w:r>
          </w:p>
        </w:tc>
        <w:tc>
          <w:tcPr>
            <w:tcW w:w="1116" w:type="dxa"/>
            <w:shd w:val="clear" w:color="auto" w:fill="auto"/>
            <w:vAlign w:val="center"/>
          </w:tcPr>
          <w:p w14:paraId="32277A3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41,707.51</w:t>
            </w:r>
          </w:p>
        </w:tc>
        <w:tc>
          <w:tcPr>
            <w:tcW w:w="1026" w:type="dxa"/>
            <w:shd w:val="clear" w:color="auto" w:fill="auto"/>
            <w:vAlign w:val="center"/>
          </w:tcPr>
          <w:p w14:paraId="3BE6EB5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5F13348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17E5758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6E11E97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2A49C42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6C5D441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044B374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6" w:type="dxa"/>
            <w:shd w:val="clear" w:color="auto" w:fill="auto"/>
            <w:vAlign w:val="center"/>
          </w:tcPr>
          <w:p w14:paraId="1CD7085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6" w:type="dxa"/>
            <w:shd w:val="clear" w:color="auto" w:fill="auto"/>
            <w:vAlign w:val="center"/>
          </w:tcPr>
          <w:p w14:paraId="52C8E06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6" w:type="dxa"/>
            <w:shd w:val="clear" w:color="auto" w:fill="auto"/>
            <w:vAlign w:val="center"/>
          </w:tcPr>
          <w:p w14:paraId="7A3604A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r>
      <w:tr w14:paraId="746A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1552E54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0" w:type="auto"/>
            <w:shd w:val="clear" w:color="auto" w:fill="auto"/>
            <w:vAlign w:val="center"/>
          </w:tcPr>
          <w:p w14:paraId="265C3DC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偿还其他融资本金</w:t>
            </w:r>
          </w:p>
        </w:tc>
        <w:tc>
          <w:tcPr>
            <w:tcW w:w="1116" w:type="dxa"/>
            <w:shd w:val="clear" w:color="auto" w:fill="auto"/>
            <w:vAlign w:val="center"/>
          </w:tcPr>
          <w:p w14:paraId="40FA019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026" w:type="dxa"/>
            <w:shd w:val="clear" w:color="auto" w:fill="auto"/>
            <w:vAlign w:val="center"/>
          </w:tcPr>
          <w:p w14:paraId="2752E21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w:t>
            </w:r>
          </w:p>
        </w:tc>
        <w:tc>
          <w:tcPr>
            <w:tcW w:w="1026" w:type="dxa"/>
            <w:shd w:val="clear" w:color="auto" w:fill="auto"/>
            <w:vAlign w:val="center"/>
          </w:tcPr>
          <w:p w14:paraId="112DA87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1,750.00</w:t>
            </w:r>
          </w:p>
        </w:tc>
        <w:tc>
          <w:tcPr>
            <w:tcW w:w="1026" w:type="dxa"/>
            <w:shd w:val="clear" w:color="auto" w:fill="auto"/>
            <w:vAlign w:val="center"/>
          </w:tcPr>
          <w:p w14:paraId="7A8C6BA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1,850.00</w:t>
            </w:r>
          </w:p>
        </w:tc>
        <w:tc>
          <w:tcPr>
            <w:tcW w:w="1026" w:type="dxa"/>
            <w:shd w:val="clear" w:color="auto" w:fill="auto"/>
            <w:vAlign w:val="center"/>
          </w:tcPr>
          <w:p w14:paraId="2A89BC2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1,900.00</w:t>
            </w:r>
          </w:p>
        </w:tc>
        <w:tc>
          <w:tcPr>
            <w:tcW w:w="1026" w:type="dxa"/>
            <w:shd w:val="clear" w:color="auto" w:fill="auto"/>
            <w:vAlign w:val="center"/>
          </w:tcPr>
          <w:p w14:paraId="46FA3D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1,900.00</w:t>
            </w:r>
          </w:p>
        </w:tc>
        <w:tc>
          <w:tcPr>
            <w:tcW w:w="1026" w:type="dxa"/>
            <w:shd w:val="clear" w:color="auto" w:fill="auto"/>
            <w:vAlign w:val="center"/>
          </w:tcPr>
          <w:p w14:paraId="21D4F4C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1,950.00</w:t>
            </w:r>
          </w:p>
        </w:tc>
        <w:tc>
          <w:tcPr>
            <w:tcW w:w="1026" w:type="dxa"/>
            <w:shd w:val="clear" w:color="auto" w:fill="auto"/>
            <w:vAlign w:val="center"/>
          </w:tcPr>
          <w:p w14:paraId="24287F3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2,000.00</w:t>
            </w:r>
          </w:p>
        </w:tc>
        <w:tc>
          <w:tcPr>
            <w:tcW w:w="1116" w:type="dxa"/>
            <w:shd w:val="clear" w:color="auto" w:fill="auto"/>
            <w:vAlign w:val="center"/>
          </w:tcPr>
          <w:p w14:paraId="4490E1C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1,000.00</w:t>
            </w:r>
          </w:p>
        </w:tc>
        <w:tc>
          <w:tcPr>
            <w:tcW w:w="1116" w:type="dxa"/>
            <w:shd w:val="clear" w:color="auto" w:fill="auto"/>
            <w:vAlign w:val="center"/>
          </w:tcPr>
          <w:p w14:paraId="4A2E7BC4">
            <w:pPr>
              <w:jc w:val="center"/>
              <w:rPr>
                <w:rFonts w:ascii="宋体" w:hAnsi="宋体" w:eastAsia="宋体" w:cs="宋体"/>
                <w:color w:val="000000"/>
                <w:kern w:val="0"/>
                <w:sz w:val="18"/>
                <w:szCs w:val="18"/>
              </w:rPr>
            </w:pPr>
          </w:p>
        </w:tc>
        <w:tc>
          <w:tcPr>
            <w:tcW w:w="1116" w:type="dxa"/>
            <w:shd w:val="clear" w:color="auto" w:fill="auto"/>
            <w:vAlign w:val="center"/>
          </w:tcPr>
          <w:p w14:paraId="0DF16078">
            <w:pPr>
              <w:jc w:val="center"/>
              <w:rPr>
                <w:rFonts w:ascii="宋体" w:hAnsi="宋体" w:eastAsia="宋体" w:cs="宋体"/>
                <w:color w:val="000000"/>
                <w:kern w:val="0"/>
                <w:sz w:val="18"/>
                <w:szCs w:val="18"/>
              </w:rPr>
            </w:pPr>
          </w:p>
        </w:tc>
      </w:tr>
      <w:tr w14:paraId="2AE8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6D9540C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0" w:type="auto"/>
            <w:shd w:val="clear" w:color="auto" w:fill="auto"/>
            <w:vAlign w:val="center"/>
          </w:tcPr>
          <w:p w14:paraId="2AFCF90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支付其他融资利息</w:t>
            </w:r>
          </w:p>
        </w:tc>
        <w:tc>
          <w:tcPr>
            <w:tcW w:w="1116" w:type="dxa"/>
            <w:shd w:val="clear" w:color="auto" w:fill="auto"/>
            <w:vAlign w:val="center"/>
          </w:tcPr>
          <w:p w14:paraId="5C6D700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12,045.00</w:t>
            </w:r>
          </w:p>
        </w:tc>
        <w:tc>
          <w:tcPr>
            <w:tcW w:w="1026" w:type="dxa"/>
            <w:shd w:val="clear" w:color="auto" w:fill="auto"/>
            <w:noWrap/>
            <w:vAlign w:val="center"/>
          </w:tcPr>
          <w:p w14:paraId="44E0111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noWrap/>
            <w:vAlign w:val="center"/>
          </w:tcPr>
          <w:p w14:paraId="40DDC69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vAlign w:val="center"/>
          </w:tcPr>
          <w:p w14:paraId="3A4F8D7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vAlign w:val="center"/>
          </w:tcPr>
          <w:p w14:paraId="5E015DD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vAlign w:val="center"/>
          </w:tcPr>
          <w:p w14:paraId="4FA9A5F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vAlign w:val="center"/>
          </w:tcPr>
          <w:p w14:paraId="3A590F1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026" w:type="dxa"/>
            <w:shd w:val="clear" w:color="auto" w:fill="auto"/>
            <w:vAlign w:val="center"/>
          </w:tcPr>
          <w:p w14:paraId="30817B9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116" w:type="dxa"/>
            <w:shd w:val="clear" w:color="auto" w:fill="auto"/>
            <w:vAlign w:val="center"/>
          </w:tcPr>
          <w:p w14:paraId="6028B97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803.00</w:t>
            </w:r>
          </w:p>
        </w:tc>
        <w:tc>
          <w:tcPr>
            <w:tcW w:w="1116" w:type="dxa"/>
            <w:shd w:val="clear" w:color="auto" w:fill="auto"/>
            <w:vAlign w:val="center"/>
          </w:tcPr>
          <w:p w14:paraId="1DC7C83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824.90</w:t>
            </w:r>
          </w:p>
        </w:tc>
        <w:tc>
          <w:tcPr>
            <w:tcW w:w="1116" w:type="dxa"/>
            <w:shd w:val="clear" w:color="auto" w:fill="auto"/>
            <w:vAlign w:val="center"/>
          </w:tcPr>
          <w:p w14:paraId="2E00413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03E1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29CB3E5C">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p>
        </w:tc>
        <w:tc>
          <w:tcPr>
            <w:tcW w:w="0" w:type="auto"/>
            <w:shd w:val="clear" w:color="auto" w:fill="auto"/>
            <w:vAlign w:val="center"/>
          </w:tcPr>
          <w:p w14:paraId="5FBC1FE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当期现金结余</w:t>
            </w:r>
          </w:p>
        </w:tc>
        <w:tc>
          <w:tcPr>
            <w:tcW w:w="1116" w:type="dxa"/>
            <w:shd w:val="clear" w:color="auto" w:fill="auto"/>
            <w:vAlign w:val="center"/>
          </w:tcPr>
          <w:p w14:paraId="4ED9E69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25,018.50</w:t>
            </w:r>
          </w:p>
        </w:tc>
        <w:tc>
          <w:tcPr>
            <w:tcW w:w="1026" w:type="dxa"/>
            <w:shd w:val="clear" w:color="auto" w:fill="auto"/>
            <w:vAlign w:val="center"/>
          </w:tcPr>
          <w:p w14:paraId="6BF72E9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-203.64</w:t>
            </w:r>
          </w:p>
        </w:tc>
        <w:tc>
          <w:tcPr>
            <w:tcW w:w="1026" w:type="dxa"/>
            <w:shd w:val="clear" w:color="auto" w:fill="auto"/>
            <w:vAlign w:val="center"/>
          </w:tcPr>
          <w:p w14:paraId="5244AEF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-253.64</w:t>
            </w:r>
          </w:p>
        </w:tc>
        <w:tc>
          <w:tcPr>
            <w:tcW w:w="1026" w:type="dxa"/>
            <w:shd w:val="clear" w:color="auto" w:fill="auto"/>
            <w:vAlign w:val="center"/>
          </w:tcPr>
          <w:p w14:paraId="21EF0C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-353.64</w:t>
            </w:r>
          </w:p>
        </w:tc>
        <w:tc>
          <w:tcPr>
            <w:tcW w:w="1026" w:type="dxa"/>
            <w:shd w:val="clear" w:color="auto" w:fill="auto"/>
            <w:vAlign w:val="center"/>
          </w:tcPr>
          <w:p w14:paraId="3B6BD42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-184.54</w:t>
            </w:r>
          </w:p>
        </w:tc>
        <w:tc>
          <w:tcPr>
            <w:tcW w:w="1026" w:type="dxa"/>
            <w:shd w:val="clear" w:color="auto" w:fill="auto"/>
            <w:vAlign w:val="center"/>
          </w:tcPr>
          <w:p w14:paraId="3D9D32F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-184.54</w:t>
            </w:r>
          </w:p>
        </w:tc>
        <w:tc>
          <w:tcPr>
            <w:tcW w:w="1026" w:type="dxa"/>
            <w:shd w:val="clear" w:color="auto" w:fill="auto"/>
            <w:vAlign w:val="center"/>
          </w:tcPr>
          <w:p w14:paraId="4118B7E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-234.54</w:t>
            </w:r>
          </w:p>
        </w:tc>
        <w:tc>
          <w:tcPr>
            <w:tcW w:w="1026" w:type="dxa"/>
            <w:shd w:val="clear" w:color="auto" w:fill="auto"/>
            <w:vAlign w:val="center"/>
          </w:tcPr>
          <w:p w14:paraId="4B5121A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-53.53</w:t>
            </w:r>
          </w:p>
        </w:tc>
        <w:tc>
          <w:tcPr>
            <w:tcW w:w="1116" w:type="dxa"/>
            <w:shd w:val="clear" w:color="auto" w:fill="auto"/>
            <w:vAlign w:val="center"/>
          </w:tcPr>
          <w:p w14:paraId="3F07F3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946.47</w:t>
            </w:r>
          </w:p>
        </w:tc>
        <w:tc>
          <w:tcPr>
            <w:tcW w:w="1116" w:type="dxa"/>
            <w:shd w:val="clear" w:color="auto" w:fill="auto"/>
            <w:vAlign w:val="center"/>
          </w:tcPr>
          <w:p w14:paraId="405841A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1,924.57</w:t>
            </w:r>
          </w:p>
        </w:tc>
        <w:tc>
          <w:tcPr>
            <w:tcW w:w="1116" w:type="dxa"/>
            <w:shd w:val="clear" w:color="auto" w:fill="auto"/>
            <w:vAlign w:val="center"/>
          </w:tcPr>
          <w:p w14:paraId="1D166D0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2,992.40</w:t>
            </w:r>
          </w:p>
        </w:tc>
      </w:tr>
      <w:tr w14:paraId="31D0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18903FA1">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四</w:t>
            </w:r>
          </w:p>
        </w:tc>
        <w:tc>
          <w:tcPr>
            <w:tcW w:w="0" w:type="auto"/>
            <w:shd w:val="clear" w:color="auto" w:fill="auto"/>
            <w:vAlign w:val="center"/>
          </w:tcPr>
          <w:p w14:paraId="2AAF67B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期初现金</w:t>
            </w:r>
          </w:p>
        </w:tc>
        <w:tc>
          <w:tcPr>
            <w:tcW w:w="1116" w:type="dxa"/>
            <w:shd w:val="clear" w:color="auto" w:fill="auto"/>
            <w:vAlign w:val="center"/>
          </w:tcPr>
          <w:p w14:paraId="4788E13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61982E1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-4,584.06</w:t>
            </w:r>
          </w:p>
        </w:tc>
        <w:tc>
          <w:tcPr>
            <w:tcW w:w="1026" w:type="dxa"/>
            <w:shd w:val="clear" w:color="auto" w:fill="auto"/>
            <w:vAlign w:val="center"/>
          </w:tcPr>
          <w:p w14:paraId="15D17BF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-4,787.70</w:t>
            </w:r>
          </w:p>
        </w:tc>
        <w:tc>
          <w:tcPr>
            <w:tcW w:w="1026" w:type="dxa"/>
            <w:shd w:val="clear" w:color="auto" w:fill="auto"/>
            <w:vAlign w:val="center"/>
          </w:tcPr>
          <w:p w14:paraId="541066B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-5,041.34</w:t>
            </w:r>
          </w:p>
        </w:tc>
        <w:tc>
          <w:tcPr>
            <w:tcW w:w="1026" w:type="dxa"/>
            <w:shd w:val="clear" w:color="auto" w:fill="auto"/>
            <w:vAlign w:val="center"/>
          </w:tcPr>
          <w:p w14:paraId="60C1ABF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-5,394.98</w:t>
            </w:r>
          </w:p>
        </w:tc>
        <w:tc>
          <w:tcPr>
            <w:tcW w:w="1026" w:type="dxa"/>
            <w:shd w:val="clear" w:color="auto" w:fill="auto"/>
            <w:vAlign w:val="center"/>
          </w:tcPr>
          <w:p w14:paraId="25AEAA4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-5,579.52</w:t>
            </w:r>
          </w:p>
        </w:tc>
        <w:tc>
          <w:tcPr>
            <w:tcW w:w="1026" w:type="dxa"/>
            <w:shd w:val="clear" w:color="auto" w:fill="auto"/>
            <w:vAlign w:val="center"/>
          </w:tcPr>
          <w:p w14:paraId="7E17AE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-5,764.06</w:t>
            </w:r>
          </w:p>
        </w:tc>
        <w:tc>
          <w:tcPr>
            <w:tcW w:w="1026" w:type="dxa"/>
            <w:shd w:val="clear" w:color="auto" w:fill="auto"/>
            <w:vAlign w:val="center"/>
          </w:tcPr>
          <w:p w14:paraId="531949A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-5,998.60</w:t>
            </w:r>
          </w:p>
        </w:tc>
        <w:tc>
          <w:tcPr>
            <w:tcW w:w="1116" w:type="dxa"/>
            <w:shd w:val="clear" w:color="auto" w:fill="auto"/>
            <w:vAlign w:val="center"/>
          </w:tcPr>
          <w:p w14:paraId="227F235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-6,052.13</w:t>
            </w:r>
          </w:p>
        </w:tc>
        <w:tc>
          <w:tcPr>
            <w:tcW w:w="1116" w:type="dxa"/>
            <w:shd w:val="clear" w:color="auto" w:fill="auto"/>
            <w:vAlign w:val="center"/>
          </w:tcPr>
          <w:p w14:paraId="1AA1902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-5,105.66</w:t>
            </w:r>
          </w:p>
        </w:tc>
        <w:tc>
          <w:tcPr>
            <w:tcW w:w="1116" w:type="dxa"/>
            <w:shd w:val="clear" w:color="auto" w:fill="auto"/>
            <w:vAlign w:val="center"/>
          </w:tcPr>
          <w:p w14:paraId="408CEA6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-3,181.09</w:t>
            </w:r>
          </w:p>
        </w:tc>
      </w:tr>
      <w:tr w14:paraId="1D04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0" w:type="auto"/>
            <w:shd w:val="clear" w:color="auto" w:fill="auto"/>
            <w:vAlign w:val="center"/>
          </w:tcPr>
          <w:p w14:paraId="44155D2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五</w:t>
            </w:r>
          </w:p>
        </w:tc>
        <w:tc>
          <w:tcPr>
            <w:tcW w:w="0" w:type="auto"/>
            <w:shd w:val="clear" w:color="auto" w:fill="auto"/>
            <w:vAlign w:val="center"/>
          </w:tcPr>
          <w:p w14:paraId="5777909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期末现金</w:t>
            </w:r>
          </w:p>
        </w:tc>
        <w:tc>
          <w:tcPr>
            <w:tcW w:w="1116" w:type="dxa"/>
            <w:shd w:val="clear" w:color="auto" w:fill="auto"/>
            <w:vAlign w:val="center"/>
          </w:tcPr>
          <w:p w14:paraId="19D522C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6854356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-4,787.70</w:t>
            </w:r>
          </w:p>
        </w:tc>
        <w:tc>
          <w:tcPr>
            <w:tcW w:w="1026" w:type="dxa"/>
            <w:shd w:val="clear" w:color="auto" w:fill="auto"/>
            <w:vAlign w:val="center"/>
          </w:tcPr>
          <w:p w14:paraId="39AF9DD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-5,041.34</w:t>
            </w:r>
          </w:p>
        </w:tc>
        <w:tc>
          <w:tcPr>
            <w:tcW w:w="1026" w:type="dxa"/>
            <w:shd w:val="clear" w:color="auto" w:fill="auto"/>
            <w:vAlign w:val="center"/>
          </w:tcPr>
          <w:p w14:paraId="0AD210C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-5,394.98</w:t>
            </w:r>
          </w:p>
        </w:tc>
        <w:tc>
          <w:tcPr>
            <w:tcW w:w="1026" w:type="dxa"/>
            <w:shd w:val="clear" w:color="auto" w:fill="auto"/>
            <w:vAlign w:val="center"/>
          </w:tcPr>
          <w:p w14:paraId="38B60C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-5,579.52</w:t>
            </w:r>
          </w:p>
        </w:tc>
        <w:tc>
          <w:tcPr>
            <w:tcW w:w="1026" w:type="dxa"/>
            <w:shd w:val="clear" w:color="auto" w:fill="auto"/>
            <w:vAlign w:val="center"/>
          </w:tcPr>
          <w:p w14:paraId="672326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-5,764.06</w:t>
            </w:r>
          </w:p>
        </w:tc>
        <w:tc>
          <w:tcPr>
            <w:tcW w:w="1026" w:type="dxa"/>
            <w:shd w:val="clear" w:color="auto" w:fill="auto"/>
            <w:vAlign w:val="center"/>
          </w:tcPr>
          <w:p w14:paraId="2B22357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-5,998.60</w:t>
            </w:r>
          </w:p>
        </w:tc>
        <w:tc>
          <w:tcPr>
            <w:tcW w:w="1026" w:type="dxa"/>
            <w:shd w:val="clear" w:color="auto" w:fill="auto"/>
            <w:vAlign w:val="center"/>
          </w:tcPr>
          <w:p w14:paraId="3C2966B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-6,052.13</w:t>
            </w:r>
          </w:p>
        </w:tc>
        <w:tc>
          <w:tcPr>
            <w:tcW w:w="1116" w:type="dxa"/>
            <w:shd w:val="clear" w:color="auto" w:fill="auto"/>
            <w:vAlign w:val="center"/>
          </w:tcPr>
          <w:p w14:paraId="13265AA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-5,105.66</w:t>
            </w:r>
          </w:p>
        </w:tc>
        <w:tc>
          <w:tcPr>
            <w:tcW w:w="1116" w:type="dxa"/>
            <w:shd w:val="clear" w:color="auto" w:fill="auto"/>
            <w:vAlign w:val="center"/>
          </w:tcPr>
          <w:p w14:paraId="39E8873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-3,181.09</w:t>
            </w:r>
          </w:p>
        </w:tc>
        <w:tc>
          <w:tcPr>
            <w:tcW w:w="1116" w:type="dxa"/>
            <w:shd w:val="clear" w:color="auto" w:fill="auto"/>
            <w:vAlign w:val="center"/>
          </w:tcPr>
          <w:p w14:paraId="15EE4B3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-188.69</w:t>
            </w:r>
          </w:p>
        </w:tc>
      </w:tr>
    </w:tbl>
    <w:p w14:paraId="4C1122FC">
      <w:pPr>
        <w:pStyle w:val="20"/>
        <w:spacing w:beforeLines="50" w:beforeAutospacing="0" w:afterLines="50" w:afterAutospacing="0" w:line="360" w:lineRule="exact"/>
        <w:rPr>
          <w:sz w:val="18"/>
          <w:szCs w:val="18"/>
        </w:rPr>
      </w:pPr>
      <w:r>
        <w:rPr>
          <w:rFonts w:hint="eastAsia"/>
          <w:sz w:val="18"/>
          <w:szCs w:val="18"/>
        </w:rPr>
        <w:t>续上表：</w:t>
      </w:r>
    </w:p>
    <w:tbl>
      <w:tblPr>
        <w:tblStyle w:val="24"/>
        <w:tblW w:w="50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1774"/>
        <w:gridCol w:w="1214"/>
        <w:gridCol w:w="1117"/>
        <w:gridCol w:w="1026"/>
        <w:gridCol w:w="1026"/>
        <w:gridCol w:w="1114"/>
        <w:gridCol w:w="1114"/>
        <w:gridCol w:w="1114"/>
        <w:gridCol w:w="1114"/>
        <w:gridCol w:w="1031"/>
        <w:gridCol w:w="1031"/>
        <w:gridCol w:w="1031"/>
      </w:tblGrid>
      <w:tr w14:paraId="4E48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jc w:val="center"/>
        </w:trPr>
        <w:tc>
          <w:tcPr>
            <w:tcW w:w="197" w:type="pct"/>
            <w:shd w:val="clear" w:color="auto" w:fill="auto"/>
            <w:vAlign w:val="center"/>
          </w:tcPr>
          <w:p w14:paraId="231E1847">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21" w:type="pct"/>
            <w:shd w:val="clear" w:color="auto" w:fill="auto"/>
            <w:vAlign w:val="center"/>
          </w:tcPr>
          <w:p w14:paraId="330A22C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年份</w:t>
            </w:r>
          </w:p>
        </w:tc>
        <w:tc>
          <w:tcPr>
            <w:tcW w:w="425" w:type="pct"/>
            <w:shd w:val="clear" w:color="auto" w:fill="auto"/>
            <w:vAlign w:val="center"/>
          </w:tcPr>
          <w:p w14:paraId="1C76A769">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391" w:type="pct"/>
            <w:shd w:val="clear" w:color="auto" w:fill="auto"/>
            <w:vAlign w:val="center"/>
          </w:tcPr>
          <w:p w14:paraId="32E4FB44">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2042年</w:t>
            </w:r>
          </w:p>
        </w:tc>
        <w:tc>
          <w:tcPr>
            <w:tcW w:w="359" w:type="pct"/>
            <w:shd w:val="clear" w:color="auto" w:fill="auto"/>
            <w:vAlign w:val="center"/>
          </w:tcPr>
          <w:p w14:paraId="790FAC24">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2043年</w:t>
            </w:r>
          </w:p>
        </w:tc>
        <w:tc>
          <w:tcPr>
            <w:tcW w:w="359" w:type="pct"/>
            <w:shd w:val="clear" w:color="auto" w:fill="auto"/>
            <w:vAlign w:val="center"/>
          </w:tcPr>
          <w:p w14:paraId="746E926A">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2044年</w:t>
            </w:r>
          </w:p>
        </w:tc>
        <w:tc>
          <w:tcPr>
            <w:tcW w:w="390" w:type="pct"/>
            <w:shd w:val="clear" w:color="auto" w:fill="auto"/>
            <w:vAlign w:val="center"/>
          </w:tcPr>
          <w:p w14:paraId="0556EA08">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2045年</w:t>
            </w:r>
          </w:p>
        </w:tc>
        <w:tc>
          <w:tcPr>
            <w:tcW w:w="390" w:type="pct"/>
            <w:shd w:val="clear" w:color="auto" w:fill="auto"/>
            <w:vAlign w:val="center"/>
          </w:tcPr>
          <w:p w14:paraId="5FE2E2DB">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2046年</w:t>
            </w:r>
          </w:p>
        </w:tc>
        <w:tc>
          <w:tcPr>
            <w:tcW w:w="390" w:type="pct"/>
            <w:shd w:val="clear" w:color="auto" w:fill="auto"/>
            <w:vAlign w:val="center"/>
          </w:tcPr>
          <w:p w14:paraId="3AFB6DC4">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2047年</w:t>
            </w:r>
          </w:p>
        </w:tc>
        <w:tc>
          <w:tcPr>
            <w:tcW w:w="390" w:type="pct"/>
            <w:shd w:val="clear" w:color="auto" w:fill="auto"/>
            <w:vAlign w:val="center"/>
          </w:tcPr>
          <w:p w14:paraId="328DD095">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2048年</w:t>
            </w:r>
          </w:p>
        </w:tc>
        <w:tc>
          <w:tcPr>
            <w:tcW w:w="361" w:type="pct"/>
            <w:shd w:val="clear" w:color="auto" w:fill="auto"/>
            <w:vAlign w:val="center"/>
          </w:tcPr>
          <w:p w14:paraId="5FA5F9E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2049年</w:t>
            </w:r>
          </w:p>
        </w:tc>
        <w:tc>
          <w:tcPr>
            <w:tcW w:w="361" w:type="pct"/>
            <w:shd w:val="clear" w:color="auto" w:fill="auto"/>
            <w:vAlign w:val="center"/>
          </w:tcPr>
          <w:p w14:paraId="38835E0C">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2050年</w:t>
            </w:r>
          </w:p>
        </w:tc>
        <w:tc>
          <w:tcPr>
            <w:tcW w:w="361" w:type="pct"/>
            <w:shd w:val="clear" w:color="auto" w:fill="auto"/>
            <w:vAlign w:val="center"/>
          </w:tcPr>
          <w:p w14:paraId="42A9AAF4">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2051年</w:t>
            </w:r>
          </w:p>
        </w:tc>
      </w:tr>
      <w:tr w14:paraId="73FD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F20763F">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w:t>
            </w:r>
          </w:p>
        </w:tc>
        <w:tc>
          <w:tcPr>
            <w:tcW w:w="621" w:type="pct"/>
            <w:shd w:val="clear" w:color="auto" w:fill="auto"/>
            <w:vAlign w:val="center"/>
          </w:tcPr>
          <w:p w14:paraId="2CABFCD8">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现金流入</w:t>
            </w:r>
          </w:p>
        </w:tc>
        <w:tc>
          <w:tcPr>
            <w:tcW w:w="1214" w:type="dxa"/>
            <w:shd w:val="clear" w:color="auto" w:fill="auto"/>
            <w:vAlign w:val="center"/>
          </w:tcPr>
          <w:p w14:paraId="1A4D073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262,282.73</w:t>
            </w:r>
          </w:p>
        </w:tc>
        <w:tc>
          <w:tcPr>
            <w:tcW w:w="1117" w:type="dxa"/>
            <w:shd w:val="clear" w:color="auto" w:fill="auto"/>
            <w:vAlign w:val="center"/>
          </w:tcPr>
          <w:p w14:paraId="10E445B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5949467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40845B0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556E3B1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4D74529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0351BAD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114" w:type="dxa"/>
            <w:shd w:val="clear" w:color="auto" w:fill="auto"/>
            <w:vAlign w:val="center"/>
          </w:tcPr>
          <w:p w14:paraId="0FF6F9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18D9B5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62B4BD0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031" w:type="dxa"/>
            <w:shd w:val="clear" w:color="auto" w:fill="auto"/>
            <w:vAlign w:val="center"/>
          </w:tcPr>
          <w:p w14:paraId="6E6CFDD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r>
      <w:tr w14:paraId="79A5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48D2D6B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21" w:type="pct"/>
            <w:shd w:val="clear" w:color="auto" w:fill="auto"/>
            <w:vAlign w:val="center"/>
          </w:tcPr>
          <w:p w14:paraId="66DE008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业务活动现金流入</w:t>
            </w:r>
          </w:p>
        </w:tc>
        <w:tc>
          <w:tcPr>
            <w:tcW w:w="1214" w:type="dxa"/>
            <w:shd w:val="clear" w:color="auto" w:fill="auto"/>
            <w:vAlign w:val="center"/>
          </w:tcPr>
          <w:p w14:paraId="3AB8FFE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117" w:type="dxa"/>
            <w:shd w:val="clear" w:color="auto" w:fill="auto"/>
            <w:vAlign w:val="center"/>
          </w:tcPr>
          <w:p w14:paraId="549EE6F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611B68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13B042C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2468997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433A312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08CC9B0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114" w:type="dxa"/>
            <w:shd w:val="clear" w:color="auto" w:fill="auto"/>
            <w:vAlign w:val="center"/>
          </w:tcPr>
          <w:p w14:paraId="4BC73DF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1FD1925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24C649D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031" w:type="dxa"/>
            <w:shd w:val="clear" w:color="auto" w:fill="auto"/>
            <w:vAlign w:val="center"/>
          </w:tcPr>
          <w:p w14:paraId="14BC584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r>
      <w:tr w14:paraId="60D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0567CA1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21" w:type="pct"/>
            <w:shd w:val="clear" w:color="auto" w:fill="auto"/>
            <w:vAlign w:val="center"/>
          </w:tcPr>
          <w:p w14:paraId="4163F37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财政补贴收入</w:t>
            </w:r>
          </w:p>
        </w:tc>
        <w:tc>
          <w:tcPr>
            <w:tcW w:w="1214" w:type="dxa"/>
            <w:shd w:val="clear" w:color="auto" w:fill="auto"/>
            <w:vAlign w:val="center"/>
          </w:tcPr>
          <w:p w14:paraId="2437552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7" w:type="dxa"/>
            <w:shd w:val="clear" w:color="auto" w:fill="auto"/>
            <w:vAlign w:val="center"/>
          </w:tcPr>
          <w:p w14:paraId="345C6AF6">
            <w:pPr>
              <w:jc w:val="center"/>
              <w:rPr>
                <w:rFonts w:ascii="宋体" w:hAnsi="宋体" w:eastAsia="宋体" w:cs="宋体"/>
                <w:color w:val="000000"/>
                <w:kern w:val="0"/>
                <w:sz w:val="18"/>
                <w:szCs w:val="18"/>
              </w:rPr>
            </w:pPr>
          </w:p>
        </w:tc>
        <w:tc>
          <w:tcPr>
            <w:tcW w:w="1026" w:type="dxa"/>
            <w:shd w:val="clear" w:color="auto" w:fill="auto"/>
            <w:vAlign w:val="center"/>
          </w:tcPr>
          <w:p w14:paraId="60F59B44">
            <w:pPr>
              <w:jc w:val="center"/>
              <w:rPr>
                <w:rFonts w:ascii="宋体" w:hAnsi="宋体" w:eastAsia="宋体" w:cs="宋体"/>
                <w:color w:val="000000"/>
                <w:kern w:val="0"/>
                <w:sz w:val="18"/>
                <w:szCs w:val="18"/>
              </w:rPr>
            </w:pPr>
          </w:p>
        </w:tc>
        <w:tc>
          <w:tcPr>
            <w:tcW w:w="1026" w:type="dxa"/>
            <w:shd w:val="clear" w:color="auto" w:fill="auto"/>
            <w:vAlign w:val="center"/>
          </w:tcPr>
          <w:p w14:paraId="21BF0560">
            <w:pPr>
              <w:jc w:val="center"/>
              <w:rPr>
                <w:rFonts w:ascii="宋体" w:hAnsi="宋体" w:eastAsia="宋体" w:cs="宋体"/>
                <w:color w:val="000000"/>
                <w:kern w:val="0"/>
                <w:sz w:val="18"/>
                <w:szCs w:val="18"/>
              </w:rPr>
            </w:pPr>
          </w:p>
        </w:tc>
        <w:tc>
          <w:tcPr>
            <w:tcW w:w="1114" w:type="dxa"/>
            <w:shd w:val="clear" w:color="auto" w:fill="auto"/>
            <w:vAlign w:val="center"/>
          </w:tcPr>
          <w:p w14:paraId="6431D803">
            <w:pPr>
              <w:jc w:val="center"/>
              <w:rPr>
                <w:rFonts w:ascii="宋体" w:hAnsi="宋体" w:eastAsia="宋体" w:cs="宋体"/>
                <w:color w:val="000000"/>
                <w:kern w:val="0"/>
                <w:sz w:val="18"/>
                <w:szCs w:val="18"/>
              </w:rPr>
            </w:pPr>
          </w:p>
        </w:tc>
        <w:tc>
          <w:tcPr>
            <w:tcW w:w="1114" w:type="dxa"/>
            <w:shd w:val="clear" w:color="auto" w:fill="auto"/>
            <w:vAlign w:val="center"/>
          </w:tcPr>
          <w:p w14:paraId="2615AD09">
            <w:pPr>
              <w:jc w:val="center"/>
              <w:rPr>
                <w:rFonts w:ascii="宋体" w:hAnsi="宋体" w:eastAsia="宋体" w:cs="宋体"/>
                <w:color w:val="000000"/>
                <w:kern w:val="0"/>
                <w:sz w:val="18"/>
                <w:szCs w:val="18"/>
              </w:rPr>
            </w:pPr>
          </w:p>
        </w:tc>
        <w:tc>
          <w:tcPr>
            <w:tcW w:w="1114" w:type="dxa"/>
            <w:shd w:val="clear" w:color="auto" w:fill="auto"/>
            <w:vAlign w:val="center"/>
          </w:tcPr>
          <w:p w14:paraId="796A422C">
            <w:pPr>
              <w:jc w:val="center"/>
              <w:rPr>
                <w:rFonts w:ascii="宋体" w:hAnsi="宋体" w:eastAsia="宋体" w:cs="宋体"/>
                <w:color w:val="000000"/>
                <w:kern w:val="0"/>
                <w:sz w:val="18"/>
                <w:szCs w:val="18"/>
              </w:rPr>
            </w:pPr>
          </w:p>
        </w:tc>
        <w:tc>
          <w:tcPr>
            <w:tcW w:w="1114" w:type="dxa"/>
            <w:shd w:val="clear" w:color="auto" w:fill="auto"/>
            <w:vAlign w:val="center"/>
          </w:tcPr>
          <w:p w14:paraId="7805F7E8">
            <w:pPr>
              <w:jc w:val="center"/>
              <w:rPr>
                <w:rFonts w:ascii="宋体" w:hAnsi="宋体" w:eastAsia="宋体" w:cs="宋体"/>
                <w:color w:val="000000"/>
                <w:kern w:val="0"/>
                <w:sz w:val="18"/>
                <w:szCs w:val="18"/>
              </w:rPr>
            </w:pPr>
          </w:p>
        </w:tc>
        <w:tc>
          <w:tcPr>
            <w:tcW w:w="1031" w:type="dxa"/>
            <w:shd w:val="clear" w:color="auto" w:fill="auto"/>
            <w:vAlign w:val="center"/>
          </w:tcPr>
          <w:p w14:paraId="34AF530C">
            <w:pPr>
              <w:jc w:val="center"/>
              <w:rPr>
                <w:rFonts w:ascii="宋体" w:hAnsi="宋体" w:eastAsia="宋体" w:cs="宋体"/>
                <w:color w:val="000000"/>
                <w:kern w:val="0"/>
                <w:sz w:val="18"/>
                <w:szCs w:val="18"/>
              </w:rPr>
            </w:pPr>
          </w:p>
        </w:tc>
        <w:tc>
          <w:tcPr>
            <w:tcW w:w="1031" w:type="dxa"/>
            <w:shd w:val="clear" w:color="auto" w:fill="auto"/>
            <w:vAlign w:val="center"/>
          </w:tcPr>
          <w:p w14:paraId="1721404B">
            <w:pPr>
              <w:jc w:val="center"/>
              <w:rPr>
                <w:rFonts w:ascii="宋体" w:hAnsi="宋体" w:eastAsia="宋体" w:cs="宋体"/>
                <w:color w:val="000000"/>
                <w:kern w:val="0"/>
                <w:sz w:val="18"/>
                <w:szCs w:val="18"/>
              </w:rPr>
            </w:pPr>
          </w:p>
        </w:tc>
        <w:tc>
          <w:tcPr>
            <w:tcW w:w="1031" w:type="dxa"/>
            <w:shd w:val="clear" w:color="auto" w:fill="auto"/>
            <w:vAlign w:val="center"/>
          </w:tcPr>
          <w:p w14:paraId="224EACE4">
            <w:pPr>
              <w:jc w:val="center"/>
              <w:rPr>
                <w:rFonts w:ascii="宋体" w:hAnsi="宋体" w:eastAsia="宋体" w:cs="宋体"/>
                <w:color w:val="000000"/>
                <w:kern w:val="0"/>
                <w:sz w:val="18"/>
                <w:szCs w:val="18"/>
              </w:rPr>
            </w:pPr>
          </w:p>
        </w:tc>
      </w:tr>
      <w:tr w14:paraId="7707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EDE3EB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21" w:type="pct"/>
            <w:shd w:val="clear" w:color="auto" w:fill="auto"/>
            <w:vAlign w:val="center"/>
          </w:tcPr>
          <w:p w14:paraId="24EC872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经营收入</w:t>
            </w:r>
          </w:p>
        </w:tc>
        <w:tc>
          <w:tcPr>
            <w:tcW w:w="1214" w:type="dxa"/>
            <w:shd w:val="clear" w:color="auto" w:fill="auto"/>
            <w:vAlign w:val="center"/>
          </w:tcPr>
          <w:p w14:paraId="508860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117" w:type="dxa"/>
            <w:shd w:val="clear" w:color="auto" w:fill="auto"/>
            <w:vAlign w:val="center"/>
          </w:tcPr>
          <w:p w14:paraId="5B56090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60A8520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6,700.76</w:t>
            </w:r>
          </w:p>
        </w:tc>
        <w:tc>
          <w:tcPr>
            <w:tcW w:w="1026" w:type="dxa"/>
            <w:shd w:val="clear" w:color="auto" w:fill="auto"/>
            <w:vAlign w:val="center"/>
          </w:tcPr>
          <w:p w14:paraId="79C5AC9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120E682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5854FE7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7,036.73</w:t>
            </w:r>
          </w:p>
        </w:tc>
        <w:tc>
          <w:tcPr>
            <w:tcW w:w="1114" w:type="dxa"/>
            <w:shd w:val="clear" w:color="auto" w:fill="auto"/>
            <w:vAlign w:val="center"/>
          </w:tcPr>
          <w:p w14:paraId="15668E0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114" w:type="dxa"/>
            <w:shd w:val="clear" w:color="auto" w:fill="auto"/>
            <w:vAlign w:val="center"/>
          </w:tcPr>
          <w:p w14:paraId="0541A85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7CD314D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7,388.43</w:t>
            </w:r>
          </w:p>
        </w:tc>
        <w:tc>
          <w:tcPr>
            <w:tcW w:w="1031" w:type="dxa"/>
            <w:shd w:val="clear" w:color="auto" w:fill="auto"/>
            <w:vAlign w:val="center"/>
          </w:tcPr>
          <w:p w14:paraId="0D00FDA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031" w:type="dxa"/>
            <w:shd w:val="clear" w:color="auto" w:fill="auto"/>
            <w:vAlign w:val="center"/>
          </w:tcPr>
          <w:p w14:paraId="30AEDBC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r>
      <w:tr w14:paraId="65F9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3D84C30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21" w:type="pct"/>
            <w:shd w:val="clear" w:color="auto" w:fill="auto"/>
            <w:vAlign w:val="center"/>
          </w:tcPr>
          <w:p w14:paraId="488D48E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融资活动现金流入</w:t>
            </w:r>
          </w:p>
        </w:tc>
        <w:tc>
          <w:tcPr>
            <w:tcW w:w="1214" w:type="dxa"/>
            <w:shd w:val="clear" w:color="auto" w:fill="auto"/>
            <w:vAlign w:val="center"/>
          </w:tcPr>
          <w:p w14:paraId="33D9A01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52,894.40</w:t>
            </w:r>
          </w:p>
        </w:tc>
        <w:tc>
          <w:tcPr>
            <w:tcW w:w="1117" w:type="dxa"/>
            <w:shd w:val="clear" w:color="auto" w:fill="auto"/>
            <w:vAlign w:val="center"/>
          </w:tcPr>
          <w:p w14:paraId="101996D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65168CA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30BE36B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30A9877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64C9415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457E1E8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56AFA9E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50C620D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48EFE2E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5257688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2638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4CAD18A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621" w:type="pct"/>
            <w:shd w:val="clear" w:color="auto" w:fill="auto"/>
            <w:vAlign w:val="center"/>
          </w:tcPr>
          <w:p w14:paraId="63B1147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债券融资款</w:t>
            </w:r>
          </w:p>
        </w:tc>
        <w:tc>
          <w:tcPr>
            <w:tcW w:w="1214" w:type="dxa"/>
            <w:shd w:val="clear" w:color="auto" w:fill="auto"/>
            <w:vAlign w:val="center"/>
          </w:tcPr>
          <w:p w14:paraId="4CACCEF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117" w:type="dxa"/>
            <w:shd w:val="clear" w:color="auto" w:fill="auto"/>
            <w:vAlign w:val="center"/>
          </w:tcPr>
          <w:p w14:paraId="4C03F2F5">
            <w:pPr>
              <w:jc w:val="center"/>
              <w:rPr>
                <w:rFonts w:ascii="宋体" w:hAnsi="宋体" w:eastAsia="宋体" w:cs="宋体"/>
                <w:color w:val="000000"/>
                <w:kern w:val="0"/>
                <w:sz w:val="18"/>
                <w:szCs w:val="18"/>
              </w:rPr>
            </w:pPr>
          </w:p>
        </w:tc>
        <w:tc>
          <w:tcPr>
            <w:tcW w:w="1026" w:type="dxa"/>
            <w:shd w:val="clear" w:color="auto" w:fill="auto"/>
            <w:vAlign w:val="center"/>
          </w:tcPr>
          <w:p w14:paraId="7EF9799A">
            <w:pPr>
              <w:jc w:val="center"/>
              <w:rPr>
                <w:rFonts w:ascii="宋体" w:hAnsi="宋体" w:eastAsia="宋体" w:cs="宋体"/>
                <w:color w:val="000000"/>
                <w:kern w:val="0"/>
                <w:sz w:val="18"/>
                <w:szCs w:val="18"/>
              </w:rPr>
            </w:pPr>
          </w:p>
        </w:tc>
        <w:tc>
          <w:tcPr>
            <w:tcW w:w="1026" w:type="dxa"/>
            <w:shd w:val="clear" w:color="auto" w:fill="auto"/>
            <w:vAlign w:val="center"/>
          </w:tcPr>
          <w:p w14:paraId="30FEB6F3">
            <w:pPr>
              <w:jc w:val="center"/>
              <w:rPr>
                <w:rFonts w:ascii="宋体" w:hAnsi="宋体" w:eastAsia="宋体" w:cs="宋体"/>
                <w:color w:val="000000"/>
                <w:kern w:val="0"/>
                <w:sz w:val="18"/>
                <w:szCs w:val="18"/>
              </w:rPr>
            </w:pPr>
          </w:p>
        </w:tc>
        <w:tc>
          <w:tcPr>
            <w:tcW w:w="1114" w:type="dxa"/>
            <w:shd w:val="clear" w:color="auto" w:fill="auto"/>
            <w:vAlign w:val="center"/>
          </w:tcPr>
          <w:p w14:paraId="4DC8F926">
            <w:pPr>
              <w:jc w:val="center"/>
              <w:rPr>
                <w:rFonts w:ascii="宋体" w:hAnsi="宋体" w:eastAsia="宋体" w:cs="宋体"/>
                <w:color w:val="000000"/>
                <w:kern w:val="0"/>
                <w:sz w:val="18"/>
                <w:szCs w:val="18"/>
              </w:rPr>
            </w:pPr>
          </w:p>
        </w:tc>
        <w:tc>
          <w:tcPr>
            <w:tcW w:w="1114" w:type="dxa"/>
            <w:shd w:val="clear" w:color="auto" w:fill="auto"/>
            <w:vAlign w:val="center"/>
          </w:tcPr>
          <w:p w14:paraId="4B7F2BC0">
            <w:pPr>
              <w:jc w:val="center"/>
              <w:rPr>
                <w:rFonts w:ascii="宋体" w:hAnsi="宋体" w:eastAsia="宋体" w:cs="宋体"/>
                <w:color w:val="000000"/>
                <w:kern w:val="0"/>
                <w:sz w:val="18"/>
                <w:szCs w:val="18"/>
              </w:rPr>
            </w:pPr>
          </w:p>
        </w:tc>
        <w:tc>
          <w:tcPr>
            <w:tcW w:w="1114" w:type="dxa"/>
            <w:shd w:val="clear" w:color="auto" w:fill="auto"/>
            <w:vAlign w:val="center"/>
          </w:tcPr>
          <w:p w14:paraId="7E13492D">
            <w:pPr>
              <w:jc w:val="center"/>
              <w:rPr>
                <w:rFonts w:ascii="宋体" w:hAnsi="宋体" w:eastAsia="宋体" w:cs="宋体"/>
                <w:color w:val="000000"/>
                <w:kern w:val="0"/>
                <w:sz w:val="18"/>
                <w:szCs w:val="18"/>
              </w:rPr>
            </w:pPr>
          </w:p>
        </w:tc>
        <w:tc>
          <w:tcPr>
            <w:tcW w:w="1114" w:type="dxa"/>
            <w:shd w:val="clear" w:color="auto" w:fill="auto"/>
            <w:vAlign w:val="center"/>
          </w:tcPr>
          <w:p w14:paraId="5468E344">
            <w:pPr>
              <w:jc w:val="center"/>
              <w:rPr>
                <w:rFonts w:ascii="宋体" w:hAnsi="宋体" w:eastAsia="宋体" w:cs="宋体"/>
                <w:color w:val="000000"/>
                <w:kern w:val="0"/>
                <w:sz w:val="18"/>
                <w:szCs w:val="18"/>
              </w:rPr>
            </w:pPr>
          </w:p>
        </w:tc>
        <w:tc>
          <w:tcPr>
            <w:tcW w:w="1031" w:type="dxa"/>
            <w:shd w:val="clear" w:color="auto" w:fill="auto"/>
            <w:vAlign w:val="center"/>
          </w:tcPr>
          <w:p w14:paraId="5E02B1CB">
            <w:pPr>
              <w:jc w:val="center"/>
              <w:rPr>
                <w:rFonts w:ascii="宋体" w:hAnsi="宋体" w:eastAsia="宋体" w:cs="宋体"/>
                <w:color w:val="000000"/>
                <w:kern w:val="0"/>
                <w:sz w:val="18"/>
                <w:szCs w:val="18"/>
              </w:rPr>
            </w:pPr>
          </w:p>
        </w:tc>
        <w:tc>
          <w:tcPr>
            <w:tcW w:w="1031" w:type="dxa"/>
            <w:shd w:val="clear" w:color="auto" w:fill="auto"/>
            <w:vAlign w:val="center"/>
          </w:tcPr>
          <w:p w14:paraId="0DA40877">
            <w:pPr>
              <w:jc w:val="center"/>
              <w:rPr>
                <w:rFonts w:ascii="宋体" w:hAnsi="宋体" w:eastAsia="宋体" w:cs="宋体"/>
                <w:color w:val="000000"/>
                <w:kern w:val="0"/>
                <w:sz w:val="18"/>
                <w:szCs w:val="18"/>
              </w:rPr>
            </w:pPr>
          </w:p>
        </w:tc>
        <w:tc>
          <w:tcPr>
            <w:tcW w:w="1031" w:type="dxa"/>
            <w:shd w:val="clear" w:color="auto" w:fill="auto"/>
            <w:vAlign w:val="center"/>
          </w:tcPr>
          <w:p w14:paraId="4C466228">
            <w:pPr>
              <w:jc w:val="center"/>
              <w:rPr>
                <w:rFonts w:ascii="宋体" w:hAnsi="宋体" w:eastAsia="宋体" w:cs="宋体"/>
                <w:color w:val="000000"/>
                <w:kern w:val="0"/>
                <w:sz w:val="18"/>
                <w:szCs w:val="18"/>
              </w:rPr>
            </w:pPr>
          </w:p>
        </w:tc>
      </w:tr>
      <w:tr w14:paraId="4407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1DEC546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621" w:type="pct"/>
            <w:shd w:val="clear" w:color="auto" w:fill="auto"/>
            <w:vAlign w:val="center"/>
          </w:tcPr>
          <w:p w14:paraId="0F50C96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其他融资款</w:t>
            </w:r>
          </w:p>
        </w:tc>
        <w:tc>
          <w:tcPr>
            <w:tcW w:w="1214" w:type="dxa"/>
            <w:shd w:val="clear" w:color="auto" w:fill="auto"/>
            <w:vAlign w:val="center"/>
          </w:tcPr>
          <w:p w14:paraId="7666938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117" w:type="dxa"/>
            <w:shd w:val="clear" w:color="auto" w:fill="auto"/>
            <w:vAlign w:val="center"/>
          </w:tcPr>
          <w:p w14:paraId="458EFB41">
            <w:pPr>
              <w:jc w:val="center"/>
              <w:rPr>
                <w:rFonts w:ascii="宋体" w:hAnsi="宋体" w:eastAsia="宋体" w:cs="宋体"/>
                <w:color w:val="000000"/>
                <w:kern w:val="0"/>
                <w:sz w:val="18"/>
                <w:szCs w:val="18"/>
              </w:rPr>
            </w:pPr>
          </w:p>
        </w:tc>
        <w:tc>
          <w:tcPr>
            <w:tcW w:w="1026" w:type="dxa"/>
            <w:shd w:val="clear" w:color="auto" w:fill="auto"/>
            <w:vAlign w:val="center"/>
          </w:tcPr>
          <w:p w14:paraId="5026CC51">
            <w:pPr>
              <w:jc w:val="center"/>
              <w:rPr>
                <w:rFonts w:ascii="宋体" w:hAnsi="宋体" w:eastAsia="宋体" w:cs="宋体"/>
                <w:color w:val="000000"/>
                <w:kern w:val="0"/>
                <w:sz w:val="18"/>
                <w:szCs w:val="18"/>
              </w:rPr>
            </w:pPr>
          </w:p>
        </w:tc>
        <w:tc>
          <w:tcPr>
            <w:tcW w:w="1026" w:type="dxa"/>
            <w:shd w:val="clear" w:color="auto" w:fill="auto"/>
            <w:vAlign w:val="center"/>
          </w:tcPr>
          <w:p w14:paraId="6814D1D2">
            <w:pPr>
              <w:jc w:val="center"/>
              <w:rPr>
                <w:rFonts w:ascii="宋体" w:hAnsi="宋体" w:eastAsia="宋体" w:cs="宋体"/>
                <w:color w:val="000000"/>
                <w:kern w:val="0"/>
                <w:sz w:val="18"/>
                <w:szCs w:val="18"/>
              </w:rPr>
            </w:pPr>
          </w:p>
        </w:tc>
        <w:tc>
          <w:tcPr>
            <w:tcW w:w="1114" w:type="dxa"/>
            <w:shd w:val="clear" w:color="auto" w:fill="auto"/>
            <w:vAlign w:val="center"/>
          </w:tcPr>
          <w:p w14:paraId="6482FB85">
            <w:pPr>
              <w:jc w:val="center"/>
              <w:rPr>
                <w:rFonts w:ascii="宋体" w:hAnsi="宋体" w:eastAsia="宋体" w:cs="宋体"/>
                <w:color w:val="000000"/>
                <w:kern w:val="0"/>
                <w:sz w:val="18"/>
                <w:szCs w:val="18"/>
              </w:rPr>
            </w:pPr>
          </w:p>
        </w:tc>
        <w:tc>
          <w:tcPr>
            <w:tcW w:w="1114" w:type="dxa"/>
            <w:shd w:val="clear" w:color="auto" w:fill="auto"/>
            <w:vAlign w:val="center"/>
          </w:tcPr>
          <w:p w14:paraId="0E9C7209">
            <w:pPr>
              <w:jc w:val="center"/>
              <w:rPr>
                <w:rFonts w:ascii="宋体" w:hAnsi="宋体" w:eastAsia="宋体" w:cs="宋体"/>
                <w:color w:val="000000"/>
                <w:kern w:val="0"/>
                <w:sz w:val="18"/>
                <w:szCs w:val="18"/>
              </w:rPr>
            </w:pPr>
          </w:p>
        </w:tc>
        <w:tc>
          <w:tcPr>
            <w:tcW w:w="1114" w:type="dxa"/>
            <w:shd w:val="clear" w:color="auto" w:fill="auto"/>
            <w:vAlign w:val="center"/>
          </w:tcPr>
          <w:p w14:paraId="32F1A85D">
            <w:pPr>
              <w:jc w:val="center"/>
              <w:rPr>
                <w:rFonts w:ascii="宋体" w:hAnsi="宋体" w:eastAsia="宋体" w:cs="宋体"/>
                <w:color w:val="000000"/>
                <w:kern w:val="0"/>
                <w:sz w:val="18"/>
                <w:szCs w:val="18"/>
              </w:rPr>
            </w:pPr>
          </w:p>
        </w:tc>
        <w:tc>
          <w:tcPr>
            <w:tcW w:w="1114" w:type="dxa"/>
            <w:shd w:val="clear" w:color="auto" w:fill="auto"/>
            <w:vAlign w:val="center"/>
          </w:tcPr>
          <w:p w14:paraId="0D1D408B">
            <w:pPr>
              <w:jc w:val="center"/>
              <w:rPr>
                <w:rFonts w:ascii="宋体" w:hAnsi="宋体" w:eastAsia="宋体" w:cs="宋体"/>
                <w:color w:val="000000"/>
                <w:kern w:val="0"/>
                <w:sz w:val="18"/>
                <w:szCs w:val="18"/>
              </w:rPr>
            </w:pPr>
          </w:p>
        </w:tc>
        <w:tc>
          <w:tcPr>
            <w:tcW w:w="1031" w:type="dxa"/>
            <w:shd w:val="clear" w:color="auto" w:fill="auto"/>
            <w:vAlign w:val="center"/>
          </w:tcPr>
          <w:p w14:paraId="26B3DD8B">
            <w:pPr>
              <w:jc w:val="center"/>
              <w:rPr>
                <w:rFonts w:ascii="宋体" w:hAnsi="宋体" w:eastAsia="宋体" w:cs="宋体"/>
                <w:color w:val="000000"/>
                <w:kern w:val="0"/>
                <w:sz w:val="18"/>
                <w:szCs w:val="18"/>
              </w:rPr>
            </w:pPr>
          </w:p>
        </w:tc>
        <w:tc>
          <w:tcPr>
            <w:tcW w:w="1031" w:type="dxa"/>
            <w:shd w:val="clear" w:color="auto" w:fill="auto"/>
            <w:vAlign w:val="center"/>
          </w:tcPr>
          <w:p w14:paraId="268ACED7">
            <w:pPr>
              <w:jc w:val="center"/>
              <w:rPr>
                <w:rFonts w:ascii="宋体" w:hAnsi="宋体" w:eastAsia="宋体" w:cs="宋体"/>
                <w:color w:val="000000"/>
                <w:kern w:val="0"/>
                <w:sz w:val="18"/>
                <w:szCs w:val="18"/>
              </w:rPr>
            </w:pPr>
          </w:p>
        </w:tc>
        <w:tc>
          <w:tcPr>
            <w:tcW w:w="1031" w:type="dxa"/>
            <w:shd w:val="clear" w:color="auto" w:fill="auto"/>
            <w:vAlign w:val="center"/>
          </w:tcPr>
          <w:p w14:paraId="3C46BAE0">
            <w:pPr>
              <w:jc w:val="center"/>
              <w:rPr>
                <w:rFonts w:ascii="宋体" w:hAnsi="宋体" w:eastAsia="宋体" w:cs="宋体"/>
                <w:color w:val="000000"/>
                <w:kern w:val="0"/>
                <w:sz w:val="18"/>
                <w:szCs w:val="18"/>
              </w:rPr>
            </w:pPr>
          </w:p>
        </w:tc>
      </w:tr>
      <w:tr w14:paraId="284A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D123D9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21" w:type="pct"/>
            <w:shd w:val="clear" w:color="auto" w:fill="auto"/>
            <w:vAlign w:val="center"/>
          </w:tcPr>
          <w:p w14:paraId="1A6E9FF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资本金投入</w:t>
            </w:r>
          </w:p>
        </w:tc>
        <w:tc>
          <w:tcPr>
            <w:tcW w:w="1214" w:type="dxa"/>
            <w:shd w:val="clear" w:color="auto" w:fill="auto"/>
            <w:vAlign w:val="center"/>
          </w:tcPr>
          <w:p w14:paraId="799CB91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13,223.59</w:t>
            </w:r>
          </w:p>
        </w:tc>
        <w:tc>
          <w:tcPr>
            <w:tcW w:w="1117" w:type="dxa"/>
            <w:shd w:val="clear" w:color="auto" w:fill="auto"/>
            <w:vAlign w:val="center"/>
          </w:tcPr>
          <w:p w14:paraId="16D44504">
            <w:pPr>
              <w:jc w:val="center"/>
              <w:rPr>
                <w:rFonts w:ascii="宋体" w:hAnsi="宋体" w:eastAsia="宋体" w:cs="宋体"/>
                <w:color w:val="000000"/>
                <w:kern w:val="0"/>
                <w:sz w:val="18"/>
                <w:szCs w:val="18"/>
              </w:rPr>
            </w:pPr>
          </w:p>
        </w:tc>
        <w:tc>
          <w:tcPr>
            <w:tcW w:w="1026" w:type="dxa"/>
            <w:shd w:val="clear" w:color="auto" w:fill="auto"/>
            <w:vAlign w:val="center"/>
          </w:tcPr>
          <w:p w14:paraId="3A59CFE1">
            <w:pPr>
              <w:jc w:val="center"/>
              <w:rPr>
                <w:rFonts w:ascii="宋体" w:hAnsi="宋体" w:eastAsia="宋体" w:cs="宋体"/>
                <w:color w:val="000000"/>
                <w:kern w:val="0"/>
                <w:sz w:val="18"/>
                <w:szCs w:val="18"/>
              </w:rPr>
            </w:pPr>
          </w:p>
        </w:tc>
        <w:tc>
          <w:tcPr>
            <w:tcW w:w="1026" w:type="dxa"/>
            <w:shd w:val="clear" w:color="auto" w:fill="auto"/>
            <w:vAlign w:val="center"/>
          </w:tcPr>
          <w:p w14:paraId="330A7E91">
            <w:pPr>
              <w:jc w:val="center"/>
              <w:rPr>
                <w:rFonts w:ascii="宋体" w:hAnsi="宋体" w:eastAsia="宋体" w:cs="宋体"/>
                <w:color w:val="000000"/>
                <w:kern w:val="0"/>
                <w:sz w:val="18"/>
                <w:szCs w:val="18"/>
              </w:rPr>
            </w:pPr>
          </w:p>
        </w:tc>
        <w:tc>
          <w:tcPr>
            <w:tcW w:w="1114" w:type="dxa"/>
            <w:shd w:val="clear" w:color="auto" w:fill="auto"/>
            <w:vAlign w:val="center"/>
          </w:tcPr>
          <w:p w14:paraId="202F9950">
            <w:pPr>
              <w:jc w:val="center"/>
              <w:rPr>
                <w:rFonts w:ascii="宋体" w:hAnsi="宋体" w:eastAsia="宋体" w:cs="宋体"/>
                <w:color w:val="000000"/>
                <w:kern w:val="0"/>
                <w:sz w:val="18"/>
                <w:szCs w:val="18"/>
              </w:rPr>
            </w:pPr>
          </w:p>
        </w:tc>
        <w:tc>
          <w:tcPr>
            <w:tcW w:w="1114" w:type="dxa"/>
            <w:shd w:val="clear" w:color="auto" w:fill="auto"/>
            <w:vAlign w:val="center"/>
          </w:tcPr>
          <w:p w14:paraId="1D0C6565">
            <w:pPr>
              <w:jc w:val="center"/>
              <w:rPr>
                <w:rFonts w:ascii="宋体" w:hAnsi="宋体" w:eastAsia="宋体" w:cs="宋体"/>
                <w:color w:val="000000"/>
                <w:kern w:val="0"/>
                <w:sz w:val="18"/>
                <w:szCs w:val="18"/>
              </w:rPr>
            </w:pPr>
          </w:p>
        </w:tc>
        <w:tc>
          <w:tcPr>
            <w:tcW w:w="1114" w:type="dxa"/>
            <w:shd w:val="clear" w:color="auto" w:fill="auto"/>
            <w:vAlign w:val="center"/>
          </w:tcPr>
          <w:p w14:paraId="7DE2DA51">
            <w:pPr>
              <w:jc w:val="center"/>
              <w:rPr>
                <w:rFonts w:ascii="宋体" w:hAnsi="宋体" w:eastAsia="宋体" w:cs="宋体"/>
                <w:color w:val="000000"/>
                <w:kern w:val="0"/>
                <w:sz w:val="18"/>
                <w:szCs w:val="18"/>
              </w:rPr>
            </w:pPr>
          </w:p>
        </w:tc>
        <w:tc>
          <w:tcPr>
            <w:tcW w:w="1114" w:type="dxa"/>
            <w:shd w:val="clear" w:color="auto" w:fill="auto"/>
            <w:vAlign w:val="center"/>
          </w:tcPr>
          <w:p w14:paraId="6CCF2438">
            <w:pPr>
              <w:jc w:val="center"/>
              <w:rPr>
                <w:rFonts w:ascii="宋体" w:hAnsi="宋体" w:eastAsia="宋体" w:cs="宋体"/>
                <w:color w:val="000000"/>
                <w:kern w:val="0"/>
                <w:sz w:val="18"/>
                <w:szCs w:val="18"/>
              </w:rPr>
            </w:pPr>
          </w:p>
        </w:tc>
        <w:tc>
          <w:tcPr>
            <w:tcW w:w="1031" w:type="dxa"/>
            <w:shd w:val="clear" w:color="auto" w:fill="auto"/>
            <w:vAlign w:val="center"/>
          </w:tcPr>
          <w:p w14:paraId="5EA820F5">
            <w:pPr>
              <w:jc w:val="center"/>
              <w:rPr>
                <w:rFonts w:ascii="宋体" w:hAnsi="宋体" w:eastAsia="宋体" w:cs="宋体"/>
                <w:color w:val="000000"/>
                <w:kern w:val="0"/>
                <w:sz w:val="18"/>
                <w:szCs w:val="18"/>
              </w:rPr>
            </w:pPr>
          </w:p>
        </w:tc>
        <w:tc>
          <w:tcPr>
            <w:tcW w:w="1031" w:type="dxa"/>
            <w:shd w:val="clear" w:color="auto" w:fill="auto"/>
            <w:vAlign w:val="center"/>
          </w:tcPr>
          <w:p w14:paraId="1398EC32">
            <w:pPr>
              <w:jc w:val="center"/>
              <w:rPr>
                <w:rFonts w:ascii="宋体" w:hAnsi="宋体" w:eastAsia="宋体" w:cs="宋体"/>
                <w:color w:val="000000"/>
                <w:kern w:val="0"/>
                <w:sz w:val="18"/>
                <w:szCs w:val="18"/>
              </w:rPr>
            </w:pPr>
          </w:p>
        </w:tc>
        <w:tc>
          <w:tcPr>
            <w:tcW w:w="1031" w:type="dxa"/>
            <w:shd w:val="clear" w:color="auto" w:fill="auto"/>
            <w:vAlign w:val="center"/>
          </w:tcPr>
          <w:p w14:paraId="5547E462">
            <w:pPr>
              <w:jc w:val="center"/>
              <w:rPr>
                <w:rFonts w:ascii="宋体" w:hAnsi="宋体" w:eastAsia="宋体" w:cs="宋体"/>
                <w:color w:val="000000"/>
                <w:kern w:val="0"/>
                <w:sz w:val="18"/>
                <w:szCs w:val="18"/>
              </w:rPr>
            </w:pPr>
          </w:p>
        </w:tc>
      </w:tr>
      <w:tr w14:paraId="1690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46D260B7">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p>
        </w:tc>
        <w:tc>
          <w:tcPr>
            <w:tcW w:w="621" w:type="pct"/>
            <w:shd w:val="clear" w:color="auto" w:fill="auto"/>
            <w:vAlign w:val="center"/>
          </w:tcPr>
          <w:p w14:paraId="62B42D39">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现金流出</w:t>
            </w:r>
          </w:p>
        </w:tc>
        <w:tc>
          <w:tcPr>
            <w:tcW w:w="1214" w:type="dxa"/>
            <w:shd w:val="clear" w:color="auto" w:fill="auto"/>
            <w:vAlign w:val="center"/>
          </w:tcPr>
          <w:p w14:paraId="300247F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237,264.23</w:t>
            </w:r>
          </w:p>
        </w:tc>
        <w:tc>
          <w:tcPr>
            <w:tcW w:w="1117" w:type="dxa"/>
            <w:shd w:val="clear" w:color="auto" w:fill="auto"/>
            <w:vAlign w:val="center"/>
          </w:tcPr>
          <w:p w14:paraId="1A7523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3,708.36</w:t>
            </w:r>
          </w:p>
        </w:tc>
        <w:tc>
          <w:tcPr>
            <w:tcW w:w="1026" w:type="dxa"/>
            <w:shd w:val="clear" w:color="auto" w:fill="auto"/>
            <w:vAlign w:val="center"/>
          </w:tcPr>
          <w:p w14:paraId="3BE9FF8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3,708.36</w:t>
            </w:r>
          </w:p>
        </w:tc>
        <w:tc>
          <w:tcPr>
            <w:tcW w:w="1026" w:type="dxa"/>
            <w:shd w:val="clear" w:color="auto" w:fill="auto"/>
            <w:vAlign w:val="center"/>
          </w:tcPr>
          <w:p w14:paraId="6A32738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3,789.34</w:t>
            </w:r>
          </w:p>
        </w:tc>
        <w:tc>
          <w:tcPr>
            <w:tcW w:w="1114" w:type="dxa"/>
            <w:shd w:val="clear" w:color="auto" w:fill="auto"/>
            <w:vAlign w:val="center"/>
          </w:tcPr>
          <w:p w14:paraId="4B86F8B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3,789.34</w:t>
            </w:r>
          </w:p>
        </w:tc>
        <w:tc>
          <w:tcPr>
            <w:tcW w:w="1114" w:type="dxa"/>
            <w:shd w:val="clear" w:color="auto" w:fill="auto"/>
            <w:vAlign w:val="center"/>
          </w:tcPr>
          <w:p w14:paraId="507FD3F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3,789.34</w:t>
            </w:r>
          </w:p>
        </w:tc>
        <w:tc>
          <w:tcPr>
            <w:tcW w:w="1114" w:type="dxa"/>
            <w:shd w:val="clear" w:color="auto" w:fill="auto"/>
            <w:vAlign w:val="center"/>
          </w:tcPr>
          <w:p w14:paraId="36994DF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3,874.11</w:t>
            </w:r>
          </w:p>
        </w:tc>
        <w:tc>
          <w:tcPr>
            <w:tcW w:w="1114" w:type="dxa"/>
            <w:shd w:val="clear" w:color="auto" w:fill="auto"/>
            <w:vAlign w:val="center"/>
          </w:tcPr>
          <w:p w14:paraId="468F81C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3,874.11</w:t>
            </w:r>
          </w:p>
        </w:tc>
        <w:tc>
          <w:tcPr>
            <w:tcW w:w="1031" w:type="dxa"/>
            <w:shd w:val="clear" w:color="auto" w:fill="auto"/>
            <w:vAlign w:val="center"/>
          </w:tcPr>
          <w:p w14:paraId="5961EE8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3,874.11</w:t>
            </w:r>
          </w:p>
        </w:tc>
        <w:tc>
          <w:tcPr>
            <w:tcW w:w="1031" w:type="dxa"/>
            <w:shd w:val="clear" w:color="auto" w:fill="auto"/>
            <w:vAlign w:val="center"/>
          </w:tcPr>
          <w:p w14:paraId="1A89BED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3,963.30</w:t>
            </w:r>
          </w:p>
        </w:tc>
        <w:tc>
          <w:tcPr>
            <w:tcW w:w="1031" w:type="dxa"/>
            <w:shd w:val="clear" w:color="auto" w:fill="auto"/>
            <w:vAlign w:val="center"/>
          </w:tcPr>
          <w:p w14:paraId="40B0AF2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3,963.30</w:t>
            </w:r>
          </w:p>
        </w:tc>
      </w:tr>
      <w:tr w14:paraId="70C8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4EB936A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21" w:type="pct"/>
            <w:shd w:val="clear" w:color="auto" w:fill="auto"/>
            <w:vAlign w:val="center"/>
          </w:tcPr>
          <w:p w14:paraId="4859C5F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业务活动现金流出</w:t>
            </w:r>
          </w:p>
        </w:tc>
        <w:tc>
          <w:tcPr>
            <w:tcW w:w="1214" w:type="dxa"/>
            <w:shd w:val="clear" w:color="auto" w:fill="auto"/>
            <w:vAlign w:val="center"/>
          </w:tcPr>
          <w:p w14:paraId="0529493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67,666.79</w:t>
            </w:r>
          </w:p>
        </w:tc>
        <w:tc>
          <w:tcPr>
            <w:tcW w:w="1117" w:type="dxa"/>
            <w:shd w:val="clear" w:color="auto" w:fill="auto"/>
            <w:vAlign w:val="center"/>
          </w:tcPr>
          <w:p w14:paraId="5D8133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2,318.11</w:t>
            </w:r>
          </w:p>
        </w:tc>
        <w:tc>
          <w:tcPr>
            <w:tcW w:w="1026" w:type="dxa"/>
            <w:shd w:val="clear" w:color="auto" w:fill="auto"/>
            <w:vAlign w:val="center"/>
          </w:tcPr>
          <w:p w14:paraId="5D14A6D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2,318.11</w:t>
            </w:r>
          </w:p>
        </w:tc>
        <w:tc>
          <w:tcPr>
            <w:tcW w:w="1026" w:type="dxa"/>
            <w:shd w:val="clear" w:color="auto" w:fill="auto"/>
            <w:vAlign w:val="center"/>
          </w:tcPr>
          <w:p w14:paraId="2CADB8B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2,399.09</w:t>
            </w:r>
          </w:p>
        </w:tc>
        <w:tc>
          <w:tcPr>
            <w:tcW w:w="1114" w:type="dxa"/>
            <w:shd w:val="clear" w:color="auto" w:fill="auto"/>
            <w:vAlign w:val="center"/>
          </w:tcPr>
          <w:p w14:paraId="20BA75C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2,399.09</w:t>
            </w:r>
          </w:p>
        </w:tc>
        <w:tc>
          <w:tcPr>
            <w:tcW w:w="1114" w:type="dxa"/>
            <w:shd w:val="clear" w:color="auto" w:fill="auto"/>
            <w:vAlign w:val="center"/>
          </w:tcPr>
          <w:p w14:paraId="5DD4C60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2,399.09</w:t>
            </w:r>
          </w:p>
        </w:tc>
        <w:tc>
          <w:tcPr>
            <w:tcW w:w="1114" w:type="dxa"/>
            <w:shd w:val="clear" w:color="auto" w:fill="auto"/>
            <w:vAlign w:val="center"/>
          </w:tcPr>
          <w:p w14:paraId="7813973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2,483.86</w:t>
            </w:r>
          </w:p>
        </w:tc>
        <w:tc>
          <w:tcPr>
            <w:tcW w:w="1114" w:type="dxa"/>
            <w:shd w:val="clear" w:color="auto" w:fill="auto"/>
            <w:vAlign w:val="center"/>
          </w:tcPr>
          <w:p w14:paraId="7C88875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2,483.86</w:t>
            </w:r>
          </w:p>
        </w:tc>
        <w:tc>
          <w:tcPr>
            <w:tcW w:w="1031" w:type="dxa"/>
            <w:shd w:val="clear" w:color="auto" w:fill="auto"/>
            <w:vAlign w:val="center"/>
          </w:tcPr>
          <w:p w14:paraId="24B9CA6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2,483.86</w:t>
            </w:r>
          </w:p>
        </w:tc>
        <w:tc>
          <w:tcPr>
            <w:tcW w:w="1031" w:type="dxa"/>
            <w:shd w:val="clear" w:color="auto" w:fill="auto"/>
            <w:vAlign w:val="center"/>
          </w:tcPr>
          <w:p w14:paraId="1FAF7C1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2,573.05</w:t>
            </w:r>
          </w:p>
        </w:tc>
        <w:tc>
          <w:tcPr>
            <w:tcW w:w="1031" w:type="dxa"/>
            <w:shd w:val="clear" w:color="auto" w:fill="auto"/>
            <w:vAlign w:val="center"/>
          </w:tcPr>
          <w:p w14:paraId="00A8A87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2,573.05</w:t>
            </w:r>
          </w:p>
        </w:tc>
      </w:tr>
      <w:tr w14:paraId="5BCD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597B35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21" w:type="pct"/>
            <w:shd w:val="clear" w:color="auto" w:fill="auto"/>
            <w:vAlign w:val="center"/>
          </w:tcPr>
          <w:p w14:paraId="04D7FD8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运营成本</w:t>
            </w:r>
          </w:p>
        </w:tc>
        <w:tc>
          <w:tcPr>
            <w:tcW w:w="1214" w:type="dxa"/>
            <w:shd w:val="clear" w:color="auto" w:fill="auto"/>
            <w:vAlign w:val="center"/>
          </w:tcPr>
          <w:p w14:paraId="57E7A28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23,726.00</w:t>
            </w:r>
          </w:p>
        </w:tc>
        <w:tc>
          <w:tcPr>
            <w:tcW w:w="1117" w:type="dxa"/>
            <w:shd w:val="clear" w:color="auto" w:fill="auto"/>
            <w:vAlign w:val="center"/>
          </w:tcPr>
          <w:p w14:paraId="3603E14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817.15</w:t>
            </w:r>
          </w:p>
        </w:tc>
        <w:tc>
          <w:tcPr>
            <w:tcW w:w="1026" w:type="dxa"/>
            <w:shd w:val="clear" w:color="auto" w:fill="auto"/>
            <w:vAlign w:val="center"/>
          </w:tcPr>
          <w:p w14:paraId="23B39D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817.15</w:t>
            </w:r>
          </w:p>
        </w:tc>
        <w:tc>
          <w:tcPr>
            <w:tcW w:w="1026" w:type="dxa"/>
            <w:shd w:val="clear" w:color="auto" w:fill="auto"/>
            <w:vAlign w:val="center"/>
          </w:tcPr>
          <w:p w14:paraId="70E158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822.85</w:t>
            </w:r>
          </w:p>
        </w:tc>
        <w:tc>
          <w:tcPr>
            <w:tcW w:w="1114" w:type="dxa"/>
            <w:shd w:val="clear" w:color="auto" w:fill="auto"/>
            <w:vAlign w:val="center"/>
          </w:tcPr>
          <w:p w14:paraId="6EF18F8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822.85</w:t>
            </w:r>
          </w:p>
        </w:tc>
        <w:tc>
          <w:tcPr>
            <w:tcW w:w="1114" w:type="dxa"/>
            <w:shd w:val="clear" w:color="auto" w:fill="auto"/>
            <w:vAlign w:val="center"/>
          </w:tcPr>
          <w:p w14:paraId="7A6814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822.85</w:t>
            </w:r>
          </w:p>
        </w:tc>
        <w:tc>
          <w:tcPr>
            <w:tcW w:w="1114" w:type="dxa"/>
            <w:shd w:val="clear" w:color="auto" w:fill="auto"/>
            <w:vAlign w:val="center"/>
          </w:tcPr>
          <w:p w14:paraId="2B1C7B7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828.85</w:t>
            </w:r>
          </w:p>
        </w:tc>
        <w:tc>
          <w:tcPr>
            <w:tcW w:w="1114" w:type="dxa"/>
            <w:shd w:val="clear" w:color="auto" w:fill="auto"/>
            <w:vAlign w:val="center"/>
          </w:tcPr>
          <w:p w14:paraId="124F87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828.85</w:t>
            </w:r>
          </w:p>
        </w:tc>
        <w:tc>
          <w:tcPr>
            <w:tcW w:w="1031" w:type="dxa"/>
            <w:shd w:val="clear" w:color="auto" w:fill="auto"/>
            <w:vAlign w:val="center"/>
          </w:tcPr>
          <w:p w14:paraId="5A1B5F9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828.85</w:t>
            </w:r>
          </w:p>
        </w:tc>
        <w:tc>
          <w:tcPr>
            <w:tcW w:w="1031" w:type="dxa"/>
            <w:shd w:val="clear" w:color="auto" w:fill="auto"/>
            <w:vAlign w:val="center"/>
          </w:tcPr>
          <w:p w14:paraId="2EF39CC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835.15</w:t>
            </w:r>
          </w:p>
        </w:tc>
        <w:tc>
          <w:tcPr>
            <w:tcW w:w="1031" w:type="dxa"/>
            <w:shd w:val="clear" w:color="auto" w:fill="auto"/>
            <w:vAlign w:val="center"/>
          </w:tcPr>
          <w:p w14:paraId="4250D15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835.15</w:t>
            </w:r>
          </w:p>
        </w:tc>
      </w:tr>
      <w:tr w14:paraId="310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3AE9F9B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621" w:type="pct"/>
            <w:shd w:val="clear" w:color="auto" w:fill="auto"/>
            <w:vAlign w:val="center"/>
          </w:tcPr>
          <w:p w14:paraId="67C9694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税金支出</w:t>
            </w:r>
          </w:p>
        </w:tc>
        <w:tc>
          <w:tcPr>
            <w:tcW w:w="1214" w:type="dxa"/>
            <w:shd w:val="clear" w:color="auto" w:fill="auto"/>
            <w:vAlign w:val="center"/>
          </w:tcPr>
          <w:p w14:paraId="1F551C1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43,940.79</w:t>
            </w:r>
          </w:p>
        </w:tc>
        <w:tc>
          <w:tcPr>
            <w:tcW w:w="1117" w:type="dxa"/>
            <w:shd w:val="clear" w:color="auto" w:fill="auto"/>
            <w:vAlign w:val="center"/>
          </w:tcPr>
          <w:p w14:paraId="5DB0EA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1,500.96</w:t>
            </w:r>
          </w:p>
        </w:tc>
        <w:tc>
          <w:tcPr>
            <w:tcW w:w="1026" w:type="dxa"/>
            <w:shd w:val="clear" w:color="auto" w:fill="auto"/>
            <w:vAlign w:val="center"/>
          </w:tcPr>
          <w:p w14:paraId="452F304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1,500.96</w:t>
            </w:r>
          </w:p>
        </w:tc>
        <w:tc>
          <w:tcPr>
            <w:tcW w:w="1026" w:type="dxa"/>
            <w:shd w:val="clear" w:color="auto" w:fill="auto"/>
            <w:vAlign w:val="center"/>
          </w:tcPr>
          <w:p w14:paraId="5E5D252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1,576.24</w:t>
            </w:r>
          </w:p>
        </w:tc>
        <w:tc>
          <w:tcPr>
            <w:tcW w:w="1114" w:type="dxa"/>
            <w:shd w:val="clear" w:color="auto" w:fill="auto"/>
            <w:vAlign w:val="center"/>
          </w:tcPr>
          <w:p w14:paraId="7C6AFBF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1,576.24</w:t>
            </w:r>
          </w:p>
        </w:tc>
        <w:tc>
          <w:tcPr>
            <w:tcW w:w="1114" w:type="dxa"/>
            <w:shd w:val="clear" w:color="auto" w:fill="auto"/>
            <w:vAlign w:val="center"/>
          </w:tcPr>
          <w:p w14:paraId="5FC02C3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1,576.24</w:t>
            </w:r>
          </w:p>
        </w:tc>
        <w:tc>
          <w:tcPr>
            <w:tcW w:w="1114" w:type="dxa"/>
            <w:shd w:val="clear" w:color="auto" w:fill="auto"/>
            <w:vAlign w:val="center"/>
          </w:tcPr>
          <w:p w14:paraId="153F322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1,655.01</w:t>
            </w:r>
          </w:p>
        </w:tc>
        <w:tc>
          <w:tcPr>
            <w:tcW w:w="1114" w:type="dxa"/>
            <w:shd w:val="clear" w:color="auto" w:fill="auto"/>
            <w:vAlign w:val="center"/>
          </w:tcPr>
          <w:p w14:paraId="06768B3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1,655.01</w:t>
            </w:r>
          </w:p>
        </w:tc>
        <w:tc>
          <w:tcPr>
            <w:tcW w:w="1031" w:type="dxa"/>
            <w:shd w:val="clear" w:color="auto" w:fill="auto"/>
            <w:vAlign w:val="center"/>
          </w:tcPr>
          <w:p w14:paraId="7F6E835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1,655.01</w:t>
            </w:r>
          </w:p>
        </w:tc>
        <w:tc>
          <w:tcPr>
            <w:tcW w:w="1031" w:type="dxa"/>
            <w:shd w:val="clear" w:color="auto" w:fill="auto"/>
            <w:vAlign w:val="center"/>
          </w:tcPr>
          <w:p w14:paraId="7D2ACEF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1,737.90</w:t>
            </w:r>
          </w:p>
        </w:tc>
        <w:tc>
          <w:tcPr>
            <w:tcW w:w="1031" w:type="dxa"/>
            <w:shd w:val="clear" w:color="auto" w:fill="auto"/>
            <w:vAlign w:val="center"/>
          </w:tcPr>
          <w:p w14:paraId="1E1CD82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1,737.90</w:t>
            </w:r>
          </w:p>
        </w:tc>
      </w:tr>
      <w:tr w14:paraId="20AB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0755623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21" w:type="pct"/>
            <w:shd w:val="clear" w:color="auto" w:fill="auto"/>
            <w:vAlign w:val="center"/>
          </w:tcPr>
          <w:p w14:paraId="27ED35F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建设投资现金流出</w:t>
            </w:r>
          </w:p>
        </w:tc>
        <w:tc>
          <w:tcPr>
            <w:tcW w:w="1214" w:type="dxa"/>
            <w:shd w:val="clear" w:color="auto" w:fill="auto"/>
            <w:vAlign w:val="center"/>
          </w:tcPr>
          <w:p w14:paraId="16FEE4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62,925.82</w:t>
            </w:r>
          </w:p>
        </w:tc>
        <w:tc>
          <w:tcPr>
            <w:tcW w:w="1117" w:type="dxa"/>
            <w:shd w:val="clear" w:color="auto" w:fill="auto"/>
            <w:vAlign w:val="center"/>
          </w:tcPr>
          <w:p w14:paraId="72A9FDDF">
            <w:pPr>
              <w:jc w:val="center"/>
              <w:rPr>
                <w:rFonts w:ascii="宋体" w:hAnsi="宋体" w:eastAsia="宋体" w:cs="宋体"/>
                <w:color w:val="000000"/>
                <w:kern w:val="0"/>
                <w:sz w:val="18"/>
                <w:szCs w:val="18"/>
              </w:rPr>
            </w:pPr>
          </w:p>
        </w:tc>
        <w:tc>
          <w:tcPr>
            <w:tcW w:w="1026" w:type="dxa"/>
            <w:shd w:val="clear" w:color="auto" w:fill="auto"/>
            <w:vAlign w:val="center"/>
          </w:tcPr>
          <w:p w14:paraId="2176EA6A">
            <w:pPr>
              <w:jc w:val="center"/>
              <w:rPr>
                <w:rFonts w:ascii="宋体" w:hAnsi="宋体" w:eastAsia="宋体" w:cs="宋体"/>
                <w:color w:val="000000"/>
                <w:kern w:val="0"/>
                <w:sz w:val="18"/>
                <w:szCs w:val="18"/>
              </w:rPr>
            </w:pPr>
          </w:p>
        </w:tc>
        <w:tc>
          <w:tcPr>
            <w:tcW w:w="1026" w:type="dxa"/>
            <w:shd w:val="clear" w:color="auto" w:fill="auto"/>
            <w:vAlign w:val="center"/>
          </w:tcPr>
          <w:p w14:paraId="1B7343C4">
            <w:pPr>
              <w:jc w:val="center"/>
              <w:rPr>
                <w:rFonts w:ascii="宋体" w:hAnsi="宋体" w:eastAsia="宋体" w:cs="宋体"/>
                <w:color w:val="000000"/>
                <w:kern w:val="0"/>
                <w:sz w:val="18"/>
                <w:szCs w:val="18"/>
              </w:rPr>
            </w:pPr>
          </w:p>
        </w:tc>
        <w:tc>
          <w:tcPr>
            <w:tcW w:w="1114" w:type="dxa"/>
            <w:shd w:val="clear" w:color="auto" w:fill="auto"/>
            <w:vAlign w:val="center"/>
          </w:tcPr>
          <w:p w14:paraId="0B7B314A">
            <w:pPr>
              <w:jc w:val="center"/>
              <w:rPr>
                <w:rFonts w:ascii="宋体" w:hAnsi="宋体" w:eastAsia="宋体" w:cs="宋体"/>
                <w:color w:val="000000"/>
                <w:kern w:val="0"/>
                <w:sz w:val="18"/>
                <w:szCs w:val="18"/>
              </w:rPr>
            </w:pPr>
          </w:p>
        </w:tc>
        <w:tc>
          <w:tcPr>
            <w:tcW w:w="1114" w:type="dxa"/>
            <w:shd w:val="clear" w:color="auto" w:fill="auto"/>
            <w:vAlign w:val="center"/>
          </w:tcPr>
          <w:p w14:paraId="1B5200BC">
            <w:pPr>
              <w:jc w:val="center"/>
              <w:rPr>
                <w:rFonts w:ascii="宋体" w:hAnsi="宋体" w:eastAsia="宋体" w:cs="宋体"/>
                <w:color w:val="000000"/>
                <w:kern w:val="0"/>
                <w:sz w:val="18"/>
                <w:szCs w:val="18"/>
              </w:rPr>
            </w:pPr>
          </w:p>
        </w:tc>
        <w:tc>
          <w:tcPr>
            <w:tcW w:w="1114" w:type="dxa"/>
            <w:shd w:val="clear" w:color="auto" w:fill="auto"/>
            <w:vAlign w:val="center"/>
          </w:tcPr>
          <w:p w14:paraId="7B90CAA8">
            <w:pPr>
              <w:jc w:val="center"/>
              <w:rPr>
                <w:rFonts w:ascii="宋体" w:hAnsi="宋体" w:eastAsia="宋体" w:cs="宋体"/>
                <w:color w:val="000000"/>
                <w:kern w:val="0"/>
                <w:sz w:val="18"/>
                <w:szCs w:val="18"/>
              </w:rPr>
            </w:pPr>
          </w:p>
        </w:tc>
        <w:tc>
          <w:tcPr>
            <w:tcW w:w="1114" w:type="dxa"/>
            <w:shd w:val="clear" w:color="auto" w:fill="auto"/>
            <w:vAlign w:val="center"/>
          </w:tcPr>
          <w:p w14:paraId="104AF178">
            <w:pPr>
              <w:jc w:val="center"/>
              <w:rPr>
                <w:rFonts w:ascii="宋体" w:hAnsi="宋体" w:eastAsia="宋体" w:cs="宋体"/>
                <w:color w:val="000000"/>
                <w:kern w:val="0"/>
                <w:sz w:val="18"/>
                <w:szCs w:val="18"/>
              </w:rPr>
            </w:pPr>
          </w:p>
        </w:tc>
        <w:tc>
          <w:tcPr>
            <w:tcW w:w="1031" w:type="dxa"/>
            <w:shd w:val="clear" w:color="auto" w:fill="auto"/>
            <w:vAlign w:val="center"/>
          </w:tcPr>
          <w:p w14:paraId="6896DBC6">
            <w:pPr>
              <w:jc w:val="center"/>
              <w:rPr>
                <w:rFonts w:ascii="宋体" w:hAnsi="宋体" w:eastAsia="宋体" w:cs="宋体"/>
                <w:color w:val="000000"/>
                <w:kern w:val="0"/>
                <w:sz w:val="18"/>
                <w:szCs w:val="18"/>
              </w:rPr>
            </w:pPr>
          </w:p>
        </w:tc>
        <w:tc>
          <w:tcPr>
            <w:tcW w:w="1031" w:type="dxa"/>
            <w:shd w:val="clear" w:color="auto" w:fill="auto"/>
            <w:vAlign w:val="center"/>
          </w:tcPr>
          <w:p w14:paraId="7D1B544B">
            <w:pPr>
              <w:jc w:val="center"/>
              <w:rPr>
                <w:rFonts w:ascii="宋体" w:hAnsi="宋体" w:eastAsia="宋体" w:cs="宋体"/>
                <w:color w:val="000000"/>
                <w:kern w:val="0"/>
                <w:sz w:val="18"/>
                <w:szCs w:val="18"/>
              </w:rPr>
            </w:pPr>
          </w:p>
        </w:tc>
        <w:tc>
          <w:tcPr>
            <w:tcW w:w="1031" w:type="dxa"/>
            <w:shd w:val="clear" w:color="auto" w:fill="auto"/>
            <w:vAlign w:val="center"/>
          </w:tcPr>
          <w:p w14:paraId="6FBF56F1">
            <w:pPr>
              <w:jc w:val="center"/>
              <w:rPr>
                <w:rFonts w:ascii="宋体" w:hAnsi="宋体" w:eastAsia="宋体" w:cs="宋体"/>
                <w:color w:val="000000"/>
                <w:kern w:val="0"/>
                <w:sz w:val="18"/>
                <w:szCs w:val="18"/>
              </w:rPr>
            </w:pPr>
          </w:p>
        </w:tc>
      </w:tr>
      <w:tr w14:paraId="6548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4DB3DCE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21" w:type="pct"/>
            <w:shd w:val="clear" w:color="auto" w:fill="auto"/>
            <w:vAlign w:val="center"/>
          </w:tcPr>
          <w:p w14:paraId="521CD41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融资活动现金流出</w:t>
            </w:r>
          </w:p>
        </w:tc>
        <w:tc>
          <w:tcPr>
            <w:tcW w:w="1214" w:type="dxa"/>
            <w:shd w:val="clear" w:color="auto" w:fill="auto"/>
            <w:vAlign w:val="center"/>
          </w:tcPr>
          <w:p w14:paraId="78C0E71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106,671.62</w:t>
            </w:r>
          </w:p>
        </w:tc>
        <w:tc>
          <w:tcPr>
            <w:tcW w:w="1117" w:type="dxa"/>
            <w:shd w:val="clear" w:color="auto" w:fill="auto"/>
            <w:vAlign w:val="center"/>
          </w:tcPr>
          <w:p w14:paraId="5AD767B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4D66045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2F5244C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0EBC31E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623464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54DED6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5E5BF9D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436B71D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4B1355E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3F08DCE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r>
      <w:tr w14:paraId="12EB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1EA9EF5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621" w:type="pct"/>
            <w:shd w:val="clear" w:color="auto" w:fill="auto"/>
            <w:vAlign w:val="center"/>
          </w:tcPr>
          <w:p w14:paraId="0A8E156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1214" w:type="dxa"/>
            <w:shd w:val="clear" w:color="auto" w:fill="auto"/>
            <w:vAlign w:val="center"/>
          </w:tcPr>
          <w:p w14:paraId="6C5649F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24.71</w:t>
            </w:r>
          </w:p>
        </w:tc>
        <w:tc>
          <w:tcPr>
            <w:tcW w:w="1117" w:type="dxa"/>
            <w:shd w:val="clear" w:color="auto" w:fill="auto"/>
            <w:vAlign w:val="center"/>
          </w:tcPr>
          <w:p w14:paraId="60729640">
            <w:pPr>
              <w:jc w:val="center"/>
              <w:rPr>
                <w:rFonts w:ascii="宋体" w:hAnsi="宋体" w:eastAsia="宋体" w:cs="宋体"/>
                <w:color w:val="000000"/>
                <w:kern w:val="0"/>
                <w:sz w:val="18"/>
                <w:szCs w:val="18"/>
              </w:rPr>
            </w:pPr>
          </w:p>
        </w:tc>
        <w:tc>
          <w:tcPr>
            <w:tcW w:w="1026" w:type="dxa"/>
            <w:shd w:val="clear" w:color="auto" w:fill="auto"/>
            <w:vAlign w:val="center"/>
          </w:tcPr>
          <w:p w14:paraId="00EA6344">
            <w:pPr>
              <w:jc w:val="center"/>
              <w:rPr>
                <w:rFonts w:ascii="宋体" w:hAnsi="宋体" w:eastAsia="宋体" w:cs="宋体"/>
                <w:color w:val="000000"/>
                <w:kern w:val="0"/>
                <w:sz w:val="18"/>
                <w:szCs w:val="18"/>
              </w:rPr>
            </w:pPr>
          </w:p>
        </w:tc>
        <w:tc>
          <w:tcPr>
            <w:tcW w:w="1026" w:type="dxa"/>
            <w:shd w:val="clear" w:color="auto" w:fill="auto"/>
            <w:vAlign w:val="center"/>
          </w:tcPr>
          <w:p w14:paraId="3ED4DC07">
            <w:pPr>
              <w:jc w:val="center"/>
              <w:rPr>
                <w:rFonts w:ascii="宋体" w:hAnsi="宋体" w:eastAsia="宋体" w:cs="宋体"/>
                <w:color w:val="000000"/>
                <w:kern w:val="0"/>
                <w:sz w:val="18"/>
                <w:szCs w:val="18"/>
              </w:rPr>
            </w:pPr>
          </w:p>
        </w:tc>
        <w:tc>
          <w:tcPr>
            <w:tcW w:w="1114" w:type="dxa"/>
            <w:shd w:val="clear" w:color="auto" w:fill="auto"/>
            <w:vAlign w:val="center"/>
          </w:tcPr>
          <w:p w14:paraId="7FFF37DD">
            <w:pPr>
              <w:jc w:val="center"/>
              <w:rPr>
                <w:rFonts w:ascii="宋体" w:hAnsi="宋体" w:eastAsia="宋体" w:cs="宋体"/>
                <w:color w:val="000000"/>
                <w:kern w:val="0"/>
                <w:sz w:val="18"/>
                <w:szCs w:val="18"/>
              </w:rPr>
            </w:pPr>
          </w:p>
        </w:tc>
        <w:tc>
          <w:tcPr>
            <w:tcW w:w="1114" w:type="dxa"/>
            <w:shd w:val="clear" w:color="auto" w:fill="auto"/>
            <w:vAlign w:val="center"/>
          </w:tcPr>
          <w:p w14:paraId="6CDA58B9">
            <w:pPr>
              <w:jc w:val="center"/>
              <w:rPr>
                <w:rFonts w:ascii="宋体" w:hAnsi="宋体" w:eastAsia="宋体" w:cs="宋体"/>
                <w:color w:val="000000"/>
                <w:kern w:val="0"/>
                <w:sz w:val="18"/>
                <w:szCs w:val="18"/>
              </w:rPr>
            </w:pPr>
          </w:p>
        </w:tc>
        <w:tc>
          <w:tcPr>
            <w:tcW w:w="1114" w:type="dxa"/>
            <w:shd w:val="clear" w:color="auto" w:fill="auto"/>
            <w:vAlign w:val="center"/>
          </w:tcPr>
          <w:p w14:paraId="2246EE96">
            <w:pPr>
              <w:jc w:val="center"/>
              <w:rPr>
                <w:rFonts w:ascii="宋体" w:hAnsi="宋体" w:eastAsia="宋体" w:cs="宋体"/>
                <w:color w:val="000000"/>
                <w:kern w:val="0"/>
                <w:sz w:val="18"/>
                <w:szCs w:val="18"/>
              </w:rPr>
            </w:pPr>
          </w:p>
        </w:tc>
        <w:tc>
          <w:tcPr>
            <w:tcW w:w="1114" w:type="dxa"/>
            <w:shd w:val="clear" w:color="auto" w:fill="auto"/>
            <w:vAlign w:val="center"/>
          </w:tcPr>
          <w:p w14:paraId="2F68C5E9">
            <w:pPr>
              <w:jc w:val="center"/>
              <w:rPr>
                <w:rFonts w:ascii="宋体" w:hAnsi="宋体" w:eastAsia="宋体" w:cs="宋体"/>
                <w:color w:val="000000"/>
                <w:kern w:val="0"/>
                <w:sz w:val="18"/>
                <w:szCs w:val="18"/>
              </w:rPr>
            </w:pPr>
          </w:p>
        </w:tc>
        <w:tc>
          <w:tcPr>
            <w:tcW w:w="1031" w:type="dxa"/>
            <w:shd w:val="clear" w:color="auto" w:fill="auto"/>
            <w:vAlign w:val="center"/>
          </w:tcPr>
          <w:p w14:paraId="7F7EF605">
            <w:pPr>
              <w:jc w:val="center"/>
              <w:rPr>
                <w:rFonts w:ascii="宋体" w:hAnsi="宋体" w:eastAsia="宋体" w:cs="宋体"/>
                <w:color w:val="000000"/>
                <w:kern w:val="0"/>
                <w:sz w:val="18"/>
                <w:szCs w:val="18"/>
              </w:rPr>
            </w:pPr>
          </w:p>
        </w:tc>
        <w:tc>
          <w:tcPr>
            <w:tcW w:w="1031" w:type="dxa"/>
            <w:shd w:val="clear" w:color="auto" w:fill="auto"/>
            <w:vAlign w:val="center"/>
          </w:tcPr>
          <w:p w14:paraId="2543CE0C">
            <w:pPr>
              <w:jc w:val="center"/>
              <w:rPr>
                <w:rFonts w:ascii="宋体" w:hAnsi="宋体" w:eastAsia="宋体" w:cs="宋体"/>
                <w:color w:val="000000"/>
                <w:kern w:val="0"/>
                <w:sz w:val="18"/>
                <w:szCs w:val="18"/>
              </w:rPr>
            </w:pPr>
          </w:p>
        </w:tc>
        <w:tc>
          <w:tcPr>
            <w:tcW w:w="1031" w:type="dxa"/>
            <w:shd w:val="clear" w:color="auto" w:fill="auto"/>
            <w:vAlign w:val="center"/>
          </w:tcPr>
          <w:p w14:paraId="72ECDDF2">
            <w:pPr>
              <w:jc w:val="center"/>
              <w:rPr>
                <w:rFonts w:ascii="宋体" w:hAnsi="宋体" w:eastAsia="宋体" w:cs="宋体"/>
                <w:color w:val="000000"/>
                <w:kern w:val="0"/>
                <w:sz w:val="18"/>
                <w:szCs w:val="18"/>
              </w:rPr>
            </w:pPr>
          </w:p>
        </w:tc>
      </w:tr>
      <w:tr w14:paraId="3CAA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00C092B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21" w:type="pct"/>
            <w:shd w:val="clear" w:color="auto" w:fill="auto"/>
            <w:vAlign w:val="center"/>
          </w:tcPr>
          <w:p w14:paraId="2755893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偿还债券本金</w:t>
            </w:r>
          </w:p>
        </w:tc>
        <w:tc>
          <w:tcPr>
            <w:tcW w:w="1214" w:type="dxa"/>
            <w:shd w:val="clear" w:color="auto" w:fill="auto"/>
            <w:vAlign w:val="center"/>
          </w:tcPr>
          <w:p w14:paraId="39D3593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117" w:type="dxa"/>
            <w:shd w:val="clear" w:color="auto" w:fill="auto"/>
            <w:vAlign w:val="center"/>
          </w:tcPr>
          <w:p w14:paraId="6F60B4BB">
            <w:pPr>
              <w:jc w:val="center"/>
              <w:rPr>
                <w:rFonts w:ascii="宋体" w:hAnsi="宋体" w:eastAsia="宋体" w:cs="宋体"/>
                <w:color w:val="000000"/>
                <w:kern w:val="0"/>
                <w:sz w:val="18"/>
                <w:szCs w:val="18"/>
              </w:rPr>
            </w:pPr>
          </w:p>
        </w:tc>
        <w:tc>
          <w:tcPr>
            <w:tcW w:w="1026" w:type="dxa"/>
            <w:shd w:val="clear" w:color="auto" w:fill="auto"/>
            <w:vAlign w:val="center"/>
          </w:tcPr>
          <w:p w14:paraId="073D0A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37088AE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402CC870">
            <w:pPr>
              <w:jc w:val="center"/>
              <w:rPr>
                <w:rFonts w:ascii="宋体" w:hAnsi="宋体" w:eastAsia="宋体" w:cs="宋体"/>
                <w:color w:val="000000"/>
                <w:kern w:val="0"/>
                <w:sz w:val="18"/>
                <w:szCs w:val="18"/>
              </w:rPr>
            </w:pPr>
          </w:p>
        </w:tc>
        <w:tc>
          <w:tcPr>
            <w:tcW w:w="1114" w:type="dxa"/>
            <w:shd w:val="clear" w:color="auto" w:fill="auto"/>
            <w:vAlign w:val="center"/>
          </w:tcPr>
          <w:p w14:paraId="2696CCCB">
            <w:pPr>
              <w:jc w:val="center"/>
              <w:rPr>
                <w:rFonts w:ascii="宋体" w:hAnsi="宋体" w:eastAsia="宋体" w:cs="宋体"/>
                <w:color w:val="000000"/>
                <w:kern w:val="0"/>
                <w:sz w:val="18"/>
                <w:szCs w:val="18"/>
              </w:rPr>
            </w:pPr>
          </w:p>
        </w:tc>
        <w:tc>
          <w:tcPr>
            <w:tcW w:w="1114" w:type="dxa"/>
            <w:shd w:val="clear" w:color="auto" w:fill="auto"/>
            <w:vAlign w:val="center"/>
          </w:tcPr>
          <w:p w14:paraId="7A5A31E3">
            <w:pPr>
              <w:jc w:val="center"/>
              <w:rPr>
                <w:rFonts w:ascii="宋体" w:hAnsi="宋体" w:eastAsia="宋体" w:cs="宋体"/>
                <w:color w:val="000000"/>
                <w:kern w:val="0"/>
                <w:sz w:val="18"/>
                <w:szCs w:val="18"/>
              </w:rPr>
            </w:pPr>
          </w:p>
        </w:tc>
        <w:tc>
          <w:tcPr>
            <w:tcW w:w="1114" w:type="dxa"/>
            <w:shd w:val="clear" w:color="auto" w:fill="auto"/>
            <w:vAlign w:val="center"/>
          </w:tcPr>
          <w:p w14:paraId="22F79477">
            <w:pPr>
              <w:jc w:val="center"/>
              <w:rPr>
                <w:rFonts w:ascii="宋体" w:hAnsi="宋体" w:eastAsia="宋体" w:cs="宋体"/>
                <w:color w:val="000000"/>
                <w:kern w:val="0"/>
                <w:sz w:val="18"/>
                <w:szCs w:val="18"/>
              </w:rPr>
            </w:pPr>
          </w:p>
        </w:tc>
        <w:tc>
          <w:tcPr>
            <w:tcW w:w="1031" w:type="dxa"/>
            <w:shd w:val="clear" w:color="auto" w:fill="auto"/>
            <w:vAlign w:val="center"/>
          </w:tcPr>
          <w:p w14:paraId="4F48897D">
            <w:pPr>
              <w:jc w:val="center"/>
              <w:rPr>
                <w:rFonts w:ascii="宋体" w:hAnsi="宋体" w:eastAsia="宋体" w:cs="宋体"/>
                <w:color w:val="000000"/>
                <w:kern w:val="0"/>
                <w:sz w:val="18"/>
                <w:szCs w:val="18"/>
              </w:rPr>
            </w:pPr>
          </w:p>
        </w:tc>
        <w:tc>
          <w:tcPr>
            <w:tcW w:w="1031" w:type="dxa"/>
            <w:shd w:val="clear" w:color="auto" w:fill="auto"/>
            <w:vAlign w:val="center"/>
          </w:tcPr>
          <w:p w14:paraId="6445FC23">
            <w:pPr>
              <w:jc w:val="center"/>
              <w:rPr>
                <w:rFonts w:ascii="宋体" w:hAnsi="宋体" w:eastAsia="宋体" w:cs="宋体"/>
                <w:color w:val="000000"/>
                <w:kern w:val="0"/>
                <w:sz w:val="18"/>
                <w:szCs w:val="18"/>
              </w:rPr>
            </w:pPr>
          </w:p>
        </w:tc>
        <w:tc>
          <w:tcPr>
            <w:tcW w:w="1031" w:type="dxa"/>
            <w:shd w:val="clear" w:color="auto" w:fill="auto"/>
            <w:vAlign w:val="center"/>
          </w:tcPr>
          <w:p w14:paraId="190A1E63">
            <w:pPr>
              <w:jc w:val="center"/>
              <w:rPr>
                <w:rFonts w:ascii="宋体" w:hAnsi="宋体" w:eastAsia="宋体" w:cs="宋体"/>
                <w:color w:val="000000"/>
                <w:kern w:val="0"/>
                <w:sz w:val="18"/>
                <w:szCs w:val="18"/>
              </w:rPr>
            </w:pPr>
          </w:p>
        </w:tc>
      </w:tr>
      <w:tr w14:paraId="2700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C65F19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621" w:type="pct"/>
            <w:shd w:val="clear" w:color="auto" w:fill="auto"/>
            <w:vAlign w:val="center"/>
          </w:tcPr>
          <w:p w14:paraId="67728FA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支付债券利息</w:t>
            </w:r>
          </w:p>
        </w:tc>
        <w:tc>
          <w:tcPr>
            <w:tcW w:w="1214" w:type="dxa"/>
            <w:shd w:val="clear" w:color="auto" w:fill="auto"/>
            <w:vAlign w:val="center"/>
          </w:tcPr>
          <w:p w14:paraId="056AC24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41,707.51</w:t>
            </w:r>
          </w:p>
        </w:tc>
        <w:tc>
          <w:tcPr>
            <w:tcW w:w="1117" w:type="dxa"/>
            <w:shd w:val="clear" w:color="auto" w:fill="auto"/>
            <w:vAlign w:val="center"/>
          </w:tcPr>
          <w:p w14:paraId="79C4AEF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4623614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26" w:type="dxa"/>
            <w:shd w:val="clear" w:color="auto" w:fill="auto"/>
            <w:vAlign w:val="center"/>
          </w:tcPr>
          <w:p w14:paraId="03D43EE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6914704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1147EBE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3C8E053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114" w:type="dxa"/>
            <w:shd w:val="clear" w:color="auto" w:fill="auto"/>
            <w:vAlign w:val="center"/>
          </w:tcPr>
          <w:p w14:paraId="45BFF05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1E9B3A4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65D78DC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031" w:type="dxa"/>
            <w:shd w:val="clear" w:color="auto" w:fill="auto"/>
            <w:vAlign w:val="center"/>
          </w:tcPr>
          <w:p w14:paraId="0825752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r>
      <w:tr w14:paraId="0C0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3CE9B36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621" w:type="pct"/>
            <w:shd w:val="clear" w:color="auto" w:fill="auto"/>
            <w:vAlign w:val="center"/>
          </w:tcPr>
          <w:p w14:paraId="53DD99E2">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偿还其他融资本金</w:t>
            </w:r>
          </w:p>
        </w:tc>
        <w:tc>
          <w:tcPr>
            <w:tcW w:w="1214" w:type="dxa"/>
            <w:shd w:val="clear" w:color="auto" w:fill="auto"/>
            <w:vAlign w:val="center"/>
          </w:tcPr>
          <w:p w14:paraId="29C21BA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117" w:type="dxa"/>
            <w:shd w:val="clear" w:color="auto" w:fill="auto"/>
            <w:vAlign w:val="center"/>
          </w:tcPr>
          <w:p w14:paraId="15814354">
            <w:pPr>
              <w:jc w:val="center"/>
              <w:rPr>
                <w:rFonts w:ascii="宋体" w:hAnsi="宋体" w:eastAsia="宋体" w:cs="宋体"/>
                <w:color w:val="000000"/>
                <w:kern w:val="0"/>
                <w:sz w:val="18"/>
                <w:szCs w:val="18"/>
              </w:rPr>
            </w:pPr>
          </w:p>
        </w:tc>
        <w:tc>
          <w:tcPr>
            <w:tcW w:w="1026" w:type="dxa"/>
            <w:shd w:val="clear" w:color="auto" w:fill="auto"/>
            <w:vAlign w:val="center"/>
          </w:tcPr>
          <w:p w14:paraId="591576F3">
            <w:pPr>
              <w:jc w:val="center"/>
              <w:rPr>
                <w:rFonts w:ascii="宋体" w:hAnsi="宋体" w:eastAsia="宋体" w:cs="宋体"/>
                <w:color w:val="000000"/>
                <w:kern w:val="0"/>
                <w:sz w:val="18"/>
                <w:szCs w:val="18"/>
              </w:rPr>
            </w:pPr>
          </w:p>
        </w:tc>
        <w:tc>
          <w:tcPr>
            <w:tcW w:w="1026" w:type="dxa"/>
            <w:shd w:val="clear" w:color="auto" w:fill="auto"/>
            <w:vAlign w:val="center"/>
          </w:tcPr>
          <w:p w14:paraId="0A501138">
            <w:pPr>
              <w:jc w:val="center"/>
              <w:rPr>
                <w:rFonts w:ascii="宋体" w:hAnsi="宋体" w:eastAsia="宋体" w:cs="宋体"/>
                <w:color w:val="000000"/>
                <w:kern w:val="0"/>
                <w:sz w:val="18"/>
                <w:szCs w:val="18"/>
              </w:rPr>
            </w:pPr>
          </w:p>
        </w:tc>
        <w:tc>
          <w:tcPr>
            <w:tcW w:w="1114" w:type="dxa"/>
            <w:shd w:val="clear" w:color="auto" w:fill="auto"/>
            <w:vAlign w:val="center"/>
          </w:tcPr>
          <w:p w14:paraId="0C9CB8C5">
            <w:pPr>
              <w:jc w:val="center"/>
              <w:rPr>
                <w:rFonts w:ascii="宋体" w:hAnsi="宋体" w:eastAsia="宋体" w:cs="宋体"/>
                <w:color w:val="000000"/>
                <w:kern w:val="0"/>
                <w:sz w:val="18"/>
                <w:szCs w:val="18"/>
              </w:rPr>
            </w:pPr>
          </w:p>
        </w:tc>
        <w:tc>
          <w:tcPr>
            <w:tcW w:w="1114" w:type="dxa"/>
            <w:shd w:val="clear" w:color="auto" w:fill="auto"/>
            <w:vAlign w:val="center"/>
          </w:tcPr>
          <w:p w14:paraId="1CDB50F7">
            <w:pPr>
              <w:jc w:val="center"/>
              <w:rPr>
                <w:rFonts w:ascii="宋体" w:hAnsi="宋体" w:eastAsia="宋体" w:cs="宋体"/>
                <w:color w:val="000000"/>
                <w:kern w:val="0"/>
                <w:sz w:val="18"/>
                <w:szCs w:val="18"/>
              </w:rPr>
            </w:pPr>
          </w:p>
        </w:tc>
        <w:tc>
          <w:tcPr>
            <w:tcW w:w="1114" w:type="dxa"/>
            <w:shd w:val="clear" w:color="auto" w:fill="auto"/>
            <w:vAlign w:val="center"/>
          </w:tcPr>
          <w:p w14:paraId="7E4253BD">
            <w:pPr>
              <w:jc w:val="center"/>
              <w:rPr>
                <w:rFonts w:ascii="宋体" w:hAnsi="宋体" w:eastAsia="宋体" w:cs="宋体"/>
                <w:color w:val="000000"/>
                <w:kern w:val="0"/>
                <w:sz w:val="18"/>
                <w:szCs w:val="18"/>
              </w:rPr>
            </w:pPr>
          </w:p>
        </w:tc>
        <w:tc>
          <w:tcPr>
            <w:tcW w:w="1114" w:type="dxa"/>
            <w:shd w:val="clear" w:color="auto" w:fill="auto"/>
            <w:vAlign w:val="center"/>
          </w:tcPr>
          <w:p w14:paraId="4642D50B">
            <w:pPr>
              <w:jc w:val="center"/>
              <w:rPr>
                <w:rFonts w:ascii="宋体" w:hAnsi="宋体" w:eastAsia="宋体" w:cs="宋体"/>
                <w:color w:val="000000"/>
                <w:kern w:val="0"/>
                <w:sz w:val="18"/>
                <w:szCs w:val="18"/>
              </w:rPr>
            </w:pPr>
          </w:p>
        </w:tc>
        <w:tc>
          <w:tcPr>
            <w:tcW w:w="1031" w:type="dxa"/>
            <w:shd w:val="clear" w:color="auto" w:fill="auto"/>
            <w:vAlign w:val="center"/>
          </w:tcPr>
          <w:p w14:paraId="5436D1F5">
            <w:pPr>
              <w:jc w:val="center"/>
              <w:rPr>
                <w:rFonts w:ascii="宋体" w:hAnsi="宋体" w:eastAsia="宋体" w:cs="宋体"/>
                <w:color w:val="000000"/>
                <w:kern w:val="0"/>
                <w:sz w:val="18"/>
                <w:szCs w:val="18"/>
              </w:rPr>
            </w:pPr>
          </w:p>
        </w:tc>
        <w:tc>
          <w:tcPr>
            <w:tcW w:w="1031" w:type="dxa"/>
            <w:shd w:val="clear" w:color="auto" w:fill="auto"/>
            <w:vAlign w:val="center"/>
          </w:tcPr>
          <w:p w14:paraId="7DBAFECA">
            <w:pPr>
              <w:jc w:val="center"/>
              <w:rPr>
                <w:rFonts w:ascii="宋体" w:hAnsi="宋体" w:eastAsia="宋体" w:cs="宋体"/>
                <w:color w:val="000000"/>
                <w:kern w:val="0"/>
                <w:sz w:val="18"/>
                <w:szCs w:val="18"/>
              </w:rPr>
            </w:pPr>
          </w:p>
        </w:tc>
        <w:tc>
          <w:tcPr>
            <w:tcW w:w="1031" w:type="dxa"/>
            <w:shd w:val="clear" w:color="auto" w:fill="auto"/>
            <w:vAlign w:val="center"/>
          </w:tcPr>
          <w:p w14:paraId="43671E78">
            <w:pPr>
              <w:jc w:val="center"/>
              <w:rPr>
                <w:rFonts w:ascii="宋体" w:hAnsi="宋体" w:eastAsia="宋体" w:cs="宋体"/>
                <w:color w:val="000000"/>
                <w:kern w:val="0"/>
                <w:sz w:val="18"/>
                <w:szCs w:val="18"/>
              </w:rPr>
            </w:pPr>
          </w:p>
        </w:tc>
      </w:tr>
      <w:tr w14:paraId="1AB3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1DDF089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621" w:type="pct"/>
            <w:shd w:val="clear" w:color="auto" w:fill="auto"/>
            <w:vAlign w:val="center"/>
          </w:tcPr>
          <w:p w14:paraId="179F878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支付其他融资利息</w:t>
            </w:r>
          </w:p>
        </w:tc>
        <w:tc>
          <w:tcPr>
            <w:tcW w:w="1214" w:type="dxa"/>
            <w:shd w:val="clear" w:color="auto" w:fill="auto"/>
            <w:vAlign w:val="center"/>
          </w:tcPr>
          <w:p w14:paraId="65D81F1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12,045.00</w:t>
            </w:r>
          </w:p>
        </w:tc>
        <w:tc>
          <w:tcPr>
            <w:tcW w:w="1117" w:type="dxa"/>
            <w:shd w:val="clear" w:color="auto" w:fill="auto"/>
            <w:noWrap/>
            <w:vAlign w:val="center"/>
          </w:tcPr>
          <w:p w14:paraId="01EC237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noWrap/>
            <w:vAlign w:val="center"/>
          </w:tcPr>
          <w:p w14:paraId="5220819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26" w:type="dxa"/>
            <w:shd w:val="clear" w:color="auto" w:fill="auto"/>
            <w:vAlign w:val="center"/>
          </w:tcPr>
          <w:p w14:paraId="33EEDBB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6360814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043E8C7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17DF8BB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4" w:type="dxa"/>
            <w:shd w:val="clear" w:color="auto" w:fill="auto"/>
            <w:vAlign w:val="center"/>
          </w:tcPr>
          <w:p w14:paraId="545E759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2A3EC95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44A396C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1" w:type="dxa"/>
            <w:shd w:val="clear" w:color="auto" w:fill="auto"/>
            <w:vAlign w:val="center"/>
          </w:tcPr>
          <w:p w14:paraId="7293D5C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6C0B1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77FD3E9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p>
        </w:tc>
        <w:tc>
          <w:tcPr>
            <w:tcW w:w="621" w:type="pct"/>
            <w:shd w:val="clear" w:color="auto" w:fill="auto"/>
            <w:vAlign w:val="center"/>
          </w:tcPr>
          <w:p w14:paraId="5E8B0FB4">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当期现金结余</w:t>
            </w:r>
          </w:p>
        </w:tc>
        <w:tc>
          <w:tcPr>
            <w:tcW w:w="1214" w:type="dxa"/>
            <w:shd w:val="clear" w:color="auto" w:fill="auto"/>
            <w:vAlign w:val="center"/>
          </w:tcPr>
          <w:p w14:paraId="5DB4A9B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25,018.50</w:t>
            </w:r>
          </w:p>
        </w:tc>
        <w:tc>
          <w:tcPr>
            <w:tcW w:w="1117" w:type="dxa"/>
            <w:shd w:val="clear" w:color="auto" w:fill="auto"/>
            <w:vAlign w:val="center"/>
          </w:tcPr>
          <w:p w14:paraId="3A11BB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2,992.40</w:t>
            </w:r>
          </w:p>
        </w:tc>
        <w:tc>
          <w:tcPr>
            <w:tcW w:w="1026" w:type="dxa"/>
            <w:shd w:val="clear" w:color="auto" w:fill="auto"/>
            <w:vAlign w:val="center"/>
          </w:tcPr>
          <w:p w14:paraId="4D49CAB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2,992.40</w:t>
            </w:r>
          </w:p>
        </w:tc>
        <w:tc>
          <w:tcPr>
            <w:tcW w:w="1026" w:type="dxa"/>
            <w:shd w:val="clear" w:color="auto" w:fill="auto"/>
            <w:vAlign w:val="center"/>
          </w:tcPr>
          <w:p w14:paraId="4577F87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3,247.39</w:t>
            </w:r>
          </w:p>
        </w:tc>
        <w:tc>
          <w:tcPr>
            <w:tcW w:w="1114" w:type="dxa"/>
            <w:shd w:val="clear" w:color="auto" w:fill="auto"/>
            <w:vAlign w:val="center"/>
          </w:tcPr>
          <w:p w14:paraId="7ACB14E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3,247.39</w:t>
            </w:r>
          </w:p>
        </w:tc>
        <w:tc>
          <w:tcPr>
            <w:tcW w:w="1114" w:type="dxa"/>
            <w:shd w:val="clear" w:color="auto" w:fill="auto"/>
            <w:vAlign w:val="center"/>
          </w:tcPr>
          <w:p w14:paraId="135EC27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3,247.39</w:t>
            </w:r>
          </w:p>
        </w:tc>
        <w:tc>
          <w:tcPr>
            <w:tcW w:w="1114" w:type="dxa"/>
            <w:shd w:val="clear" w:color="auto" w:fill="auto"/>
            <w:vAlign w:val="center"/>
          </w:tcPr>
          <w:p w14:paraId="1C6965D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3,514.32</w:t>
            </w:r>
          </w:p>
        </w:tc>
        <w:tc>
          <w:tcPr>
            <w:tcW w:w="1114" w:type="dxa"/>
            <w:shd w:val="clear" w:color="auto" w:fill="auto"/>
            <w:vAlign w:val="center"/>
          </w:tcPr>
          <w:p w14:paraId="268C2EC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3,514.32</w:t>
            </w:r>
          </w:p>
        </w:tc>
        <w:tc>
          <w:tcPr>
            <w:tcW w:w="1031" w:type="dxa"/>
            <w:shd w:val="clear" w:color="auto" w:fill="auto"/>
            <w:vAlign w:val="center"/>
          </w:tcPr>
          <w:p w14:paraId="3741D61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3,514.32</w:t>
            </w:r>
          </w:p>
        </w:tc>
        <w:tc>
          <w:tcPr>
            <w:tcW w:w="1031" w:type="dxa"/>
            <w:shd w:val="clear" w:color="auto" w:fill="auto"/>
            <w:vAlign w:val="center"/>
          </w:tcPr>
          <w:p w14:paraId="415C94B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3,795.21</w:t>
            </w:r>
          </w:p>
        </w:tc>
        <w:tc>
          <w:tcPr>
            <w:tcW w:w="1031" w:type="dxa"/>
            <w:shd w:val="clear" w:color="auto" w:fill="auto"/>
            <w:vAlign w:val="center"/>
          </w:tcPr>
          <w:p w14:paraId="04B34ED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3,795.21</w:t>
            </w:r>
          </w:p>
        </w:tc>
      </w:tr>
      <w:tr w14:paraId="1F11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56F0F4D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四</w:t>
            </w:r>
          </w:p>
        </w:tc>
        <w:tc>
          <w:tcPr>
            <w:tcW w:w="621" w:type="pct"/>
            <w:shd w:val="clear" w:color="auto" w:fill="auto"/>
            <w:vAlign w:val="center"/>
          </w:tcPr>
          <w:p w14:paraId="403998B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期初现金</w:t>
            </w:r>
          </w:p>
        </w:tc>
        <w:tc>
          <w:tcPr>
            <w:tcW w:w="1214" w:type="dxa"/>
            <w:shd w:val="clear" w:color="auto" w:fill="auto"/>
            <w:vAlign w:val="center"/>
          </w:tcPr>
          <w:p w14:paraId="6FFC4D7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7" w:type="dxa"/>
            <w:shd w:val="clear" w:color="auto" w:fill="auto"/>
            <w:vAlign w:val="center"/>
          </w:tcPr>
          <w:p w14:paraId="2544005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-188.69</w:t>
            </w:r>
          </w:p>
        </w:tc>
        <w:tc>
          <w:tcPr>
            <w:tcW w:w="1026" w:type="dxa"/>
            <w:shd w:val="clear" w:color="auto" w:fill="auto"/>
            <w:vAlign w:val="center"/>
          </w:tcPr>
          <w:p w14:paraId="35B48C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2,803.71</w:t>
            </w:r>
          </w:p>
        </w:tc>
        <w:tc>
          <w:tcPr>
            <w:tcW w:w="1026" w:type="dxa"/>
            <w:shd w:val="clear" w:color="auto" w:fill="auto"/>
            <w:vAlign w:val="center"/>
          </w:tcPr>
          <w:p w14:paraId="45D479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5,796.11</w:t>
            </w:r>
          </w:p>
        </w:tc>
        <w:tc>
          <w:tcPr>
            <w:tcW w:w="1114" w:type="dxa"/>
            <w:shd w:val="clear" w:color="auto" w:fill="auto"/>
            <w:vAlign w:val="center"/>
          </w:tcPr>
          <w:p w14:paraId="46CBD5F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9,043.50</w:t>
            </w:r>
          </w:p>
        </w:tc>
        <w:tc>
          <w:tcPr>
            <w:tcW w:w="1114" w:type="dxa"/>
            <w:shd w:val="clear" w:color="auto" w:fill="auto"/>
            <w:vAlign w:val="center"/>
          </w:tcPr>
          <w:p w14:paraId="451697F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12,290.89</w:t>
            </w:r>
          </w:p>
        </w:tc>
        <w:tc>
          <w:tcPr>
            <w:tcW w:w="1114" w:type="dxa"/>
            <w:shd w:val="clear" w:color="auto" w:fill="auto"/>
            <w:vAlign w:val="center"/>
          </w:tcPr>
          <w:p w14:paraId="6167D59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15,538.28</w:t>
            </w:r>
          </w:p>
        </w:tc>
        <w:tc>
          <w:tcPr>
            <w:tcW w:w="1114" w:type="dxa"/>
            <w:shd w:val="clear" w:color="auto" w:fill="auto"/>
            <w:vAlign w:val="center"/>
          </w:tcPr>
          <w:p w14:paraId="339D6A4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19,052.60</w:t>
            </w:r>
          </w:p>
        </w:tc>
        <w:tc>
          <w:tcPr>
            <w:tcW w:w="1031" w:type="dxa"/>
            <w:shd w:val="clear" w:color="auto" w:fill="auto"/>
            <w:vAlign w:val="center"/>
          </w:tcPr>
          <w:p w14:paraId="7C965F6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22,566.92</w:t>
            </w:r>
          </w:p>
        </w:tc>
        <w:tc>
          <w:tcPr>
            <w:tcW w:w="1031" w:type="dxa"/>
            <w:shd w:val="clear" w:color="auto" w:fill="auto"/>
            <w:vAlign w:val="center"/>
          </w:tcPr>
          <w:p w14:paraId="27536C4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26,081.24</w:t>
            </w:r>
          </w:p>
        </w:tc>
        <w:tc>
          <w:tcPr>
            <w:tcW w:w="1031" w:type="dxa"/>
            <w:shd w:val="clear" w:color="auto" w:fill="auto"/>
            <w:vAlign w:val="center"/>
          </w:tcPr>
          <w:p w14:paraId="2B6FD5F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29,876.45</w:t>
            </w:r>
          </w:p>
        </w:tc>
      </w:tr>
      <w:tr w14:paraId="5153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97" w:type="pct"/>
            <w:shd w:val="clear" w:color="auto" w:fill="auto"/>
            <w:vAlign w:val="center"/>
          </w:tcPr>
          <w:p w14:paraId="544CD55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五</w:t>
            </w:r>
          </w:p>
        </w:tc>
        <w:tc>
          <w:tcPr>
            <w:tcW w:w="621" w:type="pct"/>
            <w:shd w:val="clear" w:color="auto" w:fill="auto"/>
            <w:vAlign w:val="center"/>
          </w:tcPr>
          <w:p w14:paraId="280B23D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期末现金</w:t>
            </w:r>
          </w:p>
        </w:tc>
        <w:tc>
          <w:tcPr>
            <w:tcW w:w="1214" w:type="dxa"/>
            <w:shd w:val="clear" w:color="auto" w:fill="auto"/>
            <w:vAlign w:val="center"/>
          </w:tcPr>
          <w:p w14:paraId="59FA9AB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117" w:type="dxa"/>
            <w:shd w:val="clear" w:color="auto" w:fill="auto"/>
            <w:vAlign w:val="center"/>
          </w:tcPr>
          <w:p w14:paraId="32F380F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2,803.71</w:t>
            </w:r>
          </w:p>
        </w:tc>
        <w:tc>
          <w:tcPr>
            <w:tcW w:w="1026" w:type="dxa"/>
            <w:shd w:val="clear" w:color="auto" w:fill="auto"/>
            <w:vAlign w:val="center"/>
          </w:tcPr>
          <w:p w14:paraId="292CD7A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5,796.11</w:t>
            </w:r>
          </w:p>
        </w:tc>
        <w:tc>
          <w:tcPr>
            <w:tcW w:w="1026" w:type="dxa"/>
            <w:shd w:val="clear" w:color="auto" w:fill="auto"/>
            <w:vAlign w:val="center"/>
          </w:tcPr>
          <w:p w14:paraId="76B9D94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9,043.50</w:t>
            </w:r>
          </w:p>
        </w:tc>
        <w:tc>
          <w:tcPr>
            <w:tcW w:w="1114" w:type="dxa"/>
            <w:shd w:val="clear" w:color="auto" w:fill="auto"/>
            <w:vAlign w:val="center"/>
          </w:tcPr>
          <w:p w14:paraId="0F1527F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12,290.89</w:t>
            </w:r>
          </w:p>
        </w:tc>
        <w:tc>
          <w:tcPr>
            <w:tcW w:w="1114" w:type="dxa"/>
            <w:shd w:val="clear" w:color="auto" w:fill="auto"/>
            <w:vAlign w:val="center"/>
          </w:tcPr>
          <w:p w14:paraId="648CF3B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15,538.28</w:t>
            </w:r>
          </w:p>
        </w:tc>
        <w:tc>
          <w:tcPr>
            <w:tcW w:w="1114" w:type="dxa"/>
            <w:shd w:val="clear" w:color="auto" w:fill="auto"/>
            <w:vAlign w:val="center"/>
          </w:tcPr>
          <w:p w14:paraId="125A512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19,052.60</w:t>
            </w:r>
          </w:p>
        </w:tc>
        <w:tc>
          <w:tcPr>
            <w:tcW w:w="1114" w:type="dxa"/>
            <w:shd w:val="clear" w:color="auto" w:fill="auto"/>
            <w:vAlign w:val="center"/>
          </w:tcPr>
          <w:p w14:paraId="6BED003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22,566.92</w:t>
            </w:r>
          </w:p>
        </w:tc>
        <w:tc>
          <w:tcPr>
            <w:tcW w:w="1031" w:type="dxa"/>
            <w:shd w:val="clear" w:color="auto" w:fill="auto"/>
            <w:vAlign w:val="center"/>
          </w:tcPr>
          <w:p w14:paraId="5E24960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26,081.24</w:t>
            </w:r>
          </w:p>
        </w:tc>
        <w:tc>
          <w:tcPr>
            <w:tcW w:w="1031" w:type="dxa"/>
            <w:shd w:val="clear" w:color="auto" w:fill="auto"/>
            <w:vAlign w:val="center"/>
          </w:tcPr>
          <w:p w14:paraId="14028D8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29,876.45</w:t>
            </w:r>
          </w:p>
        </w:tc>
        <w:tc>
          <w:tcPr>
            <w:tcW w:w="1031" w:type="dxa"/>
            <w:shd w:val="clear" w:color="auto" w:fill="auto"/>
            <w:vAlign w:val="center"/>
          </w:tcPr>
          <w:p w14:paraId="0EAF984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33,671.66</w:t>
            </w:r>
          </w:p>
        </w:tc>
      </w:tr>
    </w:tbl>
    <w:p w14:paraId="7EB8AC0F">
      <w:pPr>
        <w:pStyle w:val="20"/>
        <w:spacing w:beforeLines="50" w:beforeAutospacing="0" w:afterLines="50" w:afterAutospacing="0" w:line="360" w:lineRule="exact"/>
        <w:rPr>
          <w:sz w:val="18"/>
          <w:szCs w:val="18"/>
        </w:rPr>
      </w:pPr>
      <w:r>
        <w:rPr>
          <w:rFonts w:hint="eastAsia"/>
          <w:sz w:val="18"/>
          <w:szCs w:val="18"/>
        </w:rPr>
        <w:t>续上表：</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32"/>
        <w:gridCol w:w="1639"/>
        <w:gridCol w:w="762"/>
        <w:gridCol w:w="745"/>
        <w:gridCol w:w="1506"/>
        <w:gridCol w:w="1506"/>
        <w:gridCol w:w="1639"/>
        <w:gridCol w:w="1506"/>
        <w:gridCol w:w="1521"/>
      </w:tblGrid>
      <w:tr w14:paraId="6541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blHeader/>
          <w:jc w:val="center"/>
        </w:trPr>
        <w:tc>
          <w:tcPr>
            <w:tcW w:w="300" w:type="pct"/>
            <w:shd w:val="clear" w:color="auto" w:fill="auto"/>
            <w:vAlign w:val="center"/>
          </w:tcPr>
          <w:p w14:paraId="33D00D56">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862" w:type="pct"/>
            <w:shd w:val="clear" w:color="auto" w:fill="auto"/>
            <w:vAlign w:val="center"/>
          </w:tcPr>
          <w:p w14:paraId="2FCF5EC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年份</w:t>
            </w:r>
          </w:p>
        </w:tc>
        <w:tc>
          <w:tcPr>
            <w:tcW w:w="581" w:type="pct"/>
            <w:shd w:val="clear" w:color="auto" w:fill="auto"/>
            <w:vAlign w:val="center"/>
          </w:tcPr>
          <w:p w14:paraId="57D2A20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534" w:type="pct"/>
            <w:gridSpan w:val="2"/>
            <w:shd w:val="clear" w:color="auto" w:fill="auto"/>
            <w:vAlign w:val="center"/>
          </w:tcPr>
          <w:p w14:paraId="08B3E983">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2052年</w:t>
            </w:r>
          </w:p>
        </w:tc>
        <w:tc>
          <w:tcPr>
            <w:tcW w:w="534" w:type="pct"/>
            <w:shd w:val="clear" w:color="auto" w:fill="auto"/>
            <w:vAlign w:val="center"/>
          </w:tcPr>
          <w:p w14:paraId="1B2222CE">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2053年</w:t>
            </w:r>
          </w:p>
        </w:tc>
        <w:tc>
          <w:tcPr>
            <w:tcW w:w="534" w:type="pct"/>
            <w:shd w:val="clear" w:color="auto" w:fill="auto"/>
            <w:vAlign w:val="center"/>
          </w:tcPr>
          <w:p w14:paraId="4F5BC6C2">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2054年</w:t>
            </w:r>
          </w:p>
        </w:tc>
        <w:tc>
          <w:tcPr>
            <w:tcW w:w="581" w:type="pct"/>
            <w:shd w:val="clear" w:color="auto" w:fill="auto"/>
            <w:vAlign w:val="center"/>
          </w:tcPr>
          <w:p w14:paraId="2536FD35">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2055年</w:t>
            </w:r>
          </w:p>
        </w:tc>
        <w:tc>
          <w:tcPr>
            <w:tcW w:w="534" w:type="pct"/>
            <w:shd w:val="clear" w:color="auto" w:fill="auto"/>
            <w:vAlign w:val="center"/>
          </w:tcPr>
          <w:p w14:paraId="01A57558">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2056年</w:t>
            </w:r>
          </w:p>
        </w:tc>
        <w:tc>
          <w:tcPr>
            <w:tcW w:w="534" w:type="pct"/>
            <w:shd w:val="clear" w:color="auto" w:fill="auto"/>
            <w:vAlign w:val="center"/>
          </w:tcPr>
          <w:p w14:paraId="6A869429">
            <w:pPr>
              <w:widowControl/>
              <w:jc w:val="center"/>
              <w:textAlignment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2057年</w:t>
            </w:r>
          </w:p>
        </w:tc>
      </w:tr>
      <w:tr w14:paraId="4F8A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1456607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w:t>
            </w:r>
          </w:p>
        </w:tc>
        <w:tc>
          <w:tcPr>
            <w:tcW w:w="862" w:type="pct"/>
            <w:shd w:val="clear" w:color="auto" w:fill="auto"/>
            <w:vAlign w:val="center"/>
          </w:tcPr>
          <w:p w14:paraId="467790B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现金流入</w:t>
            </w:r>
          </w:p>
        </w:tc>
        <w:tc>
          <w:tcPr>
            <w:tcW w:w="1639" w:type="dxa"/>
            <w:shd w:val="clear" w:color="auto" w:fill="auto"/>
            <w:vAlign w:val="center"/>
          </w:tcPr>
          <w:p w14:paraId="29097D2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262,282.73</w:t>
            </w:r>
          </w:p>
        </w:tc>
        <w:tc>
          <w:tcPr>
            <w:tcW w:w="1507" w:type="dxa"/>
            <w:gridSpan w:val="2"/>
            <w:shd w:val="clear" w:color="auto" w:fill="auto"/>
            <w:vAlign w:val="center"/>
          </w:tcPr>
          <w:p w14:paraId="3534AE2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506" w:type="dxa"/>
            <w:shd w:val="clear" w:color="auto" w:fill="auto"/>
            <w:vAlign w:val="center"/>
          </w:tcPr>
          <w:p w14:paraId="565AB09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41F7FDF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639" w:type="dxa"/>
            <w:shd w:val="clear" w:color="auto" w:fill="auto"/>
            <w:vAlign w:val="center"/>
          </w:tcPr>
          <w:p w14:paraId="419E72B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6CCE7E2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8,553.78</w:t>
            </w:r>
          </w:p>
        </w:tc>
        <w:tc>
          <w:tcPr>
            <w:tcW w:w="1521" w:type="dxa"/>
            <w:shd w:val="clear" w:color="auto" w:fill="auto"/>
            <w:vAlign w:val="center"/>
          </w:tcPr>
          <w:p w14:paraId="1B54778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7ED1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7BC5393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862" w:type="pct"/>
            <w:shd w:val="clear" w:color="auto" w:fill="auto"/>
            <w:vAlign w:val="center"/>
          </w:tcPr>
          <w:p w14:paraId="14A3E993">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业务活动现金流入</w:t>
            </w:r>
          </w:p>
        </w:tc>
        <w:tc>
          <w:tcPr>
            <w:tcW w:w="1639" w:type="dxa"/>
            <w:shd w:val="clear" w:color="auto" w:fill="auto"/>
            <w:vAlign w:val="center"/>
          </w:tcPr>
          <w:p w14:paraId="314214D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507" w:type="dxa"/>
            <w:gridSpan w:val="2"/>
            <w:shd w:val="clear" w:color="auto" w:fill="auto"/>
            <w:vAlign w:val="center"/>
          </w:tcPr>
          <w:p w14:paraId="30AE393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506" w:type="dxa"/>
            <w:shd w:val="clear" w:color="auto" w:fill="auto"/>
            <w:vAlign w:val="center"/>
          </w:tcPr>
          <w:p w14:paraId="3A67864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5FF9705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639" w:type="dxa"/>
            <w:shd w:val="clear" w:color="auto" w:fill="auto"/>
            <w:vAlign w:val="center"/>
          </w:tcPr>
          <w:p w14:paraId="224853A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7A1728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8,553.78</w:t>
            </w:r>
          </w:p>
        </w:tc>
        <w:tc>
          <w:tcPr>
            <w:tcW w:w="1521" w:type="dxa"/>
            <w:shd w:val="clear" w:color="auto" w:fill="auto"/>
            <w:vAlign w:val="center"/>
          </w:tcPr>
          <w:p w14:paraId="1D1FCE4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4AAA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3EE431C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862" w:type="pct"/>
            <w:shd w:val="clear" w:color="auto" w:fill="auto"/>
            <w:vAlign w:val="center"/>
          </w:tcPr>
          <w:p w14:paraId="4542C21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财政补贴收入</w:t>
            </w:r>
          </w:p>
        </w:tc>
        <w:tc>
          <w:tcPr>
            <w:tcW w:w="1639" w:type="dxa"/>
            <w:shd w:val="clear" w:color="auto" w:fill="auto"/>
            <w:vAlign w:val="center"/>
          </w:tcPr>
          <w:p w14:paraId="1E43660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7" w:type="dxa"/>
            <w:gridSpan w:val="2"/>
            <w:shd w:val="clear" w:color="auto" w:fill="auto"/>
            <w:vAlign w:val="center"/>
          </w:tcPr>
          <w:p w14:paraId="7FE78921">
            <w:pPr>
              <w:jc w:val="center"/>
              <w:rPr>
                <w:rFonts w:ascii="宋体" w:hAnsi="宋体" w:eastAsia="宋体" w:cs="宋体"/>
                <w:color w:val="000000"/>
                <w:kern w:val="0"/>
                <w:sz w:val="18"/>
                <w:szCs w:val="18"/>
              </w:rPr>
            </w:pPr>
          </w:p>
        </w:tc>
        <w:tc>
          <w:tcPr>
            <w:tcW w:w="1506" w:type="dxa"/>
            <w:shd w:val="clear" w:color="auto" w:fill="auto"/>
            <w:vAlign w:val="center"/>
          </w:tcPr>
          <w:p w14:paraId="7D4A6569">
            <w:pPr>
              <w:jc w:val="center"/>
              <w:rPr>
                <w:rFonts w:ascii="宋体" w:hAnsi="宋体" w:eastAsia="宋体" w:cs="宋体"/>
                <w:color w:val="000000"/>
                <w:kern w:val="0"/>
                <w:sz w:val="18"/>
                <w:szCs w:val="18"/>
              </w:rPr>
            </w:pPr>
          </w:p>
        </w:tc>
        <w:tc>
          <w:tcPr>
            <w:tcW w:w="1506" w:type="dxa"/>
            <w:shd w:val="clear" w:color="auto" w:fill="auto"/>
            <w:vAlign w:val="center"/>
          </w:tcPr>
          <w:p w14:paraId="2A87CB99">
            <w:pPr>
              <w:jc w:val="center"/>
              <w:rPr>
                <w:rFonts w:ascii="宋体" w:hAnsi="宋体" w:eastAsia="宋体" w:cs="宋体"/>
                <w:color w:val="000000"/>
                <w:kern w:val="0"/>
                <w:sz w:val="18"/>
                <w:szCs w:val="18"/>
              </w:rPr>
            </w:pPr>
          </w:p>
        </w:tc>
        <w:tc>
          <w:tcPr>
            <w:tcW w:w="1639" w:type="dxa"/>
            <w:shd w:val="clear" w:color="auto" w:fill="auto"/>
            <w:vAlign w:val="center"/>
          </w:tcPr>
          <w:p w14:paraId="360BA742">
            <w:pPr>
              <w:jc w:val="center"/>
              <w:rPr>
                <w:rFonts w:ascii="宋体" w:hAnsi="宋体" w:eastAsia="宋体" w:cs="宋体"/>
                <w:color w:val="000000"/>
                <w:kern w:val="0"/>
                <w:sz w:val="18"/>
                <w:szCs w:val="18"/>
              </w:rPr>
            </w:pPr>
          </w:p>
        </w:tc>
        <w:tc>
          <w:tcPr>
            <w:tcW w:w="1506" w:type="dxa"/>
            <w:shd w:val="clear" w:color="auto" w:fill="auto"/>
            <w:vAlign w:val="center"/>
          </w:tcPr>
          <w:p w14:paraId="335AB1D2">
            <w:pPr>
              <w:jc w:val="center"/>
              <w:rPr>
                <w:rFonts w:ascii="宋体" w:hAnsi="宋体" w:eastAsia="宋体" w:cs="宋体"/>
                <w:color w:val="000000"/>
                <w:kern w:val="0"/>
                <w:sz w:val="18"/>
                <w:szCs w:val="18"/>
              </w:rPr>
            </w:pPr>
          </w:p>
        </w:tc>
        <w:tc>
          <w:tcPr>
            <w:tcW w:w="1521" w:type="dxa"/>
            <w:shd w:val="clear" w:color="auto" w:fill="auto"/>
            <w:vAlign w:val="center"/>
          </w:tcPr>
          <w:p w14:paraId="1B41330D">
            <w:pPr>
              <w:jc w:val="center"/>
              <w:rPr>
                <w:rFonts w:ascii="宋体" w:hAnsi="宋体" w:eastAsia="宋体" w:cs="宋体"/>
                <w:color w:val="000000"/>
                <w:kern w:val="0"/>
                <w:sz w:val="18"/>
                <w:szCs w:val="18"/>
              </w:rPr>
            </w:pPr>
          </w:p>
        </w:tc>
      </w:tr>
      <w:tr w14:paraId="1314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4E396E2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862" w:type="pct"/>
            <w:shd w:val="clear" w:color="auto" w:fill="auto"/>
            <w:vAlign w:val="center"/>
          </w:tcPr>
          <w:p w14:paraId="3DB8079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经营收入</w:t>
            </w:r>
          </w:p>
        </w:tc>
        <w:tc>
          <w:tcPr>
            <w:tcW w:w="1639" w:type="dxa"/>
            <w:shd w:val="clear" w:color="auto" w:fill="auto"/>
            <w:vAlign w:val="center"/>
          </w:tcPr>
          <w:p w14:paraId="238CBEE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196,164.74</w:t>
            </w:r>
          </w:p>
        </w:tc>
        <w:tc>
          <w:tcPr>
            <w:tcW w:w="1507" w:type="dxa"/>
            <w:gridSpan w:val="2"/>
            <w:shd w:val="clear" w:color="auto" w:fill="auto"/>
            <w:vAlign w:val="center"/>
          </w:tcPr>
          <w:p w14:paraId="40B1D0F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7,758.51</w:t>
            </w:r>
          </w:p>
        </w:tc>
        <w:tc>
          <w:tcPr>
            <w:tcW w:w="1506" w:type="dxa"/>
            <w:shd w:val="clear" w:color="auto" w:fill="auto"/>
            <w:vAlign w:val="center"/>
          </w:tcPr>
          <w:p w14:paraId="1CBF3A3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3D364B1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639" w:type="dxa"/>
            <w:shd w:val="clear" w:color="auto" w:fill="auto"/>
            <w:vAlign w:val="center"/>
          </w:tcPr>
          <w:p w14:paraId="0BDDE68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8,146.95</w:t>
            </w:r>
          </w:p>
        </w:tc>
        <w:tc>
          <w:tcPr>
            <w:tcW w:w="1506" w:type="dxa"/>
            <w:shd w:val="clear" w:color="auto" w:fill="auto"/>
            <w:vAlign w:val="center"/>
          </w:tcPr>
          <w:p w14:paraId="65C2294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8,553.78</w:t>
            </w:r>
          </w:p>
        </w:tc>
        <w:tc>
          <w:tcPr>
            <w:tcW w:w="1521" w:type="dxa"/>
            <w:shd w:val="clear" w:color="auto" w:fill="auto"/>
            <w:vAlign w:val="center"/>
          </w:tcPr>
          <w:p w14:paraId="21BCC25F">
            <w:pPr>
              <w:jc w:val="center"/>
              <w:rPr>
                <w:rFonts w:ascii="宋体" w:hAnsi="宋体" w:eastAsia="宋体" w:cs="宋体"/>
                <w:color w:val="000000"/>
                <w:kern w:val="0"/>
                <w:sz w:val="18"/>
                <w:szCs w:val="18"/>
              </w:rPr>
            </w:pPr>
          </w:p>
        </w:tc>
      </w:tr>
      <w:tr w14:paraId="63A7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53409DD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62" w:type="pct"/>
            <w:shd w:val="clear" w:color="auto" w:fill="auto"/>
            <w:vAlign w:val="center"/>
          </w:tcPr>
          <w:p w14:paraId="142CB35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融资活动现金流入</w:t>
            </w:r>
          </w:p>
        </w:tc>
        <w:tc>
          <w:tcPr>
            <w:tcW w:w="1639" w:type="dxa"/>
            <w:shd w:val="clear" w:color="auto" w:fill="auto"/>
            <w:vAlign w:val="center"/>
          </w:tcPr>
          <w:p w14:paraId="5C07C3A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52,894.40</w:t>
            </w:r>
          </w:p>
        </w:tc>
        <w:tc>
          <w:tcPr>
            <w:tcW w:w="1507" w:type="dxa"/>
            <w:gridSpan w:val="2"/>
            <w:shd w:val="clear" w:color="auto" w:fill="auto"/>
            <w:vAlign w:val="center"/>
          </w:tcPr>
          <w:p w14:paraId="109C508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2545A2A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7DF7014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39" w:type="dxa"/>
            <w:shd w:val="clear" w:color="auto" w:fill="auto"/>
            <w:vAlign w:val="center"/>
          </w:tcPr>
          <w:p w14:paraId="2FA3FEF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1E3E6F7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21" w:type="dxa"/>
            <w:shd w:val="clear" w:color="auto" w:fill="auto"/>
            <w:vAlign w:val="center"/>
          </w:tcPr>
          <w:p w14:paraId="1526E0D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5B97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0F370EB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862" w:type="pct"/>
            <w:shd w:val="clear" w:color="auto" w:fill="auto"/>
            <w:vAlign w:val="center"/>
          </w:tcPr>
          <w:p w14:paraId="1F1AC2A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债券融资款</w:t>
            </w:r>
          </w:p>
        </w:tc>
        <w:tc>
          <w:tcPr>
            <w:tcW w:w="1639" w:type="dxa"/>
            <w:shd w:val="clear" w:color="auto" w:fill="auto"/>
            <w:vAlign w:val="center"/>
          </w:tcPr>
          <w:p w14:paraId="5D708A8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507" w:type="dxa"/>
            <w:gridSpan w:val="2"/>
            <w:shd w:val="clear" w:color="auto" w:fill="auto"/>
            <w:vAlign w:val="center"/>
          </w:tcPr>
          <w:p w14:paraId="6868D48D">
            <w:pPr>
              <w:jc w:val="center"/>
              <w:rPr>
                <w:rFonts w:ascii="宋体" w:hAnsi="宋体" w:eastAsia="宋体" w:cs="宋体"/>
                <w:color w:val="000000"/>
                <w:kern w:val="0"/>
                <w:sz w:val="18"/>
                <w:szCs w:val="18"/>
              </w:rPr>
            </w:pPr>
          </w:p>
        </w:tc>
        <w:tc>
          <w:tcPr>
            <w:tcW w:w="1506" w:type="dxa"/>
            <w:shd w:val="clear" w:color="auto" w:fill="auto"/>
            <w:vAlign w:val="center"/>
          </w:tcPr>
          <w:p w14:paraId="0688694E">
            <w:pPr>
              <w:jc w:val="center"/>
              <w:rPr>
                <w:rFonts w:ascii="宋体" w:hAnsi="宋体" w:eastAsia="宋体" w:cs="宋体"/>
                <w:color w:val="000000"/>
                <w:kern w:val="0"/>
                <w:sz w:val="18"/>
                <w:szCs w:val="18"/>
              </w:rPr>
            </w:pPr>
          </w:p>
        </w:tc>
        <w:tc>
          <w:tcPr>
            <w:tcW w:w="1506" w:type="dxa"/>
            <w:shd w:val="clear" w:color="auto" w:fill="auto"/>
            <w:vAlign w:val="center"/>
          </w:tcPr>
          <w:p w14:paraId="69A1AFCB">
            <w:pPr>
              <w:jc w:val="center"/>
              <w:rPr>
                <w:rFonts w:ascii="宋体" w:hAnsi="宋体" w:eastAsia="宋体" w:cs="宋体"/>
                <w:color w:val="000000"/>
                <w:kern w:val="0"/>
                <w:sz w:val="18"/>
                <w:szCs w:val="18"/>
              </w:rPr>
            </w:pPr>
          </w:p>
        </w:tc>
        <w:tc>
          <w:tcPr>
            <w:tcW w:w="1639" w:type="dxa"/>
            <w:shd w:val="clear" w:color="auto" w:fill="auto"/>
            <w:vAlign w:val="center"/>
          </w:tcPr>
          <w:p w14:paraId="1EEC66A4">
            <w:pPr>
              <w:jc w:val="center"/>
              <w:rPr>
                <w:rFonts w:ascii="宋体" w:hAnsi="宋体" w:eastAsia="宋体" w:cs="宋体"/>
                <w:color w:val="000000"/>
                <w:kern w:val="0"/>
                <w:sz w:val="18"/>
                <w:szCs w:val="18"/>
              </w:rPr>
            </w:pPr>
          </w:p>
        </w:tc>
        <w:tc>
          <w:tcPr>
            <w:tcW w:w="1506" w:type="dxa"/>
            <w:shd w:val="clear" w:color="auto" w:fill="auto"/>
            <w:vAlign w:val="center"/>
          </w:tcPr>
          <w:p w14:paraId="551C3A46">
            <w:pPr>
              <w:jc w:val="center"/>
              <w:rPr>
                <w:rFonts w:ascii="宋体" w:hAnsi="宋体" w:eastAsia="宋体" w:cs="宋体"/>
                <w:color w:val="000000"/>
                <w:kern w:val="0"/>
                <w:sz w:val="18"/>
                <w:szCs w:val="18"/>
              </w:rPr>
            </w:pPr>
          </w:p>
        </w:tc>
        <w:tc>
          <w:tcPr>
            <w:tcW w:w="1521" w:type="dxa"/>
            <w:shd w:val="clear" w:color="auto" w:fill="auto"/>
            <w:vAlign w:val="center"/>
          </w:tcPr>
          <w:p w14:paraId="59C79FE3">
            <w:pPr>
              <w:jc w:val="center"/>
              <w:rPr>
                <w:rFonts w:ascii="宋体" w:hAnsi="宋体" w:eastAsia="宋体" w:cs="宋体"/>
                <w:color w:val="000000"/>
                <w:kern w:val="0"/>
                <w:sz w:val="18"/>
                <w:szCs w:val="18"/>
              </w:rPr>
            </w:pPr>
          </w:p>
        </w:tc>
      </w:tr>
      <w:tr w14:paraId="04D0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4C44855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862" w:type="pct"/>
            <w:shd w:val="clear" w:color="auto" w:fill="auto"/>
            <w:vAlign w:val="center"/>
          </w:tcPr>
          <w:p w14:paraId="2BE90DB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其他融资款</w:t>
            </w:r>
          </w:p>
        </w:tc>
        <w:tc>
          <w:tcPr>
            <w:tcW w:w="1639" w:type="dxa"/>
            <w:shd w:val="clear" w:color="auto" w:fill="auto"/>
            <w:vAlign w:val="center"/>
          </w:tcPr>
          <w:p w14:paraId="422C139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507" w:type="dxa"/>
            <w:gridSpan w:val="2"/>
            <w:shd w:val="clear" w:color="auto" w:fill="auto"/>
            <w:vAlign w:val="center"/>
          </w:tcPr>
          <w:p w14:paraId="0FA45C33">
            <w:pPr>
              <w:jc w:val="center"/>
              <w:rPr>
                <w:rFonts w:ascii="宋体" w:hAnsi="宋体" w:eastAsia="宋体" w:cs="宋体"/>
                <w:color w:val="000000"/>
                <w:kern w:val="0"/>
                <w:sz w:val="18"/>
                <w:szCs w:val="18"/>
              </w:rPr>
            </w:pPr>
          </w:p>
        </w:tc>
        <w:tc>
          <w:tcPr>
            <w:tcW w:w="1506" w:type="dxa"/>
            <w:shd w:val="clear" w:color="auto" w:fill="auto"/>
            <w:vAlign w:val="center"/>
          </w:tcPr>
          <w:p w14:paraId="1BDEB23B">
            <w:pPr>
              <w:jc w:val="center"/>
              <w:rPr>
                <w:rFonts w:ascii="宋体" w:hAnsi="宋体" w:eastAsia="宋体" w:cs="宋体"/>
                <w:color w:val="000000"/>
                <w:kern w:val="0"/>
                <w:sz w:val="18"/>
                <w:szCs w:val="18"/>
              </w:rPr>
            </w:pPr>
          </w:p>
        </w:tc>
        <w:tc>
          <w:tcPr>
            <w:tcW w:w="1506" w:type="dxa"/>
            <w:shd w:val="clear" w:color="auto" w:fill="auto"/>
            <w:vAlign w:val="center"/>
          </w:tcPr>
          <w:p w14:paraId="1F340169">
            <w:pPr>
              <w:jc w:val="center"/>
              <w:rPr>
                <w:rFonts w:ascii="宋体" w:hAnsi="宋体" w:eastAsia="宋体" w:cs="宋体"/>
                <w:color w:val="000000"/>
                <w:kern w:val="0"/>
                <w:sz w:val="18"/>
                <w:szCs w:val="18"/>
              </w:rPr>
            </w:pPr>
          </w:p>
        </w:tc>
        <w:tc>
          <w:tcPr>
            <w:tcW w:w="1639" w:type="dxa"/>
            <w:shd w:val="clear" w:color="auto" w:fill="auto"/>
            <w:vAlign w:val="center"/>
          </w:tcPr>
          <w:p w14:paraId="557414EF">
            <w:pPr>
              <w:jc w:val="center"/>
              <w:rPr>
                <w:rFonts w:ascii="宋体" w:hAnsi="宋体" w:eastAsia="宋体" w:cs="宋体"/>
                <w:color w:val="000000"/>
                <w:kern w:val="0"/>
                <w:sz w:val="18"/>
                <w:szCs w:val="18"/>
              </w:rPr>
            </w:pPr>
          </w:p>
        </w:tc>
        <w:tc>
          <w:tcPr>
            <w:tcW w:w="1506" w:type="dxa"/>
            <w:shd w:val="clear" w:color="auto" w:fill="auto"/>
            <w:vAlign w:val="center"/>
          </w:tcPr>
          <w:p w14:paraId="3B87D55F">
            <w:pPr>
              <w:jc w:val="center"/>
              <w:rPr>
                <w:rFonts w:ascii="宋体" w:hAnsi="宋体" w:eastAsia="宋体" w:cs="宋体"/>
                <w:color w:val="000000"/>
                <w:kern w:val="0"/>
                <w:sz w:val="18"/>
                <w:szCs w:val="18"/>
              </w:rPr>
            </w:pPr>
          </w:p>
        </w:tc>
        <w:tc>
          <w:tcPr>
            <w:tcW w:w="1521" w:type="dxa"/>
            <w:shd w:val="clear" w:color="auto" w:fill="auto"/>
            <w:vAlign w:val="center"/>
          </w:tcPr>
          <w:p w14:paraId="2C12A22B">
            <w:pPr>
              <w:jc w:val="center"/>
              <w:rPr>
                <w:rFonts w:ascii="宋体" w:hAnsi="宋体" w:eastAsia="宋体" w:cs="宋体"/>
                <w:color w:val="000000"/>
                <w:kern w:val="0"/>
                <w:sz w:val="18"/>
                <w:szCs w:val="18"/>
              </w:rPr>
            </w:pPr>
          </w:p>
        </w:tc>
      </w:tr>
      <w:tr w14:paraId="6278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32A1236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862" w:type="pct"/>
            <w:shd w:val="clear" w:color="auto" w:fill="auto"/>
            <w:vAlign w:val="center"/>
          </w:tcPr>
          <w:p w14:paraId="33BB59E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资本金投入</w:t>
            </w:r>
          </w:p>
        </w:tc>
        <w:tc>
          <w:tcPr>
            <w:tcW w:w="1639" w:type="dxa"/>
            <w:shd w:val="clear" w:color="auto" w:fill="auto"/>
            <w:vAlign w:val="center"/>
          </w:tcPr>
          <w:p w14:paraId="159A42C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13,223.59</w:t>
            </w:r>
          </w:p>
        </w:tc>
        <w:tc>
          <w:tcPr>
            <w:tcW w:w="1507" w:type="dxa"/>
            <w:gridSpan w:val="2"/>
            <w:shd w:val="clear" w:color="auto" w:fill="auto"/>
            <w:vAlign w:val="center"/>
          </w:tcPr>
          <w:p w14:paraId="11DA083E">
            <w:pPr>
              <w:jc w:val="center"/>
              <w:rPr>
                <w:rFonts w:ascii="宋体" w:hAnsi="宋体" w:eastAsia="宋体" w:cs="宋体"/>
                <w:color w:val="000000"/>
                <w:kern w:val="0"/>
                <w:sz w:val="18"/>
                <w:szCs w:val="18"/>
              </w:rPr>
            </w:pPr>
          </w:p>
        </w:tc>
        <w:tc>
          <w:tcPr>
            <w:tcW w:w="1506" w:type="dxa"/>
            <w:shd w:val="clear" w:color="auto" w:fill="auto"/>
            <w:vAlign w:val="center"/>
          </w:tcPr>
          <w:p w14:paraId="3518387A">
            <w:pPr>
              <w:jc w:val="center"/>
              <w:rPr>
                <w:rFonts w:ascii="宋体" w:hAnsi="宋体" w:eastAsia="宋体" w:cs="宋体"/>
                <w:color w:val="000000"/>
                <w:kern w:val="0"/>
                <w:sz w:val="18"/>
                <w:szCs w:val="18"/>
              </w:rPr>
            </w:pPr>
          </w:p>
        </w:tc>
        <w:tc>
          <w:tcPr>
            <w:tcW w:w="1506" w:type="dxa"/>
            <w:shd w:val="clear" w:color="auto" w:fill="auto"/>
            <w:vAlign w:val="center"/>
          </w:tcPr>
          <w:p w14:paraId="4B67E36D">
            <w:pPr>
              <w:jc w:val="center"/>
              <w:rPr>
                <w:rFonts w:ascii="宋体" w:hAnsi="宋体" w:eastAsia="宋体" w:cs="宋体"/>
                <w:color w:val="000000"/>
                <w:kern w:val="0"/>
                <w:sz w:val="18"/>
                <w:szCs w:val="18"/>
              </w:rPr>
            </w:pPr>
          </w:p>
        </w:tc>
        <w:tc>
          <w:tcPr>
            <w:tcW w:w="1639" w:type="dxa"/>
            <w:shd w:val="clear" w:color="auto" w:fill="auto"/>
            <w:vAlign w:val="center"/>
          </w:tcPr>
          <w:p w14:paraId="2B9DD380">
            <w:pPr>
              <w:jc w:val="center"/>
              <w:rPr>
                <w:rFonts w:ascii="宋体" w:hAnsi="宋体" w:eastAsia="宋体" w:cs="宋体"/>
                <w:color w:val="000000"/>
                <w:kern w:val="0"/>
                <w:sz w:val="18"/>
                <w:szCs w:val="18"/>
              </w:rPr>
            </w:pPr>
          </w:p>
        </w:tc>
        <w:tc>
          <w:tcPr>
            <w:tcW w:w="1506" w:type="dxa"/>
            <w:shd w:val="clear" w:color="auto" w:fill="auto"/>
            <w:vAlign w:val="center"/>
          </w:tcPr>
          <w:p w14:paraId="575AE2A4">
            <w:pPr>
              <w:jc w:val="center"/>
              <w:rPr>
                <w:rFonts w:ascii="宋体" w:hAnsi="宋体" w:eastAsia="宋体" w:cs="宋体"/>
                <w:color w:val="000000"/>
                <w:kern w:val="0"/>
                <w:sz w:val="18"/>
                <w:szCs w:val="18"/>
              </w:rPr>
            </w:pPr>
          </w:p>
        </w:tc>
        <w:tc>
          <w:tcPr>
            <w:tcW w:w="1521" w:type="dxa"/>
            <w:shd w:val="clear" w:color="auto" w:fill="auto"/>
            <w:vAlign w:val="center"/>
          </w:tcPr>
          <w:p w14:paraId="276D8833">
            <w:pPr>
              <w:jc w:val="center"/>
              <w:rPr>
                <w:rFonts w:ascii="宋体" w:hAnsi="宋体" w:eastAsia="宋体" w:cs="宋体"/>
                <w:color w:val="000000"/>
                <w:kern w:val="0"/>
                <w:sz w:val="18"/>
                <w:szCs w:val="18"/>
              </w:rPr>
            </w:pPr>
          </w:p>
        </w:tc>
      </w:tr>
      <w:tr w14:paraId="0313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018F781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w:t>
            </w:r>
          </w:p>
        </w:tc>
        <w:tc>
          <w:tcPr>
            <w:tcW w:w="862" w:type="pct"/>
            <w:shd w:val="clear" w:color="auto" w:fill="auto"/>
            <w:vAlign w:val="center"/>
          </w:tcPr>
          <w:p w14:paraId="4B0E549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现金流出</w:t>
            </w:r>
          </w:p>
        </w:tc>
        <w:tc>
          <w:tcPr>
            <w:tcW w:w="1639" w:type="dxa"/>
            <w:shd w:val="clear" w:color="auto" w:fill="auto"/>
            <w:vAlign w:val="center"/>
          </w:tcPr>
          <w:p w14:paraId="53E0926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237,264.23</w:t>
            </w:r>
          </w:p>
        </w:tc>
        <w:tc>
          <w:tcPr>
            <w:tcW w:w="1507" w:type="dxa"/>
            <w:gridSpan w:val="2"/>
            <w:shd w:val="clear" w:color="auto" w:fill="auto"/>
            <w:vAlign w:val="center"/>
          </w:tcPr>
          <w:p w14:paraId="7B6E07B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3,963.30</w:t>
            </w:r>
          </w:p>
        </w:tc>
        <w:tc>
          <w:tcPr>
            <w:tcW w:w="1506" w:type="dxa"/>
            <w:shd w:val="clear" w:color="auto" w:fill="auto"/>
            <w:vAlign w:val="center"/>
          </w:tcPr>
          <w:p w14:paraId="1B16307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4,056.91</w:t>
            </w:r>
          </w:p>
        </w:tc>
        <w:tc>
          <w:tcPr>
            <w:tcW w:w="1506" w:type="dxa"/>
            <w:shd w:val="clear" w:color="auto" w:fill="auto"/>
            <w:vAlign w:val="center"/>
          </w:tcPr>
          <w:p w14:paraId="5E65365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8,797.79</w:t>
            </w:r>
          </w:p>
        </w:tc>
        <w:tc>
          <w:tcPr>
            <w:tcW w:w="1639" w:type="dxa"/>
            <w:shd w:val="clear" w:color="auto" w:fill="auto"/>
            <w:vAlign w:val="center"/>
          </w:tcPr>
          <w:p w14:paraId="64DB22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20,147.27</w:t>
            </w:r>
          </w:p>
        </w:tc>
        <w:tc>
          <w:tcPr>
            <w:tcW w:w="1506" w:type="dxa"/>
            <w:shd w:val="clear" w:color="auto" w:fill="auto"/>
            <w:vAlign w:val="center"/>
          </w:tcPr>
          <w:p w14:paraId="4934930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10,051.04</w:t>
            </w:r>
          </w:p>
        </w:tc>
        <w:tc>
          <w:tcPr>
            <w:tcW w:w="1521" w:type="dxa"/>
            <w:shd w:val="clear" w:color="auto" w:fill="auto"/>
            <w:vAlign w:val="center"/>
          </w:tcPr>
          <w:p w14:paraId="46D900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2,389.99</w:t>
            </w:r>
          </w:p>
        </w:tc>
      </w:tr>
      <w:tr w14:paraId="361D3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38F28271">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862" w:type="pct"/>
            <w:shd w:val="clear" w:color="auto" w:fill="auto"/>
            <w:vAlign w:val="center"/>
          </w:tcPr>
          <w:p w14:paraId="7A87A30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业务活动现金流出</w:t>
            </w:r>
          </w:p>
        </w:tc>
        <w:tc>
          <w:tcPr>
            <w:tcW w:w="1639" w:type="dxa"/>
            <w:shd w:val="clear" w:color="auto" w:fill="auto"/>
            <w:vAlign w:val="center"/>
          </w:tcPr>
          <w:p w14:paraId="473FF22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67,666.79</w:t>
            </w:r>
          </w:p>
        </w:tc>
        <w:tc>
          <w:tcPr>
            <w:tcW w:w="1507" w:type="dxa"/>
            <w:gridSpan w:val="2"/>
            <w:shd w:val="clear" w:color="auto" w:fill="auto"/>
            <w:vAlign w:val="center"/>
          </w:tcPr>
          <w:p w14:paraId="7F4C623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2,573.05</w:t>
            </w:r>
          </w:p>
        </w:tc>
        <w:tc>
          <w:tcPr>
            <w:tcW w:w="1506" w:type="dxa"/>
            <w:shd w:val="clear" w:color="auto" w:fill="auto"/>
            <w:vAlign w:val="center"/>
          </w:tcPr>
          <w:p w14:paraId="116857F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2,666.66</w:t>
            </w:r>
          </w:p>
        </w:tc>
        <w:tc>
          <w:tcPr>
            <w:tcW w:w="1506" w:type="dxa"/>
            <w:shd w:val="clear" w:color="auto" w:fill="auto"/>
            <w:vAlign w:val="center"/>
          </w:tcPr>
          <w:p w14:paraId="4E4EEDA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2,666.66</w:t>
            </w:r>
          </w:p>
        </w:tc>
        <w:tc>
          <w:tcPr>
            <w:tcW w:w="1639" w:type="dxa"/>
            <w:shd w:val="clear" w:color="auto" w:fill="auto"/>
            <w:vAlign w:val="center"/>
          </w:tcPr>
          <w:p w14:paraId="73F37EB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2,666.66</w:t>
            </w:r>
          </w:p>
        </w:tc>
        <w:tc>
          <w:tcPr>
            <w:tcW w:w="1506" w:type="dxa"/>
            <w:shd w:val="clear" w:color="auto" w:fill="auto"/>
            <w:vAlign w:val="center"/>
          </w:tcPr>
          <w:p w14:paraId="2EF7CED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2,764.84</w:t>
            </w:r>
          </w:p>
        </w:tc>
        <w:tc>
          <w:tcPr>
            <w:tcW w:w="1521" w:type="dxa"/>
            <w:shd w:val="clear" w:color="auto" w:fill="auto"/>
            <w:vAlign w:val="center"/>
          </w:tcPr>
          <w:p w14:paraId="47FEDD5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14:paraId="2716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3CB0FD9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862" w:type="pct"/>
            <w:shd w:val="clear" w:color="auto" w:fill="auto"/>
            <w:vAlign w:val="center"/>
          </w:tcPr>
          <w:p w14:paraId="734832F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运营成本</w:t>
            </w:r>
          </w:p>
        </w:tc>
        <w:tc>
          <w:tcPr>
            <w:tcW w:w="1639" w:type="dxa"/>
            <w:shd w:val="clear" w:color="auto" w:fill="auto"/>
            <w:vAlign w:val="center"/>
          </w:tcPr>
          <w:p w14:paraId="47C480D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23,726.00</w:t>
            </w:r>
          </w:p>
        </w:tc>
        <w:tc>
          <w:tcPr>
            <w:tcW w:w="1507" w:type="dxa"/>
            <w:gridSpan w:val="2"/>
            <w:shd w:val="clear" w:color="auto" w:fill="auto"/>
            <w:vAlign w:val="center"/>
          </w:tcPr>
          <w:p w14:paraId="28DA803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835.15</w:t>
            </w:r>
          </w:p>
        </w:tc>
        <w:tc>
          <w:tcPr>
            <w:tcW w:w="1506" w:type="dxa"/>
            <w:shd w:val="clear" w:color="auto" w:fill="auto"/>
            <w:vAlign w:val="center"/>
          </w:tcPr>
          <w:p w14:paraId="71F2913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841.75</w:t>
            </w:r>
          </w:p>
        </w:tc>
        <w:tc>
          <w:tcPr>
            <w:tcW w:w="1506" w:type="dxa"/>
            <w:shd w:val="clear" w:color="auto" w:fill="auto"/>
            <w:vAlign w:val="center"/>
          </w:tcPr>
          <w:p w14:paraId="7490B28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841.75</w:t>
            </w:r>
          </w:p>
        </w:tc>
        <w:tc>
          <w:tcPr>
            <w:tcW w:w="1639" w:type="dxa"/>
            <w:shd w:val="clear" w:color="auto" w:fill="auto"/>
            <w:vAlign w:val="center"/>
          </w:tcPr>
          <w:p w14:paraId="5E8C160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841.75</w:t>
            </w:r>
          </w:p>
        </w:tc>
        <w:tc>
          <w:tcPr>
            <w:tcW w:w="1506" w:type="dxa"/>
            <w:shd w:val="clear" w:color="auto" w:fill="auto"/>
            <w:vAlign w:val="center"/>
          </w:tcPr>
          <w:p w14:paraId="7EA82E1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848.80</w:t>
            </w:r>
          </w:p>
        </w:tc>
        <w:tc>
          <w:tcPr>
            <w:tcW w:w="1521" w:type="dxa"/>
            <w:shd w:val="clear" w:color="auto" w:fill="auto"/>
            <w:vAlign w:val="center"/>
          </w:tcPr>
          <w:p w14:paraId="784DB0DE">
            <w:pPr>
              <w:jc w:val="center"/>
              <w:rPr>
                <w:rFonts w:ascii="宋体" w:hAnsi="宋体" w:eastAsia="宋体" w:cs="宋体"/>
                <w:color w:val="000000"/>
                <w:kern w:val="0"/>
                <w:sz w:val="18"/>
                <w:szCs w:val="18"/>
              </w:rPr>
            </w:pPr>
          </w:p>
        </w:tc>
      </w:tr>
      <w:tr w14:paraId="2112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0AC9B7C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862" w:type="pct"/>
            <w:shd w:val="clear" w:color="auto" w:fill="auto"/>
            <w:vAlign w:val="center"/>
          </w:tcPr>
          <w:p w14:paraId="4D4E51AB">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税金支出</w:t>
            </w:r>
          </w:p>
        </w:tc>
        <w:tc>
          <w:tcPr>
            <w:tcW w:w="1639" w:type="dxa"/>
            <w:shd w:val="clear" w:color="auto" w:fill="auto"/>
            <w:vAlign w:val="center"/>
          </w:tcPr>
          <w:p w14:paraId="4E3A3A3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43,940.79</w:t>
            </w:r>
          </w:p>
        </w:tc>
        <w:tc>
          <w:tcPr>
            <w:tcW w:w="1507" w:type="dxa"/>
            <w:gridSpan w:val="2"/>
            <w:shd w:val="clear" w:color="auto" w:fill="auto"/>
            <w:vAlign w:val="center"/>
          </w:tcPr>
          <w:p w14:paraId="0F8590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1,737.90</w:t>
            </w:r>
          </w:p>
        </w:tc>
        <w:tc>
          <w:tcPr>
            <w:tcW w:w="1506" w:type="dxa"/>
            <w:shd w:val="clear" w:color="auto" w:fill="auto"/>
            <w:vAlign w:val="center"/>
          </w:tcPr>
          <w:p w14:paraId="2F237CA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1,824.91</w:t>
            </w:r>
          </w:p>
        </w:tc>
        <w:tc>
          <w:tcPr>
            <w:tcW w:w="1506" w:type="dxa"/>
            <w:shd w:val="clear" w:color="auto" w:fill="auto"/>
            <w:vAlign w:val="center"/>
          </w:tcPr>
          <w:p w14:paraId="797C015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1,824.91</w:t>
            </w:r>
          </w:p>
        </w:tc>
        <w:tc>
          <w:tcPr>
            <w:tcW w:w="1639" w:type="dxa"/>
            <w:shd w:val="clear" w:color="auto" w:fill="auto"/>
            <w:vAlign w:val="center"/>
          </w:tcPr>
          <w:p w14:paraId="42CF110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1,824.91</w:t>
            </w:r>
          </w:p>
        </w:tc>
        <w:tc>
          <w:tcPr>
            <w:tcW w:w="1506" w:type="dxa"/>
            <w:shd w:val="clear" w:color="auto" w:fill="auto"/>
            <w:vAlign w:val="center"/>
          </w:tcPr>
          <w:p w14:paraId="7D30E68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1,916.04</w:t>
            </w:r>
          </w:p>
        </w:tc>
        <w:tc>
          <w:tcPr>
            <w:tcW w:w="1521" w:type="dxa"/>
            <w:shd w:val="clear" w:color="auto" w:fill="auto"/>
            <w:vAlign w:val="center"/>
          </w:tcPr>
          <w:p w14:paraId="04FF7FC9">
            <w:pPr>
              <w:jc w:val="center"/>
              <w:rPr>
                <w:rFonts w:ascii="宋体" w:hAnsi="宋体" w:eastAsia="宋体" w:cs="宋体"/>
                <w:color w:val="000000"/>
                <w:kern w:val="0"/>
                <w:sz w:val="18"/>
                <w:szCs w:val="18"/>
              </w:rPr>
            </w:pPr>
          </w:p>
        </w:tc>
      </w:tr>
      <w:tr w14:paraId="5B52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191867B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62" w:type="pct"/>
            <w:shd w:val="clear" w:color="auto" w:fill="auto"/>
            <w:vAlign w:val="center"/>
          </w:tcPr>
          <w:p w14:paraId="5070756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建设投资现金流出</w:t>
            </w:r>
          </w:p>
        </w:tc>
        <w:tc>
          <w:tcPr>
            <w:tcW w:w="1639" w:type="dxa"/>
            <w:shd w:val="clear" w:color="auto" w:fill="auto"/>
            <w:vAlign w:val="center"/>
          </w:tcPr>
          <w:p w14:paraId="1F7904F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62,925.82</w:t>
            </w:r>
          </w:p>
        </w:tc>
        <w:tc>
          <w:tcPr>
            <w:tcW w:w="1507" w:type="dxa"/>
            <w:gridSpan w:val="2"/>
            <w:shd w:val="clear" w:color="auto" w:fill="auto"/>
            <w:vAlign w:val="center"/>
          </w:tcPr>
          <w:p w14:paraId="2A71C124">
            <w:pPr>
              <w:jc w:val="center"/>
              <w:rPr>
                <w:rFonts w:ascii="宋体" w:hAnsi="宋体" w:eastAsia="宋体" w:cs="宋体"/>
                <w:color w:val="000000"/>
                <w:kern w:val="0"/>
                <w:sz w:val="18"/>
                <w:szCs w:val="18"/>
              </w:rPr>
            </w:pPr>
          </w:p>
        </w:tc>
        <w:tc>
          <w:tcPr>
            <w:tcW w:w="1506" w:type="dxa"/>
            <w:shd w:val="clear" w:color="auto" w:fill="auto"/>
            <w:vAlign w:val="center"/>
          </w:tcPr>
          <w:p w14:paraId="49FFBA0E">
            <w:pPr>
              <w:jc w:val="center"/>
              <w:rPr>
                <w:rFonts w:ascii="宋体" w:hAnsi="宋体" w:eastAsia="宋体" w:cs="宋体"/>
                <w:color w:val="000000"/>
                <w:kern w:val="0"/>
                <w:sz w:val="18"/>
                <w:szCs w:val="18"/>
              </w:rPr>
            </w:pPr>
          </w:p>
        </w:tc>
        <w:tc>
          <w:tcPr>
            <w:tcW w:w="1506" w:type="dxa"/>
            <w:shd w:val="clear" w:color="auto" w:fill="auto"/>
            <w:vAlign w:val="center"/>
          </w:tcPr>
          <w:p w14:paraId="1F7D99CF">
            <w:pPr>
              <w:jc w:val="center"/>
              <w:rPr>
                <w:rFonts w:ascii="宋体" w:hAnsi="宋体" w:eastAsia="宋体" w:cs="宋体"/>
                <w:color w:val="000000"/>
                <w:kern w:val="0"/>
                <w:sz w:val="18"/>
                <w:szCs w:val="18"/>
              </w:rPr>
            </w:pPr>
          </w:p>
        </w:tc>
        <w:tc>
          <w:tcPr>
            <w:tcW w:w="1639" w:type="dxa"/>
            <w:shd w:val="clear" w:color="auto" w:fill="auto"/>
            <w:vAlign w:val="center"/>
          </w:tcPr>
          <w:p w14:paraId="61EA49B9">
            <w:pPr>
              <w:jc w:val="center"/>
              <w:rPr>
                <w:rFonts w:ascii="宋体" w:hAnsi="宋体" w:eastAsia="宋体" w:cs="宋体"/>
                <w:color w:val="000000"/>
                <w:kern w:val="0"/>
                <w:sz w:val="18"/>
                <w:szCs w:val="18"/>
              </w:rPr>
            </w:pPr>
          </w:p>
        </w:tc>
        <w:tc>
          <w:tcPr>
            <w:tcW w:w="1506" w:type="dxa"/>
            <w:shd w:val="clear" w:color="auto" w:fill="auto"/>
            <w:vAlign w:val="center"/>
          </w:tcPr>
          <w:p w14:paraId="767F87AE">
            <w:pPr>
              <w:jc w:val="center"/>
              <w:rPr>
                <w:rFonts w:ascii="宋体" w:hAnsi="宋体" w:eastAsia="宋体" w:cs="宋体"/>
                <w:color w:val="000000"/>
                <w:kern w:val="0"/>
                <w:sz w:val="18"/>
                <w:szCs w:val="18"/>
              </w:rPr>
            </w:pPr>
          </w:p>
        </w:tc>
        <w:tc>
          <w:tcPr>
            <w:tcW w:w="1521" w:type="dxa"/>
            <w:shd w:val="clear" w:color="auto" w:fill="auto"/>
            <w:vAlign w:val="center"/>
          </w:tcPr>
          <w:p w14:paraId="0AFFC865">
            <w:pPr>
              <w:jc w:val="center"/>
              <w:rPr>
                <w:rFonts w:ascii="宋体" w:hAnsi="宋体" w:eastAsia="宋体" w:cs="宋体"/>
                <w:color w:val="000000"/>
                <w:kern w:val="0"/>
                <w:sz w:val="18"/>
                <w:szCs w:val="18"/>
              </w:rPr>
            </w:pPr>
          </w:p>
        </w:tc>
      </w:tr>
      <w:tr w14:paraId="5368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40282E9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862" w:type="pct"/>
            <w:shd w:val="clear" w:color="auto" w:fill="auto"/>
            <w:vAlign w:val="center"/>
          </w:tcPr>
          <w:p w14:paraId="1601F1D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融资活动现金流出</w:t>
            </w:r>
          </w:p>
        </w:tc>
        <w:tc>
          <w:tcPr>
            <w:tcW w:w="1639" w:type="dxa"/>
            <w:shd w:val="clear" w:color="auto" w:fill="auto"/>
            <w:vAlign w:val="center"/>
          </w:tcPr>
          <w:p w14:paraId="2FE4876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106,671.62</w:t>
            </w:r>
          </w:p>
        </w:tc>
        <w:tc>
          <w:tcPr>
            <w:tcW w:w="1507" w:type="dxa"/>
            <w:gridSpan w:val="2"/>
            <w:shd w:val="clear" w:color="auto" w:fill="auto"/>
            <w:vAlign w:val="center"/>
          </w:tcPr>
          <w:p w14:paraId="2629BB4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506" w:type="dxa"/>
            <w:shd w:val="clear" w:color="auto" w:fill="auto"/>
            <w:vAlign w:val="center"/>
          </w:tcPr>
          <w:p w14:paraId="2EF25E1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506" w:type="dxa"/>
            <w:shd w:val="clear" w:color="auto" w:fill="auto"/>
            <w:vAlign w:val="center"/>
          </w:tcPr>
          <w:p w14:paraId="76323A7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6,131.13</w:t>
            </w:r>
          </w:p>
        </w:tc>
        <w:tc>
          <w:tcPr>
            <w:tcW w:w="1639" w:type="dxa"/>
            <w:shd w:val="clear" w:color="auto" w:fill="auto"/>
            <w:vAlign w:val="center"/>
          </w:tcPr>
          <w:p w14:paraId="50BFC56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17,480.61</w:t>
            </w:r>
          </w:p>
        </w:tc>
        <w:tc>
          <w:tcPr>
            <w:tcW w:w="1506" w:type="dxa"/>
            <w:shd w:val="clear" w:color="auto" w:fill="auto"/>
            <w:vAlign w:val="center"/>
          </w:tcPr>
          <w:p w14:paraId="1E870C3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7,286.20</w:t>
            </w:r>
          </w:p>
        </w:tc>
        <w:tc>
          <w:tcPr>
            <w:tcW w:w="1521" w:type="dxa"/>
            <w:shd w:val="clear" w:color="auto" w:fill="auto"/>
            <w:vAlign w:val="center"/>
          </w:tcPr>
          <w:p w14:paraId="05888A2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2,389.99</w:t>
            </w:r>
          </w:p>
        </w:tc>
      </w:tr>
      <w:tr w14:paraId="2341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406D610E">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862" w:type="pct"/>
            <w:shd w:val="clear" w:color="auto" w:fill="auto"/>
            <w:vAlign w:val="center"/>
          </w:tcPr>
          <w:p w14:paraId="3D1F066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债券发行费用</w:t>
            </w:r>
          </w:p>
        </w:tc>
        <w:tc>
          <w:tcPr>
            <w:tcW w:w="1639" w:type="dxa"/>
            <w:shd w:val="clear" w:color="auto" w:fill="auto"/>
            <w:vAlign w:val="center"/>
          </w:tcPr>
          <w:p w14:paraId="4ECF768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24.71</w:t>
            </w:r>
          </w:p>
        </w:tc>
        <w:tc>
          <w:tcPr>
            <w:tcW w:w="1507" w:type="dxa"/>
            <w:gridSpan w:val="2"/>
            <w:shd w:val="clear" w:color="auto" w:fill="auto"/>
            <w:vAlign w:val="center"/>
          </w:tcPr>
          <w:p w14:paraId="5D4977A4">
            <w:pPr>
              <w:jc w:val="center"/>
              <w:rPr>
                <w:rFonts w:ascii="宋体" w:hAnsi="宋体" w:eastAsia="宋体" w:cs="宋体"/>
                <w:color w:val="000000"/>
                <w:kern w:val="0"/>
                <w:sz w:val="18"/>
                <w:szCs w:val="18"/>
              </w:rPr>
            </w:pPr>
          </w:p>
        </w:tc>
        <w:tc>
          <w:tcPr>
            <w:tcW w:w="1506" w:type="dxa"/>
            <w:shd w:val="clear" w:color="auto" w:fill="auto"/>
            <w:vAlign w:val="center"/>
          </w:tcPr>
          <w:p w14:paraId="34290695">
            <w:pPr>
              <w:jc w:val="center"/>
              <w:rPr>
                <w:rFonts w:ascii="宋体" w:hAnsi="宋体" w:eastAsia="宋体" w:cs="宋体"/>
                <w:color w:val="000000"/>
                <w:kern w:val="0"/>
                <w:sz w:val="18"/>
                <w:szCs w:val="18"/>
              </w:rPr>
            </w:pPr>
          </w:p>
        </w:tc>
        <w:tc>
          <w:tcPr>
            <w:tcW w:w="1506" w:type="dxa"/>
            <w:shd w:val="clear" w:color="auto" w:fill="auto"/>
            <w:vAlign w:val="center"/>
          </w:tcPr>
          <w:p w14:paraId="72B116E9">
            <w:pPr>
              <w:jc w:val="center"/>
              <w:rPr>
                <w:rFonts w:ascii="宋体" w:hAnsi="宋体" w:eastAsia="宋体" w:cs="宋体"/>
                <w:color w:val="000000"/>
                <w:kern w:val="0"/>
                <w:sz w:val="18"/>
                <w:szCs w:val="18"/>
              </w:rPr>
            </w:pPr>
          </w:p>
        </w:tc>
        <w:tc>
          <w:tcPr>
            <w:tcW w:w="1639" w:type="dxa"/>
            <w:shd w:val="clear" w:color="auto" w:fill="auto"/>
            <w:vAlign w:val="center"/>
          </w:tcPr>
          <w:p w14:paraId="07277EBA">
            <w:pPr>
              <w:jc w:val="center"/>
              <w:rPr>
                <w:rFonts w:ascii="宋体" w:hAnsi="宋体" w:eastAsia="宋体" w:cs="宋体"/>
                <w:color w:val="000000"/>
                <w:kern w:val="0"/>
                <w:sz w:val="18"/>
                <w:szCs w:val="18"/>
              </w:rPr>
            </w:pPr>
          </w:p>
        </w:tc>
        <w:tc>
          <w:tcPr>
            <w:tcW w:w="1506" w:type="dxa"/>
            <w:shd w:val="clear" w:color="auto" w:fill="auto"/>
            <w:vAlign w:val="center"/>
          </w:tcPr>
          <w:p w14:paraId="386DF9E7">
            <w:pPr>
              <w:jc w:val="center"/>
              <w:rPr>
                <w:rFonts w:ascii="宋体" w:hAnsi="宋体" w:eastAsia="宋体" w:cs="宋体"/>
                <w:color w:val="000000"/>
                <w:kern w:val="0"/>
                <w:sz w:val="18"/>
                <w:szCs w:val="18"/>
              </w:rPr>
            </w:pPr>
          </w:p>
        </w:tc>
        <w:tc>
          <w:tcPr>
            <w:tcW w:w="1521" w:type="dxa"/>
            <w:shd w:val="clear" w:color="auto" w:fill="auto"/>
            <w:vAlign w:val="center"/>
          </w:tcPr>
          <w:p w14:paraId="6F710FF3">
            <w:pPr>
              <w:jc w:val="center"/>
              <w:rPr>
                <w:rFonts w:ascii="宋体" w:hAnsi="宋体" w:eastAsia="宋体" w:cs="宋体"/>
                <w:color w:val="000000"/>
                <w:kern w:val="0"/>
                <w:sz w:val="18"/>
                <w:szCs w:val="18"/>
              </w:rPr>
            </w:pPr>
          </w:p>
        </w:tc>
      </w:tr>
      <w:tr w14:paraId="5FAF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15FD37E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862" w:type="pct"/>
            <w:shd w:val="clear" w:color="auto" w:fill="auto"/>
            <w:vAlign w:val="center"/>
          </w:tcPr>
          <w:p w14:paraId="2575F8F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偿还债券本金</w:t>
            </w:r>
          </w:p>
        </w:tc>
        <w:tc>
          <w:tcPr>
            <w:tcW w:w="1639" w:type="dxa"/>
            <w:shd w:val="clear" w:color="auto" w:fill="auto"/>
            <w:vAlign w:val="center"/>
          </w:tcPr>
          <w:p w14:paraId="76DD7A5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30,894.40</w:t>
            </w:r>
          </w:p>
        </w:tc>
        <w:tc>
          <w:tcPr>
            <w:tcW w:w="1507" w:type="dxa"/>
            <w:gridSpan w:val="2"/>
            <w:shd w:val="clear" w:color="auto" w:fill="auto"/>
            <w:vAlign w:val="center"/>
          </w:tcPr>
          <w:p w14:paraId="46FA0A26">
            <w:pPr>
              <w:jc w:val="center"/>
              <w:rPr>
                <w:rFonts w:ascii="宋体" w:hAnsi="宋体" w:eastAsia="宋体" w:cs="宋体"/>
                <w:color w:val="000000"/>
                <w:kern w:val="0"/>
                <w:sz w:val="18"/>
                <w:szCs w:val="18"/>
              </w:rPr>
            </w:pPr>
          </w:p>
        </w:tc>
        <w:tc>
          <w:tcPr>
            <w:tcW w:w="1506" w:type="dxa"/>
            <w:shd w:val="clear" w:color="auto" w:fill="auto"/>
            <w:vAlign w:val="center"/>
          </w:tcPr>
          <w:p w14:paraId="27F72C6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3E11DC3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4,850.00</w:t>
            </w:r>
          </w:p>
        </w:tc>
        <w:tc>
          <w:tcPr>
            <w:tcW w:w="1639" w:type="dxa"/>
            <w:shd w:val="clear" w:color="auto" w:fill="auto"/>
            <w:vAlign w:val="center"/>
          </w:tcPr>
          <w:p w14:paraId="0BCF097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16,684.00</w:t>
            </w:r>
          </w:p>
        </w:tc>
        <w:tc>
          <w:tcPr>
            <w:tcW w:w="1506" w:type="dxa"/>
            <w:shd w:val="clear" w:color="auto" w:fill="auto"/>
            <w:vAlign w:val="center"/>
          </w:tcPr>
          <w:p w14:paraId="23F1FBF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7,023.00</w:t>
            </w:r>
          </w:p>
        </w:tc>
        <w:tc>
          <w:tcPr>
            <w:tcW w:w="1521" w:type="dxa"/>
            <w:shd w:val="clear" w:color="auto" w:fill="auto"/>
            <w:vAlign w:val="center"/>
          </w:tcPr>
          <w:p w14:paraId="6981FE4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2,337.40</w:t>
            </w:r>
          </w:p>
        </w:tc>
      </w:tr>
      <w:tr w14:paraId="5C2C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71D8B0F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w:t>
            </w:r>
          </w:p>
        </w:tc>
        <w:tc>
          <w:tcPr>
            <w:tcW w:w="862" w:type="pct"/>
            <w:shd w:val="clear" w:color="auto" w:fill="auto"/>
            <w:vAlign w:val="center"/>
          </w:tcPr>
          <w:p w14:paraId="6370E1A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支付债券利息</w:t>
            </w:r>
          </w:p>
        </w:tc>
        <w:tc>
          <w:tcPr>
            <w:tcW w:w="1639" w:type="dxa"/>
            <w:shd w:val="clear" w:color="auto" w:fill="auto"/>
            <w:vAlign w:val="center"/>
          </w:tcPr>
          <w:p w14:paraId="277AE82D">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41,707.51</w:t>
            </w:r>
          </w:p>
        </w:tc>
        <w:tc>
          <w:tcPr>
            <w:tcW w:w="1507" w:type="dxa"/>
            <w:gridSpan w:val="2"/>
            <w:shd w:val="clear" w:color="auto" w:fill="auto"/>
            <w:vAlign w:val="center"/>
          </w:tcPr>
          <w:p w14:paraId="2C86998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506" w:type="dxa"/>
            <w:shd w:val="clear" w:color="auto" w:fill="auto"/>
            <w:vAlign w:val="center"/>
          </w:tcPr>
          <w:p w14:paraId="478EF5B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1,390.25</w:t>
            </w:r>
          </w:p>
        </w:tc>
        <w:tc>
          <w:tcPr>
            <w:tcW w:w="1506" w:type="dxa"/>
            <w:shd w:val="clear" w:color="auto" w:fill="auto"/>
            <w:vAlign w:val="center"/>
          </w:tcPr>
          <w:p w14:paraId="20824CE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1,281.13</w:t>
            </w:r>
          </w:p>
        </w:tc>
        <w:tc>
          <w:tcPr>
            <w:tcW w:w="1639" w:type="dxa"/>
            <w:shd w:val="clear" w:color="auto" w:fill="auto"/>
            <w:vAlign w:val="center"/>
          </w:tcPr>
          <w:p w14:paraId="6FF6B68B">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796.61</w:t>
            </w:r>
          </w:p>
        </w:tc>
        <w:tc>
          <w:tcPr>
            <w:tcW w:w="1506" w:type="dxa"/>
            <w:shd w:val="clear" w:color="auto" w:fill="auto"/>
            <w:vAlign w:val="center"/>
          </w:tcPr>
          <w:p w14:paraId="487D6D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263.20</w:t>
            </w:r>
          </w:p>
        </w:tc>
        <w:tc>
          <w:tcPr>
            <w:tcW w:w="1521" w:type="dxa"/>
            <w:shd w:val="clear" w:color="auto" w:fill="auto"/>
            <w:vAlign w:val="center"/>
          </w:tcPr>
          <w:p w14:paraId="5C1B576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52.59</w:t>
            </w:r>
          </w:p>
        </w:tc>
      </w:tr>
      <w:tr w14:paraId="07A9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7D9F0AF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3.4</w:t>
            </w:r>
          </w:p>
        </w:tc>
        <w:tc>
          <w:tcPr>
            <w:tcW w:w="862" w:type="pct"/>
            <w:shd w:val="clear" w:color="auto" w:fill="auto"/>
            <w:vAlign w:val="center"/>
          </w:tcPr>
          <w:p w14:paraId="3840E6D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偿还其他融资本金</w:t>
            </w:r>
          </w:p>
        </w:tc>
        <w:tc>
          <w:tcPr>
            <w:tcW w:w="1639" w:type="dxa"/>
            <w:shd w:val="clear" w:color="auto" w:fill="auto"/>
            <w:vAlign w:val="center"/>
          </w:tcPr>
          <w:p w14:paraId="412AA28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22,000.00</w:t>
            </w:r>
          </w:p>
        </w:tc>
        <w:tc>
          <w:tcPr>
            <w:tcW w:w="1507" w:type="dxa"/>
            <w:gridSpan w:val="2"/>
            <w:shd w:val="clear" w:color="auto" w:fill="auto"/>
            <w:vAlign w:val="center"/>
          </w:tcPr>
          <w:p w14:paraId="6FADE7EC">
            <w:pPr>
              <w:jc w:val="center"/>
              <w:rPr>
                <w:rFonts w:ascii="宋体" w:hAnsi="宋体" w:eastAsia="宋体" w:cs="宋体"/>
                <w:color w:val="000000"/>
                <w:kern w:val="0"/>
                <w:sz w:val="18"/>
                <w:szCs w:val="18"/>
              </w:rPr>
            </w:pPr>
          </w:p>
        </w:tc>
        <w:tc>
          <w:tcPr>
            <w:tcW w:w="1506" w:type="dxa"/>
            <w:shd w:val="clear" w:color="auto" w:fill="auto"/>
            <w:vAlign w:val="center"/>
          </w:tcPr>
          <w:p w14:paraId="5D08EE9B">
            <w:pPr>
              <w:jc w:val="center"/>
              <w:rPr>
                <w:rFonts w:ascii="宋体" w:hAnsi="宋体" w:eastAsia="宋体" w:cs="宋体"/>
                <w:color w:val="000000"/>
                <w:kern w:val="0"/>
                <w:sz w:val="18"/>
                <w:szCs w:val="18"/>
              </w:rPr>
            </w:pPr>
          </w:p>
        </w:tc>
        <w:tc>
          <w:tcPr>
            <w:tcW w:w="1506" w:type="dxa"/>
            <w:shd w:val="clear" w:color="auto" w:fill="auto"/>
            <w:vAlign w:val="center"/>
          </w:tcPr>
          <w:p w14:paraId="59022B69">
            <w:pPr>
              <w:jc w:val="center"/>
              <w:rPr>
                <w:rFonts w:ascii="宋体" w:hAnsi="宋体" w:eastAsia="宋体" w:cs="宋体"/>
                <w:color w:val="000000"/>
                <w:kern w:val="0"/>
                <w:sz w:val="18"/>
                <w:szCs w:val="18"/>
              </w:rPr>
            </w:pPr>
          </w:p>
        </w:tc>
        <w:tc>
          <w:tcPr>
            <w:tcW w:w="1639" w:type="dxa"/>
            <w:shd w:val="clear" w:color="auto" w:fill="auto"/>
            <w:vAlign w:val="center"/>
          </w:tcPr>
          <w:p w14:paraId="0954A124">
            <w:pPr>
              <w:jc w:val="center"/>
              <w:rPr>
                <w:rFonts w:ascii="宋体" w:hAnsi="宋体" w:eastAsia="宋体" w:cs="宋体"/>
                <w:color w:val="000000"/>
                <w:kern w:val="0"/>
                <w:sz w:val="18"/>
                <w:szCs w:val="18"/>
              </w:rPr>
            </w:pPr>
          </w:p>
        </w:tc>
        <w:tc>
          <w:tcPr>
            <w:tcW w:w="1506" w:type="dxa"/>
            <w:shd w:val="clear" w:color="auto" w:fill="auto"/>
            <w:vAlign w:val="center"/>
          </w:tcPr>
          <w:p w14:paraId="22A68032">
            <w:pPr>
              <w:jc w:val="center"/>
              <w:rPr>
                <w:rFonts w:ascii="宋体" w:hAnsi="宋体" w:eastAsia="宋体" w:cs="宋体"/>
                <w:color w:val="000000"/>
                <w:kern w:val="0"/>
                <w:sz w:val="18"/>
                <w:szCs w:val="18"/>
              </w:rPr>
            </w:pPr>
          </w:p>
        </w:tc>
        <w:tc>
          <w:tcPr>
            <w:tcW w:w="1521" w:type="dxa"/>
            <w:shd w:val="clear" w:color="auto" w:fill="auto"/>
            <w:vAlign w:val="center"/>
          </w:tcPr>
          <w:p w14:paraId="07D9DD84">
            <w:pPr>
              <w:jc w:val="center"/>
              <w:rPr>
                <w:rFonts w:ascii="宋体" w:hAnsi="宋体" w:eastAsia="宋体" w:cs="宋体"/>
                <w:color w:val="000000"/>
                <w:kern w:val="0"/>
                <w:sz w:val="18"/>
                <w:szCs w:val="18"/>
              </w:rPr>
            </w:pPr>
          </w:p>
        </w:tc>
      </w:tr>
      <w:tr w14:paraId="085B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27EFE219">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862" w:type="pct"/>
            <w:shd w:val="clear" w:color="auto" w:fill="auto"/>
            <w:vAlign w:val="center"/>
          </w:tcPr>
          <w:p w14:paraId="42841A0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支付其他融资利息</w:t>
            </w:r>
          </w:p>
        </w:tc>
        <w:tc>
          <w:tcPr>
            <w:tcW w:w="1639" w:type="dxa"/>
            <w:shd w:val="clear" w:color="auto" w:fill="auto"/>
            <w:vAlign w:val="center"/>
          </w:tcPr>
          <w:p w14:paraId="4D304AC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12,045.00</w:t>
            </w:r>
          </w:p>
        </w:tc>
        <w:tc>
          <w:tcPr>
            <w:tcW w:w="1507" w:type="dxa"/>
            <w:gridSpan w:val="2"/>
            <w:shd w:val="clear" w:color="auto" w:fill="auto"/>
            <w:vAlign w:val="center"/>
          </w:tcPr>
          <w:p w14:paraId="22A20B2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1315ED11">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6" w:type="dxa"/>
            <w:shd w:val="clear" w:color="auto" w:fill="auto"/>
            <w:vAlign w:val="center"/>
          </w:tcPr>
          <w:p w14:paraId="448C7EA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639" w:type="dxa"/>
            <w:shd w:val="clear" w:color="auto" w:fill="auto"/>
            <w:vAlign w:val="center"/>
          </w:tcPr>
          <w:p w14:paraId="085B5B73">
            <w:pPr>
              <w:jc w:val="center"/>
              <w:rPr>
                <w:rFonts w:ascii="宋体" w:hAnsi="宋体" w:eastAsia="宋体" w:cs="宋体"/>
                <w:color w:val="000000"/>
                <w:kern w:val="0"/>
                <w:sz w:val="18"/>
                <w:szCs w:val="18"/>
              </w:rPr>
            </w:pPr>
          </w:p>
        </w:tc>
        <w:tc>
          <w:tcPr>
            <w:tcW w:w="1506" w:type="dxa"/>
            <w:shd w:val="clear" w:color="auto" w:fill="auto"/>
            <w:vAlign w:val="center"/>
          </w:tcPr>
          <w:p w14:paraId="1E151668">
            <w:pPr>
              <w:jc w:val="center"/>
              <w:rPr>
                <w:rFonts w:ascii="宋体" w:hAnsi="宋体" w:eastAsia="宋体" w:cs="宋体"/>
                <w:color w:val="000000"/>
                <w:kern w:val="0"/>
                <w:sz w:val="18"/>
                <w:szCs w:val="18"/>
              </w:rPr>
            </w:pPr>
          </w:p>
        </w:tc>
        <w:tc>
          <w:tcPr>
            <w:tcW w:w="1521" w:type="dxa"/>
            <w:shd w:val="clear" w:color="auto" w:fill="auto"/>
            <w:vAlign w:val="center"/>
          </w:tcPr>
          <w:p w14:paraId="0796CC4F">
            <w:pPr>
              <w:jc w:val="center"/>
              <w:rPr>
                <w:rFonts w:ascii="宋体" w:hAnsi="宋体" w:eastAsia="宋体" w:cs="宋体"/>
                <w:color w:val="000000"/>
                <w:kern w:val="0"/>
                <w:sz w:val="18"/>
                <w:szCs w:val="18"/>
              </w:rPr>
            </w:pPr>
          </w:p>
        </w:tc>
      </w:tr>
      <w:tr w14:paraId="46F2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420A4F8F">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w:t>
            </w:r>
          </w:p>
        </w:tc>
        <w:tc>
          <w:tcPr>
            <w:tcW w:w="862" w:type="pct"/>
            <w:shd w:val="clear" w:color="auto" w:fill="auto"/>
            <w:vAlign w:val="center"/>
          </w:tcPr>
          <w:p w14:paraId="66F95BFD">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当期现金结余</w:t>
            </w:r>
          </w:p>
        </w:tc>
        <w:tc>
          <w:tcPr>
            <w:tcW w:w="1639" w:type="dxa"/>
            <w:shd w:val="clear" w:color="auto" w:fill="auto"/>
            <w:vAlign w:val="center"/>
          </w:tcPr>
          <w:p w14:paraId="32AC4D3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25,018.50</w:t>
            </w:r>
          </w:p>
        </w:tc>
        <w:tc>
          <w:tcPr>
            <w:tcW w:w="1507" w:type="dxa"/>
            <w:gridSpan w:val="2"/>
            <w:shd w:val="clear" w:color="auto" w:fill="auto"/>
            <w:vAlign w:val="center"/>
          </w:tcPr>
          <w:p w14:paraId="47EA7D2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3,795.21</w:t>
            </w:r>
          </w:p>
        </w:tc>
        <w:tc>
          <w:tcPr>
            <w:tcW w:w="1506" w:type="dxa"/>
            <w:shd w:val="clear" w:color="auto" w:fill="auto"/>
            <w:vAlign w:val="center"/>
          </w:tcPr>
          <w:p w14:paraId="7884705E">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4,090.04</w:t>
            </w:r>
          </w:p>
        </w:tc>
        <w:tc>
          <w:tcPr>
            <w:tcW w:w="1506" w:type="dxa"/>
            <w:shd w:val="clear" w:color="auto" w:fill="auto"/>
            <w:vAlign w:val="center"/>
          </w:tcPr>
          <w:p w14:paraId="6E359770">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-650.84</w:t>
            </w:r>
          </w:p>
        </w:tc>
        <w:tc>
          <w:tcPr>
            <w:tcW w:w="1639" w:type="dxa"/>
            <w:shd w:val="clear" w:color="auto" w:fill="auto"/>
            <w:vAlign w:val="center"/>
          </w:tcPr>
          <w:p w14:paraId="3F75F369">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-12,000.32</w:t>
            </w:r>
          </w:p>
        </w:tc>
        <w:tc>
          <w:tcPr>
            <w:tcW w:w="1506" w:type="dxa"/>
            <w:shd w:val="clear" w:color="auto" w:fill="auto"/>
            <w:vAlign w:val="center"/>
          </w:tcPr>
          <w:p w14:paraId="498DD15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-1,497.26</w:t>
            </w:r>
          </w:p>
        </w:tc>
        <w:tc>
          <w:tcPr>
            <w:tcW w:w="1521" w:type="dxa"/>
            <w:shd w:val="clear" w:color="auto" w:fill="auto"/>
            <w:vAlign w:val="center"/>
          </w:tcPr>
          <w:p w14:paraId="49805C3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-2,389.99</w:t>
            </w:r>
          </w:p>
        </w:tc>
      </w:tr>
      <w:tr w14:paraId="172F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645E63F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四</w:t>
            </w:r>
          </w:p>
        </w:tc>
        <w:tc>
          <w:tcPr>
            <w:tcW w:w="862" w:type="pct"/>
            <w:shd w:val="clear" w:color="auto" w:fill="auto"/>
            <w:vAlign w:val="center"/>
          </w:tcPr>
          <w:p w14:paraId="25EB5B7D">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期初现金</w:t>
            </w:r>
          </w:p>
        </w:tc>
        <w:tc>
          <w:tcPr>
            <w:tcW w:w="1639" w:type="dxa"/>
            <w:shd w:val="clear" w:color="auto" w:fill="auto"/>
            <w:vAlign w:val="center"/>
          </w:tcPr>
          <w:p w14:paraId="2ECF182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7" w:type="dxa"/>
            <w:gridSpan w:val="2"/>
            <w:shd w:val="clear" w:color="auto" w:fill="auto"/>
            <w:vAlign w:val="center"/>
          </w:tcPr>
          <w:p w14:paraId="17E94104">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33,671.66</w:t>
            </w:r>
          </w:p>
        </w:tc>
        <w:tc>
          <w:tcPr>
            <w:tcW w:w="1506" w:type="dxa"/>
            <w:shd w:val="clear" w:color="auto" w:fill="auto"/>
            <w:vAlign w:val="center"/>
          </w:tcPr>
          <w:p w14:paraId="0802C682">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37,466.87</w:t>
            </w:r>
          </w:p>
        </w:tc>
        <w:tc>
          <w:tcPr>
            <w:tcW w:w="1506" w:type="dxa"/>
            <w:shd w:val="clear" w:color="auto" w:fill="auto"/>
            <w:vAlign w:val="center"/>
          </w:tcPr>
          <w:p w14:paraId="0EC9EDA3">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41,556.91</w:t>
            </w:r>
          </w:p>
        </w:tc>
        <w:tc>
          <w:tcPr>
            <w:tcW w:w="1639" w:type="dxa"/>
            <w:shd w:val="clear" w:color="auto" w:fill="auto"/>
            <w:vAlign w:val="center"/>
          </w:tcPr>
          <w:p w14:paraId="0552427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40,906.07</w:t>
            </w:r>
          </w:p>
        </w:tc>
        <w:tc>
          <w:tcPr>
            <w:tcW w:w="1506" w:type="dxa"/>
            <w:shd w:val="clear" w:color="auto" w:fill="auto"/>
            <w:vAlign w:val="center"/>
          </w:tcPr>
          <w:p w14:paraId="0A834E1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28,905.75</w:t>
            </w:r>
          </w:p>
        </w:tc>
        <w:tc>
          <w:tcPr>
            <w:tcW w:w="1521" w:type="dxa"/>
            <w:shd w:val="clear" w:color="auto" w:fill="auto"/>
            <w:vAlign w:val="center"/>
          </w:tcPr>
          <w:p w14:paraId="05D0733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27,408.49</w:t>
            </w:r>
          </w:p>
        </w:tc>
      </w:tr>
      <w:tr w14:paraId="4195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00" w:type="pct"/>
            <w:shd w:val="clear" w:color="auto" w:fill="auto"/>
            <w:vAlign w:val="center"/>
          </w:tcPr>
          <w:p w14:paraId="54033A49">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五</w:t>
            </w:r>
          </w:p>
        </w:tc>
        <w:tc>
          <w:tcPr>
            <w:tcW w:w="862" w:type="pct"/>
            <w:shd w:val="clear" w:color="auto" w:fill="auto"/>
            <w:vAlign w:val="center"/>
          </w:tcPr>
          <w:p w14:paraId="592512C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期末现金</w:t>
            </w:r>
          </w:p>
        </w:tc>
        <w:tc>
          <w:tcPr>
            <w:tcW w:w="1639" w:type="dxa"/>
            <w:shd w:val="clear" w:color="auto" w:fill="auto"/>
            <w:vAlign w:val="center"/>
          </w:tcPr>
          <w:p w14:paraId="54625777">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507" w:type="dxa"/>
            <w:gridSpan w:val="2"/>
            <w:shd w:val="clear" w:color="auto" w:fill="auto"/>
            <w:vAlign w:val="center"/>
          </w:tcPr>
          <w:p w14:paraId="39B266CC">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37,466.87</w:t>
            </w:r>
          </w:p>
        </w:tc>
        <w:tc>
          <w:tcPr>
            <w:tcW w:w="1506" w:type="dxa"/>
            <w:shd w:val="clear" w:color="auto" w:fill="auto"/>
            <w:vAlign w:val="center"/>
          </w:tcPr>
          <w:p w14:paraId="1069A52F">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41,556.91</w:t>
            </w:r>
          </w:p>
        </w:tc>
        <w:tc>
          <w:tcPr>
            <w:tcW w:w="1506" w:type="dxa"/>
            <w:shd w:val="clear" w:color="auto" w:fill="auto"/>
            <w:vAlign w:val="center"/>
          </w:tcPr>
          <w:p w14:paraId="378211F6">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40,906.07</w:t>
            </w:r>
          </w:p>
        </w:tc>
        <w:tc>
          <w:tcPr>
            <w:tcW w:w="1639" w:type="dxa"/>
            <w:shd w:val="clear" w:color="auto" w:fill="auto"/>
            <w:vAlign w:val="center"/>
          </w:tcPr>
          <w:p w14:paraId="23CCAAC5">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28,905.75</w:t>
            </w:r>
          </w:p>
        </w:tc>
        <w:tc>
          <w:tcPr>
            <w:tcW w:w="1506" w:type="dxa"/>
            <w:shd w:val="clear" w:color="auto" w:fill="auto"/>
            <w:vAlign w:val="center"/>
          </w:tcPr>
          <w:p w14:paraId="59E4F9BA">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27,408.49</w:t>
            </w:r>
          </w:p>
        </w:tc>
        <w:tc>
          <w:tcPr>
            <w:tcW w:w="1521" w:type="dxa"/>
            <w:shd w:val="clear" w:color="auto" w:fill="auto"/>
            <w:vAlign w:val="center"/>
          </w:tcPr>
          <w:p w14:paraId="497EAC58">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25,018.50</w:t>
            </w:r>
          </w:p>
        </w:tc>
      </w:tr>
      <w:tr w14:paraId="4CCB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013" w:type="pct"/>
            <w:gridSpan w:val="4"/>
            <w:shd w:val="clear" w:color="auto" w:fill="auto"/>
            <w:vAlign w:val="center"/>
          </w:tcPr>
          <w:p w14:paraId="68D6275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债券资金覆盖倍数</w:t>
            </w:r>
          </w:p>
        </w:tc>
        <w:tc>
          <w:tcPr>
            <w:tcW w:w="2986" w:type="pct"/>
            <w:gridSpan w:val="6"/>
            <w:shd w:val="clear" w:color="auto" w:fill="auto"/>
            <w:vAlign w:val="center"/>
          </w:tcPr>
          <w:p w14:paraId="40C3641A">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1.20</w:t>
            </w:r>
          </w:p>
        </w:tc>
      </w:tr>
    </w:tbl>
    <w:p w14:paraId="30E4431F">
      <w:pPr>
        <w:pStyle w:val="20"/>
        <w:spacing w:before="0" w:beforeAutospacing="0" w:after="0" w:afterAutospacing="0" w:line="360" w:lineRule="exact"/>
        <w:ind w:firstLine="360" w:firstLineChars="200"/>
        <w:rPr>
          <w:sz w:val="18"/>
          <w:szCs w:val="18"/>
        </w:rPr>
      </w:pPr>
      <w:r>
        <w:rPr>
          <w:rFonts w:hint="eastAsia"/>
          <w:sz w:val="18"/>
          <w:szCs w:val="18"/>
        </w:rPr>
        <w:t>注：按照在存续期内预期收入和预期支出测算，本项目在存续期间能够产生持续稳定的净现金流。按照预计条件估算的资金平衡结果，项目存续期内可达到的偿债资金覆盖倍数为</w:t>
      </w:r>
      <w:r>
        <w:rPr>
          <w:sz w:val="18"/>
          <w:szCs w:val="18"/>
        </w:rPr>
        <w:t>1</w:t>
      </w:r>
      <w:r>
        <w:rPr>
          <w:rFonts w:hint="eastAsia"/>
          <w:sz w:val="18"/>
          <w:szCs w:val="18"/>
        </w:rPr>
        <w:t>.20倍，还本付息资金有充分保障。</w:t>
      </w:r>
    </w:p>
    <w:p w14:paraId="5B38F940">
      <w:pPr>
        <w:pStyle w:val="20"/>
        <w:spacing w:before="0" w:beforeAutospacing="0" w:afterLines="50" w:afterAutospacing="0" w:line="360" w:lineRule="exact"/>
        <w:ind w:firstLine="420" w:firstLineChars="200"/>
        <w:jc w:val="both"/>
        <w:rPr>
          <w:sz w:val="21"/>
          <w:szCs w:val="21"/>
        </w:rPr>
        <w:sectPr>
          <w:pgSz w:w="16838" w:h="11906" w:orient="landscape"/>
          <w:pgMar w:top="1701" w:right="1531" w:bottom="1701" w:left="1418" w:header="851" w:footer="992" w:gutter="0"/>
          <w:cols w:space="425" w:num="1"/>
          <w:docGrid w:type="linesAndChars" w:linePitch="312" w:charSpace="0"/>
        </w:sectPr>
      </w:pPr>
    </w:p>
    <w:p w14:paraId="53D6ADD0">
      <w:pPr>
        <w:pStyle w:val="20"/>
        <w:spacing w:before="0" w:beforeAutospacing="0" w:after="0" w:afterAutospacing="0" w:line="360" w:lineRule="auto"/>
        <w:ind w:firstLine="484" w:firstLineChars="200"/>
        <w:rPr>
          <w:sz w:val="24"/>
          <w:szCs w:val="24"/>
        </w:rPr>
      </w:pPr>
      <w:r>
        <w:rPr>
          <w:rFonts w:hint="eastAsia"/>
          <w:sz w:val="24"/>
          <w:szCs w:val="24"/>
        </w:rPr>
        <w:t>本次发行专项债券各项目预期运营业务活动现金流入合计196,164.74万元，运营业务活动现金流出合计67,666.79万元，债券存续期内债券本金与利息合计72,601.91万元，项目存续期内偿债资金覆盖倍数为1.20倍，还本付息资金有充分保障，项目实施方案资金计划能够满足发行专项债券资金充足性要求。债券存续期间现金流入、流出与期末累计现金结存额如图所示：</w:t>
      </w:r>
    </w:p>
    <w:p w14:paraId="67D9178D">
      <w:pPr>
        <w:pStyle w:val="20"/>
        <w:spacing w:before="0" w:beforeAutospacing="0" w:after="0" w:afterAutospacing="0"/>
        <w:ind w:firstLine="364" w:firstLineChars="200"/>
        <w:jc w:val="right"/>
        <w:rPr>
          <w:sz w:val="21"/>
          <w:szCs w:val="21"/>
        </w:rPr>
      </w:pPr>
      <w:r>
        <w:rPr>
          <w:rFonts w:hint="eastAsia"/>
          <w:sz w:val="18"/>
          <w:szCs w:val="18"/>
        </w:rPr>
        <w:t>单位：万元</w:t>
      </w:r>
    </w:p>
    <w:p w14:paraId="127B33FA">
      <w:pPr>
        <w:pStyle w:val="20"/>
        <w:spacing w:before="0" w:beforeAutospacing="0" w:after="0" w:afterAutospacing="0"/>
        <w:jc w:val="center"/>
        <w:rPr>
          <w:sz w:val="18"/>
          <w:szCs w:val="18"/>
        </w:rPr>
      </w:pPr>
      <w:r>
        <w:drawing>
          <wp:inline distT="0" distB="0" distL="114300" distR="114300">
            <wp:extent cx="4519295" cy="3084195"/>
            <wp:effectExtent l="4445" t="4445" r="10160" b="16510"/>
            <wp:docPr id="1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C441B74">
      <w:pPr>
        <w:pStyle w:val="20"/>
        <w:spacing w:before="0" w:beforeAutospacing="0" w:afterLines="50" w:afterAutospacing="0" w:line="360" w:lineRule="exact"/>
        <w:ind w:firstLine="424" w:firstLineChars="200"/>
        <w:jc w:val="center"/>
        <w:rPr>
          <w:sz w:val="21"/>
          <w:szCs w:val="21"/>
        </w:rPr>
      </w:pPr>
      <w:r>
        <w:rPr>
          <w:rFonts w:hint="eastAsia"/>
          <w:sz w:val="21"/>
          <w:szCs w:val="21"/>
        </w:rPr>
        <w:t>图3-</w:t>
      </w:r>
      <w:r>
        <w:rPr>
          <w:sz w:val="21"/>
          <w:szCs w:val="21"/>
        </w:rPr>
        <w:t xml:space="preserve">1  </w:t>
      </w:r>
      <w:r>
        <w:rPr>
          <w:rFonts w:hint="eastAsia"/>
          <w:sz w:val="21"/>
          <w:szCs w:val="21"/>
        </w:rPr>
        <w:t>债券存续期间现金流情况图</w:t>
      </w:r>
    </w:p>
    <w:p w14:paraId="22801552">
      <w:pPr>
        <w:spacing w:before="156" w:line="560" w:lineRule="exact"/>
        <w:ind w:firstLine="560" w:firstLineChars="199"/>
        <w:rPr>
          <w:rFonts w:cs="楷体" w:asciiTheme="minorEastAsia" w:hAnsiTheme="minorEastAsia"/>
          <w:b/>
          <w:bCs/>
          <w:sz w:val="28"/>
          <w:szCs w:val="28"/>
        </w:rPr>
      </w:pPr>
      <w:r>
        <w:rPr>
          <w:rFonts w:hint="eastAsia" w:ascii="黑体" w:hAnsi="黑体" w:eastAsia="黑体" w:cs="黑体"/>
          <w:sz w:val="28"/>
          <w:szCs w:val="28"/>
        </w:rPr>
        <w:t>四、</w:t>
      </w:r>
      <w:r>
        <w:rPr>
          <w:rFonts w:hint="eastAsia" w:cs="楷体" w:asciiTheme="minorEastAsia" w:hAnsiTheme="minorEastAsia"/>
          <w:b/>
          <w:bCs/>
          <w:sz w:val="28"/>
          <w:szCs w:val="28"/>
        </w:rPr>
        <w:t>事前绩效评价</w:t>
      </w:r>
      <w:bookmarkEnd w:id="200"/>
    </w:p>
    <w:p w14:paraId="037F976E">
      <w:pPr>
        <w:spacing w:line="560" w:lineRule="atLeast"/>
        <w:ind w:firstLine="480"/>
        <w:rPr>
          <w:rFonts w:cs="仿宋" w:asciiTheme="minorEastAsia" w:hAnsiTheme="minorEastAsia"/>
          <w:sz w:val="24"/>
          <w:szCs w:val="24"/>
        </w:rPr>
      </w:pPr>
      <w:bookmarkStart w:id="202" w:name="_Toc9563_WPSOffice_Level2"/>
      <w:r>
        <w:rPr>
          <w:rFonts w:hint="eastAsia" w:cs="仿宋" w:asciiTheme="minorEastAsia" w:hAnsiTheme="minorEastAsia"/>
          <w:sz w:val="24"/>
          <w:szCs w:val="24"/>
        </w:rPr>
        <w:t>1、项目实施的必要性、公益性、收益性</w:t>
      </w:r>
      <w:bookmarkEnd w:id="202"/>
    </w:p>
    <w:p w14:paraId="7CB30A32">
      <w:pPr>
        <w:spacing w:line="560" w:lineRule="atLeast"/>
        <w:ind w:firstLine="149" w:firstLineChars="62"/>
        <w:rPr>
          <w:rFonts w:cs="仿宋" w:asciiTheme="minorEastAsia" w:hAnsiTheme="minorEastAsia"/>
          <w:sz w:val="24"/>
          <w:szCs w:val="24"/>
        </w:rPr>
      </w:pPr>
      <w:r>
        <w:rPr>
          <w:rFonts w:hint="eastAsia" w:cs="仿宋" w:asciiTheme="minorEastAsia" w:hAnsiTheme="minorEastAsia"/>
          <w:sz w:val="24"/>
          <w:szCs w:val="24"/>
        </w:rPr>
        <w:t>（1）必要性</w:t>
      </w:r>
    </w:p>
    <w:p w14:paraId="30923B05">
      <w:pPr>
        <w:widowControl/>
        <w:spacing w:line="520" w:lineRule="exact"/>
        <w:ind w:firstLine="484" w:firstLineChars="200"/>
        <w:rPr>
          <w:sz w:val="24"/>
          <w:szCs w:val="24"/>
        </w:rPr>
      </w:pPr>
      <w:r>
        <w:rPr>
          <w:rFonts w:hint="eastAsia" w:cs="仿宋" w:asciiTheme="minorEastAsia" w:hAnsiTheme="minorEastAsia"/>
          <w:sz w:val="24"/>
          <w:szCs w:val="24"/>
        </w:rPr>
        <w:t>1）</w:t>
      </w:r>
      <w:r>
        <w:rPr>
          <w:rFonts w:hint="eastAsia"/>
          <w:sz w:val="24"/>
          <w:szCs w:val="24"/>
          <w:lang w:val="zh-TW" w:eastAsia="zh-TW"/>
        </w:rPr>
        <w:t>项目建设完成后，将为南昌县汽车零配件项目提供落户平台</w:t>
      </w:r>
    </w:p>
    <w:p w14:paraId="4F6607D5">
      <w:pPr>
        <w:spacing w:line="560" w:lineRule="atLeast"/>
        <w:ind w:firstLine="480"/>
        <w:rPr>
          <w:rFonts w:cs="仿宋" w:asciiTheme="minorEastAsia" w:hAnsiTheme="minorEastAsia"/>
          <w:sz w:val="24"/>
          <w:szCs w:val="24"/>
        </w:rPr>
      </w:pPr>
      <w:r>
        <w:rPr>
          <w:rFonts w:hint="eastAsia" w:cs="仿宋" w:asciiTheme="minorEastAsia" w:hAnsiTheme="minorEastAsia"/>
          <w:sz w:val="24"/>
          <w:szCs w:val="24"/>
        </w:rPr>
        <w:t>2）</w:t>
      </w:r>
      <w:r>
        <w:rPr>
          <w:rFonts w:hint="eastAsia"/>
          <w:sz w:val="24"/>
          <w:szCs w:val="24"/>
        </w:rPr>
        <w:t>项目建设</w:t>
      </w:r>
      <w:r>
        <w:rPr>
          <w:rFonts w:hint="eastAsia"/>
          <w:sz w:val="24"/>
          <w:szCs w:val="24"/>
          <w:lang w:val="zh-TW" w:eastAsia="zh-TW"/>
        </w:rPr>
        <w:t>加大南昌小蓝经济开发区汽车行业发展规模</w:t>
      </w:r>
    </w:p>
    <w:p w14:paraId="7E146D88">
      <w:pPr>
        <w:pStyle w:val="5"/>
        <w:widowControl/>
        <w:adjustRightInd/>
        <w:snapToGrid/>
        <w:spacing w:beforeLines="0" w:afterLines="0" w:line="520" w:lineRule="exact"/>
        <w:ind w:firstLine="482"/>
        <w:rPr>
          <w:sz w:val="24"/>
          <w:szCs w:val="24"/>
        </w:rPr>
      </w:pPr>
      <w:r>
        <w:rPr>
          <w:rFonts w:cs="仿宋" w:asciiTheme="minorEastAsia" w:hAnsiTheme="minorEastAsia"/>
          <w:sz w:val="24"/>
          <w:szCs w:val="24"/>
        </w:rPr>
        <w:t>3</w:t>
      </w:r>
      <w:r>
        <w:rPr>
          <w:rFonts w:hint="eastAsia" w:cs="仿宋" w:asciiTheme="minorEastAsia" w:hAnsiTheme="minorEastAsia"/>
          <w:sz w:val="24"/>
          <w:szCs w:val="24"/>
        </w:rPr>
        <w:t>）</w:t>
      </w:r>
      <w:r>
        <w:rPr>
          <w:rFonts w:hint="eastAsia" w:asciiTheme="minorHAnsi" w:hAnsiTheme="minorHAnsi" w:eastAsiaTheme="minorEastAsia" w:cstheme="minorBidi"/>
          <w:b w:val="0"/>
          <w:kern w:val="2"/>
          <w:sz w:val="24"/>
          <w:szCs w:val="24"/>
          <w:lang w:val="en-US"/>
        </w:rPr>
        <w:t>项目建设</w:t>
      </w:r>
      <w:r>
        <w:rPr>
          <w:rFonts w:hint="eastAsia" w:asciiTheme="minorHAnsi" w:hAnsiTheme="minorHAnsi" w:eastAsiaTheme="minorEastAsia" w:cstheme="minorBidi"/>
          <w:b w:val="0"/>
          <w:kern w:val="2"/>
          <w:sz w:val="24"/>
          <w:szCs w:val="24"/>
          <w:lang w:val="zh-TW" w:eastAsia="zh-TW"/>
        </w:rPr>
        <w:t>可扩大南昌县汽车零配件行业的产业规模，推动汽车行业发展</w:t>
      </w:r>
    </w:p>
    <w:p w14:paraId="4FDD2322">
      <w:pPr>
        <w:spacing w:line="560" w:lineRule="atLeast"/>
        <w:ind w:firstLine="149" w:firstLineChars="62"/>
        <w:rPr>
          <w:rFonts w:cs="仿宋" w:asciiTheme="minorEastAsia" w:hAnsiTheme="minorEastAsia"/>
          <w:sz w:val="24"/>
          <w:szCs w:val="24"/>
        </w:rPr>
      </w:pPr>
      <w:r>
        <w:rPr>
          <w:rFonts w:hint="eastAsia" w:cs="仿宋" w:asciiTheme="minorEastAsia" w:hAnsiTheme="minorEastAsia"/>
          <w:sz w:val="24"/>
          <w:szCs w:val="24"/>
        </w:rPr>
        <w:t>（2）公益性</w:t>
      </w:r>
    </w:p>
    <w:p w14:paraId="0B8823C5">
      <w:pPr>
        <w:spacing w:line="560" w:lineRule="atLeast"/>
        <w:ind w:firstLine="480"/>
        <w:rPr>
          <w:sz w:val="24"/>
          <w:szCs w:val="24"/>
          <w:lang w:val="zh-TW" w:eastAsia="zh-TW"/>
        </w:rPr>
      </w:pPr>
      <w:r>
        <w:rPr>
          <w:rFonts w:hint="eastAsia"/>
          <w:sz w:val="24"/>
          <w:szCs w:val="24"/>
          <w:lang w:val="zh-TW" w:eastAsia="zh-TW"/>
        </w:rPr>
        <w:t>南昌小蓝汽车零部件产业园项目的建设，有利于实体经济环境建设和社会经济发展，处理好长远与眼前、全局与局部的关系，促进企业效益、经济效益和社会效益的协调统一。</w:t>
      </w:r>
    </w:p>
    <w:p w14:paraId="0B2800D9">
      <w:pPr>
        <w:spacing w:line="560" w:lineRule="atLeast"/>
        <w:ind w:firstLine="242" w:firstLineChars="100"/>
        <w:rPr>
          <w:sz w:val="24"/>
          <w:szCs w:val="24"/>
          <w:lang w:val="zh-TW" w:eastAsia="zh-TW"/>
        </w:rPr>
      </w:pPr>
      <w:r>
        <w:rPr>
          <w:rFonts w:hint="eastAsia" w:cs="仿宋" w:asciiTheme="minorEastAsia" w:hAnsiTheme="minorEastAsia"/>
          <w:sz w:val="24"/>
          <w:szCs w:val="24"/>
        </w:rPr>
        <w:t>（3</w:t>
      </w:r>
      <w:r>
        <w:rPr>
          <w:rFonts w:cs="仿宋" w:asciiTheme="minorEastAsia" w:hAnsiTheme="minorEastAsia"/>
          <w:sz w:val="24"/>
          <w:szCs w:val="24"/>
        </w:rPr>
        <w:t>）</w:t>
      </w:r>
      <w:r>
        <w:rPr>
          <w:rFonts w:hint="eastAsia" w:cs="仿宋" w:asciiTheme="minorEastAsia" w:hAnsiTheme="minorEastAsia"/>
          <w:sz w:val="24"/>
          <w:szCs w:val="24"/>
        </w:rPr>
        <w:t>收益性</w:t>
      </w:r>
      <w:bookmarkStart w:id="203" w:name="_Toc16410_WPSOffice_Level2"/>
    </w:p>
    <w:p w14:paraId="7B73FA24">
      <w:pPr>
        <w:pStyle w:val="97"/>
        <w:spacing w:line="520" w:lineRule="exact"/>
        <w:ind w:firstLine="484" w:firstLineChars="200"/>
        <w:jc w:val="both"/>
        <w:rPr>
          <w:sz w:val="24"/>
          <w:szCs w:val="24"/>
          <w:lang w:val="en-US" w:eastAsia="zh-CN"/>
        </w:rPr>
      </w:pPr>
      <w:r>
        <w:rPr>
          <w:rFonts w:hint="eastAsia" w:asciiTheme="minorHAnsi" w:hAnsiTheme="minorHAnsi" w:eastAsiaTheme="minorEastAsia" w:cstheme="minorBidi"/>
          <w:sz w:val="24"/>
          <w:szCs w:val="24"/>
          <w:lang w:bidi="ar-SA"/>
        </w:rPr>
        <w:t>项目的建成，</w:t>
      </w:r>
      <w:r>
        <w:rPr>
          <w:rFonts w:hint="eastAsia" w:asciiTheme="minorHAnsi" w:hAnsiTheme="minorHAnsi" w:eastAsiaTheme="minorEastAsia" w:cstheme="minorBidi"/>
          <w:sz w:val="24"/>
          <w:szCs w:val="24"/>
          <w:lang w:val="en-US" w:eastAsia="zh-CN" w:bidi="ar-SA"/>
        </w:rPr>
        <w:t>可</w:t>
      </w:r>
      <w:r>
        <w:rPr>
          <w:rFonts w:hint="eastAsia" w:asciiTheme="minorHAnsi" w:hAnsiTheme="minorHAnsi" w:eastAsiaTheme="minorEastAsia" w:cstheme="minorBidi"/>
          <w:sz w:val="24"/>
          <w:szCs w:val="24"/>
          <w:lang w:bidi="ar-SA"/>
        </w:rPr>
        <w:t>带动当地建设步伐，为社会创造较多的就业机会，缓解当地的就业压力，很大程度上解决社会的就业问题，具有较明显的社会效益。可扩大南昌县汽车零配件行业的产业规模，推动汽车行业发展，从而实现带动南昌县宏观经济发展。随着企业产业规模的扩大，人工压力也会提高，将会给社会带来更多的就业机会，带动地方经济，居民收入也会提高，为进一步建设小康社会做贡献。</w:t>
      </w:r>
    </w:p>
    <w:p w14:paraId="0161643A">
      <w:pPr>
        <w:spacing w:line="560" w:lineRule="exact"/>
        <w:rPr>
          <w:rFonts w:asciiTheme="minorEastAsia" w:hAnsiTheme="minorEastAsia" w:cstheme="minorEastAsia"/>
          <w:sz w:val="24"/>
          <w:szCs w:val="24"/>
        </w:rPr>
      </w:pPr>
      <w:r>
        <w:rPr>
          <w:rFonts w:hint="eastAsia" w:asciiTheme="minorEastAsia" w:hAnsiTheme="minorEastAsia" w:cstheme="minorEastAsia"/>
          <w:sz w:val="24"/>
          <w:szCs w:val="24"/>
        </w:rPr>
        <w:t>2、项目建设投资合规性与项目成熟度</w:t>
      </w:r>
      <w:bookmarkEnd w:id="203"/>
    </w:p>
    <w:p w14:paraId="2C51CB28">
      <w:pPr>
        <w:widowControl/>
        <w:spacing w:line="560" w:lineRule="exact"/>
        <w:ind w:firstLine="484"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项目已获得</w:t>
      </w:r>
      <w:r>
        <w:rPr>
          <w:rFonts w:hint="eastAsia" w:asciiTheme="minorEastAsia" w:hAnsiTheme="minorEastAsia"/>
          <w:sz w:val="24"/>
          <w:szCs w:val="24"/>
        </w:rPr>
        <w:t>南昌县发改委文件《关于对</w:t>
      </w:r>
      <w:r>
        <w:rPr>
          <w:rFonts w:hint="eastAsia" w:cs="仿宋" w:asciiTheme="minorEastAsia" w:hAnsiTheme="minorEastAsia"/>
          <w:sz w:val="24"/>
          <w:szCs w:val="24"/>
        </w:rPr>
        <w:t>汽车零部件产业园（二期）及配套设施项目</w:t>
      </w:r>
      <w:r>
        <w:rPr>
          <w:rFonts w:hint="eastAsia" w:asciiTheme="minorEastAsia" w:hAnsiTheme="minorEastAsia"/>
          <w:sz w:val="24"/>
          <w:szCs w:val="24"/>
        </w:rPr>
        <w:t>可行性研究报告的批复》（南发改投字[2022]11号）</w:t>
      </w:r>
      <w:r>
        <w:rPr>
          <w:rFonts w:hint="eastAsia" w:asciiTheme="minorEastAsia" w:hAnsiTheme="minorEastAsia" w:cstheme="minorEastAsia"/>
          <w:sz w:val="24"/>
          <w:szCs w:val="24"/>
        </w:rPr>
        <w:t>批复。</w:t>
      </w:r>
    </w:p>
    <w:p w14:paraId="49B1CC0B">
      <w:pPr>
        <w:spacing w:line="560" w:lineRule="exact"/>
        <w:ind w:firstLine="480"/>
        <w:rPr>
          <w:rFonts w:asciiTheme="minorEastAsia" w:hAnsiTheme="minorEastAsia" w:cstheme="minorEastAsia"/>
          <w:sz w:val="24"/>
          <w:szCs w:val="24"/>
        </w:rPr>
      </w:pPr>
      <w:r>
        <w:rPr>
          <w:rFonts w:hint="eastAsia" w:asciiTheme="minorEastAsia" w:hAnsiTheme="minorEastAsia" w:cstheme="minorEastAsia"/>
          <w:sz w:val="24"/>
          <w:szCs w:val="24"/>
        </w:rPr>
        <w:t>项目建设有其充分的必要性，前期手续完善，项目资金为部分县财政局，部分申请政府专项债券资金。项目成熟度、可靠度较高。</w:t>
      </w:r>
    </w:p>
    <w:p w14:paraId="1B5F1624">
      <w:pPr>
        <w:pStyle w:val="40"/>
        <w:numPr>
          <w:ilvl w:val="0"/>
          <w:numId w:val="9"/>
        </w:numPr>
        <w:spacing w:after="160" w:line="560" w:lineRule="exact"/>
        <w:rPr>
          <w:rFonts w:asciiTheme="minorEastAsia" w:hAnsiTheme="minorEastAsia" w:eastAsiaTheme="minorEastAsia" w:cstheme="minorEastAsia"/>
          <w:sz w:val="24"/>
          <w:szCs w:val="24"/>
        </w:rPr>
      </w:pPr>
      <w:bookmarkStart w:id="204" w:name="_Toc4078_WPSOffice_Level2"/>
      <w:r>
        <w:rPr>
          <w:rFonts w:hint="eastAsia" w:asciiTheme="minorEastAsia" w:hAnsiTheme="minorEastAsia" w:eastAsiaTheme="minorEastAsia" w:cstheme="minorEastAsia"/>
          <w:sz w:val="24"/>
          <w:szCs w:val="24"/>
        </w:rPr>
        <w:t>项目资金来源和可到位性</w:t>
      </w:r>
      <w:bookmarkEnd w:id="204"/>
    </w:p>
    <w:p w14:paraId="53995397">
      <w:pPr>
        <w:spacing w:line="360" w:lineRule="auto"/>
        <w:ind w:firstLine="484" w:firstLineChars="200"/>
        <w:jc w:val="left"/>
        <w:rPr>
          <w:rFonts w:ascii="宋体" w:hAnsi="宋体" w:eastAsia="宋体" w:cs="仿宋"/>
          <w:sz w:val="24"/>
          <w:szCs w:val="24"/>
        </w:rPr>
      </w:pPr>
      <w:bookmarkStart w:id="205" w:name="_Toc25515_WPSOffice_Level2"/>
      <w:r>
        <w:rPr>
          <w:rFonts w:hint="eastAsia" w:ascii="宋体" w:hAnsi="宋体" w:eastAsia="宋体" w:cs="仿宋"/>
          <w:sz w:val="24"/>
          <w:szCs w:val="24"/>
        </w:rPr>
        <w:t>项目资金筹措方式由资本金、其他融资和发行地方政府专项债构成，其中：资本金</w:t>
      </w:r>
      <w:r>
        <w:rPr>
          <w:rFonts w:hint="eastAsia" w:asciiTheme="minorEastAsia" w:hAnsiTheme="minorEastAsia"/>
          <w:sz w:val="24"/>
          <w:szCs w:val="24"/>
        </w:rPr>
        <w:t>13223.6</w:t>
      </w:r>
      <w:r>
        <w:rPr>
          <w:rFonts w:hint="eastAsia" w:ascii="宋体" w:hAnsi="宋体" w:eastAsia="宋体" w:cs="仿宋"/>
          <w:sz w:val="24"/>
          <w:szCs w:val="24"/>
        </w:rPr>
        <w:t>万元，占总投资比例20%，本期发行专项债券4850万元，</w:t>
      </w:r>
    </w:p>
    <w:p w14:paraId="609400F0">
      <w:pPr>
        <w:spacing w:before="156" w:line="560" w:lineRule="exact"/>
        <w:ind w:firstLine="480" w:firstLineChars="199"/>
        <w:outlineLvl w:val="0"/>
        <w:rPr>
          <w:rFonts w:asciiTheme="minorEastAsia" w:hAnsiTheme="minorEastAsia"/>
          <w:sz w:val="24"/>
          <w:szCs w:val="24"/>
        </w:rPr>
      </w:pPr>
      <w:r>
        <w:rPr>
          <w:rFonts w:hint="eastAsia" w:asciiTheme="minorEastAsia" w:hAnsiTheme="minorEastAsia"/>
          <w:sz w:val="24"/>
          <w:szCs w:val="24"/>
        </w:rPr>
        <w:t>4、项目收入、成本、收益预测合理性</w:t>
      </w:r>
      <w:bookmarkEnd w:id="205"/>
    </w:p>
    <w:p w14:paraId="3A0F24F7">
      <w:pPr>
        <w:widowControl/>
        <w:spacing w:line="560" w:lineRule="exact"/>
        <w:ind w:firstLine="484" w:firstLineChars="200"/>
        <w:rPr>
          <w:rFonts w:asciiTheme="minorEastAsia" w:hAnsiTheme="minorEastAsia" w:cstheme="minorEastAsia"/>
          <w:sz w:val="24"/>
          <w:szCs w:val="24"/>
        </w:rPr>
      </w:pPr>
      <w:r>
        <w:rPr>
          <w:rFonts w:hint="eastAsia" w:asciiTheme="minorEastAsia" w:hAnsiTheme="minorEastAsia" w:cstheme="minorEastAsia"/>
          <w:sz w:val="24"/>
          <w:szCs w:val="24"/>
        </w:rPr>
        <w:t>根据项目可行性研究报告并结合实际情况进行测算，本项目债券存续期内收入包含厂房租金收入、配套用房收入，预计产生运营收入</w:t>
      </w:r>
      <w:r>
        <w:rPr>
          <w:rFonts w:hint="eastAsia" w:asciiTheme="minorEastAsia" w:hAnsiTheme="minorEastAsia"/>
          <w:sz w:val="24"/>
          <w:szCs w:val="24"/>
        </w:rPr>
        <w:t>196,164.74</w:t>
      </w:r>
      <w:r>
        <w:rPr>
          <w:rFonts w:hint="eastAsia" w:asciiTheme="minorEastAsia" w:hAnsiTheme="minorEastAsia" w:cstheme="minorEastAsia"/>
          <w:sz w:val="24"/>
          <w:szCs w:val="24"/>
        </w:rPr>
        <w:t>万元。运营成本包含外购原材料及动力费、工资及福利费、修理费、其他费用等，预计产生运营成本</w:t>
      </w:r>
      <w:r>
        <w:rPr>
          <w:rFonts w:hint="eastAsia" w:asciiTheme="minorEastAsia" w:hAnsiTheme="minorEastAsia"/>
          <w:sz w:val="24"/>
          <w:szCs w:val="24"/>
        </w:rPr>
        <w:t>67,666.79万元</w:t>
      </w:r>
      <w:r>
        <w:rPr>
          <w:rFonts w:hint="eastAsia" w:asciiTheme="minorEastAsia" w:hAnsiTheme="minorEastAsia" w:cstheme="minorEastAsia"/>
          <w:sz w:val="24"/>
          <w:szCs w:val="24"/>
        </w:rPr>
        <w:t>。</w:t>
      </w:r>
    </w:p>
    <w:p w14:paraId="438E11D8">
      <w:pPr>
        <w:spacing w:line="560" w:lineRule="atLeast"/>
        <w:ind w:firstLine="480"/>
        <w:rPr>
          <w:rFonts w:asciiTheme="minorEastAsia" w:hAnsiTheme="minorEastAsia"/>
          <w:sz w:val="24"/>
          <w:szCs w:val="24"/>
        </w:rPr>
      </w:pPr>
      <w:bookmarkStart w:id="206" w:name="_Toc29815_WPSOffice_Level2"/>
      <w:r>
        <w:rPr>
          <w:rFonts w:hint="eastAsia" w:asciiTheme="minorEastAsia" w:hAnsiTheme="minorEastAsia"/>
          <w:sz w:val="24"/>
          <w:szCs w:val="24"/>
        </w:rPr>
        <w:t>5、债券资金需求合理性</w:t>
      </w:r>
      <w:bookmarkEnd w:id="206"/>
    </w:p>
    <w:p w14:paraId="7BB0F494">
      <w:pPr>
        <w:spacing w:before="156" w:line="560" w:lineRule="exact"/>
        <w:ind w:firstLine="480" w:firstLineChars="199"/>
        <w:outlineLvl w:val="0"/>
        <w:rPr>
          <w:rFonts w:asciiTheme="minorEastAsia" w:hAnsiTheme="minorEastAsia"/>
          <w:sz w:val="24"/>
          <w:szCs w:val="24"/>
        </w:rPr>
      </w:pPr>
      <w:r>
        <w:rPr>
          <w:rFonts w:hint="eastAsia" w:asciiTheme="minorEastAsia" w:hAnsiTheme="minorEastAsia"/>
          <w:sz w:val="24"/>
          <w:szCs w:val="24"/>
        </w:rPr>
        <w:t>本项目资本金比例</w:t>
      </w:r>
      <w:r>
        <w:rPr>
          <w:rFonts w:hint="eastAsia" w:ascii="宋体" w:hAnsi="宋体" w:eastAsia="宋体" w:cs="仿宋"/>
          <w:sz w:val="24"/>
          <w:szCs w:val="24"/>
        </w:rPr>
        <w:t>58.16</w:t>
      </w:r>
      <w:r>
        <w:rPr>
          <w:rFonts w:asciiTheme="minorEastAsia" w:hAnsiTheme="minorEastAsia"/>
          <w:sz w:val="24"/>
          <w:szCs w:val="24"/>
        </w:rPr>
        <w:t>%</w:t>
      </w:r>
      <w:r>
        <w:rPr>
          <w:rFonts w:hint="eastAsia" w:asciiTheme="minorEastAsia" w:hAnsiTheme="minorEastAsia"/>
          <w:sz w:val="24"/>
          <w:szCs w:val="24"/>
        </w:rPr>
        <w:t>，满足国家发改委对固定资产投资项目资本金比例的要求。项目拟申请债券资金本息额共计68,150.29</w:t>
      </w:r>
      <w:r>
        <w:rPr>
          <w:rFonts w:hint="eastAsia" w:asciiTheme="minorEastAsia" w:hAnsiTheme="minorEastAsia" w:cstheme="minorEastAsia"/>
          <w:color w:val="000000" w:themeColor="text1"/>
          <w:sz w:val="24"/>
          <w:szCs w:val="24"/>
          <w14:textFill>
            <w14:solidFill>
              <w14:schemeClr w14:val="tx1"/>
            </w14:solidFill>
          </w14:textFill>
        </w:rPr>
        <w:t>万元</w:t>
      </w:r>
      <w:r>
        <w:rPr>
          <w:rFonts w:hint="eastAsia" w:asciiTheme="minorEastAsia" w:hAnsiTheme="minorEastAsia" w:cstheme="minorEastAsia"/>
          <w:sz w:val="24"/>
          <w:szCs w:val="24"/>
        </w:rPr>
        <w:t>，银行借款及债券资金本息合计106646.91万元，项目收益预计为</w:t>
      </w:r>
      <w:r>
        <w:rPr>
          <w:rFonts w:hint="eastAsia" w:asciiTheme="majorEastAsia" w:hAnsiTheme="majorEastAsia" w:eastAsiaTheme="majorEastAsia" w:cstheme="majorEastAsia"/>
          <w:color w:val="000000"/>
          <w:sz w:val="24"/>
          <w:szCs w:val="24"/>
        </w:rPr>
        <w:t>128804.05</w:t>
      </w:r>
      <w:r>
        <w:rPr>
          <w:rFonts w:hint="eastAsia" w:asciiTheme="minorEastAsia" w:hAnsiTheme="minorEastAsia" w:cstheme="minorEastAsia"/>
          <w:color w:val="000000" w:themeColor="text1"/>
          <w:sz w:val="24"/>
          <w:szCs w:val="24"/>
          <w14:textFill>
            <w14:solidFill>
              <w14:schemeClr w14:val="tx1"/>
            </w14:solidFill>
          </w14:textFill>
        </w:rPr>
        <w:t>万元</w:t>
      </w:r>
      <w:r>
        <w:rPr>
          <w:rFonts w:hint="eastAsia" w:asciiTheme="minorEastAsia" w:hAnsiTheme="minorEastAsia" w:cstheme="minorEastAsia"/>
          <w:sz w:val="24"/>
          <w:szCs w:val="24"/>
        </w:rPr>
        <w:t>，项目收益对债券本息的覆盖倍数</w:t>
      </w:r>
      <w:r>
        <w:rPr>
          <w:rFonts w:hint="eastAsia" w:asciiTheme="minorEastAsia" w:hAnsiTheme="minorEastAsia"/>
          <w:sz w:val="24"/>
          <w:szCs w:val="24"/>
        </w:rPr>
        <w:t>计算为1.2，偿债保障性较高，债券需求额度合理。</w:t>
      </w:r>
    </w:p>
    <w:p w14:paraId="7020C78E">
      <w:pPr>
        <w:spacing w:line="560" w:lineRule="atLeast"/>
        <w:ind w:firstLine="480"/>
        <w:rPr>
          <w:rFonts w:asciiTheme="minorEastAsia" w:hAnsiTheme="minorEastAsia"/>
          <w:sz w:val="24"/>
          <w:szCs w:val="24"/>
        </w:rPr>
      </w:pPr>
      <w:bookmarkStart w:id="207" w:name="_Toc23801_WPSOffice_Level2"/>
      <w:r>
        <w:rPr>
          <w:rFonts w:hint="eastAsia" w:asciiTheme="minorEastAsia" w:hAnsiTheme="minorEastAsia"/>
          <w:sz w:val="24"/>
          <w:szCs w:val="24"/>
        </w:rPr>
        <w:t>6、项目偿债计划可行性和偿债风险</w:t>
      </w:r>
      <w:bookmarkEnd w:id="207"/>
    </w:p>
    <w:p w14:paraId="5E8BE6A5">
      <w:pPr>
        <w:spacing w:line="560" w:lineRule="atLeast"/>
        <w:ind w:firstLine="480"/>
        <w:rPr>
          <w:rFonts w:asciiTheme="minorEastAsia" w:hAnsiTheme="minorEastAsia"/>
          <w:sz w:val="24"/>
          <w:szCs w:val="24"/>
        </w:rPr>
      </w:pPr>
      <w:r>
        <w:rPr>
          <w:rFonts w:hint="eastAsia" w:asciiTheme="minorEastAsia" w:hAnsiTheme="minorEastAsia"/>
          <w:sz w:val="24"/>
          <w:szCs w:val="24"/>
        </w:rPr>
        <w:t>本项目2024年本期拟申请发行30年期专项债券4,85</w:t>
      </w:r>
      <w:r>
        <w:rPr>
          <w:rFonts w:asciiTheme="minorEastAsia" w:hAnsiTheme="minorEastAsia"/>
          <w:sz w:val="24"/>
          <w:szCs w:val="24"/>
        </w:rPr>
        <w:t>0</w:t>
      </w:r>
      <w:r>
        <w:rPr>
          <w:rFonts w:hint="eastAsia" w:asciiTheme="minorEastAsia" w:hAnsiTheme="minorEastAsia"/>
          <w:sz w:val="24"/>
          <w:szCs w:val="24"/>
        </w:rPr>
        <w:t>.00万元；每半年付息一次，到期一次偿还本金。其均以资本金偿还，可保障建设期利息可靠偿还。</w:t>
      </w:r>
    </w:p>
    <w:p w14:paraId="0349875C">
      <w:pPr>
        <w:spacing w:line="560" w:lineRule="atLeast"/>
        <w:ind w:firstLine="480"/>
        <w:rPr>
          <w:rFonts w:asciiTheme="minorEastAsia" w:hAnsiTheme="minorEastAsia"/>
          <w:sz w:val="24"/>
          <w:szCs w:val="24"/>
        </w:rPr>
      </w:pPr>
      <w:r>
        <w:rPr>
          <w:rFonts w:hint="eastAsia" w:asciiTheme="minorEastAsia" w:hAnsiTheme="minorEastAsia"/>
          <w:sz w:val="24"/>
          <w:szCs w:val="24"/>
        </w:rPr>
        <w:t>项目自2028年起可实现收益，可满足后续债券各年利息偿还，结余资金转账管理，用于到期一次还本，偿债计划可行。</w:t>
      </w:r>
    </w:p>
    <w:p w14:paraId="325CFA74">
      <w:pPr>
        <w:spacing w:line="560" w:lineRule="atLeast"/>
        <w:ind w:firstLine="480"/>
        <w:rPr>
          <w:rFonts w:asciiTheme="minorEastAsia" w:hAnsiTheme="minorEastAsia"/>
          <w:sz w:val="24"/>
          <w:szCs w:val="24"/>
        </w:rPr>
      </w:pPr>
      <w:bookmarkStart w:id="208" w:name="_Toc22000_WPSOffice_Level2"/>
      <w:r>
        <w:rPr>
          <w:rFonts w:hint="eastAsia" w:asciiTheme="minorEastAsia" w:hAnsiTheme="minorEastAsia"/>
          <w:sz w:val="24"/>
          <w:szCs w:val="24"/>
        </w:rPr>
        <w:t>7、绩效目标合理性</w:t>
      </w:r>
      <w:bookmarkEnd w:id="208"/>
    </w:p>
    <w:p w14:paraId="705F55CA">
      <w:pPr>
        <w:spacing w:line="560" w:lineRule="atLeast"/>
        <w:ind w:firstLine="480"/>
        <w:rPr>
          <w:rFonts w:asciiTheme="minorEastAsia" w:hAnsiTheme="minorEastAsia"/>
          <w:sz w:val="24"/>
          <w:szCs w:val="24"/>
        </w:rPr>
      </w:pPr>
      <w:r>
        <w:rPr>
          <w:rFonts w:hint="eastAsia" w:asciiTheme="minorEastAsia" w:hAnsiTheme="minorEastAsia"/>
          <w:sz w:val="24"/>
          <w:szCs w:val="24"/>
        </w:rPr>
        <w:t>本次事前绩效评估根据财预〔2020〕10号事前绩效评估管理办法相关原则，并结合本项目特点，按照“注重规范</w:t>
      </w:r>
      <w:r>
        <w:rPr>
          <w:rFonts w:asciiTheme="minorEastAsia" w:hAnsiTheme="minorEastAsia"/>
          <w:sz w:val="24"/>
          <w:szCs w:val="24"/>
        </w:rPr>
        <w:t>、突出效果</w:t>
      </w:r>
      <w:r>
        <w:rPr>
          <w:rFonts w:hint="eastAsia" w:asciiTheme="minorEastAsia" w:hAnsiTheme="minorEastAsia"/>
          <w:sz w:val="24"/>
          <w:szCs w:val="24"/>
        </w:rPr>
        <w:t>”的原则设计本项目个性评价指标，确保绩效目标可评、可量、可用于指导项目实施阶段绩效评价。</w:t>
      </w:r>
    </w:p>
    <w:p w14:paraId="07476308">
      <w:pPr>
        <w:pStyle w:val="40"/>
        <w:autoSpaceDE/>
        <w:autoSpaceDN/>
        <w:spacing w:after="160" w:line="560" w:lineRule="atLeast"/>
        <w:ind w:left="420" w:firstLine="0"/>
        <w:jc w:val="both"/>
        <w:rPr>
          <w:rFonts w:asciiTheme="minorEastAsia" w:hAnsiTheme="minorEastAsia" w:eastAsiaTheme="minorEastAsia" w:cstheme="minorBidi"/>
          <w:kern w:val="2"/>
          <w:sz w:val="24"/>
          <w:szCs w:val="24"/>
          <w:lang w:val="en-US" w:bidi="ar-SA"/>
        </w:rPr>
      </w:pPr>
      <w:bookmarkStart w:id="209" w:name="_Toc2570_WPSOffice_Level2"/>
      <w:r>
        <w:rPr>
          <w:rFonts w:hint="eastAsia" w:asciiTheme="minorEastAsia" w:hAnsiTheme="minorEastAsia" w:eastAsiaTheme="minorEastAsia" w:cstheme="minorBidi"/>
          <w:kern w:val="2"/>
          <w:sz w:val="24"/>
          <w:szCs w:val="24"/>
          <w:lang w:val="en-US" w:bidi="ar-SA"/>
        </w:rPr>
        <w:t>8、其他需要纳入其他绩效评估的事项。</w:t>
      </w:r>
      <w:bookmarkEnd w:id="209"/>
    </w:p>
    <w:p w14:paraId="21D5262D">
      <w:pPr>
        <w:widowControl/>
        <w:spacing w:line="560" w:lineRule="exact"/>
        <w:ind w:firstLine="564" w:firstLineChars="200"/>
        <w:jc w:val="left"/>
        <w:outlineLvl w:val="0"/>
        <w:rPr>
          <w:rFonts w:ascii="黑体" w:hAnsi="黑体" w:eastAsia="黑体" w:cs="黑体"/>
          <w:sz w:val="28"/>
          <w:szCs w:val="28"/>
        </w:rPr>
      </w:pPr>
      <w:bookmarkStart w:id="210" w:name="_Toc12016_WPSOffice_Level1"/>
      <w:r>
        <w:rPr>
          <w:rFonts w:hint="eastAsia" w:ascii="黑体" w:hAnsi="黑体" w:eastAsia="黑体" w:cs="黑体"/>
          <w:sz w:val="28"/>
          <w:szCs w:val="28"/>
        </w:rPr>
        <w:t>五、项目风险分析</w:t>
      </w:r>
      <w:bookmarkEnd w:id="201"/>
      <w:bookmarkEnd w:id="210"/>
    </w:p>
    <w:p w14:paraId="0707EE13">
      <w:pPr>
        <w:tabs>
          <w:tab w:val="left" w:pos="-284"/>
        </w:tabs>
        <w:spacing w:line="560" w:lineRule="exact"/>
        <w:ind w:firstLine="484" w:firstLineChars="200"/>
        <w:rPr>
          <w:rFonts w:asciiTheme="minorEastAsia" w:hAnsiTheme="minorEastAsia"/>
          <w:sz w:val="24"/>
          <w:szCs w:val="24"/>
        </w:rPr>
      </w:pPr>
      <w:bookmarkStart w:id="211" w:name="_Toc11629_WPSOffice_Level2"/>
      <w:r>
        <w:rPr>
          <w:rFonts w:hint="eastAsia" w:asciiTheme="minorEastAsia" w:hAnsiTheme="minorEastAsia"/>
          <w:sz w:val="24"/>
          <w:szCs w:val="24"/>
        </w:rPr>
        <w:t>1、投资估算风险</w:t>
      </w:r>
      <w:bookmarkEnd w:id="211"/>
    </w:p>
    <w:p w14:paraId="46B10763">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57552E2E">
      <w:pPr>
        <w:tabs>
          <w:tab w:val="left" w:pos="-284"/>
        </w:tabs>
        <w:spacing w:line="560" w:lineRule="exact"/>
        <w:ind w:firstLine="484" w:firstLineChars="200"/>
        <w:rPr>
          <w:rFonts w:asciiTheme="minorEastAsia" w:hAnsiTheme="minorEastAsia"/>
          <w:sz w:val="24"/>
          <w:szCs w:val="24"/>
        </w:rPr>
      </w:pPr>
      <w:bookmarkStart w:id="212" w:name="_Toc28192_WPSOffice_Level2"/>
      <w:r>
        <w:rPr>
          <w:rFonts w:hint="eastAsia" w:asciiTheme="minorEastAsia" w:hAnsiTheme="minorEastAsia"/>
          <w:sz w:val="24"/>
          <w:szCs w:val="24"/>
        </w:rPr>
        <w:t>2、工程风险</w:t>
      </w:r>
      <w:bookmarkEnd w:id="212"/>
    </w:p>
    <w:p w14:paraId="0BA50B67">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72A69C0E">
      <w:pPr>
        <w:tabs>
          <w:tab w:val="left" w:pos="-284"/>
        </w:tabs>
        <w:spacing w:line="560" w:lineRule="exact"/>
        <w:ind w:firstLine="484" w:firstLineChars="200"/>
        <w:rPr>
          <w:rFonts w:asciiTheme="minorEastAsia" w:hAnsiTheme="minorEastAsia"/>
          <w:sz w:val="24"/>
          <w:szCs w:val="24"/>
        </w:rPr>
      </w:pPr>
      <w:bookmarkStart w:id="213" w:name="_Toc11686_WPSOffice_Level2"/>
      <w:r>
        <w:rPr>
          <w:rFonts w:hint="eastAsia" w:asciiTheme="minorEastAsia" w:hAnsiTheme="minorEastAsia"/>
          <w:sz w:val="24"/>
          <w:szCs w:val="24"/>
        </w:rPr>
        <w:t>3、融资风险</w:t>
      </w:r>
      <w:bookmarkEnd w:id="213"/>
    </w:p>
    <w:p w14:paraId="11A3C4E2">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719C483C">
      <w:pPr>
        <w:tabs>
          <w:tab w:val="left" w:pos="-284"/>
        </w:tabs>
        <w:spacing w:line="560" w:lineRule="exact"/>
        <w:ind w:firstLine="484" w:firstLineChars="200"/>
        <w:rPr>
          <w:rFonts w:asciiTheme="minorEastAsia" w:hAnsiTheme="minorEastAsia"/>
          <w:sz w:val="24"/>
          <w:szCs w:val="24"/>
        </w:rPr>
      </w:pPr>
      <w:bookmarkStart w:id="214" w:name="_Toc9126_WPSOffice_Level2"/>
      <w:r>
        <w:rPr>
          <w:rFonts w:hint="eastAsia" w:asciiTheme="minorEastAsia" w:hAnsiTheme="minorEastAsia"/>
          <w:sz w:val="24"/>
          <w:szCs w:val="24"/>
        </w:rPr>
        <w:t>4、财务风险</w:t>
      </w:r>
      <w:bookmarkEnd w:id="214"/>
    </w:p>
    <w:p w14:paraId="3BCB6FFB">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6E313462">
      <w:pPr>
        <w:tabs>
          <w:tab w:val="left" w:pos="-284"/>
        </w:tabs>
        <w:spacing w:line="560" w:lineRule="exact"/>
        <w:ind w:firstLine="484" w:firstLineChars="200"/>
        <w:rPr>
          <w:rFonts w:asciiTheme="minorEastAsia" w:hAnsiTheme="minorEastAsia"/>
          <w:sz w:val="24"/>
          <w:szCs w:val="24"/>
        </w:rPr>
      </w:pPr>
      <w:bookmarkStart w:id="215" w:name="_Toc14242_WPSOffice_Level2"/>
      <w:r>
        <w:rPr>
          <w:rFonts w:hint="eastAsia" w:asciiTheme="minorEastAsia" w:hAnsiTheme="minorEastAsia"/>
          <w:sz w:val="24"/>
          <w:szCs w:val="24"/>
        </w:rPr>
        <w:t>5、自然风险</w:t>
      </w:r>
      <w:bookmarkEnd w:id="215"/>
    </w:p>
    <w:p w14:paraId="03E9AD91">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本项目在经营期间遇到人力不可抗拒的自然灾害是完全可能的，为了降低此间风险，要根据项目的特点制定的相应的措施，以便使不可抗拒自然灾害的风险降到最低。</w:t>
      </w:r>
    </w:p>
    <w:p w14:paraId="3CAE6196">
      <w:pPr>
        <w:widowControl/>
        <w:spacing w:line="560" w:lineRule="exact"/>
        <w:ind w:firstLine="564" w:firstLineChars="200"/>
        <w:jc w:val="left"/>
        <w:outlineLvl w:val="0"/>
        <w:rPr>
          <w:rFonts w:ascii="黑体" w:hAnsi="黑体" w:eastAsia="黑体" w:cs="黑体"/>
          <w:sz w:val="28"/>
          <w:szCs w:val="28"/>
        </w:rPr>
      </w:pPr>
      <w:bookmarkStart w:id="216" w:name="_Toc19488_WPSOffice_Level1"/>
      <w:bookmarkStart w:id="217" w:name="_Toc44517306"/>
      <w:r>
        <w:rPr>
          <w:rFonts w:hint="eastAsia" w:ascii="黑体" w:hAnsi="黑体" w:eastAsia="黑体" w:cs="黑体"/>
          <w:sz w:val="28"/>
          <w:szCs w:val="28"/>
        </w:rPr>
        <w:t>六、专项债发行方案</w:t>
      </w:r>
      <w:bookmarkEnd w:id="216"/>
      <w:bookmarkEnd w:id="217"/>
    </w:p>
    <w:p w14:paraId="31C48738">
      <w:pPr>
        <w:spacing w:line="520" w:lineRule="exact"/>
        <w:ind w:firstLine="484" w:firstLineChars="200"/>
        <w:rPr>
          <w:rFonts w:asciiTheme="minorEastAsia" w:hAnsiTheme="minorEastAsia"/>
          <w:sz w:val="24"/>
          <w:szCs w:val="24"/>
        </w:rPr>
      </w:pPr>
      <w:r>
        <w:rPr>
          <w:rFonts w:asciiTheme="minorEastAsia" w:hAnsiTheme="minorEastAsia"/>
          <w:sz w:val="24"/>
          <w:szCs w:val="24"/>
        </w:rPr>
        <w:t>1、发行主体资格:根据</w:t>
      </w:r>
      <w:r>
        <w:rPr>
          <w:rFonts w:hint="eastAsia" w:asciiTheme="minorEastAsia" w:hAnsiTheme="minorEastAsia"/>
          <w:sz w:val="24"/>
          <w:szCs w:val="24"/>
        </w:rPr>
        <w:t>《关于试点发展项目收益与融资自求平衡的地方政府专项债券品种的通知》</w:t>
      </w:r>
      <w:r>
        <w:rPr>
          <w:rFonts w:asciiTheme="minorEastAsia" w:hAnsiTheme="minorEastAsia"/>
          <w:sz w:val="24"/>
          <w:szCs w:val="24"/>
        </w:rPr>
        <w:t>（财预[2017]89号）之规定，地方政府专项债券需由</w:t>
      </w:r>
      <w:r>
        <w:rPr>
          <w:rFonts w:hint="eastAsia" w:asciiTheme="minorEastAsia" w:hAnsiTheme="minorEastAsia"/>
          <w:sz w:val="24"/>
          <w:szCs w:val="24"/>
        </w:rPr>
        <w:t>江西</w:t>
      </w:r>
      <w:r>
        <w:rPr>
          <w:rFonts w:asciiTheme="minorEastAsia" w:hAnsiTheme="minorEastAsia"/>
          <w:sz w:val="24"/>
          <w:szCs w:val="24"/>
        </w:rPr>
        <w:t>省人民政府作为发行主体。本项目业主</w:t>
      </w:r>
      <w:r>
        <w:rPr>
          <w:rFonts w:hint="eastAsia" w:asciiTheme="minorEastAsia" w:hAnsiTheme="minorEastAsia"/>
          <w:sz w:val="24"/>
          <w:szCs w:val="24"/>
        </w:rPr>
        <w:t>为南昌小蓝经济技术开发区经济发展投资有限责任公司</w:t>
      </w:r>
      <w:r>
        <w:rPr>
          <w:rFonts w:asciiTheme="minorEastAsia" w:hAnsiTheme="minorEastAsia"/>
          <w:sz w:val="24"/>
          <w:szCs w:val="24"/>
        </w:rPr>
        <w:t>,是依法批准设立的</w:t>
      </w:r>
      <w:r>
        <w:rPr>
          <w:rFonts w:hint="eastAsia" w:asciiTheme="minorEastAsia" w:hAnsiTheme="minorEastAsia"/>
          <w:sz w:val="24"/>
          <w:szCs w:val="24"/>
        </w:rPr>
        <w:t>企业法人</w:t>
      </w:r>
      <w:r>
        <w:rPr>
          <w:rFonts w:asciiTheme="minorEastAsia" w:hAnsiTheme="minorEastAsia"/>
          <w:sz w:val="24"/>
          <w:szCs w:val="24"/>
        </w:rPr>
        <w:t>，具备</w:t>
      </w:r>
      <w:r>
        <w:rPr>
          <w:rFonts w:hint="eastAsia" w:asciiTheme="minorEastAsia" w:hAnsiTheme="minorEastAsia"/>
          <w:sz w:val="24"/>
          <w:szCs w:val="24"/>
        </w:rPr>
        <w:t>作为项目业主的资格。</w:t>
      </w:r>
    </w:p>
    <w:p w14:paraId="2ACF3771">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发行计划:</w:t>
      </w:r>
      <w:r>
        <w:rPr>
          <w:rFonts w:hint="eastAsia" w:asciiTheme="minorEastAsia" w:hAnsiTheme="minorEastAsia"/>
          <w:sz w:val="24"/>
          <w:szCs w:val="24"/>
        </w:rPr>
        <w:t>汽车零部件产业园（二期）及配套设施项目本期</w:t>
      </w:r>
      <w:r>
        <w:rPr>
          <w:rFonts w:asciiTheme="minorEastAsia" w:hAnsiTheme="minorEastAsia"/>
          <w:sz w:val="24"/>
          <w:szCs w:val="24"/>
        </w:rPr>
        <w:t>年申请发行</w:t>
      </w:r>
      <w:r>
        <w:rPr>
          <w:rFonts w:hint="eastAsia" w:asciiTheme="minorEastAsia" w:hAnsiTheme="minorEastAsia"/>
          <w:sz w:val="24"/>
          <w:szCs w:val="24"/>
        </w:rPr>
        <w:t>地方政府</w:t>
      </w:r>
      <w:r>
        <w:rPr>
          <w:rFonts w:asciiTheme="minorEastAsia" w:hAnsiTheme="minorEastAsia"/>
          <w:sz w:val="24"/>
          <w:szCs w:val="24"/>
        </w:rPr>
        <w:t>专项债券</w:t>
      </w:r>
      <w:r>
        <w:rPr>
          <w:rFonts w:hint="eastAsia" w:asciiTheme="minorEastAsia" w:hAnsiTheme="minorEastAsia"/>
          <w:sz w:val="24"/>
          <w:szCs w:val="24"/>
        </w:rPr>
        <w:t>4850万</w:t>
      </w:r>
      <w:r>
        <w:rPr>
          <w:rFonts w:asciiTheme="minorEastAsia" w:hAnsiTheme="minorEastAsia"/>
          <w:sz w:val="24"/>
          <w:szCs w:val="24"/>
        </w:rPr>
        <w:t>元，</w:t>
      </w:r>
      <w:r>
        <w:rPr>
          <w:rFonts w:hint="eastAsia" w:asciiTheme="minorEastAsia" w:hAnsiTheme="minorEastAsia"/>
          <w:sz w:val="24"/>
          <w:szCs w:val="24"/>
        </w:rPr>
        <w:t>期限30</w:t>
      </w:r>
      <w:r>
        <w:rPr>
          <w:rFonts w:asciiTheme="minorEastAsia" w:hAnsiTheme="minorEastAsia"/>
          <w:sz w:val="24"/>
          <w:szCs w:val="24"/>
        </w:rPr>
        <w:t>年</w:t>
      </w:r>
      <w:r>
        <w:rPr>
          <w:rFonts w:hint="eastAsia" w:asciiTheme="minorEastAsia" w:hAnsiTheme="minorEastAsia"/>
          <w:sz w:val="24"/>
          <w:szCs w:val="24"/>
        </w:rPr>
        <w:t>，</w:t>
      </w:r>
      <w:r>
        <w:rPr>
          <w:rFonts w:asciiTheme="minorEastAsia" w:hAnsiTheme="minorEastAsia"/>
          <w:sz w:val="24"/>
          <w:szCs w:val="24"/>
        </w:rPr>
        <w:t>专项债券融资成本按</w:t>
      </w:r>
      <w:r>
        <w:rPr>
          <w:rFonts w:hint="eastAsia" w:asciiTheme="minorEastAsia" w:hAnsiTheme="minorEastAsia"/>
          <w:sz w:val="24"/>
          <w:szCs w:val="24"/>
        </w:rPr>
        <w:t>4.5</w:t>
      </w:r>
      <w:r>
        <w:rPr>
          <w:rFonts w:asciiTheme="minorEastAsia" w:hAnsiTheme="minorEastAsia"/>
          <w:sz w:val="24"/>
          <w:szCs w:val="24"/>
        </w:rPr>
        <w:t>%估算</w:t>
      </w:r>
      <w:r>
        <w:rPr>
          <w:rFonts w:hint="eastAsia" w:asciiTheme="minorEastAsia" w:hAnsiTheme="minorEastAsia"/>
          <w:sz w:val="24"/>
          <w:szCs w:val="24"/>
        </w:rPr>
        <w:t>。</w:t>
      </w:r>
    </w:p>
    <w:p w14:paraId="13969F62">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发行场所:通过全国银行间债券市场、证券交易所债券市场发行。将来条件具备时也可在银行柜台债券市场发行。</w:t>
      </w:r>
    </w:p>
    <w:p w14:paraId="48E5355C">
      <w:pPr>
        <w:tabs>
          <w:tab w:val="left" w:pos="-284"/>
        </w:tabs>
        <w:spacing w:line="560" w:lineRule="exact"/>
        <w:ind w:firstLine="484" w:firstLineChars="200"/>
        <w:rPr>
          <w:rFonts w:asciiTheme="minorEastAsia" w:hAnsiTheme="minorEastAsia"/>
          <w:sz w:val="24"/>
          <w:szCs w:val="24"/>
        </w:rPr>
      </w:pPr>
      <w:r>
        <w:rPr>
          <w:rFonts w:hint="eastAsia" w:asciiTheme="minorEastAsia" w:hAnsiTheme="minorEastAsia"/>
          <w:sz w:val="24"/>
          <w:szCs w:val="24"/>
        </w:rPr>
        <w:t>4、信息披露：在专项债发行日前5个工作日通过</w:t>
      </w:r>
      <w:r>
        <w:rPr>
          <w:rFonts w:asciiTheme="minorEastAsia" w:hAnsiTheme="minorEastAsia"/>
          <w:sz w:val="24"/>
          <w:szCs w:val="24"/>
        </w:rPr>
        <w:fldChar w:fldCharType="begin"/>
      </w:r>
      <w:r>
        <w:rPr>
          <w:rFonts w:asciiTheme="minorEastAsia" w:hAnsiTheme="minorEastAsia"/>
          <w:sz w:val="24"/>
          <w:szCs w:val="24"/>
        </w:rPr>
        <w:instrText xml:space="preserve"> HYPERLINK "https://www.sogou.com/link?url=DSOYnZeCC_pzE53eXNhcqFoov_MuMQYQreaVHN88tHY." \t "https://www.sogou.com/_blank"</w:instrText>
      </w:r>
      <w:r>
        <w:rPr>
          <w:rFonts w:asciiTheme="minorEastAsia" w:hAnsiTheme="minorEastAsia"/>
          <w:sz w:val="24"/>
          <w:szCs w:val="24"/>
        </w:rPr>
        <w:fldChar w:fldCharType="separate"/>
      </w:r>
      <w:r>
        <w:rPr>
          <w:rFonts w:asciiTheme="minorEastAsia" w:hAnsiTheme="minorEastAsia"/>
          <w:sz w:val="24"/>
          <w:szCs w:val="24"/>
        </w:rPr>
        <w:t>中国地方政府债券信息公开平台</w:t>
      </w:r>
      <w:r>
        <w:rPr>
          <w:rFonts w:asciiTheme="minorEastAsia" w:hAnsiTheme="minorEastAsia"/>
          <w:sz w:val="24"/>
          <w:szCs w:val="24"/>
        </w:rPr>
        <w:fldChar w:fldCharType="end"/>
      </w:r>
      <w:r>
        <w:rPr>
          <w:rFonts w:hint="eastAsia" w:asciiTheme="minorEastAsia" w:hAnsiTheme="minorEastAsia"/>
          <w:sz w:val="24"/>
          <w:szCs w:val="24"/>
        </w:rPr>
        <w:t>、</w:t>
      </w:r>
      <w:r>
        <w:rPr>
          <w:rFonts w:asciiTheme="minorEastAsia" w:hAnsiTheme="minorEastAsia"/>
          <w:sz w:val="24"/>
          <w:szCs w:val="24"/>
        </w:rPr>
        <w:t>江西</w:t>
      </w:r>
      <w:r>
        <w:rPr>
          <w:rFonts w:hint="eastAsia" w:asciiTheme="minorEastAsia" w:hAnsiTheme="minorEastAsia"/>
          <w:sz w:val="24"/>
          <w:szCs w:val="24"/>
        </w:rPr>
        <w:t>省财政厅官方网站和</w:t>
      </w:r>
      <w:r>
        <w:rPr>
          <w:rFonts w:asciiTheme="minorEastAsia" w:hAnsiTheme="minorEastAsia"/>
          <w:sz w:val="24"/>
          <w:szCs w:val="24"/>
        </w:rPr>
        <w:t>中国债券信息网-中央结算公司官方网站</w:t>
      </w:r>
      <w:r>
        <w:rPr>
          <w:rFonts w:hint="eastAsia" w:asciiTheme="minorEastAsia" w:hAnsiTheme="minorEastAsia"/>
          <w:sz w:val="24"/>
          <w:szCs w:val="24"/>
        </w:rPr>
        <w:t>披露</w:t>
      </w:r>
      <w:r>
        <w:rPr>
          <w:rFonts w:asciiTheme="minorEastAsia" w:hAnsiTheme="minorEastAsia"/>
          <w:sz w:val="24"/>
          <w:szCs w:val="24"/>
        </w:rPr>
        <w:t>（http：//www.chinabond.com.cn/）详细披露</w:t>
      </w:r>
      <w:r>
        <w:rPr>
          <w:rFonts w:hint="eastAsia" w:asciiTheme="minorEastAsia" w:hAnsiTheme="minorEastAsia"/>
          <w:sz w:val="24"/>
          <w:szCs w:val="24"/>
        </w:rPr>
        <w:t>债券发行全套信息披露文件。</w:t>
      </w:r>
    </w:p>
    <w:p w14:paraId="13B34826">
      <w:pPr>
        <w:tabs>
          <w:tab w:val="left" w:pos="-284"/>
        </w:tabs>
        <w:spacing w:line="560" w:lineRule="exact"/>
        <w:ind w:firstLine="484" w:firstLineChars="200"/>
      </w:pPr>
      <w:r>
        <w:rPr>
          <w:rFonts w:hint="eastAsia" w:asciiTheme="minorEastAsia" w:hAnsiTheme="minorEastAsia"/>
          <w:sz w:val="24"/>
          <w:szCs w:val="24"/>
        </w:rPr>
        <w:t>总体而言，汽车零部件产业园（二期）及配套设施项目通过发行专项债可以降低项目融资成本，是现阶段解决建设资金问题的推荐方案。且基于财政部对地方政府发行项目收益与融资自求平衡专项债券的要求，并根据项目重大建设意义，汽车零部件产业园（二期）及配套设施项目可以通过申请专项债券的方式进行融资以完成资金筹措。</w:t>
      </w:r>
    </w:p>
    <w:p w14:paraId="3FD8F925">
      <w:pPr>
        <w:spacing w:line="360" w:lineRule="auto"/>
        <w:ind w:right="-99" w:rightChars="-47"/>
        <w:rPr>
          <w:rFonts w:ascii="楷体" w:hAnsi="楷体" w:eastAsia="楷体" w:cs="楷体"/>
          <w:bCs/>
          <w:color w:val="auto"/>
          <w:sz w:val="28"/>
          <w:szCs w:val="28"/>
        </w:rPr>
      </w:pPr>
    </w:p>
    <w:sectPr>
      <w:footerReference r:id="rId26" w:type="default"/>
      <w:pgSz w:w="11906" w:h="16838"/>
      <w:pgMar w:top="1531" w:right="1701" w:bottom="1417" w:left="1701" w:header="851" w:footer="992" w:gutter="0"/>
      <w:pgNumType w:fmt="decimal"/>
      <w:cols w:space="0" w:num="1"/>
      <w:rtlGutter w:val="0"/>
      <w:docGrid w:type="linesAndChars" w:linePitch="314"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华文楷体">
    <w:panose1 w:val="02010600040101010101"/>
    <w:charset w:val="86"/>
    <w:family w:val="auto"/>
    <w:pitch w:val="default"/>
    <w:sig w:usb0="A00002BF" w:usb1="78CF7CFB" w:usb2="00000016" w:usb3="00000000" w:csb0="6006009F" w:csb1="DFD7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Calibri Light">
    <w:altName w:val="Helvetica Neue"/>
    <w:panose1 w:val="020F0302020204030204"/>
    <w:charset w:val="00"/>
    <w:family w:val="swiss"/>
    <w:pitch w:val="default"/>
    <w:sig w:usb0="00000000" w:usb1="00000000" w:usb2="00000009" w:usb3="00000000" w:csb0="200001FF" w:csb1="00000000"/>
  </w:font>
  <w:font w:name="华文新魏">
    <w:altName w:val="宋体-简"/>
    <w:panose1 w:val="02010800040101010101"/>
    <w:charset w:val="86"/>
    <w:family w:val="auto"/>
    <w:pitch w:val="default"/>
    <w:sig w:usb0="00000000" w:usb1="00000000" w:usb2="00000000" w:usb3="00000000" w:csb0="00040000" w:csb1="00000000"/>
  </w:font>
  <w:font w:name="Verdana">
    <w:panose1 w:val="020B0804030504040204"/>
    <w:charset w:val="00"/>
    <w:family w:val="swiss"/>
    <w:pitch w:val="default"/>
    <w:sig w:usb0="A10006FF" w:usb1="4000205B" w:usb2="00000010" w:usb3="00000000" w:csb0="2000019F" w:csb1="00000000"/>
  </w:font>
  <w:font w:name="Cambria">
    <w:altName w:val="苹方-简"/>
    <w:panose1 w:val="02040503050406030204"/>
    <w:charset w:val="00"/>
    <w:family w:val="roman"/>
    <w:pitch w:val="default"/>
    <w:sig w:usb0="00000000" w:usb1="00000000" w:usb2="02000000" w:usb3="00000000" w:csb0="2000019F" w:csb1="00000000"/>
  </w:font>
  <w:font w:name="Tahoma">
    <w:panose1 w:val="020B0604030504040204"/>
    <w:charset w:val="00"/>
    <w:family w:val="swiss"/>
    <w:pitch w:val="default"/>
    <w:sig w:usb0="E1002AFF" w:usb1="C000605B" w:usb2="00000029" w:usb3="00000000" w:csb0="200101FF" w:csb1="20280000"/>
  </w:font>
  <w:font w:name="Arial Narrow">
    <w:panose1 w:val="020B0606020202030204"/>
    <w:charset w:val="00"/>
    <w:family w:val="auto"/>
    <w:pitch w:val="default"/>
    <w:sig w:usb0="00000287" w:usb1="00000800" w:usb2="00000000" w:usb3="00000000" w:csb0="2000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25A70">
    <w:pPr>
      <w:pStyle w:val="15"/>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4B5E">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8B2675">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88B2675">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C8CE6">
    <w:pPr>
      <w:pStyle w:val="15"/>
    </w:pPr>
    <w:r>
      <w:rPr>
        <w:sz w:val="18"/>
      </w:rPr>
      <w:pict>
        <v:shape id="_x0000_s4096" o:spid="_x0000_s409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F41F741">
                <w:pPr>
                  <w:pStyle w:val="15"/>
                </w:pPr>
                <w:r>
                  <w:fldChar w:fldCharType="begin"/>
                </w:r>
                <w:r>
                  <w:instrText xml:space="preserve"> PAGE  \* MERGEFORMAT </w:instrText>
                </w:r>
                <w:r>
                  <w:fldChar w:fldCharType="separate"/>
                </w:r>
                <w:r>
                  <w:t>2</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982B3">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961206">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1961206">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9EB6">
    <w:pPr>
      <w:pStyle w:val="1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AA382">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0EAA382">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C8147">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522DB">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85522DB">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E257">
    <w:pPr>
      <w:pStyle w:val="10"/>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378C42">
                          <w:pPr>
                            <w:pStyle w:val="15"/>
                          </w:pPr>
                          <w:r>
                            <w:fldChar w:fldCharType="begin"/>
                          </w:r>
                          <w:r>
                            <w:instrText xml:space="preserve"> PAGE  \* MERGEFORMAT </w:instrText>
                          </w:r>
                          <w:r>
                            <w:fldChar w:fldCharType="separate"/>
                          </w:r>
                          <w:r>
                            <w:t>18</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7A378C42">
                    <w:pPr>
                      <w:pStyle w:val="15"/>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614EC">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17D37">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4726351"/>
    </w:sdtPr>
    <w:sdtContent>
      <w:p w14:paraId="01E68495">
        <w:pPr>
          <w:pStyle w:val="15"/>
          <w:ind w:firstLine="360"/>
          <w:jc w:val="center"/>
        </w:pPr>
        <w:r>
          <w:fldChar w:fldCharType="begin"/>
        </w:r>
        <w:r>
          <w:instrText xml:space="preserve"> PAGE   \* MERGEFORMAT </w:instrText>
        </w:r>
        <w:r>
          <w:fldChar w:fldCharType="separate"/>
        </w:r>
        <w:r>
          <w:t>21</w:t>
        </w:r>
        <w:r>
          <w:fldChar w:fldCharType="end"/>
        </w:r>
      </w:p>
    </w:sdtContent>
  </w:sdt>
  <w:p w14:paraId="0378FBD5">
    <w:pPr>
      <w:pStyle w:val="10"/>
      <w:spacing w:line="14" w:lineRule="auto"/>
      <w:ind w:left="0" w:firstLine="400"/>
      <w:rPr>
        <w:rFonts w:hint="eastAsia"/>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1530E">
    <w:pPr>
      <w:pStyle w:val="1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EB6BF">
    <w:pPr>
      <w:pStyle w:val="1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5C018">
    <w:pPr>
      <w:pStyle w:val="1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C63FB">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FC63FB">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42531">
    <w:pPr>
      <w:pStyle w:val="15"/>
      <w:jc w:val="center"/>
      <w:rPr>
        <w:rFonts w:ascii="宋体" w:hAnsi="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2E569">
                          <w:pPr>
                            <w:pStyle w:val="15"/>
                            <w:jc w:val="cente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17</w:t>
                          </w:r>
                          <w:r>
                            <w:rPr>
                              <w:rFonts w:ascii="宋体" w:hAnsi="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4342E569">
                    <w:pPr>
                      <w:pStyle w:val="15"/>
                      <w:jc w:val="cente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17</w:t>
                    </w:r>
                    <w:r>
                      <w:rPr>
                        <w:rFonts w:ascii="宋体" w:hAnsi="宋体"/>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9F8B">
    <w:pPr>
      <w:pStyle w:val="15"/>
      <w:jc w:val="center"/>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9E1ED">
                          <w:pPr>
                            <w:pStyle w:val="15"/>
                            <w:jc w:val="cente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17</w:t>
                          </w:r>
                          <w:r>
                            <w:rPr>
                              <w:rFonts w:ascii="宋体" w:hAnsi="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9B9E1ED">
                    <w:pPr>
                      <w:pStyle w:val="15"/>
                      <w:jc w:val="cente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17</w:t>
                    </w:r>
                    <w:r>
                      <w:rPr>
                        <w:rFonts w:ascii="宋体" w:hAnsi="宋体"/>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A8CAD">
    <w:pPr>
      <w:pStyle w:val="1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FC13A">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00C0">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0C7F1">
    <w:pPr>
      <w:pStyle w:val="16"/>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CCCFC">
    <w:pPr>
      <w:pStyle w:val="16"/>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BDD3C">
    <w:pPr>
      <w:pStyle w:val="16"/>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04B6D">
    <w:pPr>
      <w:pStyle w:val="16"/>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F39AF">
    <w:pPr>
      <w:pStyle w:val="16"/>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AE874">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29C6D8"/>
    <w:multiLevelType w:val="singleLevel"/>
    <w:tmpl w:val="9329C6D8"/>
    <w:lvl w:ilvl="0" w:tentative="0">
      <w:start w:val="1"/>
      <w:numFmt w:val="decimal"/>
      <w:suff w:val="nothing"/>
      <w:lvlText w:val="（%1）"/>
      <w:lvlJc w:val="left"/>
      <w:pPr>
        <w:ind w:left="-403" w:firstLine="403"/>
      </w:pPr>
      <w:rPr>
        <w:rFonts w:hint="default"/>
      </w:rPr>
    </w:lvl>
  </w:abstractNum>
  <w:abstractNum w:abstractNumId="1">
    <w:nsid w:val="93BEE8F9"/>
    <w:multiLevelType w:val="singleLevel"/>
    <w:tmpl w:val="93BEE8F9"/>
    <w:lvl w:ilvl="0" w:tentative="0">
      <w:start w:val="2"/>
      <w:numFmt w:val="decimal"/>
      <w:suff w:val="nothing"/>
      <w:lvlText w:val="%1、"/>
      <w:lvlJc w:val="left"/>
    </w:lvl>
  </w:abstractNum>
  <w:abstractNum w:abstractNumId="2">
    <w:nsid w:val="AAC3D99B"/>
    <w:multiLevelType w:val="singleLevel"/>
    <w:tmpl w:val="AAC3D99B"/>
    <w:lvl w:ilvl="0" w:tentative="0">
      <w:start w:val="2"/>
      <w:numFmt w:val="decimal"/>
      <w:suff w:val="nothing"/>
      <w:lvlText w:val="%1、"/>
      <w:lvlJc w:val="left"/>
    </w:lvl>
  </w:abstractNum>
  <w:abstractNum w:abstractNumId="3">
    <w:nsid w:val="F3FE4317"/>
    <w:multiLevelType w:val="singleLevel"/>
    <w:tmpl w:val="F3FE4317"/>
    <w:lvl w:ilvl="0" w:tentative="0">
      <w:start w:val="2"/>
      <w:numFmt w:val="chineseCounting"/>
      <w:suff w:val="nothing"/>
      <w:lvlText w:val="（%1）"/>
      <w:lvlJc w:val="left"/>
      <w:rPr>
        <w:rFonts w:hint="eastAsia"/>
      </w:rPr>
    </w:lvl>
  </w:abstractNum>
  <w:abstractNum w:abstractNumId="4">
    <w:nsid w:val="F9BF593A"/>
    <w:multiLevelType w:val="singleLevel"/>
    <w:tmpl w:val="F9BF593A"/>
    <w:lvl w:ilvl="0" w:tentative="0">
      <w:start w:val="7"/>
      <w:numFmt w:val="decimal"/>
      <w:suff w:val="nothing"/>
      <w:lvlText w:val="%1、"/>
      <w:lvlJc w:val="left"/>
    </w:lvl>
  </w:abstractNum>
  <w:abstractNum w:abstractNumId="5">
    <w:nsid w:val="FE5F2EA0"/>
    <w:multiLevelType w:val="singleLevel"/>
    <w:tmpl w:val="FE5F2EA0"/>
    <w:lvl w:ilvl="0" w:tentative="0">
      <w:start w:val="2"/>
      <w:numFmt w:val="chineseCounting"/>
      <w:suff w:val="nothing"/>
      <w:lvlText w:val="%1、"/>
      <w:lvlJc w:val="left"/>
      <w:rPr>
        <w:rFonts w:hint="eastAsia"/>
      </w:rPr>
    </w:lvl>
  </w:abstractNum>
  <w:abstractNum w:abstractNumId="6">
    <w:nsid w:val="00000006"/>
    <w:multiLevelType w:val="multilevel"/>
    <w:tmpl w:val="00000006"/>
    <w:lvl w:ilvl="0" w:tentative="0">
      <w:start w:val="1"/>
      <w:numFmt w:val="japaneseCounting"/>
      <w:pStyle w:val="4"/>
      <w:lvlText w:val="（%1）"/>
      <w:lvlJc w:val="left"/>
      <w:pPr>
        <w:ind w:left="520" w:hanging="420"/>
      </w:pPr>
      <w:rPr>
        <w:rFonts w:hint="default"/>
        <w:lang w:val="en-US"/>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173D6086"/>
    <w:multiLevelType w:val="singleLevel"/>
    <w:tmpl w:val="173D6086"/>
    <w:lvl w:ilvl="0" w:tentative="0">
      <w:start w:val="3"/>
      <w:numFmt w:val="chineseCounting"/>
      <w:suff w:val="nothing"/>
      <w:lvlText w:val="（%1）"/>
      <w:lvlJc w:val="left"/>
      <w:pPr>
        <w:ind w:left="142"/>
      </w:pPr>
      <w:rPr>
        <w:rFonts w:hint="eastAsia"/>
      </w:rPr>
    </w:lvl>
  </w:abstractNum>
  <w:abstractNum w:abstractNumId="8">
    <w:nsid w:val="6B0A2F3F"/>
    <w:multiLevelType w:val="multilevel"/>
    <w:tmpl w:val="6B0A2F3F"/>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3"/>
  </w:num>
  <w:num w:numId="3">
    <w:abstractNumId w:val="4"/>
  </w:num>
  <w:num w:numId="4">
    <w:abstractNumId w:val="5"/>
  </w:num>
  <w:num w:numId="5">
    <w:abstractNumId w:val="0"/>
  </w:num>
  <w:num w:numId="6">
    <w:abstractNumId w:val="2"/>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HorizontalSpacing w:val="106"/>
  <w:drawingGridVerticalSpacing w:val="157"/>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IyOGE2OTJmOWQzOWY5NmY5NjBkYmVlZDcwNWQifQ=="/>
  </w:docVars>
  <w:rsids>
    <w:rsidRoot w:val="000957C8"/>
    <w:rsid w:val="00003C41"/>
    <w:rsid w:val="00006FDF"/>
    <w:rsid w:val="000268DF"/>
    <w:rsid w:val="00026E32"/>
    <w:rsid w:val="00026F26"/>
    <w:rsid w:val="00052D78"/>
    <w:rsid w:val="0005687B"/>
    <w:rsid w:val="0006002E"/>
    <w:rsid w:val="0006647B"/>
    <w:rsid w:val="000731AE"/>
    <w:rsid w:val="000957C8"/>
    <w:rsid w:val="000A33B8"/>
    <w:rsid w:val="000B329A"/>
    <w:rsid w:val="000B580E"/>
    <w:rsid w:val="000B77C2"/>
    <w:rsid w:val="000C20AD"/>
    <w:rsid w:val="000D3026"/>
    <w:rsid w:val="00100261"/>
    <w:rsid w:val="00100A62"/>
    <w:rsid w:val="0010463A"/>
    <w:rsid w:val="0012739F"/>
    <w:rsid w:val="00136AAB"/>
    <w:rsid w:val="0014723D"/>
    <w:rsid w:val="00151559"/>
    <w:rsid w:val="001542D4"/>
    <w:rsid w:val="00191081"/>
    <w:rsid w:val="00193DA2"/>
    <w:rsid w:val="001D4575"/>
    <w:rsid w:val="001E17EF"/>
    <w:rsid w:val="001E3B27"/>
    <w:rsid w:val="001E48BA"/>
    <w:rsid w:val="001E4D1C"/>
    <w:rsid w:val="001F77AC"/>
    <w:rsid w:val="00203DF8"/>
    <w:rsid w:val="0020518D"/>
    <w:rsid w:val="00211840"/>
    <w:rsid w:val="00215469"/>
    <w:rsid w:val="00215FB4"/>
    <w:rsid w:val="00221A34"/>
    <w:rsid w:val="002370D4"/>
    <w:rsid w:val="00237D3D"/>
    <w:rsid w:val="00257E35"/>
    <w:rsid w:val="00260C53"/>
    <w:rsid w:val="00266729"/>
    <w:rsid w:val="00275600"/>
    <w:rsid w:val="00276117"/>
    <w:rsid w:val="00282489"/>
    <w:rsid w:val="0028504A"/>
    <w:rsid w:val="00285F6F"/>
    <w:rsid w:val="00291239"/>
    <w:rsid w:val="002A3449"/>
    <w:rsid w:val="002A5058"/>
    <w:rsid w:val="002D5858"/>
    <w:rsid w:val="002D7E89"/>
    <w:rsid w:val="003259CD"/>
    <w:rsid w:val="003352EB"/>
    <w:rsid w:val="003535A5"/>
    <w:rsid w:val="00375939"/>
    <w:rsid w:val="00385166"/>
    <w:rsid w:val="00392890"/>
    <w:rsid w:val="003A2C4B"/>
    <w:rsid w:val="003C1919"/>
    <w:rsid w:val="003F3F28"/>
    <w:rsid w:val="004178C9"/>
    <w:rsid w:val="004229A8"/>
    <w:rsid w:val="00423E55"/>
    <w:rsid w:val="004269A1"/>
    <w:rsid w:val="00444C61"/>
    <w:rsid w:val="004700ED"/>
    <w:rsid w:val="004762C6"/>
    <w:rsid w:val="00482967"/>
    <w:rsid w:val="004A704F"/>
    <w:rsid w:val="004B1D3D"/>
    <w:rsid w:val="004C02E5"/>
    <w:rsid w:val="004E709D"/>
    <w:rsid w:val="004E7922"/>
    <w:rsid w:val="004F073B"/>
    <w:rsid w:val="004F136D"/>
    <w:rsid w:val="005074EF"/>
    <w:rsid w:val="00511385"/>
    <w:rsid w:val="00514E64"/>
    <w:rsid w:val="00517FAD"/>
    <w:rsid w:val="00531421"/>
    <w:rsid w:val="00540951"/>
    <w:rsid w:val="00545436"/>
    <w:rsid w:val="00550E41"/>
    <w:rsid w:val="005512B2"/>
    <w:rsid w:val="0057253B"/>
    <w:rsid w:val="00590D5F"/>
    <w:rsid w:val="0059720E"/>
    <w:rsid w:val="005A34F1"/>
    <w:rsid w:val="005A79D7"/>
    <w:rsid w:val="005B1732"/>
    <w:rsid w:val="005B62F9"/>
    <w:rsid w:val="005D77EA"/>
    <w:rsid w:val="005E6D0C"/>
    <w:rsid w:val="005F013A"/>
    <w:rsid w:val="00600DF7"/>
    <w:rsid w:val="00610108"/>
    <w:rsid w:val="0061021E"/>
    <w:rsid w:val="006263C6"/>
    <w:rsid w:val="0065130C"/>
    <w:rsid w:val="0067047D"/>
    <w:rsid w:val="00684591"/>
    <w:rsid w:val="006847A8"/>
    <w:rsid w:val="006A0560"/>
    <w:rsid w:val="006A39C8"/>
    <w:rsid w:val="006A3A7A"/>
    <w:rsid w:val="006B0798"/>
    <w:rsid w:val="006C0699"/>
    <w:rsid w:val="006C1C43"/>
    <w:rsid w:val="006C3DCC"/>
    <w:rsid w:val="006C6AFE"/>
    <w:rsid w:val="006D7BBE"/>
    <w:rsid w:val="006E2143"/>
    <w:rsid w:val="006E28EC"/>
    <w:rsid w:val="006E3EE5"/>
    <w:rsid w:val="006F2A0A"/>
    <w:rsid w:val="007064D9"/>
    <w:rsid w:val="00712661"/>
    <w:rsid w:val="00712F76"/>
    <w:rsid w:val="007206FB"/>
    <w:rsid w:val="007228F4"/>
    <w:rsid w:val="00734971"/>
    <w:rsid w:val="00740F6C"/>
    <w:rsid w:val="0074140D"/>
    <w:rsid w:val="007524E4"/>
    <w:rsid w:val="00770D0D"/>
    <w:rsid w:val="00775922"/>
    <w:rsid w:val="007802A1"/>
    <w:rsid w:val="007911AD"/>
    <w:rsid w:val="007966DC"/>
    <w:rsid w:val="007A3D76"/>
    <w:rsid w:val="007A675D"/>
    <w:rsid w:val="007C6B59"/>
    <w:rsid w:val="007D219F"/>
    <w:rsid w:val="007D3F6D"/>
    <w:rsid w:val="007F15C4"/>
    <w:rsid w:val="007F2C02"/>
    <w:rsid w:val="00804A26"/>
    <w:rsid w:val="00817CB3"/>
    <w:rsid w:val="00820DBF"/>
    <w:rsid w:val="00822A21"/>
    <w:rsid w:val="008255CD"/>
    <w:rsid w:val="00826EF6"/>
    <w:rsid w:val="00834951"/>
    <w:rsid w:val="00840055"/>
    <w:rsid w:val="008537A8"/>
    <w:rsid w:val="00854B79"/>
    <w:rsid w:val="00856A1A"/>
    <w:rsid w:val="00860F46"/>
    <w:rsid w:val="008851A1"/>
    <w:rsid w:val="008921E2"/>
    <w:rsid w:val="008B58F8"/>
    <w:rsid w:val="008C2005"/>
    <w:rsid w:val="008C2716"/>
    <w:rsid w:val="008C3676"/>
    <w:rsid w:val="008C45AF"/>
    <w:rsid w:val="008D221C"/>
    <w:rsid w:val="008F394A"/>
    <w:rsid w:val="009101EB"/>
    <w:rsid w:val="00914391"/>
    <w:rsid w:val="0092472F"/>
    <w:rsid w:val="00924CE9"/>
    <w:rsid w:val="00946AF1"/>
    <w:rsid w:val="00970324"/>
    <w:rsid w:val="009935A3"/>
    <w:rsid w:val="009C3527"/>
    <w:rsid w:val="009C397B"/>
    <w:rsid w:val="009D6C7B"/>
    <w:rsid w:val="009D74AF"/>
    <w:rsid w:val="009F6BA6"/>
    <w:rsid w:val="00A013DA"/>
    <w:rsid w:val="00A046FD"/>
    <w:rsid w:val="00A11A52"/>
    <w:rsid w:val="00A229A3"/>
    <w:rsid w:val="00A26432"/>
    <w:rsid w:val="00A31BCB"/>
    <w:rsid w:val="00A31D49"/>
    <w:rsid w:val="00A51A97"/>
    <w:rsid w:val="00A54822"/>
    <w:rsid w:val="00A55EDC"/>
    <w:rsid w:val="00A8775B"/>
    <w:rsid w:val="00A9536B"/>
    <w:rsid w:val="00AB3A9C"/>
    <w:rsid w:val="00AC4CDA"/>
    <w:rsid w:val="00AC6845"/>
    <w:rsid w:val="00AC7B73"/>
    <w:rsid w:val="00AD0548"/>
    <w:rsid w:val="00AD4456"/>
    <w:rsid w:val="00AD5F08"/>
    <w:rsid w:val="00AF3B26"/>
    <w:rsid w:val="00AF5EF0"/>
    <w:rsid w:val="00B0034B"/>
    <w:rsid w:val="00B17E6E"/>
    <w:rsid w:val="00B2140B"/>
    <w:rsid w:val="00B32751"/>
    <w:rsid w:val="00B40F46"/>
    <w:rsid w:val="00B4324A"/>
    <w:rsid w:val="00B52E6E"/>
    <w:rsid w:val="00B57D4D"/>
    <w:rsid w:val="00B66020"/>
    <w:rsid w:val="00B706FA"/>
    <w:rsid w:val="00B708D3"/>
    <w:rsid w:val="00B94CDB"/>
    <w:rsid w:val="00B95750"/>
    <w:rsid w:val="00BB5D05"/>
    <w:rsid w:val="00BB7078"/>
    <w:rsid w:val="00BC079F"/>
    <w:rsid w:val="00BC4CA0"/>
    <w:rsid w:val="00BE706E"/>
    <w:rsid w:val="00BF4C92"/>
    <w:rsid w:val="00C02D9B"/>
    <w:rsid w:val="00C0393E"/>
    <w:rsid w:val="00C048DF"/>
    <w:rsid w:val="00C14621"/>
    <w:rsid w:val="00C1697D"/>
    <w:rsid w:val="00C30336"/>
    <w:rsid w:val="00C31324"/>
    <w:rsid w:val="00C33D8C"/>
    <w:rsid w:val="00C471A7"/>
    <w:rsid w:val="00C75EA3"/>
    <w:rsid w:val="00C80A14"/>
    <w:rsid w:val="00C80FC2"/>
    <w:rsid w:val="00C82216"/>
    <w:rsid w:val="00C849D8"/>
    <w:rsid w:val="00C84E61"/>
    <w:rsid w:val="00CA36F1"/>
    <w:rsid w:val="00CA578A"/>
    <w:rsid w:val="00CA5CAD"/>
    <w:rsid w:val="00CC1814"/>
    <w:rsid w:val="00CD6EF4"/>
    <w:rsid w:val="00CE79C0"/>
    <w:rsid w:val="00D01433"/>
    <w:rsid w:val="00D05681"/>
    <w:rsid w:val="00D21B57"/>
    <w:rsid w:val="00D405D5"/>
    <w:rsid w:val="00D43C10"/>
    <w:rsid w:val="00D5084D"/>
    <w:rsid w:val="00D6106F"/>
    <w:rsid w:val="00D6142E"/>
    <w:rsid w:val="00D64F2D"/>
    <w:rsid w:val="00D777AE"/>
    <w:rsid w:val="00DA059D"/>
    <w:rsid w:val="00DE3DD5"/>
    <w:rsid w:val="00DE4342"/>
    <w:rsid w:val="00DF0CDD"/>
    <w:rsid w:val="00DF315C"/>
    <w:rsid w:val="00DF6E3A"/>
    <w:rsid w:val="00E07FD8"/>
    <w:rsid w:val="00E261E7"/>
    <w:rsid w:val="00E27719"/>
    <w:rsid w:val="00E42248"/>
    <w:rsid w:val="00E824F8"/>
    <w:rsid w:val="00E90D59"/>
    <w:rsid w:val="00E92CFB"/>
    <w:rsid w:val="00EC4F81"/>
    <w:rsid w:val="00EC6198"/>
    <w:rsid w:val="00EC77CD"/>
    <w:rsid w:val="00ED3127"/>
    <w:rsid w:val="00EF3FD5"/>
    <w:rsid w:val="00EF583A"/>
    <w:rsid w:val="00EF7DB6"/>
    <w:rsid w:val="00F072DB"/>
    <w:rsid w:val="00F355ED"/>
    <w:rsid w:val="00F56916"/>
    <w:rsid w:val="00F72A00"/>
    <w:rsid w:val="00F82C81"/>
    <w:rsid w:val="00F85EC7"/>
    <w:rsid w:val="00FA2FA0"/>
    <w:rsid w:val="00FB2ADA"/>
    <w:rsid w:val="00FC29B6"/>
    <w:rsid w:val="00FD14D2"/>
    <w:rsid w:val="00FD2474"/>
    <w:rsid w:val="00FD65D5"/>
    <w:rsid w:val="00FE12A0"/>
    <w:rsid w:val="0A8D1341"/>
    <w:rsid w:val="0C240EA8"/>
    <w:rsid w:val="0C414581"/>
    <w:rsid w:val="0E4B1ECF"/>
    <w:rsid w:val="0FD16016"/>
    <w:rsid w:val="11BF0A31"/>
    <w:rsid w:val="13307A17"/>
    <w:rsid w:val="142C5DFB"/>
    <w:rsid w:val="1795285A"/>
    <w:rsid w:val="19B56814"/>
    <w:rsid w:val="1A424B3D"/>
    <w:rsid w:val="1AD0786D"/>
    <w:rsid w:val="23B00850"/>
    <w:rsid w:val="253A0854"/>
    <w:rsid w:val="259440F0"/>
    <w:rsid w:val="2B02503C"/>
    <w:rsid w:val="2B2B10BE"/>
    <w:rsid w:val="2C8B456A"/>
    <w:rsid w:val="2F384E37"/>
    <w:rsid w:val="30156AF1"/>
    <w:rsid w:val="32636634"/>
    <w:rsid w:val="358B0CEF"/>
    <w:rsid w:val="3666560D"/>
    <w:rsid w:val="3B892C45"/>
    <w:rsid w:val="3C3F98E2"/>
    <w:rsid w:val="3E911FD1"/>
    <w:rsid w:val="402E00FC"/>
    <w:rsid w:val="409F1AF2"/>
    <w:rsid w:val="41D46B09"/>
    <w:rsid w:val="45A075CF"/>
    <w:rsid w:val="466C70B0"/>
    <w:rsid w:val="49BE62FE"/>
    <w:rsid w:val="4D7910BE"/>
    <w:rsid w:val="505B7E56"/>
    <w:rsid w:val="508D7BB9"/>
    <w:rsid w:val="50C95261"/>
    <w:rsid w:val="5248540A"/>
    <w:rsid w:val="54CD50C6"/>
    <w:rsid w:val="58315521"/>
    <w:rsid w:val="5B9C6E34"/>
    <w:rsid w:val="5D762069"/>
    <w:rsid w:val="5F490BC5"/>
    <w:rsid w:val="60F00554"/>
    <w:rsid w:val="62E51BFA"/>
    <w:rsid w:val="67B36D05"/>
    <w:rsid w:val="6A13192C"/>
    <w:rsid w:val="6DDA0FE0"/>
    <w:rsid w:val="6FF42FA6"/>
    <w:rsid w:val="709A7A5C"/>
    <w:rsid w:val="74BA3C6E"/>
    <w:rsid w:val="751002ED"/>
    <w:rsid w:val="75C83D17"/>
    <w:rsid w:val="775742F6"/>
    <w:rsid w:val="77D3A307"/>
    <w:rsid w:val="780E5EAB"/>
    <w:rsid w:val="7B6D1C23"/>
    <w:rsid w:val="7BDFB302"/>
    <w:rsid w:val="7E865AC4"/>
    <w:rsid w:val="AFD7D3E6"/>
    <w:rsid w:val="B9731938"/>
    <w:rsid w:val="FEFB2C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3"/>
    <w:link w:val="86"/>
    <w:qFormat/>
    <w:uiPriority w:val="0"/>
    <w:pPr>
      <w:keepNext/>
      <w:keepLines/>
      <w:pageBreakBefore/>
      <w:spacing w:before="240" w:after="240" w:line="360" w:lineRule="auto"/>
      <w:ind w:left="1701" w:hanging="1701"/>
      <w:jc w:val="center"/>
      <w:outlineLvl w:val="0"/>
    </w:pPr>
    <w:rPr>
      <w:rFonts w:ascii="Times New Roman" w:hAnsi="Times New Roman" w:eastAsia="宋体" w:cs="Times New Roman"/>
      <w:b/>
      <w:bCs/>
      <w:kern w:val="44"/>
      <w:sz w:val="36"/>
      <w:szCs w:val="36"/>
    </w:rPr>
  </w:style>
  <w:style w:type="paragraph" w:styleId="4">
    <w:name w:val="heading 2"/>
    <w:basedOn w:val="1"/>
    <w:next w:val="1"/>
    <w:link w:val="80"/>
    <w:qFormat/>
    <w:uiPriority w:val="0"/>
    <w:pPr>
      <w:numPr>
        <w:ilvl w:val="0"/>
        <w:numId w:val="1"/>
      </w:numPr>
      <w:spacing w:beforeLines="0" w:afterLines="0" w:line="600" w:lineRule="exact"/>
      <w:ind w:firstLine="0" w:firstLineChars="0"/>
      <w:outlineLvl w:val="1"/>
    </w:pPr>
    <w:rPr>
      <w:rFonts w:eastAsia="楷体"/>
      <w:kern w:val="2"/>
      <w:szCs w:val="22"/>
    </w:rPr>
  </w:style>
  <w:style w:type="paragraph" w:styleId="5">
    <w:name w:val="heading 3"/>
    <w:basedOn w:val="1"/>
    <w:next w:val="1"/>
    <w:link w:val="81"/>
    <w:qFormat/>
    <w:uiPriority w:val="0"/>
    <w:pPr>
      <w:keepNext/>
      <w:keepLines/>
      <w:adjustRightInd w:val="0"/>
      <w:snapToGrid w:val="0"/>
      <w:spacing w:beforeLines="100" w:afterLines="50" w:line="360" w:lineRule="auto"/>
      <w:ind w:firstLine="200" w:firstLineChars="200"/>
      <w:jc w:val="left"/>
      <w:outlineLvl w:val="2"/>
    </w:pPr>
    <w:rPr>
      <w:rFonts w:ascii="华文楷体" w:hAnsi="华文楷体" w:eastAsia="仿宋_GB2312" w:cs="Times New Roman"/>
      <w:b/>
      <w:kern w:val="0"/>
      <w:sz w:val="32"/>
      <w:szCs w:val="20"/>
      <w:lang w:val="en-GB"/>
    </w:rPr>
  </w:style>
  <w:style w:type="paragraph" w:styleId="6">
    <w:name w:val="heading 4"/>
    <w:basedOn w:val="1"/>
    <w:next w:val="1"/>
    <w:link w:val="87"/>
    <w:qFormat/>
    <w:uiPriority w:val="0"/>
    <w:pPr>
      <w:tabs>
        <w:tab w:val="left" w:pos="1221"/>
      </w:tabs>
      <w:spacing w:before="160" w:after="160" w:line="360" w:lineRule="auto"/>
      <w:ind w:left="1221" w:hanging="681"/>
      <w:outlineLvl w:val="3"/>
    </w:pPr>
    <w:rPr>
      <w:rFonts w:ascii="Arial" w:hAnsi="Arial" w:eastAsia="宋体" w:cs="Times New Roman"/>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3">
    <w:name w:val="标题1"/>
    <w:basedOn w:val="1"/>
    <w:qFormat/>
    <w:uiPriority w:val="0"/>
    <w:pPr>
      <w:widowControl/>
      <w:jc w:val="left"/>
      <w:outlineLvl w:val="0"/>
    </w:pPr>
    <w:rPr>
      <w:rFonts w:ascii="黑体" w:hAnsi="黑体" w:eastAsia="黑体" w:cs="黑体"/>
      <w:sz w:val="28"/>
      <w:szCs w:val="28"/>
    </w:rPr>
  </w:style>
  <w:style w:type="paragraph" w:styleId="7">
    <w:name w:val="List Number"/>
    <w:basedOn w:val="1"/>
    <w:next w:val="1"/>
    <w:qFormat/>
    <w:uiPriority w:val="0"/>
    <w:pPr>
      <w:keepNext/>
      <w:tabs>
        <w:tab w:val="left" w:pos="2880"/>
        <w:tab w:val="left" w:pos="3600"/>
        <w:tab w:val="left" w:pos="3780"/>
      </w:tabs>
      <w:spacing w:line="360" w:lineRule="auto"/>
      <w:ind w:left="3314" w:hanging="794"/>
      <w:jc w:val="left"/>
    </w:pPr>
    <w:rPr>
      <w:rFonts w:ascii="黑体" w:hAnsi="Times New Roman" w:eastAsia="黑体" w:cs="Times New Roman"/>
      <w:b/>
      <w:bCs/>
      <w:color w:val="000000"/>
      <w:sz w:val="28"/>
      <w:szCs w:val="28"/>
    </w:rPr>
  </w:style>
  <w:style w:type="paragraph" w:styleId="8">
    <w:name w:val="Document Map"/>
    <w:basedOn w:val="1"/>
    <w:link w:val="85"/>
    <w:semiHidden/>
    <w:unhideWhenUsed/>
    <w:qFormat/>
    <w:uiPriority w:val="99"/>
    <w:rPr>
      <w:rFonts w:ascii="宋体" w:eastAsia="宋体"/>
      <w:sz w:val="18"/>
      <w:szCs w:val="18"/>
    </w:rPr>
  </w:style>
  <w:style w:type="paragraph" w:styleId="9">
    <w:name w:val="annotation text"/>
    <w:basedOn w:val="1"/>
    <w:link w:val="88"/>
    <w:qFormat/>
    <w:uiPriority w:val="99"/>
    <w:pPr>
      <w:jc w:val="left"/>
    </w:pPr>
    <w:rPr>
      <w:rFonts w:ascii="Times New Roman" w:hAnsi="Times New Roman" w:eastAsia="仿宋" w:cs="Times New Roman"/>
      <w:sz w:val="28"/>
      <w:szCs w:val="28"/>
    </w:rPr>
  </w:style>
  <w:style w:type="paragraph" w:styleId="10">
    <w:name w:val="Body Text"/>
    <w:basedOn w:val="1"/>
    <w:link w:val="82"/>
    <w:unhideWhenUsed/>
    <w:qFormat/>
    <w:uiPriority w:val="99"/>
    <w:pPr>
      <w:spacing w:after="120"/>
    </w:pPr>
  </w:style>
  <w:style w:type="paragraph" w:styleId="11">
    <w:name w:val="Body Text Indent"/>
    <w:basedOn w:val="1"/>
    <w:link w:val="89"/>
    <w:qFormat/>
    <w:uiPriority w:val="99"/>
    <w:pPr>
      <w:spacing w:before="156"/>
      <w:ind w:firstLine="560"/>
    </w:pPr>
    <w:rPr>
      <w:rFonts w:ascii="Times New Roman" w:hAnsi="Times New Roman" w:eastAsia="宋体" w:cs="Times New Roman"/>
      <w:kern w:val="0"/>
      <w:sz w:val="20"/>
      <w:szCs w:val="20"/>
    </w:rPr>
  </w:style>
  <w:style w:type="paragraph" w:styleId="12">
    <w:name w:val="toc 3"/>
    <w:basedOn w:val="1"/>
    <w:next w:val="1"/>
    <w:semiHidden/>
    <w:unhideWhenUsed/>
    <w:qFormat/>
    <w:uiPriority w:val="39"/>
    <w:pPr>
      <w:ind w:left="840" w:leftChars="400"/>
    </w:pPr>
  </w:style>
  <w:style w:type="paragraph" w:styleId="13">
    <w:name w:val="Body Text Indent 2"/>
    <w:basedOn w:val="1"/>
    <w:link w:val="90"/>
    <w:qFormat/>
    <w:uiPriority w:val="0"/>
    <w:pPr>
      <w:spacing w:after="120" w:line="480" w:lineRule="auto"/>
      <w:ind w:left="420" w:leftChars="200"/>
    </w:pPr>
    <w:rPr>
      <w:rFonts w:ascii="Times New Roman" w:hAnsi="Times New Roman" w:eastAsia="宋体" w:cs="Times New Roman"/>
      <w:szCs w:val="24"/>
    </w:rPr>
  </w:style>
  <w:style w:type="paragraph" w:styleId="14">
    <w:name w:val="Balloon Text"/>
    <w:basedOn w:val="1"/>
    <w:link w:val="83"/>
    <w:semiHidden/>
    <w:unhideWhenUsed/>
    <w:qFormat/>
    <w:uiPriority w:val="99"/>
    <w:rPr>
      <w:sz w:val="18"/>
      <w:szCs w:val="18"/>
    </w:rPr>
  </w:style>
  <w:style w:type="paragraph" w:styleId="15">
    <w:name w:val="footer"/>
    <w:basedOn w:val="1"/>
    <w:link w:val="79"/>
    <w:unhideWhenUsed/>
    <w:qFormat/>
    <w:uiPriority w:val="99"/>
    <w:pPr>
      <w:tabs>
        <w:tab w:val="center" w:pos="4153"/>
        <w:tab w:val="right" w:pos="8306"/>
      </w:tabs>
      <w:snapToGrid w:val="0"/>
      <w:jc w:val="left"/>
    </w:pPr>
    <w:rPr>
      <w:sz w:val="18"/>
      <w:szCs w:val="18"/>
    </w:rPr>
  </w:style>
  <w:style w:type="paragraph" w:styleId="16">
    <w:name w:val="header"/>
    <w:basedOn w:val="1"/>
    <w:link w:val="7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Subtitle"/>
    <w:basedOn w:val="1"/>
    <w:next w:val="1"/>
    <w:link w:val="92"/>
    <w:qFormat/>
    <w:uiPriority w:val="11"/>
    <w:pPr>
      <w:adjustRightInd w:val="0"/>
      <w:snapToGrid w:val="0"/>
      <w:jc w:val="center"/>
    </w:pPr>
    <w:rPr>
      <w:rFonts w:ascii="Calibri Light" w:hAnsi="Calibri Light" w:eastAsia="宋体" w:cs="Times New Roman"/>
      <w:b/>
      <w:bCs/>
      <w:kern w:val="28"/>
      <w:sz w:val="24"/>
      <w:szCs w:val="32"/>
    </w:rPr>
  </w:style>
  <w:style w:type="paragraph" w:styleId="19">
    <w:name w:val="toc 2"/>
    <w:basedOn w:val="1"/>
    <w:next w:val="1"/>
    <w:unhideWhenUsed/>
    <w:qFormat/>
    <w:uiPriority w:val="39"/>
    <w:pPr>
      <w:ind w:left="420" w:leftChars="200"/>
    </w:pPr>
  </w:style>
  <w:style w:type="paragraph" w:styleId="20">
    <w:name w:val="Normal (Web)"/>
    <w:basedOn w:val="1"/>
    <w:qFormat/>
    <w:uiPriority w:val="0"/>
    <w:pPr>
      <w:widowControl/>
      <w:spacing w:before="100" w:beforeAutospacing="1" w:after="100" w:afterAutospacing="1" w:line="305" w:lineRule="atLeast"/>
      <w:jc w:val="left"/>
    </w:pPr>
    <w:rPr>
      <w:rFonts w:ascii="宋体" w:hAnsi="宋体" w:eastAsia="宋体" w:cs="宋体"/>
      <w:kern w:val="0"/>
      <w:sz w:val="22"/>
    </w:rPr>
  </w:style>
  <w:style w:type="paragraph" w:styleId="21">
    <w:name w:val="Title"/>
    <w:basedOn w:val="1"/>
    <w:next w:val="1"/>
    <w:link w:val="93"/>
    <w:qFormat/>
    <w:uiPriority w:val="10"/>
    <w:pPr>
      <w:adjustRightInd w:val="0"/>
      <w:snapToGrid w:val="0"/>
      <w:spacing w:line="360" w:lineRule="auto"/>
      <w:jc w:val="center"/>
    </w:pPr>
    <w:rPr>
      <w:rFonts w:ascii="Calibri Light" w:hAnsi="Calibri Light" w:eastAsia="宋体" w:cs="Times New Roman"/>
      <w:bCs/>
      <w:kern w:val="0"/>
      <w:sz w:val="24"/>
      <w:szCs w:val="32"/>
    </w:rPr>
  </w:style>
  <w:style w:type="paragraph" w:styleId="22">
    <w:name w:val="annotation subject"/>
    <w:basedOn w:val="9"/>
    <w:next w:val="9"/>
    <w:link w:val="91"/>
    <w:semiHidden/>
    <w:unhideWhenUsed/>
    <w:qFormat/>
    <w:uiPriority w:val="99"/>
    <w:rPr>
      <w:rFonts w:eastAsia="宋体"/>
      <w:b/>
      <w:bCs/>
      <w:sz w:val="21"/>
      <w:szCs w:val="20"/>
    </w:rPr>
  </w:style>
  <w:style w:type="paragraph" w:styleId="23">
    <w:name w:val="Body Text First Indent"/>
    <w:basedOn w:val="10"/>
    <w:link w:val="84"/>
    <w:unhideWhenUsed/>
    <w:qFormat/>
    <w:uiPriority w:val="99"/>
    <w:pPr>
      <w:ind w:firstLine="420" w:firstLineChars="100"/>
    </w:pPr>
    <w:rPr>
      <w:rFonts w:ascii="Times New Roman" w:hAnsi="Times New Roman" w:eastAsia="宋体" w:cs="Times New Roman"/>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99"/>
    <w:rPr>
      <w:rFonts w:cs="Times New Roman"/>
    </w:rPr>
  </w:style>
  <w:style w:type="character" w:styleId="28">
    <w:name w:val="Hyperlink"/>
    <w:basedOn w:val="26"/>
    <w:unhideWhenUsed/>
    <w:qFormat/>
    <w:uiPriority w:val="99"/>
    <w:rPr>
      <w:color w:val="0000FF"/>
      <w:u w:val="single"/>
    </w:rPr>
  </w:style>
  <w:style w:type="character" w:styleId="29">
    <w:name w:val="annotation reference"/>
    <w:basedOn w:val="26"/>
    <w:semiHidden/>
    <w:unhideWhenUsed/>
    <w:qFormat/>
    <w:uiPriority w:val="99"/>
    <w:rPr>
      <w:sz w:val="21"/>
      <w:szCs w:val="21"/>
    </w:rPr>
  </w:style>
  <w:style w:type="paragraph" w:customStyle="1" w:styleId="30">
    <w:name w:val="Default"/>
    <w:basedOn w:val="31"/>
    <w:qFormat/>
    <w:uiPriority w:val="0"/>
    <w:pPr>
      <w:widowControl w:val="0"/>
      <w:autoSpaceDE w:val="0"/>
      <w:autoSpaceDN w:val="0"/>
      <w:adjustRightInd w:val="0"/>
    </w:pPr>
    <w:rPr>
      <w:rFonts w:ascii="华文新魏" w:hAnsi="华文新魏" w:eastAsia="宋体" w:cs="华文新魏"/>
      <w:color w:val="000000"/>
      <w:sz w:val="24"/>
      <w:szCs w:val="24"/>
      <w:lang w:val="en-US" w:eastAsia="zh-CN" w:bidi="ar-SA"/>
    </w:rPr>
  </w:style>
  <w:style w:type="paragraph" w:customStyle="1" w:styleId="31">
    <w:name w:val="_正文"/>
    <w:basedOn w:val="1"/>
    <w:qFormat/>
    <w:uiPriority w:val="0"/>
    <w:pPr>
      <w:ind w:firstLine="200" w:firstLineChars="200"/>
      <w:jc w:val="left"/>
    </w:pPr>
    <w:rPr>
      <w:rFonts w:ascii="宋体"/>
      <w:szCs w:val="20"/>
    </w:rPr>
  </w:style>
  <w:style w:type="character" w:customStyle="1" w:styleId="32">
    <w:name w:val="页眉 字符"/>
    <w:basedOn w:val="26"/>
    <w:link w:val="16"/>
    <w:qFormat/>
    <w:uiPriority w:val="99"/>
    <w:rPr>
      <w:sz w:val="18"/>
      <w:szCs w:val="18"/>
    </w:rPr>
  </w:style>
  <w:style w:type="character" w:customStyle="1" w:styleId="33">
    <w:name w:val="页脚 字符"/>
    <w:basedOn w:val="26"/>
    <w:link w:val="15"/>
    <w:qFormat/>
    <w:uiPriority w:val="99"/>
    <w:rPr>
      <w:sz w:val="18"/>
      <w:szCs w:val="18"/>
    </w:rPr>
  </w:style>
  <w:style w:type="character" w:customStyle="1" w:styleId="34">
    <w:name w:val="标题 2 字符"/>
    <w:basedOn w:val="26"/>
    <w:link w:val="4"/>
    <w:qFormat/>
    <w:uiPriority w:val="0"/>
    <w:rPr>
      <w:rFonts w:ascii="华文楷体" w:hAnsi="华文楷体" w:eastAsia="楷体" w:cs="Times New Roman"/>
      <w:b/>
      <w:sz w:val="32"/>
      <w:lang w:val="en-GB"/>
    </w:rPr>
  </w:style>
  <w:style w:type="character" w:customStyle="1" w:styleId="35">
    <w:name w:val="标题 3 字符"/>
    <w:basedOn w:val="26"/>
    <w:link w:val="5"/>
    <w:qFormat/>
    <w:uiPriority w:val="0"/>
    <w:rPr>
      <w:rFonts w:ascii="华文楷体" w:hAnsi="华文楷体" w:eastAsia="仿宋_GB2312" w:cs="Times New Roman"/>
      <w:b/>
      <w:kern w:val="0"/>
      <w:sz w:val="32"/>
      <w:szCs w:val="20"/>
      <w:lang w:val="en-GB"/>
    </w:rPr>
  </w:style>
  <w:style w:type="character" w:customStyle="1" w:styleId="36">
    <w:name w:val="正文文本 字符"/>
    <w:basedOn w:val="26"/>
    <w:link w:val="10"/>
    <w:qFormat/>
    <w:uiPriority w:val="99"/>
  </w:style>
  <w:style w:type="character" w:customStyle="1" w:styleId="37">
    <w:name w:val="批注框文本 字符"/>
    <w:basedOn w:val="26"/>
    <w:link w:val="14"/>
    <w:semiHidden/>
    <w:qFormat/>
    <w:uiPriority w:val="99"/>
    <w:rPr>
      <w:sz w:val="18"/>
      <w:szCs w:val="18"/>
    </w:rPr>
  </w:style>
  <w:style w:type="character" w:customStyle="1" w:styleId="38">
    <w:name w:val="正文文本首行缩进 字符"/>
    <w:basedOn w:val="36"/>
    <w:link w:val="23"/>
    <w:qFormat/>
    <w:uiPriority w:val="99"/>
    <w:rPr>
      <w:rFonts w:ascii="Times New Roman" w:hAnsi="Times New Roman" w:eastAsia="宋体" w:cs="Times New Roman"/>
    </w:rPr>
  </w:style>
  <w:style w:type="paragraph" w:customStyle="1" w:styleId="39">
    <w:name w:val="标题 11"/>
    <w:basedOn w:val="1"/>
    <w:qFormat/>
    <w:uiPriority w:val="1"/>
    <w:pPr>
      <w:autoSpaceDE w:val="0"/>
      <w:autoSpaceDN w:val="0"/>
      <w:ind w:left="776"/>
      <w:jc w:val="left"/>
      <w:outlineLvl w:val="1"/>
    </w:pPr>
    <w:rPr>
      <w:rFonts w:ascii="仿宋" w:hAnsi="仿宋" w:eastAsia="仿宋" w:cs="仿宋"/>
      <w:b/>
      <w:bCs/>
      <w:kern w:val="0"/>
      <w:sz w:val="28"/>
      <w:szCs w:val="28"/>
      <w:lang w:val="zh-CN" w:bidi="zh-CN"/>
    </w:rPr>
  </w:style>
  <w:style w:type="paragraph" w:styleId="40">
    <w:name w:val="List Paragraph"/>
    <w:basedOn w:val="1"/>
    <w:qFormat/>
    <w:uiPriority w:val="34"/>
    <w:pPr>
      <w:autoSpaceDE w:val="0"/>
      <w:autoSpaceDN w:val="0"/>
      <w:ind w:left="217" w:hanging="422"/>
      <w:jc w:val="left"/>
    </w:pPr>
    <w:rPr>
      <w:rFonts w:ascii="仿宋" w:hAnsi="仿宋" w:eastAsia="仿宋" w:cs="仿宋"/>
      <w:kern w:val="0"/>
      <w:sz w:val="22"/>
      <w:lang w:val="zh-CN" w:bidi="zh-CN"/>
    </w:rPr>
  </w:style>
  <w:style w:type="table" w:customStyle="1" w:styleId="41">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42">
    <w:name w:val="Table Paragraph"/>
    <w:basedOn w:val="1"/>
    <w:qFormat/>
    <w:uiPriority w:val="1"/>
    <w:pPr>
      <w:autoSpaceDE w:val="0"/>
      <w:autoSpaceDN w:val="0"/>
      <w:jc w:val="right"/>
    </w:pPr>
    <w:rPr>
      <w:rFonts w:ascii="Verdana" w:hAnsi="Verdana" w:eastAsia="Verdana" w:cs="Verdana"/>
      <w:kern w:val="0"/>
      <w:sz w:val="22"/>
      <w:lang w:val="zh-CN" w:bidi="zh-CN"/>
    </w:rPr>
  </w:style>
  <w:style w:type="character" w:customStyle="1" w:styleId="43">
    <w:name w:val="文档结构图 字符"/>
    <w:basedOn w:val="26"/>
    <w:link w:val="8"/>
    <w:semiHidden/>
    <w:qFormat/>
    <w:uiPriority w:val="99"/>
    <w:rPr>
      <w:rFonts w:ascii="宋体" w:eastAsia="宋体"/>
      <w:sz w:val="18"/>
      <w:szCs w:val="18"/>
    </w:rPr>
  </w:style>
  <w:style w:type="character" w:customStyle="1" w:styleId="44">
    <w:name w:val="标题 1 字符"/>
    <w:basedOn w:val="26"/>
    <w:link w:val="2"/>
    <w:qFormat/>
    <w:uiPriority w:val="0"/>
    <w:rPr>
      <w:b/>
      <w:bCs/>
      <w:kern w:val="44"/>
      <w:sz w:val="36"/>
      <w:szCs w:val="36"/>
    </w:rPr>
  </w:style>
  <w:style w:type="character" w:customStyle="1" w:styleId="45">
    <w:name w:val="标题 4 字符"/>
    <w:basedOn w:val="26"/>
    <w:link w:val="6"/>
    <w:qFormat/>
    <w:uiPriority w:val="0"/>
    <w:rPr>
      <w:rFonts w:ascii="Arial" w:hAnsi="Arial"/>
      <w:b/>
      <w:bCs/>
      <w:kern w:val="2"/>
      <w:sz w:val="28"/>
      <w:szCs w:val="28"/>
    </w:rPr>
  </w:style>
  <w:style w:type="character" w:customStyle="1" w:styleId="46">
    <w:name w:val="批注文字 字符"/>
    <w:basedOn w:val="26"/>
    <w:link w:val="9"/>
    <w:qFormat/>
    <w:uiPriority w:val="99"/>
    <w:rPr>
      <w:rFonts w:eastAsia="仿宋"/>
      <w:kern w:val="2"/>
      <w:sz w:val="28"/>
      <w:szCs w:val="28"/>
    </w:rPr>
  </w:style>
  <w:style w:type="character" w:customStyle="1" w:styleId="47">
    <w:name w:val="正文文本缩进 字符"/>
    <w:basedOn w:val="26"/>
    <w:link w:val="11"/>
    <w:qFormat/>
    <w:uiPriority w:val="99"/>
  </w:style>
  <w:style w:type="character" w:customStyle="1" w:styleId="48">
    <w:name w:val="正文文本缩进 2 字符"/>
    <w:basedOn w:val="26"/>
    <w:link w:val="13"/>
    <w:qFormat/>
    <w:uiPriority w:val="0"/>
    <w:rPr>
      <w:kern w:val="2"/>
      <w:sz w:val="21"/>
      <w:szCs w:val="24"/>
    </w:rPr>
  </w:style>
  <w:style w:type="character" w:customStyle="1" w:styleId="49">
    <w:name w:val="副标题 字符"/>
    <w:basedOn w:val="26"/>
    <w:qFormat/>
    <w:uiPriority w:val="11"/>
    <w:rPr>
      <w:rFonts w:asciiTheme="minorHAnsi" w:hAnsiTheme="minorHAnsi" w:eastAsiaTheme="minorEastAsia" w:cstheme="minorBidi"/>
      <w:b/>
      <w:bCs/>
      <w:kern w:val="28"/>
      <w:sz w:val="32"/>
      <w:szCs w:val="32"/>
    </w:rPr>
  </w:style>
  <w:style w:type="character" w:customStyle="1" w:styleId="50">
    <w:name w:val="标题 字符"/>
    <w:basedOn w:val="26"/>
    <w:qFormat/>
    <w:uiPriority w:val="10"/>
    <w:rPr>
      <w:rFonts w:asciiTheme="majorHAnsi" w:hAnsiTheme="majorHAnsi" w:eastAsiaTheme="majorEastAsia" w:cstheme="majorBidi"/>
      <w:b/>
      <w:bCs/>
      <w:kern w:val="2"/>
      <w:sz w:val="32"/>
      <w:szCs w:val="32"/>
    </w:rPr>
  </w:style>
  <w:style w:type="character" w:customStyle="1" w:styleId="51">
    <w:name w:val="批注主题 字符"/>
    <w:basedOn w:val="46"/>
    <w:link w:val="22"/>
    <w:semiHidden/>
    <w:qFormat/>
    <w:uiPriority w:val="99"/>
    <w:rPr>
      <w:rFonts w:eastAsia="仿宋"/>
      <w:b/>
      <w:bCs/>
      <w:kern w:val="2"/>
      <w:sz w:val="21"/>
      <w:szCs w:val="28"/>
    </w:rPr>
  </w:style>
  <w:style w:type="character" w:customStyle="1" w:styleId="52">
    <w:name w:val="页脚 字符1"/>
    <w:basedOn w:val="26"/>
    <w:qFormat/>
    <w:uiPriority w:val="99"/>
    <w:rPr>
      <w:sz w:val="18"/>
      <w:szCs w:val="18"/>
    </w:rPr>
  </w:style>
  <w:style w:type="paragraph" w:customStyle="1" w:styleId="53">
    <w:name w:val="图编号"/>
    <w:basedOn w:val="1"/>
    <w:next w:val="1"/>
    <w:qFormat/>
    <w:uiPriority w:val="0"/>
    <w:pPr>
      <w:tabs>
        <w:tab w:val="left" w:pos="1534"/>
      </w:tabs>
      <w:ind w:left="1534" w:hanging="1534"/>
      <w:jc w:val="center"/>
    </w:pPr>
    <w:rPr>
      <w:rFonts w:ascii="Times New Roman" w:hAnsi="Times New Roman" w:eastAsia="宋体" w:cs="Times New Roman"/>
      <w:sz w:val="24"/>
      <w:szCs w:val="24"/>
    </w:rPr>
  </w:style>
  <w:style w:type="paragraph" w:customStyle="1" w:styleId="54">
    <w:name w:val="Char Char Char1 Char"/>
    <w:basedOn w:val="1"/>
    <w:qFormat/>
    <w:uiPriority w:val="0"/>
    <w:pPr>
      <w:widowControl/>
      <w:spacing w:line="360" w:lineRule="auto"/>
      <w:ind w:firstLine="200" w:firstLineChars="200"/>
    </w:pPr>
    <w:rPr>
      <w:rFonts w:ascii="Times New Roman" w:hAnsi="Times New Roman" w:eastAsia="宋体" w:cs="Times New Roman"/>
      <w:szCs w:val="20"/>
    </w:rPr>
  </w:style>
  <w:style w:type="character" w:customStyle="1" w:styleId="55">
    <w:name w:val="副标题 字符1"/>
    <w:basedOn w:val="26"/>
    <w:link w:val="18"/>
    <w:qFormat/>
    <w:uiPriority w:val="11"/>
    <w:rPr>
      <w:rFonts w:ascii="Calibri Light" w:hAnsi="Calibri Light"/>
      <w:b/>
      <w:bCs/>
      <w:kern w:val="28"/>
      <w:sz w:val="24"/>
      <w:szCs w:val="32"/>
    </w:rPr>
  </w:style>
  <w:style w:type="character" w:customStyle="1" w:styleId="56">
    <w:name w:val="标题 字符1"/>
    <w:basedOn w:val="26"/>
    <w:link w:val="21"/>
    <w:qFormat/>
    <w:uiPriority w:val="10"/>
    <w:rPr>
      <w:rFonts w:ascii="Calibri Light" w:hAnsi="Calibri Light"/>
      <w:bCs/>
      <w:sz w:val="24"/>
      <w:szCs w:val="32"/>
    </w:rPr>
  </w:style>
  <w:style w:type="paragraph" w:customStyle="1" w:styleId="57">
    <w:name w:val="Char Char Char"/>
    <w:basedOn w:val="1"/>
    <w:qFormat/>
    <w:uiPriority w:val="0"/>
    <w:rPr>
      <w:rFonts w:ascii="宋体" w:hAnsi="Times New Roman" w:eastAsia="宋体" w:cs="Times New Roman"/>
      <w:sz w:val="30"/>
      <w:szCs w:val="30"/>
    </w:rPr>
  </w:style>
  <w:style w:type="paragraph" w:customStyle="1" w:styleId="58">
    <w:name w:val="默认段落字体 Para Char Char Char Char Char Char Char Char Char Char"/>
    <w:basedOn w:val="1"/>
    <w:qFormat/>
    <w:uiPriority w:val="0"/>
    <w:rPr>
      <w:rFonts w:ascii="Times New Roman" w:hAnsi="Times New Roman" w:eastAsia="宋体" w:cs="Times New Roman"/>
      <w:szCs w:val="24"/>
    </w:rPr>
  </w:style>
  <w:style w:type="character" w:customStyle="1" w:styleId="59">
    <w:name w:val="正文缩进 Char"/>
    <w:link w:val="60"/>
    <w:qFormat/>
    <w:uiPriority w:val="0"/>
    <w:rPr>
      <w:rFonts w:ascii="Tahoma" w:hAnsi="Tahoma"/>
      <w:sz w:val="28"/>
    </w:rPr>
  </w:style>
  <w:style w:type="paragraph" w:customStyle="1" w:styleId="60">
    <w:name w:val="正文缩进1"/>
    <w:basedOn w:val="1"/>
    <w:link w:val="59"/>
    <w:qFormat/>
    <w:uiPriority w:val="0"/>
    <w:pPr>
      <w:spacing w:line="360" w:lineRule="auto"/>
      <w:ind w:firstLine="567"/>
    </w:pPr>
    <w:rPr>
      <w:rFonts w:ascii="Tahoma" w:hAnsi="Tahoma" w:eastAsia="宋体" w:cs="Times New Roman"/>
      <w:kern w:val="0"/>
      <w:sz w:val="28"/>
      <w:szCs w:val="20"/>
    </w:rPr>
  </w:style>
  <w:style w:type="paragraph" w:customStyle="1" w:styleId="61">
    <w:name w:val="正文文本缩进 31"/>
    <w:basedOn w:val="1"/>
    <w:qFormat/>
    <w:uiPriority w:val="0"/>
    <w:pPr>
      <w:ind w:firstLine="600" w:firstLineChars="200"/>
    </w:pPr>
    <w:rPr>
      <w:rFonts w:ascii="Times New Roman" w:hAnsi="Times New Roman" w:eastAsia="仿宋_GB2312" w:cs="Times New Roman"/>
      <w:sz w:val="30"/>
      <w:szCs w:val="20"/>
    </w:rPr>
  </w:style>
  <w:style w:type="paragraph" w:customStyle="1" w:styleId="62">
    <w:name w:val="正文缩进2"/>
    <w:basedOn w:val="1"/>
    <w:qFormat/>
    <w:uiPriority w:val="0"/>
    <w:pPr>
      <w:spacing w:line="360" w:lineRule="auto"/>
      <w:ind w:firstLine="567"/>
    </w:pPr>
    <w:rPr>
      <w:rFonts w:ascii="Tahoma" w:hAnsi="Tahoma" w:eastAsia="宋体" w:cs="Times New Roman"/>
      <w:sz w:val="28"/>
      <w:szCs w:val="20"/>
    </w:rPr>
  </w:style>
  <w:style w:type="paragraph" w:customStyle="1" w:styleId="63">
    <w:name w:val="Char"/>
    <w:basedOn w:val="1"/>
    <w:qFormat/>
    <w:uiPriority w:val="0"/>
    <w:pPr>
      <w:widowControl/>
      <w:spacing w:after="160" w:line="240" w:lineRule="exact"/>
      <w:jc w:val="left"/>
    </w:pPr>
    <w:rPr>
      <w:rFonts w:ascii="Arial" w:hAnsi="Arial" w:eastAsia="Times New Roman" w:cs="Verdana"/>
      <w:b/>
      <w:color w:val="000000"/>
      <w:kern w:val="0"/>
      <w:sz w:val="24"/>
      <w:szCs w:val="20"/>
      <w:lang w:eastAsia="en-US"/>
    </w:rPr>
  </w:style>
  <w:style w:type="paragraph" w:customStyle="1" w:styleId="64">
    <w:name w:val="GS1"/>
    <w:basedOn w:val="1"/>
    <w:qFormat/>
    <w:uiPriority w:val="0"/>
    <w:pPr>
      <w:ind w:firstLine="560" w:firstLineChars="200"/>
    </w:pPr>
    <w:rPr>
      <w:rFonts w:ascii="仿宋_GB2312" w:hAnsi="Times New Roman" w:eastAsia="仿宋_GB2312" w:cs="Times New Roman"/>
      <w:sz w:val="28"/>
      <w:szCs w:val="20"/>
    </w:rPr>
  </w:style>
  <w:style w:type="character" w:customStyle="1" w:styleId="65">
    <w:name w:val="font31"/>
    <w:basedOn w:val="26"/>
    <w:qFormat/>
    <w:uiPriority w:val="0"/>
    <w:rPr>
      <w:rFonts w:hint="default" w:ascii="Times New Roman" w:hAnsi="Times New Roman" w:cs="Times New Roman"/>
      <w:color w:val="000000"/>
      <w:sz w:val="20"/>
      <w:szCs w:val="20"/>
      <w:u w:val="none"/>
    </w:rPr>
  </w:style>
  <w:style w:type="character" w:customStyle="1" w:styleId="66">
    <w:name w:val="font01"/>
    <w:basedOn w:val="26"/>
    <w:qFormat/>
    <w:uiPriority w:val="0"/>
    <w:rPr>
      <w:rFonts w:hint="eastAsia" w:ascii="宋体" w:hAnsi="宋体" w:eastAsia="宋体" w:cs="宋体"/>
      <w:color w:val="000000"/>
      <w:sz w:val="22"/>
      <w:szCs w:val="22"/>
      <w:u w:val="none"/>
    </w:rPr>
  </w:style>
  <w:style w:type="character" w:customStyle="1" w:styleId="67">
    <w:name w:val="font11"/>
    <w:basedOn w:val="26"/>
    <w:qFormat/>
    <w:uiPriority w:val="0"/>
    <w:rPr>
      <w:rFonts w:hint="eastAsia" w:ascii="宋体" w:hAnsi="宋体" w:eastAsia="宋体" w:cs="宋体"/>
      <w:color w:val="000000"/>
      <w:sz w:val="22"/>
      <w:szCs w:val="22"/>
      <w:u w:val="none"/>
    </w:rPr>
  </w:style>
  <w:style w:type="character" w:customStyle="1" w:styleId="68">
    <w:name w:val="font61"/>
    <w:basedOn w:val="26"/>
    <w:qFormat/>
    <w:uiPriority w:val="0"/>
    <w:rPr>
      <w:rFonts w:hint="eastAsia" w:ascii="宋体" w:hAnsi="宋体" w:eastAsia="宋体" w:cs="宋体"/>
      <w:color w:val="000000"/>
      <w:sz w:val="22"/>
      <w:szCs w:val="22"/>
      <w:u w:val="none"/>
    </w:rPr>
  </w:style>
  <w:style w:type="character" w:customStyle="1" w:styleId="69">
    <w:name w:val="font41"/>
    <w:basedOn w:val="26"/>
    <w:qFormat/>
    <w:uiPriority w:val="0"/>
    <w:rPr>
      <w:rFonts w:hint="eastAsia" w:ascii="宋体" w:hAnsi="宋体" w:eastAsia="宋体" w:cs="宋体"/>
      <w:color w:val="000000"/>
      <w:sz w:val="20"/>
      <w:szCs w:val="20"/>
      <w:u w:val="none"/>
    </w:rPr>
  </w:style>
  <w:style w:type="paragraph" w:customStyle="1" w:styleId="70">
    <w:name w:val="内容"/>
    <w:basedOn w:val="1"/>
    <w:next w:val="71"/>
    <w:qFormat/>
    <w:uiPriority w:val="0"/>
    <w:pPr>
      <w:spacing w:line="500" w:lineRule="exact"/>
      <w:ind w:left="200" w:leftChars="200" w:firstLine="200" w:firstLineChars="200"/>
      <w:jc w:val="left"/>
    </w:pPr>
    <w:rPr>
      <w:rFonts w:ascii="宋体" w:hAnsi="宋体"/>
      <w:color w:val="000000"/>
      <w:sz w:val="28"/>
      <w:szCs w:val="24"/>
    </w:rPr>
  </w:style>
  <w:style w:type="paragraph" w:customStyle="1" w:styleId="71">
    <w:name w:val="目录 811"/>
    <w:next w:val="1"/>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72">
    <w:name w:val="表格文字"/>
    <w:basedOn w:val="1"/>
    <w:qFormat/>
    <w:uiPriority w:val="0"/>
    <w:pPr>
      <w:spacing w:line="300" w:lineRule="auto"/>
      <w:jc w:val="center"/>
    </w:pPr>
    <w:rPr>
      <w:rFonts w:eastAsia="楷体"/>
      <w:szCs w:val="28"/>
    </w:rPr>
  </w:style>
  <w:style w:type="character" w:customStyle="1" w:styleId="73">
    <w:name w:val="font71"/>
    <w:basedOn w:val="26"/>
    <w:qFormat/>
    <w:uiPriority w:val="0"/>
    <w:rPr>
      <w:rFonts w:hint="default" w:ascii="Arial Narrow" w:hAnsi="Arial Narrow" w:eastAsia="Arial Narrow" w:cs="Arial Narrow"/>
      <w:color w:val="000000"/>
      <w:sz w:val="20"/>
      <w:szCs w:val="20"/>
      <w:u w:val="none"/>
    </w:rPr>
  </w:style>
  <w:style w:type="character" w:customStyle="1" w:styleId="74">
    <w:name w:val="font81"/>
    <w:basedOn w:val="26"/>
    <w:qFormat/>
    <w:uiPriority w:val="0"/>
    <w:rPr>
      <w:rFonts w:hint="eastAsia" w:ascii="宋体" w:hAnsi="宋体" w:eastAsia="宋体" w:cs="宋体"/>
      <w:color w:val="000000"/>
      <w:sz w:val="21"/>
      <w:szCs w:val="21"/>
      <w:u w:val="none"/>
    </w:rPr>
  </w:style>
  <w:style w:type="character" w:customStyle="1" w:styleId="75">
    <w:name w:val="font51"/>
    <w:basedOn w:val="26"/>
    <w:qFormat/>
    <w:uiPriority w:val="0"/>
    <w:rPr>
      <w:rFonts w:hint="default" w:ascii="Times New Roman" w:hAnsi="Times New Roman" w:eastAsia="宋体" w:cs="Times New Roman"/>
      <w:b/>
      <w:bCs/>
      <w:color w:val="000000"/>
      <w:sz w:val="18"/>
      <w:szCs w:val="18"/>
      <w:u w:val="none"/>
    </w:rPr>
  </w:style>
  <w:style w:type="character" w:customStyle="1" w:styleId="76">
    <w:name w:val="font91"/>
    <w:basedOn w:val="26"/>
    <w:qFormat/>
    <w:uiPriority w:val="0"/>
    <w:rPr>
      <w:rFonts w:hint="eastAsia" w:ascii="宋体" w:hAnsi="宋体" w:eastAsia="宋体" w:cs="宋体"/>
      <w:color w:val="000000"/>
      <w:sz w:val="21"/>
      <w:szCs w:val="21"/>
      <w:u w:val="none"/>
    </w:rPr>
  </w:style>
  <w:style w:type="character" w:customStyle="1" w:styleId="77">
    <w:name w:val="font21"/>
    <w:basedOn w:val="26"/>
    <w:qFormat/>
    <w:uiPriority w:val="0"/>
    <w:rPr>
      <w:rFonts w:hint="eastAsia" w:ascii="宋体" w:hAnsi="宋体" w:eastAsia="宋体" w:cs="宋体"/>
      <w:b/>
      <w:bCs/>
      <w:color w:val="000000"/>
      <w:sz w:val="18"/>
      <w:szCs w:val="18"/>
      <w:u w:val="none"/>
    </w:rPr>
  </w:style>
  <w:style w:type="character" w:customStyle="1" w:styleId="78">
    <w:name w:val="页眉 Char"/>
    <w:basedOn w:val="26"/>
    <w:link w:val="16"/>
    <w:qFormat/>
    <w:uiPriority w:val="99"/>
    <w:rPr>
      <w:rFonts w:ascii="Times New Roman" w:hAnsi="Times New Roman" w:eastAsia="宋体" w:cs="Times New Roman"/>
      <w:sz w:val="18"/>
      <w:szCs w:val="18"/>
    </w:rPr>
  </w:style>
  <w:style w:type="character" w:customStyle="1" w:styleId="79">
    <w:name w:val="页脚 Char"/>
    <w:basedOn w:val="26"/>
    <w:link w:val="15"/>
    <w:qFormat/>
    <w:uiPriority w:val="99"/>
    <w:rPr>
      <w:rFonts w:ascii="Times New Roman" w:hAnsi="Times New Roman" w:eastAsia="宋体" w:cs="Times New Roman"/>
      <w:sz w:val="18"/>
      <w:szCs w:val="18"/>
    </w:rPr>
  </w:style>
  <w:style w:type="character" w:customStyle="1" w:styleId="80">
    <w:name w:val="标题 2 Char"/>
    <w:basedOn w:val="26"/>
    <w:link w:val="4"/>
    <w:qFormat/>
    <w:uiPriority w:val="0"/>
    <w:rPr>
      <w:rFonts w:ascii="华文楷体" w:hAnsi="华文楷体" w:eastAsia="楷体" w:cs="Times New Roman"/>
      <w:b/>
      <w:sz w:val="32"/>
      <w:lang w:val="en-GB"/>
    </w:rPr>
  </w:style>
  <w:style w:type="character" w:customStyle="1" w:styleId="81">
    <w:name w:val="标题 3 Char"/>
    <w:basedOn w:val="26"/>
    <w:link w:val="5"/>
    <w:qFormat/>
    <w:uiPriority w:val="0"/>
    <w:rPr>
      <w:rFonts w:ascii="华文楷体" w:hAnsi="华文楷体" w:eastAsia="仿宋_GB2312" w:cs="Times New Roman"/>
      <w:b/>
      <w:kern w:val="0"/>
      <w:sz w:val="32"/>
      <w:szCs w:val="20"/>
      <w:lang w:val="en-GB"/>
    </w:rPr>
  </w:style>
  <w:style w:type="character" w:customStyle="1" w:styleId="82">
    <w:name w:val="正文文本 Char"/>
    <w:basedOn w:val="26"/>
    <w:link w:val="10"/>
    <w:qFormat/>
    <w:uiPriority w:val="99"/>
    <w:rPr>
      <w:rFonts w:ascii="Times New Roman" w:hAnsi="Times New Roman" w:eastAsia="宋体" w:cs="Times New Roman"/>
    </w:rPr>
  </w:style>
  <w:style w:type="character" w:customStyle="1" w:styleId="83">
    <w:name w:val="批注框文本 Char"/>
    <w:basedOn w:val="26"/>
    <w:link w:val="14"/>
    <w:semiHidden/>
    <w:qFormat/>
    <w:uiPriority w:val="99"/>
    <w:rPr>
      <w:rFonts w:ascii="Times New Roman" w:hAnsi="Times New Roman" w:eastAsia="宋体" w:cs="Times New Roman"/>
      <w:sz w:val="18"/>
      <w:szCs w:val="18"/>
    </w:rPr>
  </w:style>
  <w:style w:type="character" w:customStyle="1" w:styleId="84">
    <w:name w:val="正文首行缩进 Char"/>
    <w:basedOn w:val="82"/>
    <w:link w:val="23"/>
    <w:qFormat/>
    <w:uiPriority w:val="99"/>
    <w:rPr>
      <w:rFonts w:ascii="Times New Roman" w:hAnsi="Times New Roman" w:eastAsia="宋体" w:cs="Times New Roman"/>
    </w:rPr>
  </w:style>
  <w:style w:type="character" w:customStyle="1" w:styleId="85">
    <w:name w:val="文档结构图 Char"/>
    <w:basedOn w:val="26"/>
    <w:link w:val="8"/>
    <w:semiHidden/>
    <w:qFormat/>
    <w:uiPriority w:val="99"/>
    <w:rPr>
      <w:rFonts w:ascii="宋体" w:hAnsi="Times New Roman" w:eastAsia="宋体" w:cs="Times New Roman"/>
      <w:sz w:val="18"/>
      <w:szCs w:val="18"/>
    </w:rPr>
  </w:style>
  <w:style w:type="character" w:customStyle="1" w:styleId="86">
    <w:name w:val="标题 1 Char"/>
    <w:basedOn w:val="26"/>
    <w:link w:val="2"/>
    <w:qFormat/>
    <w:uiPriority w:val="0"/>
    <w:rPr>
      <w:rFonts w:ascii="Times New Roman" w:hAnsi="Times New Roman" w:eastAsia="宋体" w:cs="Times New Roman"/>
      <w:b/>
      <w:bCs/>
      <w:kern w:val="44"/>
      <w:sz w:val="36"/>
      <w:szCs w:val="36"/>
    </w:rPr>
  </w:style>
  <w:style w:type="character" w:customStyle="1" w:styleId="87">
    <w:name w:val="标题 4 Char"/>
    <w:basedOn w:val="26"/>
    <w:link w:val="6"/>
    <w:qFormat/>
    <w:uiPriority w:val="0"/>
    <w:rPr>
      <w:rFonts w:ascii="Arial" w:hAnsi="Arial" w:eastAsia="宋体" w:cs="Times New Roman"/>
      <w:b/>
      <w:bCs/>
      <w:kern w:val="2"/>
      <w:sz w:val="28"/>
      <w:szCs w:val="28"/>
    </w:rPr>
  </w:style>
  <w:style w:type="character" w:customStyle="1" w:styleId="88">
    <w:name w:val="批注文字 Char"/>
    <w:basedOn w:val="26"/>
    <w:link w:val="9"/>
    <w:qFormat/>
    <w:uiPriority w:val="99"/>
    <w:rPr>
      <w:rFonts w:ascii="Times New Roman" w:hAnsi="Times New Roman" w:eastAsia="仿宋" w:cs="Times New Roman"/>
      <w:kern w:val="2"/>
      <w:sz w:val="28"/>
      <w:szCs w:val="28"/>
    </w:rPr>
  </w:style>
  <w:style w:type="character" w:customStyle="1" w:styleId="89">
    <w:name w:val="正文文本缩进 Char"/>
    <w:basedOn w:val="26"/>
    <w:link w:val="11"/>
    <w:qFormat/>
    <w:uiPriority w:val="99"/>
    <w:rPr>
      <w:rFonts w:ascii="Times New Roman" w:hAnsi="Times New Roman" w:eastAsia="宋体" w:cs="Times New Roman"/>
    </w:rPr>
  </w:style>
  <w:style w:type="character" w:customStyle="1" w:styleId="90">
    <w:name w:val="正文文本缩进 2 Char"/>
    <w:basedOn w:val="26"/>
    <w:link w:val="13"/>
    <w:qFormat/>
    <w:uiPriority w:val="0"/>
    <w:rPr>
      <w:rFonts w:ascii="Times New Roman" w:hAnsi="Times New Roman" w:eastAsia="宋体" w:cs="Times New Roman"/>
      <w:kern w:val="2"/>
      <w:sz w:val="21"/>
      <w:szCs w:val="24"/>
    </w:rPr>
  </w:style>
  <w:style w:type="character" w:customStyle="1" w:styleId="91">
    <w:name w:val="批注主题 Char"/>
    <w:basedOn w:val="88"/>
    <w:link w:val="22"/>
    <w:semiHidden/>
    <w:qFormat/>
    <w:uiPriority w:val="99"/>
    <w:rPr>
      <w:rFonts w:eastAsia="仿宋"/>
      <w:b/>
      <w:bCs/>
      <w:kern w:val="2"/>
      <w:sz w:val="21"/>
      <w:szCs w:val="28"/>
    </w:rPr>
  </w:style>
  <w:style w:type="character" w:customStyle="1" w:styleId="92">
    <w:name w:val="副标题 Char"/>
    <w:basedOn w:val="26"/>
    <w:link w:val="18"/>
    <w:qFormat/>
    <w:uiPriority w:val="11"/>
    <w:rPr>
      <w:rFonts w:ascii="Calibri Light" w:hAnsi="Calibri Light" w:eastAsia="宋体" w:cs="Times New Roman"/>
      <w:b/>
      <w:bCs/>
      <w:kern w:val="28"/>
      <w:sz w:val="24"/>
      <w:szCs w:val="32"/>
    </w:rPr>
  </w:style>
  <w:style w:type="character" w:customStyle="1" w:styleId="93">
    <w:name w:val="标题 Char"/>
    <w:basedOn w:val="26"/>
    <w:link w:val="21"/>
    <w:qFormat/>
    <w:uiPriority w:val="10"/>
    <w:rPr>
      <w:rFonts w:ascii="Calibri Light" w:hAnsi="Calibri Light" w:eastAsia="宋体" w:cs="Times New Roman"/>
      <w:bCs/>
      <w:sz w:val="24"/>
      <w:szCs w:val="32"/>
    </w:rPr>
  </w:style>
  <w:style w:type="paragraph" w:customStyle="1" w:styleId="94">
    <w:name w:val="WPSOffice手动目录 1"/>
    <w:qFormat/>
    <w:uiPriority w:val="0"/>
    <w:rPr>
      <w:rFonts w:ascii="Calibri" w:hAnsi="Calibri" w:eastAsia="宋体" w:cs="Times New Roman"/>
      <w:lang w:val="en-US" w:eastAsia="zh-CN" w:bidi="ar-SA"/>
    </w:rPr>
  </w:style>
  <w:style w:type="paragraph" w:customStyle="1" w:styleId="95">
    <w:name w:val="WPSOffice手动目录 2"/>
    <w:qFormat/>
    <w:uiPriority w:val="0"/>
    <w:pPr>
      <w:ind w:left="200" w:leftChars="200"/>
    </w:pPr>
    <w:rPr>
      <w:rFonts w:ascii="Calibri" w:hAnsi="Calibri" w:eastAsia="宋体" w:cs="Times New Roman"/>
      <w:lang w:val="en-US" w:eastAsia="zh-CN" w:bidi="ar-SA"/>
    </w:rPr>
  </w:style>
  <w:style w:type="paragraph" w:customStyle="1" w:styleId="96">
    <w:name w:val="BT4"/>
    <w:basedOn w:val="1"/>
    <w:qFormat/>
    <w:uiPriority w:val="0"/>
    <w:pPr>
      <w:spacing w:line="360" w:lineRule="auto"/>
      <w:ind w:firstLine="200" w:firstLineChars="200"/>
    </w:pPr>
    <w:rPr>
      <w:rFonts w:ascii="仿宋" w:hAnsi="仿宋" w:eastAsia="仿宋"/>
      <w:sz w:val="28"/>
    </w:rPr>
  </w:style>
  <w:style w:type="paragraph" w:customStyle="1" w:styleId="97">
    <w:name w:val="Body text|1"/>
    <w:basedOn w:val="1"/>
    <w:qFormat/>
    <w:uiPriority w:val="0"/>
    <w:pPr>
      <w:spacing w:line="576" w:lineRule="exact"/>
      <w:jc w:val="center"/>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1.xml"/><Relationship Id="rId1" Type="http://schemas.openxmlformats.org/officeDocument/2006/relationships/oleObject" Target="file:///D:\Desktop\&#21335;&#26124;&#24066;&#25919;&#24220;&#20538;\&#32418;&#35895;&#28393;&#25919;&#24220;&#20538;\&#32418;&#35895;&#28393;&#26842;&#25913;23&#24180;\&#32418;&#35895;&#28393;&#29983;&#31859;&#38215;&#21335;&#36335;&#26449;&#25286;&#36801;&#23433;&#32622;&#23567;&#21306;&#24314;&#35774;&#39033;&#30446;&#65288;&#21335;&#36335;&#26449;&#26842;&#25143;&#21306;&#25913;&#36896;&#65289;-&#27979;&#31639;&#34920;0107.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Users\202333153\AppData\Local\Temp\7zOCD13CB48\&#21335;&#26124;&#21439;&#38134;&#19977;&#35282;&#33391;&#33489;&#23567;&#21306;&#20108;&#26399;&#23433;&#32622;&#25151;&#39033;&#30446;-&#24179;&#34913;&#27979;&#31639;&#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Desktop\&#39033;&#30446;&#36164;&#26009;\4&#12289;&#36130;&#35780;-&#21335;&#26124;\31&#12289;&#37329;&#28246;&#31649;&#29702;&#22788;&#38596;&#28330;&#26449;&#20108;&#26399;&#19968;&#25209;&#23433;&#32622;&#25151;&#65288;&#22478;&#24066;&#26842;&#25143;&#21306;&#25913;&#36896;&#65289;&#24037;&#31243;\&#24179;&#34913;&#27979;&#31639;&#34920;-&#37329;&#28246;&#31649;&#29702;&#22788;&#38596;&#28330;&#26449;&#20108;&#26399;&#19968;&#25209;&#23433;&#32622;&#25151;&#65288;&#22478;&#24066;&#26842;&#25143;&#21306;&#25913;&#36896;&#65289;&#24037;&#31243;0907.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Desktop\&#21335;&#26124;&#21439;&#25253;&#21578;8&#26376;\&#20872;&#19978;&#38215;&#32508;&#21512;&#23433;&#32622;&#25151;&#65288;&#22478;&#24066;&#26842;&#25143;&#21306;&#25913;&#36896;&#65289;&#39033;&#30446;-&#27979;&#31639;&#34920;0818.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D:\1%20&#39033;&#30446;&#36164;&#26009;\&#21335;&#26124;&#24066;&#25919;&#24220;&#20538;\2024&#24180;6&#26376;&#21457;&#20538;\&#21335;&#26124;&#21439;&#24352;&#22346;&#19977;&#26399;&#65288;&#26842;&#25143;&#21306;&#65289;&#23433;&#32622;&#25151;-&#24179;&#34913;&#27979;&#31639;&#34920;-202405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AAA&#39033;&#30446;&#36164;&#26009;\&#20465;&#24448;&#30691;\&#25919;&#24220;&#20538;&#39033;&#30446;\&#25919;&#24220;&#20538;-&#65288;&#24352;&#38632;&#38686;&#65289;\2024&#24180;\6&#26376;&#21457;&#34892;\&#27979;&#31639;&#34920;-&#21335;&#26124;&#21439;&#38686;&#23665;&#26449;&#23433;&#32622;&#25151;&#20303;&#23429;&#23567;&#21306;&#19968;&#26399;&#24037;&#31243;&#65288;&#26842;&#25143;&#21306;&#25913;&#36896;&#65289;.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Desktop\&#36195;&#24030;&#25919;&#24220;&#20538;\9&#26376;-&#19996;&#26032;&#20065;&#22823;&#27954;&#26449;&#19977;&#26399;&#23433;&#32622;&#25151;&#65288;&#22478;&#24066;&#26842;&#25143;&#21306;&#25913;&#36896;&#65289;&#39033;&#30446;\&#27979;&#31639;&#34920;-&#19996;&#26032;.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02%20&#24037;&#20316;\03-2024\27-20240218-&#25919;&#24220;&#20538;-&#36195;&#24030;\9&#26376;\04-&#21335;&#26124;&#21439;&#37329;&#28246;&#31649;&#29702;&#22788;&#26575;&#26519;&#26449;(&#22478;&#24066;&#26842;&#25143;&#21306;&#25913;&#36896;)&#19968;&#26399;&#23433;&#32622;&#25151;&#39033;&#30446;\&#25919;&#24220;&#20538;&#27169;&#26495;\&#27979;&#31639;&#34920;-&#24120;&#35268;&#27169;&#26495;2024.xlsx"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3457;&#35745;&#36164;&#26009;\1-&#23457;&#35745;&#39033;&#30446;\27-20240904-&#20854;&#20182;&#25919;&#24220;&#20538;\&#27979;&#31639;&#24213;&#31295;\&#21335;&#26124;&#24066;&#21335;&#26124;&#21439;-&#27773;&#36710;&#38646;&#37096;&#20214;&#20135;&#19994;&#22253;(&#20108;&#26399;)&#21450;&#37197;&#22871;&#35774;&#26045;&#39033;&#30446;\2&#12289;&#21335;&#26124;&#21439;&#23500;&#23665;&#26631;&#20934;&#21378;&#25151;&#21450;&#37197;&#22871;&#35774;&#26045;&#24314;&#35774;&#39033;&#30446;-&#24179;&#34913;&#27979;&#31639;&#34920;20240911%20-%2027&#24180;&#36816;&#3382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图!$A$2</c:f>
              <c:strCache>
                <c:ptCount val="1"/>
                <c:pt idx="0">
                  <c:v>现金流入</c:v>
                </c:pt>
              </c:strCache>
            </c:strRef>
          </c:tx>
          <c:spPr>
            <a:solidFill>
              <a:srgbClr val="5B9BD5"/>
            </a:solidFill>
            <a:ln>
              <a:noFill/>
            </a:ln>
            <a:effectLst/>
          </c:spPr>
          <c:invertIfNegative val="0"/>
          <c:dLbls>
            <c:delete val="1"/>
          </c:dLbls>
          <c:cat>
            <c:strRef>
              <c:f>图!$B$1:$L$1</c:f>
              <c:strCache>
                <c:ptCount val="11"/>
                <c:pt idx="0">
                  <c:v>2021年</c:v>
                </c:pt>
                <c:pt idx="1">
                  <c:v>2022年</c:v>
                </c:pt>
                <c:pt idx="2">
                  <c:v>2023年</c:v>
                </c:pt>
                <c:pt idx="3">
                  <c:v>2024年</c:v>
                </c:pt>
                <c:pt idx="4">
                  <c:v>2025年</c:v>
                </c:pt>
                <c:pt idx="5">
                  <c:v>2026年</c:v>
                </c:pt>
                <c:pt idx="6">
                  <c:v>2027年</c:v>
                </c:pt>
                <c:pt idx="7">
                  <c:v>2028年</c:v>
                </c:pt>
                <c:pt idx="8">
                  <c:v>2029年</c:v>
                </c:pt>
                <c:pt idx="9">
                  <c:v>2030年</c:v>
                </c:pt>
                <c:pt idx="10">
                  <c:v>2031年</c:v>
                </c:pt>
              </c:strCache>
            </c:strRef>
          </c:cat>
          <c:val>
            <c:numRef>
              <c:f>图!$B$2:$L$2</c:f>
              <c:numCache>
                <c:formatCode>_(* #,##0.00_);_(* \(#,##0.00\);_(* "-"??_);_(@_)</c:formatCode>
                <c:ptCount val="11"/>
                <c:pt idx="0">
                  <c:v>5023.52</c:v>
                </c:pt>
                <c:pt idx="1">
                  <c:v>11645.56</c:v>
                </c:pt>
                <c:pt idx="2">
                  <c:v>22173.08</c:v>
                </c:pt>
                <c:pt idx="3">
                  <c:v>27433.95</c:v>
                </c:pt>
                <c:pt idx="4">
                  <c:v>7441.87</c:v>
                </c:pt>
                <c:pt idx="5">
                  <c:v>7441.87</c:v>
                </c:pt>
                <c:pt idx="6">
                  <c:v>7441.87</c:v>
                </c:pt>
                <c:pt idx="7">
                  <c:v>0</c:v>
                </c:pt>
                <c:pt idx="8">
                  <c:v>0</c:v>
                </c:pt>
                <c:pt idx="9">
                  <c:v>0</c:v>
                </c:pt>
                <c:pt idx="10">
                  <c:v>0</c:v>
                </c:pt>
              </c:numCache>
            </c:numRef>
          </c:val>
        </c:ser>
        <c:ser>
          <c:idx val="1"/>
          <c:order val="1"/>
          <c:tx>
            <c:strRef>
              <c:f>图!$A$3</c:f>
              <c:strCache>
                <c:ptCount val="1"/>
                <c:pt idx="0">
                  <c:v>现金流出</c:v>
                </c:pt>
              </c:strCache>
            </c:strRef>
          </c:tx>
          <c:spPr>
            <a:solidFill>
              <a:srgbClr val="ED7D31"/>
            </a:solidFill>
            <a:ln>
              <a:noFill/>
            </a:ln>
            <a:effectLst/>
          </c:spPr>
          <c:invertIfNegative val="0"/>
          <c:dLbls>
            <c:delete val="1"/>
          </c:dLbls>
          <c:cat>
            <c:strRef>
              <c:f>图!$B$1:$L$1</c:f>
              <c:strCache>
                <c:ptCount val="11"/>
                <c:pt idx="0">
                  <c:v>2021年</c:v>
                </c:pt>
                <c:pt idx="1">
                  <c:v>2022年</c:v>
                </c:pt>
                <c:pt idx="2">
                  <c:v>2023年</c:v>
                </c:pt>
                <c:pt idx="3">
                  <c:v>2024年</c:v>
                </c:pt>
                <c:pt idx="4">
                  <c:v>2025年</c:v>
                </c:pt>
                <c:pt idx="5">
                  <c:v>2026年</c:v>
                </c:pt>
                <c:pt idx="6">
                  <c:v>2027年</c:v>
                </c:pt>
                <c:pt idx="7">
                  <c:v>2028年</c:v>
                </c:pt>
                <c:pt idx="8">
                  <c:v>2029年</c:v>
                </c:pt>
                <c:pt idx="9">
                  <c:v>2030年</c:v>
                </c:pt>
                <c:pt idx="10">
                  <c:v>2031年</c:v>
                </c:pt>
              </c:strCache>
            </c:strRef>
          </c:cat>
          <c:val>
            <c:numRef>
              <c:f>图!$B$3:$L$3</c:f>
              <c:numCache>
                <c:formatCode>_(* #,##0.00_);_(* \(#,##0.00\);_(* "-"??_);_(@_)</c:formatCode>
                <c:ptCount val="11"/>
                <c:pt idx="0">
                  <c:v>-5023.52</c:v>
                </c:pt>
                <c:pt idx="1">
                  <c:v>-11622.76</c:v>
                </c:pt>
                <c:pt idx="2">
                  <c:v>-22028</c:v>
                </c:pt>
                <c:pt idx="3">
                  <c:v>-19832.08</c:v>
                </c:pt>
                <c:pt idx="4">
                  <c:v>-323.88</c:v>
                </c:pt>
                <c:pt idx="5">
                  <c:v>-323.88</c:v>
                </c:pt>
                <c:pt idx="6">
                  <c:v>-323.88</c:v>
                </c:pt>
                <c:pt idx="7">
                  <c:v>-323.88</c:v>
                </c:pt>
                <c:pt idx="8">
                  <c:v>-1123.88</c:v>
                </c:pt>
                <c:pt idx="9">
                  <c:v>-5501.08</c:v>
                </c:pt>
                <c:pt idx="10">
                  <c:v>-4156</c:v>
                </c:pt>
              </c:numCache>
            </c:numRef>
          </c:val>
        </c:ser>
        <c:ser>
          <c:idx val="2"/>
          <c:order val="2"/>
          <c:tx>
            <c:strRef>
              <c:f>图!$A$4</c:f>
              <c:strCache>
                <c:ptCount val="1"/>
                <c:pt idx="0">
                  <c:v>期末现金</c:v>
                </c:pt>
              </c:strCache>
            </c:strRef>
          </c:tx>
          <c:spPr>
            <a:solidFill>
              <a:srgbClr val="A5A5A5"/>
            </a:solidFill>
            <a:ln>
              <a:noFill/>
            </a:ln>
            <a:effectLst/>
          </c:spPr>
          <c:invertIfNegative val="0"/>
          <c:dLbls>
            <c:delete val="1"/>
          </c:dLbls>
          <c:cat>
            <c:strRef>
              <c:f>图!$B$1:$L$1</c:f>
              <c:strCache>
                <c:ptCount val="11"/>
                <c:pt idx="0">
                  <c:v>2021年</c:v>
                </c:pt>
                <c:pt idx="1">
                  <c:v>2022年</c:v>
                </c:pt>
                <c:pt idx="2">
                  <c:v>2023年</c:v>
                </c:pt>
                <c:pt idx="3">
                  <c:v>2024年</c:v>
                </c:pt>
                <c:pt idx="4">
                  <c:v>2025年</c:v>
                </c:pt>
                <c:pt idx="5">
                  <c:v>2026年</c:v>
                </c:pt>
                <c:pt idx="6">
                  <c:v>2027年</c:v>
                </c:pt>
                <c:pt idx="7">
                  <c:v>2028年</c:v>
                </c:pt>
                <c:pt idx="8">
                  <c:v>2029年</c:v>
                </c:pt>
                <c:pt idx="9">
                  <c:v>2030年</c:v>
                </c:pt>
                <c:pt idx="10">
                  <c:v>2031年</c:v>
                </c:pt>
              </c:strCache>
            </c:strRef>
          </c:cat>
          <c:val>
            <c:numRef>
              <c:f>图!$B$4:$L$4</c:f>
              <c:numCache>
                <c:formatCode>_(* #,##0.00_);_(* \(#,##0.00\);_(* "-"??_);_(@_)</c:formatCode>
                <c:ptCount val="11"/>
                <c:pt idx="0">
                  <c:v>0</c:v>
                </c:pt>
                <c:pt idx="1">
                  <c:v>22.8000000000011</c:v>
                </c:pt>
                <c:pt idx="2">
                  <c:v>167.880000000003</c:v>
                </c:pt>
                <c:pt idx="3">
                  <c:v>7769.75</c:v>
                </c:pt>
                <c:pt idx="4">
                  <c:v>14887.74</c:v>
                </c:pt>
                <c:pt idx="5">
                  <c:v>22005.73</c:v>
                </c:pt>
                <c:pt idx="6">
                  <c:v>29123.72</c:v>
                </c:pt>
                <c:pt idx="7">
                  <c:v>28799.84</c:v>
                </c:pt>
                <c:pt idx="8">
                  <c:v>27675.96</c:v>
                </c:pt>
                <c:pt idx="9">
                  <c:v>22174.88</c:v>
                </c:pt>
                <c:pt idx="10">
                  <c:v>18018.88</c:v>
                </c:pt>
              </c:numCache>
            </c:numRef>
          </c:val>
        </c:ser>
        <c:dLbls>
          <c:showLegendKey val="0"/>
          <c:showVal val="0"/>
          <c:showCatName val="0"/>
          <c:showSerName val="0"/>
          <c:showPercent val="0"/>
          <c:showBubbleSize val="0"/>
        </c:dLbls>
        <c:gapWidth val="219"/>
        <c:overlap val="-27"/>
        <c:axId val="418334344"/>
        <c:axId val="418337624"/>
      </c:barChart>
      <c:catAx>
        <c:axId val="418334344"/>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18337624"/>
        <c:crosses val="autoZero"/>
        <c:auto val="1"/>
        <c:lblAlgn val="ctr"/>
        <c:lblOffset val="100"/>
        <c:noMultiLvlLbl val="0"/>
      </c:catAx>
      <c:valAx>
        <c:axId val="418337624"/>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183343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'[南昌县银三角良苑小区二期安置房项目-平衡测算表.xlsx]图'!$A$2</c:f>
              <c:strCache>
                <c:ptCount val="1"/>
                <c:pt idx="0">
                  <c:v>现金流入</c:v>
                </c:pt>
              </c:strCache>
            </c:strRef>
          </c:tx>
          <c:spPr>
            <a:solidFill>
              <a:schemeClr val="accent1"/>
            </a:solidFill>
            <a:ln>
              <a:noFill/>
            </a:ln>
            <a:effectLst/>
          </c:spPr>
          <c:invertIfNegative val="0"/>
          <c:dLbls>
            <c:delete val="1"/>
          </c:dLbls>
          <c:cat>
            <c:strRef>
              <c:f>'[南昌县银三角良苑小区二期安置房项目-平衡测算表.xlsx]图'!$B$1:$AJ$1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'[南昌县银三角良苑小区二期安置房项目-平衡测算表.xlsx]图'!$B$2:$AJ$2</c:f>
              <c:numCache>
                <c:formatCode>_ * #,##0.00_ ;_ * \-#,##0.00_ ;_ * "-"??_ ;_ @_ </c:formatCode>
                <c:ptCount val="30"/>
                <c:pt idx="0">
                  <c:v>5713.52</c:v>
                </c:pt>
                <c:pt idx="1">
                  <c:v>7913.87</c:v>
                </c:pt>
                <c:pt idx="2">
                  <c:v>4206.52</c:v>
                </c:pt>
                <c:pt idx="3">
                  <c:v>3339.28</c:v>
                </c:pt>
                <c:pt idx="4">
                  <c:v>55912.0875</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numCache>
            </c:numRef>
          </c:val>
        </c:ser>
        <c:ser>
          <c:idx val="1"/>
          <c:order val="1"/>
          <c:tx>
            <c:strRef>
              <c:f>'[南昌县银三角良苑小区二期安置房项目-平衡测算表.xlsx]图'!$A$3</c:f>
              <c:strCache>
                <c:ptCount val="1"/>
                <c:pt idx="0">
                  <c:v>现金流出</c:v>
                </c:pt>
              </c:strCache>
            </c:strRef>
          </c:tx>
          <c:spPr>
            <a:solidFill>
              <a:schemeClr val="accent2"/>
            </a:solidFill>
            <a:ln>
              <a:noFill/>
            </a:ln>
            <a:effectLst/>
          </c:spPr>
          <c:invertIfNegative val="0"/>
          <c:dLbls>
            <c:delete val="1"/>
          </c:dLbls>
          <c:cat>
            <c:strRef>
              <c:f>'[南昌县银三角良苑小区二期安置房项目-平衡测算表.xlsx]图'!$B$1:$AJ$1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'[南昌县银三角良苑小区二期安置房项目-平衡测算表.xlsx]图'!$B$3:$AJ$3</c:f>
              <c:numCache>
                <c:formatCode>_ * #,##0.00_ ;_ * \-#,##0.00_ ;_ * "-"??_ ;_ @_ </c:formatCode>
                <c:ptCount val="30"/>
                <c:pt idx="0">
                  <c:v>-5713.52</c:v>
                </c:pt>
                <c:pt idx="1">
                  <c:v>-7913.87</c:v>
                </c:pt>
                <c:pt idx="2">
                  <c:v>-4206.52</c:v>
                </c:pt>
                <c:pt idx="3">
                  <c:v>-3339.28</c:v>
                </c:pt>
                <c:pt idx="4">
                  <c:v>-2536.735</c:v>
                </c:pt>
                <c:pt idx="5">
                  <c:v>-478.15</c:v>
                </c:pt>
                <c:pt idx="6">
                  <c:v>-2898.83</c:v>
                </c:pt>
                <c:pt idx="7">
                  <c:v>-2904.83</c:v>
                </c:pt>
                <c:pt idx="8">
                  <c:v>-1684.48</c:v>
                </c:pt>
                <c:pt idx="9">
                  <c:v>-3647.98</c:v>
                </c:pt>
                <c:pt idx="10">
                  <c:v>-2550.48</c:v>
                </c:pt>
                <c:pt idx="11">
                  <c:v>-852.91</c:v>
                </c:pt>
                <c:pt idx="12">
                  <c:v>-17.91</c:v>
                </c:pt>
                <c:pt idx="13">
                  <c:v>-17.91</c:v>
                </c:pt>
                <c:pt idx="14">
                  <c:v>-17.91</c:v>
                </c:pt>
                <c:pt idx="15">
                  <c:v>-17.91</c:v>
                </c:pt>
                <c:pt idx="16">
                  <c:v>-17.91</c:v>
                </c:pt>
                <c:pt idx="17">
                  <c:v>-17.91</c:v>
                </c:pt>
                <c:pt idx="18">
                  <c:v>-17.91</c:v>
                </c:pt>
                <c:pt idx="19">
                  <c:v>-17.91</c:v>
                </c:pt>
                <c:pt idx="20">
                  <c:v>-17.91</c:v>
                </c:pt>
                <c:pt idx="21">
                  <c:v>-17.91</c:v>
                </c:pt>
                <c:pt idx="22">
                  <c:v>-17.91</c:v>
                </c:pt>
                <c:pt idx="23">
                  <c:v>-17.91</c:v>
                </c:pt>
                <c:pt idx="24">
                  <c:v>-17.91</c:v>
                </c:pt>
                <c:pt idx="25">
                  <c:v>-17.91</c:v>
                </c:pt>
                <c:pt idx="26">
                  <c:v>-17.91</c:v>
                </c:pt>
                <c:pt idx="27">
                  <c:v>-17.91</c:v>
                </c:pt>
                <c:pt idx="28">
                  <c:v>-17.91</c:v>
                </c:pt>
                <c:pt idx="29">
                  <c:v>-514.96</c:v>
                </c:pt>
              </c:numCache>
            </c:numRef>
          </c:val>
        </c:ser>
        <c:ser>
          <c:idx val="2"/>
          <c:order val="2"/>
          <c:tx>
            <c:strRef>
              <c:f>'[南昌县银三角良苑小区二期安置房项目-平衡测算表.xlsx]图'!$A$4</c:f>
              <c:strCache>
                <c:ptCount val="1"/>
                <c:pt idx="0">
                  <c:v>期末现金</c:v>
                </c:pt>
              </c:strCache>
            </c:strRef>
          </c:tx>
          <c:spPr>
            <a:solidFill>
              <a:schemeClr val="accent3"/>
            </a:solidFill>
            <a:ln>
              <a:noFill/>
            </a:ln>
            <a:effectLst/>
          </c:spPr>
          <c:invertIfNegative val="0"/>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delete val="1"/>
            </c:dLbl>
            <c:dLbl>
              <c:idx val="22"/>
              <c:delete val="1"/>
            </c:dLbl>
            <c:dLbl>
              <c:idx val="23"/>
              <c:delete val="1"/>
            </c:dLbl>
            <c:dLbl>
              <c:idx val="24"/>
              <c:delete val="1"/>
            </c:dLbl>
            <c:dLbl>
              <c:idx val="25"/>
              <c:delete val="1"/>
            </c:dLbl>
            <c:dLbl>
              <c:idx val="26"/>
              <c:delete val="1"/>
            </c:dLbl>
            <c:dLbl>
              <c:idx val="27"/>
              <c:delete val="1"/>
            </c:dLbl>
            <c:dLbl>
              <c:idx val="28"/>
              <c:delete val="1"/>
            </c:dLbl>
            <c:dLbl>
              <c:idx val="29"/>
              <c:delete val="1"/>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'[南昌县银三角良苑小区二期安置房项目-平衡测算表.xlsx]图'!$B$1:$AJ$1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'[南昌县银三角良苑小区二期安置房项目-平衡测算表.xlsx]图'!$B$4:$AJ$4</c:f>
              <c:numCache>
                <c:formatCode>_ * #,##0.00_ ;_ * \-#,##0.00_ ;_ * "-"??_ ;_ @_ </c:formatCode>
                <c:ptCount val="30"/>
                <c:pt idx="0">
                  <c:v>0</c:v>
                </c:pt>
                <c:pt idx="1">
                  <c:v>0</c:v>
                </c:pt>
                <c:pt idx="2">
                  <c:v>0</c:v>
                </c:pt>
                <c:pt idx="3">
                  <c:v>0</c:v>
                </c:pt>
                <c:pt idx="4">
                  <c:v>53375.3525</c:v>
                </c:pt>
                <c:pt idx="5">
                  <c:v>52897.2025</c:v>
                </c:pt>
                <c:pt idx="6">
                  <c:v>49998.3725</c:v>
                </c:pt>
                <c:pt idx="7">
                  <c:v>47093.5425</c:v>
                </c:pt>
                <c:pt idx="8">
                  <c:v>45409.0625</c:v>
                </c:pt>
                <c:pt idx="9">
                  <c:v>41761.0825</c:v>
                </c:pt>
                <c:pt idx="10">
                  <c:v>39210.6025</c:v>
                </c:pt>
                <c:pt idx="11">
                  <c:v>38357.6925</c:v>
                </c:pt>
                <c:pt idx="12">
                  <c:v>38339.7825</c:v>
                </c:pt>
                <c:pt idx="13">
                  <c:v>38321.8725</c:v>
                </c:pt>
                <c:pt idx="14">
                  <c:v>38303.9625</c:v>
                </c:pt>
                <c:pt idx="15">
                  <c:v>38286.0525</c:v>
                </c:pt>
                <c:pt idx="16">
                  <c:v>38268.1425</c:v>
                </c:pt>
                <c:pt idx="17">
                  <c:v>38250.2325</c:v>
                </c:pt>
                <c:pt idx="18">
                  <c:v>38232.3225</c:v>
                </c:pt>
                <c:pt idx="19">
                  <c:v>38214.4125</c:v>
                </c:pt>
                <c:pt idx="20">
                  <c:v>38196.5025</c:v>
                </c:pt>
                <c:pt idx="21">
                  <c:v>38178.5924999999</c:v>
                </c:pt>
                <c:pt idx="22">
                  <c:v>38160.6824999999</c:v>
                </c:pt>
                <c:pt idx="23">
                  <c:v>38142.7724999999</c:v>
                </c:pt>
                <c:pt idx="24">
                  <c:v>38124.8624999999</c:v>
                </c:pt>
                <c:pt idx="25">
                  <c:v>38106.9524999999</c:v>
                </c:pt>
                <c:pt idx="26">
                  <c:v>38089.0424999999</c:v>
                </c:pt>
                <c:pt idx="27">
                  <c:v>38071.1324999999</c:v>
                </c:pt>
                <c:pt idx="28">
                  <c:v>38053.2224999999</c:v>
                </c:pt>
                <c:pt idx="29">
                  <c:v>37538.2624999999</c:v>
                </c:pt>
              </c:numCache>
            </c:numRef>
          </c:val>
        </c:ser>
        <c:dLbls>
          <c:showLegendKey val="0"/>
          <c:showVal val="0"/>
          <c:showCatName val="0"/>
          <c:showSerName val="0"/>
          <c:showPercent val="0"/>
          <c:showBubbleSize val="0"/>
        </c:dLbls>
        <c:gapWidth val="219"/>
        <c:overlap val="-27"/>
        <c:axId val="740986544"/>
        <c:axId val="740988840"/>
      </c:barChart>
      <c:catAx>
        <c:axId val="74098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8840"/>
        <c:crosses val="autoZero"/>
        <c:auto val="1"/>
        <c:lblAlgn val="ctr"/>
        <c:lblOffset val="100"/>
        <c:noMultiLvlLbl val="0"/>
      </c:catAx>
      <c:valAx>
        <c:axId val="740988840"/>
        <c:scaling>
          <c:orientation val="minMax"/>
        </c:scaling>
        <c:delete val="0"/>
        <c:axPos val="l"/>
        <c:majorGridlines>
          <c:spPr>
            <a:ln w="9525" cap="flat" cmpd="sng" algn="ctr">
              <a:solidFill>
                <a:schemeClr val="tx1">
                  <a:lumMod val="15000"/>
                  <a:lumOff val="850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6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图!$B$2:$AJ$2</c:f>
              <c:numCache>
                <c:formatCode>_(* #,##0.00_);_(* \(#,##0.00\);_(* "-"??_);_(@_)</c:formatCode>
                <c:ptCount val="30"/>
                <c:pt idx="0">
                  <c:v>4559.43</c:v>
                </c:pt>
                <c:pt idx="1">
                  <c:v>9873.91</c:v>
                </c:pt>
                <c:pt idx="2">
                  <c:v>11324.75</c:v>
                </c:pt>
                <c:pt idx="3">
                  <c:v>7341.13</c:v>
                </c:pt>
                <c:pt idx="4">
                  <c:v>48767.167</c:v>
                </c:pt>
                <c:pt idx="5">
                  <c:v>0</c:v>
                </c:pt>
                <c:pt idx="6">
                  <c:v>30874.33</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图!$B$3:$AJ$3</c:f>
              <c:numCache>
                <c:formatCode>_(* #,##0.00_);_(* \(#,##0.00\);_(* "-"??_);_(@_)</c:formatCode>
                <c:ptCount val="30"/>
                <c:pt idx="0">
                  <c:v>-4559.43</c:v>
                </c:pt>
                <c:pt idx="1">
                  <c:v>-9873.91</c:v>
                </c:pt>
                <c:pt idx="2">
                  <c:v>-11324.75</c:v>
                </c:pt>
                <c:pt idx="3">
                  <c:v>-7341.13</c:v>
                </c:pt>
                <c:pt idx="4">
                  <c:v>-3873.577</c:v>
                </c:pt>
                <c:pt idx="5">
                  <c:v>-985.11</c:v>
                </c:pt>
                <c:pt idx="6">
                  <c:v>-1602.6</c:v>
                </c:pt>
                <c:pt idx="7">
                  <c:v>-4485.11</c:v>
                </c:pt>
                <c:pt idx="8">
                  <c:v>-5387.46</c:v>
                </c:pt>
                <c:pt idx="9">
                  <c:v>-9487.44</c:v>
                </c:pt>
                <c:pt idx="10">
                  <c:v>-5265.41</c:v>
                </c:pt>
                <c:pt idx="11">
                  <c:v>-1674.94</c:v>
                </c:pt>
                <c:pt idx="12">
                  <c:v>-107.97</c:v>
                </c:pt>
                <c:pt idx="13">
                  <c:v>-107.97</c:v>
                </c:pt>
                <c:pt idx="14">
                  <c:v>-107.97</c:v>
                </c:pt>
                <c:pt idx="15">
                  <c:v>-107.97</c:v>
                </c:pt>
                <c:pt idx="16">
                  <c:v>-107.97</c:v>
                </c:pt>
                <c:pt idx="17">
                  <c:v>-107.97</c:v>
                </c:pt>
                <c:pt idx="18">
                  <c:v>-107.97</c:v>
                </c:pt>
                <c:pt idx="19">
                  <c:v>-107.97</c:v>
                </c:pt>
                <c:pt idx="20">
                  <c:v>-107.97</c:v>
                </c:pt>
                <c:pt idx="21">
                  <c:v>-107.97</c:v>
                </c:pt>
                <c:pt idx="22">
                  <c:v>-107.97</c:v>
                </c:pt>
                <c:pt idx="23">
                  <c:v>-107.97</c:v>
                </c:pt>
                <c:pt idx="24">
                  <c:v>-107.97</c:v>
                </c:pt>
                <c:pt idx="25">
                  <c:v>-107.97</c:v>
                </c:pt>
                <c:pt idx="26">
                  <c:v>-107.97</c:v>
                </c:pt>
                <c:pt idx="27">
                  <c:v>-107.97</c:v>
                </c:pt>
                <c:pt idx="28">
                  <c:v>-107.97</c:v>
                </c:pt>
                <c:pt idx="29">
                  <c:v>-3103.99</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图!$B$1:$AJ$1</c:f>
              <c:strCache>
                <c:ptCount val="30"/>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strCache>
            </c:strRef>
          </c:cat>
          <c:val>
            <c:numRef>
              <c:f>图!$B$4:$AJ$4</c:f>
              <c:numCache>
                <c:formatCode>_(* #,##0.00_);_(* \(#,##0.00\);_(* "-"??_);_(@_)</c:formatCode>
                <c:ptCount val="30"/>
                <c:pt idx="0">
                  <c:v>0</c:v>
                </c:pt>
                <c:pt idx="1">
                  <c:v>0</c:v>
                </c:pt>
                <c:pt idx="2">
                  <c:v>0</c:v>
                </c:pt>
                <c:pt idx="3">
                  <c:v>0</c:v>
                </c:pt>
                <c:pt idx="4">
                  <c:v>44893.59</c:v>
                </c:pt>
                <c:pt idx="5">
                  <c:v>43908.48</c:v>
                </c:pt>
                <c:pt idx="6">
                  <c:v>73180.21</c:v>
                </c:pt>
                <c:pt idx="7">
                  <c:v>68695.1</c:v>
                </c:pt>
                <c:pt idx="8">
                  <c:v>63307.64</c:v>
                </c:pt>
                <c:pt idx="9">
                  <c:v>53820.2</c:v>
                </c:pt>
                <c:pt idx="10">
                  <c:v>48554.79</c:v>
                </c:pt>
                <c:pt idx="11">
                  <c:v>46879.85</c:v>
                </c:pt>
                <c:pt idx="12">
                  <c:v>46771.88</c:v>
                </c:pt>
                <c:pt idx="13">
                  <c:v>46663.91</c:v>
                </c:pt>
                <c:pt idx="14">
                  <c:v>46555.94</c:v>
                </c:pt>
                <c:pt idx="15">
                  <c:v>46447.97</c:v>
                </c:pt>
                <c:pt idx="16">
                  <c:v>46340</c:v>
                </c:pt>
                <c:pt idx="17">
                  <c:v>46232.03</c:v>
                </c:pt>
                <c:pt idx="18">
                  <c:v>46124.06</c:v>
                </c:pt>
                <c:pt idx="19">
                  <c:v>46016.09</c:v>
                </c:pt>
                <c:pt idx="20">
                  <c:v>45908.12</c:v>
                </c:pt>
                <c:pt idx="21">
                  <c:v>45800.15</c:v>
                </c:pt>
                <c:pt idx="22">
                  <c:v>45692.18</c:v>
                </c:pt>
                <c:pt idx="23">
                  <c:v>45584.21</c:v>
                </c:pt>
                <c:pt idx="24">
                  <c:v>45476.24</c:v>
                </c:pt>
                <c:pt idx="25">
                  <c:v>45368.27</c:v>
                </c:pt>
                <c:pt idx="26">
                  <c:v>45260.3</c:v>
                </c:pt>
                <c:pt idx="27">
                  <c:v>45152.33</c:v>
                </c:pt>
                <c:pt idx="28">
                  <c:v>45044.36</c:v>
                </c:pt>
                <c:pt idx="29">
                  <c:v>41940.37</c:v>
                </c:pt>
              </c:numCache>
            </c:numRef>
          </c:val>
        </c:ser>
        <c:dLbls>
          <c:showLegendKey val="0"/>
          <c:showVal val="0"/>
          <c:showCatName val="0"/>
          <c:showSerName val="0"/>
          <c:showPercent val="0"/>
          <c:showBubbleSize val="0"/>
        </c:dLbls>
        <c:gapWidth val="219"/>
        <c:overlap val="-27"/>
        <c:axId val="800453776"/>
        <c:axId val="800452136"/>
      </c:barChart>
      <c:catAx>
        <c:axId val="80045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2136"/>
        <c:crosses val="autoZero"/>
        <c:auto val="1"/>
        <c:lblAlgn val="ctr"/>
        <c:lblOffset val="100"/>
        <c:noMultiLvlLbl val="0"/>
      </c:catAx>
      <c:valAx>
        <c:axId val="800452136"/>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0453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5395888014"/>
          <c:y val="0.130555555555556"/>
          <c:w val="0.803015966754156"/>
          <c:h val="0.666318897637795"/>
        </c:manualLayout>
      </c:layout>
      <c:barChart>
        <c:barDir val="col"/>
        <c:grouping val="clustered"/>
        <c:varyColors val="0"/>
        <c:ser>
          <c:idx val="0"/>
          <c:order val="0"/>
          <c:tx>
            <c:strRef>
              <c:f>图!$A$2:$B$2</c:f>
              <c:strCache>
                <c:ptCount val="1"/>
                <c:pt idx="0">
                  <c:v>现金流入</c:v>
                </c:pt>
              </c:strCache>
            </c:strRef>
          </c:tx>
          <c:spPr>
            <a:solidFill>
              <a:schemeClr val="accent1"/>
            </a:solidFill>
            <a:ln>
              <a:noFill/>
            </a:ln>
            <a:effectLst/>
          </c:spPr>
          <c:invertIfNegative val="0"/>
          <c:dLbls>
            <c:delete val="1"/>
          </c:dLbls>
          <c:cat>
            <c:strRef>
              <c:f>图!$C$1:$L$1</c:f>
              <c:strCache>
                <c:ptCount val="10"/>
                <c:pt idx="0">
                  <c:v>2022年</c:v>
                </c:pt>
                <c:pt idx="1">
                  <c:v>2023年</c:v>
                </c:pt>
                <c:pt idx="2">
                  <c:v>2024年</c:v>
                </c:pt>
                <c:pt idx="3">
                  <c:v>2025年</c:v>
                </c:pt>
                <c:pt idx="4">
                  <c:v>2026年</c:v>
                </c:pt>
                <c:pt idx="5">
                  <c:v>2027年</c:v>
                </c:pt>
                <c:pt idx="6">
                  <c:v>2028年</c:v>
                </c:pt>
                <c:pt idx="7">
                  <c:v>2029年</c:v>
                </c:pt>
                <c:pt idx="8">
                  <c:v>2030年</c:v>
                </c:pt>
                <c:pt idx="9">
                  <c:v>2031年</c:v>
                </c:pt>
              </c:strCache>
            </c:strRef>
          </c:cat>
          <c:val>
            <c:numRef>
              <c:f>图!$C$2:$L$2</c:f>
              <c:numCache>
                <c:formatCode>_(* #,##0.00_);_(* \(#,##0.00\);_(* "-"??_);_(@_)</c:formatCode>
                <c:ptCount val="10"/>
                <c:pt idx="0">
                  <c:v>1100</c:v>
                </c:pt>
                <c:pt idx="1">
                  <c:v>17447.15</c:v>
                </c:pt>
                <c:pt idx="2">
                  <c:v>11017</c:v>
                </c:pt>
                <c:pt idx="3">
                  <c:v>115640.24</c:v>
                </c:pt>
                <c:pt idx="4">
                  <c:v>0</c:v>
                </c:pt>
                <c:pt idx="5">
                  <c:v>0</c:v>
                </c:pt>
                <c:pt idx="6">
                  <c:v>0</c:v>
                </c:pt>
                <c:pt idx="7">
                  <c:v>0</c:v>
                </c:pt>
                <c:pt idx="8">
                  <c:v>0</c:v>
                </c:pt>
                <c:pt idx="9">
                  <c:v>0</c:v>
                </c:pt>
              </c:numCache>
            </c:numRef>
          </c:val>
        </c:ser>
        <c:ser>
          <c:idx val="1"/>
          <c:order val="1"/>
          <c:tx>
            <c:strRef>
              <c:f>图!$A$3:$B$3</c:f>
              <c:strCache>
                <c:ptCount val="1"/>
                <c:pt idx="0">
                  <c:v>现金流出</c:v>
                </c:pt>
              </c:strCache>
            </c:strRef>
          </c:tx>
          <c:spPr>
            <a:solidFill>
              <a:schemeClr val="accent2"/>
            </a:solidFill>
            <a:ln>
              <a:noFill/>
            </a:ln>
            <a:effectLst/>
          </c:spPr>
          <c:invertIfNegative val="0"/>
          <c:dLbls>
            <c:delete val="1"/>
          </c:dLbls>
          <c:cat>
            <c:strRef>
              <c:f>图!$C$1:$L$1</c:f>
              <c:strCache>
                <c:ptCount val="10"/>
                <c:pt idx="0">
                  <c:v>2022年</c:v>
                </c:pt>
                <c:pt idx="1">
                  <c:v>2023年</c:v>
                </c:pt>
                <c:pt idx="2">
                  <c:v>2024年</c:v>
                </c:pt>
                <c:pt idx="3">
                  <c:v>2025年</c:v>
                </c:pt>
                <c:pt idx="4">
                  <c:v>2026年</c:v>
                </c:pt>
                <c:pt idx="5">
                  <c:v>2027年</c:v>
                </c:pt>
                <c:pt idx="6">
                  <c:v>2028年</c:v>
                </c:pt>
                <c:pt idx="7">
                  <c:v>2029年</c:v>
                </c:pt>
                <c:pt idx="8">
                  <c:v>2030年</c:v>
                </c:pt>
                <c:pt idx="9">
                  <c:v>2031年</c:v>
                </c:pt>
              </c:strCache>
            </c:strRef>
          </c:cat>
          <c:val>
            <c:numRef>
              <c:f>图!$C$3:$L$3</c:f>
              <c:numCache>
                <c:formatCode>_(* #,##0.00_);_(* \(#,##0.00\);_(* "-"??_);_(@_)</c:formatCode>
                <c:ptCount val="10"/>
                <c:pt idx="0">
                  <c:v>1100</c:v>
                </c:pt>
                <c:pt idx="1">
                  <c:v>17447.15</c:v>
                </c:pt>
                <c:pt idx="2">
                  <c:v>11017</c:v>
                </c:pt>
                <c:pt idx="3">
                  <c:v>1168.88</c:v>
                </c:pt>
                <c:pt idx="4">
                  <c:v>897</c:v>
                </c:pt>
                <c:pt idx="5">
                  <c:v>897</c:v>
                </c:pt>
                <c:pt idx="6">
                  <c:v>897</c:v>
                </c:pt>
                <c:pt idx="7">
                  <c:v>897</c:v>
                </c:pt>
                <c:pt idx="8">
                  <c:v>13897</c:v>
                </c:pt>
                <c:pt idx="9">
                  <c:v>10390</c:v>
                </c:pt>
              </c:numCache>
            </c:numRef>
          </c:val>
        </c:ser>
        <c:ser>
          <c:idx val="2"/>
          <c:order val="2"/>
          <c:tx>
            <c:strRef>
              <c:f>图!$A$4:$B$4</c:f>
              <c:strCache>
                <c:ptCount val="1"/>
                <c:pt idx="0">
                  <c:v>期末现金</c:v>
                </c:pt>
              </c:strCache>
            </c:strRef>
          </c:tx>
          <c:spPr>
            <a:solidFill>
              <a:schemeClr val="accent3"/>
            </a:solidFill>
            <a:ln>
              <a:noFill/>
            </a:ln>
            <a:effectLst/>
          </c:spPr>
          <c:invertIfNegative val="0"/>
          <c:dLbls>
            <c:delete val="1"/>
          </c:dLbls>
          <c:cat>
            <c:strRef>
              <c:f>图!$C$1:$L$1</c:f>
              <c:strCache>
                <c:ptCount val="10"/>
                <c:pt idx="0">
                  <c:v>2022年</c:v>
                </c:pt>
                <c:pt idx="1">
                  <c:v>2023年</c:v>
                </c:pt>
                <c:pt idx="2">
                  <c:v>2024年</c:v>
                </c:pt>
                <c:pt idx="3">
                  <c:v>2025年</c:v>
                </c:pt>
                <c:pt idx="4">
                  <c:v>2026年</c:v>
                </c:pt>
                <c:pt idx="5">
                  <c:v>2027年</c:v>
                </c:pt>
                <c:pt idx="6">
                  <c:v>2028年</c:v>
                </c:pt>
                <c:pt idx="7">
                  <c:v>2029年</c:v>
                </c:pt>
                <c:pt idx="8">
                  <c:v>2030年</c:v>
                </c:pt>
                <c:pt idx="9">
                  <c:v>2031年</c:v>
                </c:pt>
              </c:strCache>
            </c:strRef>
          </c:cat>
          <c:val>
            <c:numRef>
              <c:f>图!$C$4:$L$4</c:f>
              <c:numCache>
                <c:formatCode>_(* #,##0.00_);_(* \(#,##0.00\);_(* "-"??_);_(@_)</c:formatCode>
                <c:ptCount val="10"/>
                <c:pt idx="0">
                  <c:v>0</c:v>
                </c:pt>
                <c:pt idx="1">
                  <c:v>0</c:v>
                </c:pt>
                <c:pt idx="2">
                  <c:v>0</c:v>
                </c:pt>
                <c:pt idx="3">
                  <c:v>114471.36</c:v>
                </c:pt>
                <c:pt idx="4">
                  <c:v>113574.36</c:v>
                </c:pt>
                <c:pt idx="5">
                  <c:v>112677.36</c:v>
                </c:pt>
                <c:pt idx="6">
                  <c:v>111780.36</c:v>
                </c:pt>
                <c:pt idx="7">
                  <c:v>110883.36</c:v>
                </c:pt>
                <c:pt idx="8">
                  <c:v>96986.36</c:v>
                </c:pt>
                <c:pt idx="9">
                  <c:v>86596.36</c:v>
                </c:pt>
              </c:numCache>
            </c:numRef>
          </c:val>
        </c:ser>
        <c:dLbls>
          <c:showLegendKey val="0"/>
          <c:showVal val="0"/>
          <c:showCatName val="0"/>
          <c:showSerName val="0"/>
          <c:showPercent val="0"/>
          <c:showBubbleSize val="0"/>
        </c:dLbls>
        <c:gapWidth val="219"/>
        <c:overlap val="-27"/>
        <c:axId val="592466656"/>
        <c:axId val="592459112"/>
      </c:barChart>
      <c:catAx>
        <c:axId val="592466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2459112"/>
        <c:crosses val="autoZero"/>
        <c:auto val="1"/>
        <c:lblAlgn val="ctr"/>
        <c:lblOffset val="100"/>
        <c:noMultiLvlLbl val="0"/>
      </c:catAx>
      <c:valAx>
        <c:axId val="592459112"/>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24666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674236773035"/>
          <c:y val="0.0230173728286439"/>
          <c:w val="0.806195993921812"/>
          <c:h val="0.691469531637462"/>
        </c:manualLayout>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图!$B$1:$AH$1</c:f>
              <c:strCache>
                <c:ptCount val="33"/>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pt idx="30">
                  <c:v>2053年</c:v>
                </c:pt>
                <c:pt idx="31">
                  <c:v>2054年</c:v>
                </c:pt>
                <c:pt idx="32">
                  <c:v>2055年</c:v>
                </c:pt>
              </c:strCache>
            </c:strRef>
          </c:cat>
          <c:val>
            <c:numRef>
              <c:f>图!$B$2:$AH$2</c:f>
              <c:numCache>
                <c:formatCode>_(* #,##0.00_);_(* \(#,##0.00\);_(* "-"??_);_(@_)</c:formatCode>
                <c:ptCount val="33"/>
                <c:pt idx="0">
                  <c:v>193834.1</c:v>
                </c:pt>
                <c:pt idx="1">
                  <c:v>34577.555</c:v>
                </c:pt>
                <c:pt idx="2">
                  <c:v>8252.55</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图!$B$1:$AH$1</c:f>
              <c:strCache>
                <c:ptCount val="33"/>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pt idx="30">
                  <c:v>2053年</c:v>
                </c:pt>
                <c:pt idx="31">
                  <c:v>2054年</c:v>
                </c:pt>
                <c:pt idx="32">
                  <c:v>2055年</c:v>
                </c:pt>
              </c:strCache>
            </c:strRef>
          </c:cat>
          <c:val>
            <c:numRef>
              <c:f>图!$B$3:$AH$3</c:f>
              <c:numCache>
                <c:formatCode>_(* #,##0.00_);_(* \(#,##0.00\);_(* "-"??_);_(@_)</c:formatCode>
                <c:ptCount val="33"/>
                <c:pt idx="0">
                  <c:v>-33010.22</c:v>
                </c:pt>
                <c:pt idx="1">
                  <c:v>-34798.805</c:v>
                </c:pt>
                <c:pt idx="2">
                  <c:v>-10834.98</c:v>
                </c:pt>
                <c:pt idx="3">
                  <c:v>-2582.43</c:v>
                </c:pt>
                <c:pt idx="4">
                  <c:v>-2582.43</c:v>
                </c:pt>
                <c:pt idx="5">
                  <c:v>-2582.43</c:v>
                </c:pt>
                <c:pt idx="6">
                  <c:v>-2582.43</c:v>
                </c:pt>
                <c:pt idx="7">
                  <c:v>-2582.43</c:v>
                </c:pt>
                <c:pt idx="8">
                  <c:v>-56382.465</c:v>
                </c:pt>
                <c:pt idx="9">
                  <c:v>-442.5</c:v>
                </c:pt>
                <c:pt idx="10">
                  <c:v>-442.5</c:v>
                </c:pt>
                <c:pt idx="11">
                  <c:v>-442.5</c:v>
                </c:pt>
                <c:pt idx="12">
                  <c:v>-442.5</c:v>
                </c:pt>
                <c:pt idx="13">
                  <c:v>-442.5</c:v>
                </c:pt>
                <c:pt idx="14">
                  <c:v>-442.5</c:v>
                </c:pt>
                <c:pt idx="15">
                  <c:v>-442.5</c:v>
                </c:pt>
                <c:pt idx="16">
                  <c:v>-442.5</c:v>
                </c:pt>
                <c:pt idx="17">
                  <c:v>-442.5</c:v>
                </c:pt>
                <c:pt idx="18">
                  <c:v>-442.5</c:v>
                </c:pt>
                <c:pt idx="19">
                  <c:v>-442.5</c:v>
                </c:pt>
                <c:pt idx="20">
                  <c:v>-442.5</c:v>
                </c:pt>
                <c:pt idx="21">
                  <c:v>-442.5</c:v>
                </c:pt>
                <c:pt idx="22">
                  <c:v>-442.5</c:v>
                </c:pt>
                <c:pt idx="23">
                  <c:v>-442.5</c:v>
                </c:pt>
                <c:pt idx="24">
                  <c:v>-442.5</c:v>
                </c:pt>
                <c:pt idx="25">
                  <c:v>-442.5</c:v>
                </c:pt>
                <c:pt idx="26">
                  <c:v>-442.5</c:v>
                </c:pt>
                <c:pt idx="27">
                  <c:v>-442.5</c:v>
                </c:pt>
                <c:pt idx="28">
                  <c:v>-442.5</c:v>
                </c:pt>
                <c:pt idx="29">
                  <c:v>-12721.25</c:v>
                </c:pt>
                <c:pt idx="30">
                  <c:v>0</c:v>
                </c:pt>
                <c:pt idx="31">
                  <c:v>0</c:v>
                </c:pt>
                <c:pt idx="32">
                  <c:v>0</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图!$B$1:$AH$1</c:f>
              <c:strCache>
                <c:ptCount val="33"/>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pt idx="17">
                  <c:v>2040年</c:v>
                </c:pt>
                <c:pt idx="18">
                  <c:v>2041年</c:v>
                </c:pt>
                <c:pt idx="19">
                  <c:v>2042年</c:v>
                </c:pt>
                <c:pt idx="20">
                  <c:v>2043年</c:v>
                </c:pt>
                <c:pt idx="21">
                  <c:v>2044年</c:v>
                </c:pt>
                <c:pt idx="22">
                  <c:v>2045年</c:v>
                </c:pt>
                <c:pt idx="23">
                  <c:v>2046年</c:v>
                </c:pt>
                <c:pt idx="24">
                  <c:v>2047年</c:v>
                </c:pt>
                <c:pt idx="25">
                  <c:v>2048年</c:v>
                </c:pt>
                <c:pt idx="26">
                  <c:v>2049年</c:v>
                </c:pt>
                <c:pt idx="27">
                  <c:v>2050年</c:v>
                </c:pt>
                <c:pt idx="28">
                  <c:v>2051年</c:v>
                </c:pt>
                <c:pt idx="29">
                  <c:v>2052年</c:v>
                </c:pt>
                <c:pt idx="30">
                  <c:v>2053年</c:v>
                </c:pt>
                <c:pt idx="31">
                  <c:v>2054年</c:v>
                </c:pt>
                <c:pt idx="32">
                  <c:v>2055年</c:v>
                </c:pt>
              </c:strCache>
            </c:strRef>
          </c:cat>
          <c:val>
            <c:numRef>
              <c:f>图!$B$4:$AH$4</c:f>
              <c:numCache>
                <c:formatCode>_(* #,##0.00_);_(* \(#,##0.00\);_(* "-"??_);_(@_)</c:formatCode>
                <c:ptCount val="33"/>
                <c:pt idx="0">
                  <c:v>160823.88</c:v>
                </c:pt>
                <c:pt idx="1">
                  <c:v>160602.63</c:v>
                </c:pt>
                <c:pt idx="2">
                  <c:v>158020.2</c:v>
                </c:pt>
                <c:pt idx="3">
                  <c:v>155437.77</c:v>
                </c:pt>
                <c:pt idx="4">
                  <c:v>152855.34</c:v>
                </c:pt>
                <c:pt idx="5">
                  <c:v>150272.91</c:v>
                </c:pt>
                <c:pt idx="6">
                  <c:v>147690.48</c:v>
                </c:pt>
                <c:pt idx="7">
                  <c:v>145108.05</c:v>
                </c:pt>
                <c:pt idx="8">
                  <c:v>88725.5850000001</c:v>
                </c:pt>
                <c:pt idx="9">
                  <c:v>88283.0850000001</c:v>
                </c:pt>
                <c:pt idx="10">
                  <c:v>87840.5850000001</c:v>
                </c:pt>
                <c:pt idx="11">
                  <c:v>87398.0850000001</c:v>
                </c:pt>
                <c:pt idx="12">
                  <c:v>86955.5850000001</c:v>
                </c:pt>
                <c:pt idx="13">
                  <c:v>86513.0850000001</c:v>
                </c:pt>
                <c:pt idx="14">
                  <c:v>86070.5850000001</c:v>
                </c:pt>
                <c:pt idx="15">
                  <c:v>85628.0850000001</c:v>
                </c:pt>
                <c:pt idx="16">
                  <c:v>85185.5850000001</c:v>
                </c:pt>
                <c:pt idx="17">
                  <c:v>84743.0850000001</c:v>
                </c:pt>
                <c:pt idx="18">
                  <c:v>84300.5850000001</c:v>
                </c:pt>
                <c:pt idx="19">
                  <c:v>83858.0850000001</c:v>
                </c:pt>
                <c:pt idx="20">
                  <c:v>83415.5850000001</c:v>
                </c:pt>
                <c:pt idx="21">
                  <c:v>82973.0850000001</c:v>
                </c:pt>
                <c:pt idx="22">
                  <c:v>82530.5850000001</c:v>
                </c:pt>
                <c:pt idx="23">
                  <c:v>82088.0850000001</c:v>
                </c:pt>
                <c:pt idx="24">
                  <c:v>81645.5850000001</c:v>
                </c:pt>
                <c:pt idx="25">
                  <c:v>81203.0850000001</c:v>
                </c:pt>
                <c:pt idx="26">
                  <c:v>80760.5850000001</c:v>
                </c:pt>
                <c:pt idx="27">
                  <c:v>80318.0850000001</c:v>
                </c:pt>
                <c:pt idx="28">
                  <c:v>79875.5850000001</c:v>
                </c:pt>
                <c:pt idx="29">
                  <c:v>67154.3350000001</c:v>
                </c:pt>
                <c:pt idx="30">
                  <c:v>67154.3350000001</c:v>
                </c:pt>
                <c:pt idx="31">
                  <c:v>67154.3350000001</c:v>
                </c:pt>
                <c:pt idx="32">
                  <c:v>67154.3350000001</c:v>
                </c:pt>
              </c:numCache>
            </c:numRef>
          </c:val>
        </c:ser>
        <c:dLbls>
          <c:showLegendKey val="0"/>
          <c:showVal val="0"/>
          <c:showCatName val="0"/>
          <c:showSerName val="0"/>
          <c:showPercent val="0"/>
          <c:showBubbleSize val="0"/>
        </c:dLbls>
        <c:gapWidth val="219"/>
        <c:overlap val="-27"/>
        <c:axId val="740986544"/>
        <c:axId val="740988840"/>
      </c:barChart>
      <c:catAx>
        <c:axId val="74098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8840"/>
        <c:crosses val="autoZero"/>
        <c:auto val="1"/>
        <c:lblAlgn val="ctr"/>
        <c:lblOffset val="100"/>
        <c:noMultiLvlLbl val="0"/>
      </c:catAx>
      <c:valAx>
        <c:axId val="740988840"/>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6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图!$B$1:$AL$1</c:f>
              <c:strCache>
                <c:ptCount val="31"/>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pt idx="13">
                  <c:v>2035年</c:v>
                </c:pt>
                <c:pt idx="14">
                  <c:v>2036年</c:v>
                </c:pt>
                <c:pt idx="15">
                  <c:v>2037年</c:v>
                </c:pt>
                <c:pt idx="16">
                  <c:v>2038年</c:v>
                </c:pt>
                <c:pt idx="17">
                  <c:v>2039年</c:v>
                </c:pt>
                <c:pt idx="18">
                  <c:v>2040年</c:v>
                </c:pt>
                <c:pt idx="19">
                  <c:v>2041年</c:v>
                </c:pt>
                <c:pt idx="20">
                  <c:v>2042年</c:v>
                </c:pt>
                <c:pt idx="21">
                  <c:v>2043年</c:v>
                </c:pt>
                <c:pt idx="22">
                  <c:v>2044年</c:v>
                </c:pt>
                <c:pt idx="23">
                  <c:v>2045年</c:v>
                </c:pt>
                <c:pt idx="24">
                  <c:v>2046年</c:v>
                </c:pt>
                <c:pt idx="25">
                  <c:v>2047年</c:v>
                </c:pt>
                <c:pt idx="26">
                  <c:v>2048年</c:v>
                </c:pt>
                <c:pt idx="27">
                  <c:v>2049年</c:v>
                </c:pt>
                <c:pt idx="28">
                  <c:v>2050年</c:v>
                </c:pt>
                <c:pt idx="29">
                  <c:v>2051年</c:v>
                </c:pt>
                <c:pt idx="30">
                  <c:v>2052年</c:v>
                </c:pt>
              </c:strCache>
            </c:strRef>
          </c:cat>
          <c:val>
            <c:numRef>
              <c:f>图!$B$2:$AL$2</c:f>
              <c:numCache>
                <c:formatCode>_ * #,##0.00_ ;_ * \-#,##0.00_ ;_ * "-"??_ ;_ @_ </c:formatCode>
                <c:ptCount val="31"/>
                <c:pt idx="0">
                  <c:v>733.61</c:v>
                </c:pt>
                <c:pt idx="1">
                  <c:v>4737.61</c:v>
                </c:pt>
                <c:pt idx="2">
                  <c:v>19663.74</c:v>
                </c:pt>
                <c:pt idx="3">
                  <c:v>7466.38</c:v>
                </c:pt>
                <c:pt idx="4">
                  <c:v>0</c:v>
                </c:pt>
                <c:pt idx="5">
                  <c:v>0</c:v>
                </c:pt>
                <c:pt idx="6">
                  <c:v>0</c:v>
                </c:pt>
                <c:pt idx="7">
                  <c:v>300171.24</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图!$B$1:$AL$1</c:f>
              <c:strCache>
                <c:ptCount val="31"/>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pt idx="13">
                  <c:v>2035年</c:v>
                </c:pt>
                <c:pt idx="14">
                  <c:v>2036年</c:v>
                </c:pt>
                <c:pt idx="15">
                  <c:v>2037年</c:v>
                </c:pt>
                <c:pt idx="16">
                  <c:v>2038年</c:v>
                </c:pt>
                <c:pt idx="17">
                  <c:v>2039年</c:v>
                </c:pt>
                <c:pt idx="18">
                  <c:v>2040年</c:v>
                </c:pt>
                <c:pt idx="19">
                  <c:v>2041年</c:v>
                </c:pt>
                <c:pt idx="20">
                  <c:v>2042年</c:v>
                </c:pt>
                <c:pt idx="21">
                  <c:v>2043年</c:v>
                </c:pt>
                <c:pt idx="22">
                  <c:v>2044年</c:v>
                </c:pt>
                <c:pt idx="23">
                  <c:v>2045年</c:v>
                </c:pt>
                <c:pt idx="24">
                  <c:v>2046年</c:v>
                </c:pt>
                <c:pt idx="25">
                  <c:v>2047年</c:v>
                </c:pt>
                <c:pt idx="26">
                  <c:v>2048年</c:v>
                </c:pt>
                <c:pt idx="27">
                  <c:v>2049年</c:v>
                </c:pt>
                <c:pt idx="28">
                  <c:v>2050年</c:v>
                </c:pt>
                <c:pt idx="29">
                  <c:v>2051年</c:v>
                </c:pt>
                <c:pt idx="30">
                  <c:v>2052年</c:v>
                </c:pt>
              </c:strCache>
            </c:strRef>
          </c:cat>
          <c:val>
            <c:numRef>
              <c:f>图!$B$3:$AL$3</c:f>
              <c:numCache>
                <c:formatCode>_ * #,##0.00_ ;_ * \-#,##0.00_ ;_ * "-"??_ ;_ @_ </c:formatCode>
                <c:ptCount val="31"/>
                <c:pt idx="0">
                  <c:v>-733.61</c:v>
                </c:pt>
                <c:pt idx="1">
                  <c:v>-4737.61</c:v>
                </c:pt>
                <c:pt idx="2">
                  <c:v>-19663.74</c:v>
                </c:pt>
                <c:pt idx="3">
                  <c:v>-8302.63</c:v>
                </c:pt>
                <c:pt idx="4">
                  <c:v>-836.25</c:v>
                </c:pt>
                <c:pt idx="5">
                  <c:v>-836.25</c:v>
                </c:pt>
                <c:pt idx="6">
                  <c:v>-836.25</c:v>
                </c:pt>
                <c:pt idx="7">
                  <c:v>-6839.67</c:v>
                </c:pt>
                <c:pt idx="8">
                  <c:v>-4836.25</c:v>
                </c:pt>
                <c:pt idx="9">
                  <c:v>-15674.65</c:v>
                </c:pt>
                <c:pt idx="10">
                  <c:v>-141.6</c:v>
                </c:pt>
                <c:pt idx="11">
                  <c:v>-141.6</c:v>
                </c:pt>
                <c:pt idx="12">
                  <c:v>-141.6</c:v>
                </c:pt>
                <c:pt idx="13">
                  <c:v>-141.6</c:v>
                </c:pt>
                <c:pt idx="14">
                  <c:v>-141.6</c:v>
                </c:pt>
                <c:pt idx="15">
                  <c:v>-141.6</c:v>
                </c:pt>
                <c:pt idx="16">
                  <c:v>-141.6</c:v>
                </c:pt>
                <c:pt idx="17">
                  <c:v>-141.6</c:v>
                </c:pt>
                <c:pt idx="18">
                  <c:v>-141.6</c:v>
                </c:pt>
                <c:pt idx="19">
                  <c:v>-141.6</c:v>
                </c:pt>
                <c:pt idx="20">
                  <c:v>-141.6</c:v>
                </c:pt>
                <c:pt idx="21">
                  <c:v>-141.6</c:v>
                </c:pt>
                <c:pt idx="22">
                  <c:v>-141.6</c:v>
                </c:pt>
                <c:pt idx="23">
                  <c:v>-141.6</c:v>
                </c:pt>
                <c:pt idx="24">
                  <c:v>-141.6</c:v>
                </c:pt>
                <c:pt idx="25">
                  <c:v>-141.6</c:v>
                </c:pt>
                <c:pt idx="26">
                  <c:v>-141.6</c:v>
                </c:pt>
                <c:pt idx="27">
                  <c:v>-141.6</c:v>
                </c:pt>
                <c:pt idx="28">
                  <c:v>-141.6</c:v>
                </c:pt>
                <c:pt idx="29">
                  <c:v>-141.6</c:v>
                </c:pt>
                <c:pt idx="30">
                  <c:v>-4070.8</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图!$B$1:$AL$1</c:f>
              <c:strCache>
                <c:ptCount val="31"/>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pt idx="13">
                  <c:v>2035年</c:v>
                </c:pt>
                <c:pt idx="14">
                  <c:v>2036年</c:v>
                </c:pt>
                <c:pt idx="15">
                  <c:v>2037年</c:v>
                </c:pt>
                <c:pt idx="16">
                  <c:v>2038年</c:v>
                </c:pt>
                <c:pt idx="17">
                  <c:v>2039年</c:v>
                </c:pt>
                <c:pt idx="18">
                  <c:v>2040年</c:v>
                </c:pt>
                <c:pt idx="19">
                  <c:v>2041年</c:v>
                </c:pt>
                <c:pt idx="20">
                  <c:v>2042年</c:v>
                </c:pt>
                <c:pt idx="21">
                  <c:v>2043年</c:v>
                </c:pt>
                <c:pt idx="22">
                  <c:v>2044年</c:v>
                </c:pt>
                <c:pt idx="23">
                  <c:v>2045年</c:v>
                </c:pt>
                <c:pt idx="24">
                  <c:v>2046年</c:v>
                </c:pt>
                <c:pt idx="25">
                  <c:v>2047年</c:v>
                </c:pt>
                <c:pt idx="26">
                  <c:v>2048年</c:v>
                </c:pt>
                <c:pt idx="27">
                  <c:v>2049年</c:v>
                </c:pt>
                <c:pt idx="28">
                  <c:v>2050年</c:v>
                </c:pt>
                <c:pt idx="29">
                  <c:v>2051年</c:v>
                </c:pt>
                <c:pt idx="30">
                  <c:v>2052年</c:v>
                </c:pt>
              </c:strCache>
            </c:strRef>
          </c:cat>
          <c:val>
            <c:numRef>
              <c:f>图!$B$4:$AL$4</c:f>
              <c:numCache>
                <c:formatCode>_ * #,##0.00_ ;_ * \-#,##0.00_ ;_ * "-"??_ ;_ @_ </c:formatCode>
                <c:ptCount val="31"/>
                <c:pt idx="0">
                  <c:v>0</c:v>
                </c:pt>
                <c:pt idx="1">
                  <c:v>0</c:v>
                </c:pt>
                <c:pt idx="2">
                  <c:v>0</c:v>
                </c:pt>
                <c:pt idx="3">
                  <c:v>-836.25</c:v>
                </c:pt>
                <c:pt idx="4">
                  <c:v>-1672.5</c:v>
                </c:pt>
                <c:pt idx="5">
                  <c:v>-2508.75</c:v>
                </c:pt>
                <c:pt idx="6">
                  <c:v>-3345</c:v>
                </c:pt>
                <c:pt idx="7">
                  <c:v>289986.57</c:v>
                </c:pt>
                <c:pt idx="8">
                  <c:v>285150.32</c:v>
                </c:pt>
                <c:pt idx="9">
                  <c:v>269475.67</c:v>
                </c:pt>
                <c:pt idx="10">
                  <c:v>269334.07</c:v>
                </c:pt>
                <c:pt idx="11">
                  <c:v>269192.47</c:v>
                </c:pt>
                <c:pt idx="12">
                  <c:v>269050.87</c:v>
                </c:pt>
                <c:pt idx="13">
                  <c:v>268909.27</c:v>
                </c:pt>
                <c:pt idx="14">
                  <c:v>268767.67</c:v>
                </c:pt>
                <c:pt idx="15">
                  <c:v>268626.07</c:v>
                </c:pt>
                <c:pt idx="16">
                  <c:v>268484.47</c:v>
                </c:pt>
                <c:pt idx="17">
                  <c:v>268342.87</c:v>
                </c:pt>
                <c:pt idx="18">
                  <c:v>268201.27</c:v>
                </c:pt>
                <c:pt idx="19">
                  <c:v>268059.67</c:v>
                </c:pt>
                <c:pt idx="20">
                  <c:v>267918.07</c:v>
                </c:pt>
                <c:pt idx="21">
                  <c:v>267776.47</c:v>
                </c:pt>
                <c:pt idx="22">
                  <c:v>267634.87</c:v>
                </c:pt>
                <c:pt idx="23">
                  <c:v>267493.27</c:v>
                </c:pt>
                <c:pt idx="24">
                  <c:v>267351.67</c:v>
                </c:pt>
                <c:pt idx="25">
                  <c:v>267210.07</c:v>
                </c:pt>
                <c:pt idx="26">
                  <c:v>267068.47</c:v>
                </c:pt>
                <c:pt idx="27">
                  <c:v>266926.87</c:v>
                </c:pt>
                <c:pt idx="28">
                  <c:v>266785.27</c:v>
                </c:pt>
                <c:pt idx="29">
                  <c:v>266643.67</c:v>
                </c:pt>
                <c:pt idx="30">
                  <c:v>262572.87</c:v>
                </c:pt>
              </c:numCache>
            </c:numRef>
          </c:val>
        </c:ser>
        <c:dLbls>
          <c:showLegendKey val="0"/>
          <c:showVal val="0"/>
          <c:showCatName val="0"/>
          <c:showSerName val="0"/>
          <c:showPercent val="0"/>
          <c:showBubbleSize val="0"/>
        </c:dLbls>
        <c:gapWidth val="219"/>
        <c:overlap val="-27"/>
        <c:axId val="336412672"/>
        <c:axId val="336414208"/>
      </c:barChart>
      <c:catAx>
        <c:axId val="336412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414208"/>
        <c:crosses val="autoZero"/>
        <c:auto val="1"/>
        <c:lblAlgn val="ctr"/>
        <c:lblOffset val="100"/>
        <c:noMultiLvlLbl val="0"/>
      </c:catAx>
      <c:valAx>
        <c:axId val="3364142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_ * #,##0.00_ ;_ * \-#,##0.00_ ;_ * &quot;-&quot;??_ ;_ @_ "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4126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(图!$B$1,图!$E$1:$P$1)</c:f>
              <c:strCache>
                <c:ptCount val="12"/>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strCache>
            </c:strRef>
          </c:cat>
          <c:val>
            <c:numRef>
              <c:f>(图!$B$2,图!$E$2:$P$2)</c:f>
              <c:numCache>
                <c:formatCode>_(* #,##0.00_);_(* \(#,##0.00\);_(* "-"??_);_(@_)</c:formatCode>
                <c:ptCount val="12"/>
                <c:pt idx="0">
                  <c:v>1220</c:v>
                </c:pt>
                <c:pt idx="1">
                  <c:v>23131.9</c:v>
                </c:pt>
                <c:pt idx="2">
                  <c:v>23298.9</c:v>
                </c:pt>
                <c:pt idx="3">
                  <c:v>6773.9</c:v>
                </c:pt>
                <c:pt idx="4">
                  <c:v>37595.56</c:v>
                </c:pt>
                <c:pt idx="5">
                  <c:v>0</c:v>
                </c:pt>
                <c:pt idx="6">
                  <c:v>0</c:v>
                </c:pt>
                <c:pt idx="7">
                  <c:v>0</c:v>
                </c:pt>
                <c:pt idx="8">
                  <c:v>0</c:v>
                </c:pt>
                <c:pt idx="9">
                  <c:v>0</c:v>
                </c:pt>
                <c:pt idx="10">
                  <c:v>0</c:v>
                </c:pt>
                <c:pt idx="11">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(图!$B$1,图!$E$1:$P$1)</c:f>
              <c:strCache>
                <c:ptCount val="12"/>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strCache>
            </c:strRef>
          </c:cat>
          <c:val>
            <c:numRef>
              <c:f>(图!$B$3,图!$E$3:$P$3)</c:f>
              <c:numCache>
                <c:formatCode>_(* #,##0.00_);_(* \(#,##0.00\);_(* "-"??_);_(@_)</c:formatCode>
                <c:ptCount val="12"/>
                <c:pt idx="0">
                  <c:v>-1220</c:v>
                </c:pt>
                <c:pt idx="1">
                  <c:v>-23131.9</c:v>
                </c:pt>
                <c:pt idx="2">
                  <c:v>-23298.9</c:v>
                </c:pt>
                <c:pt idx="3">
                  <c:v>-6773.9</c:v>
                </c:pt>
                <c:pt idx="4">
                  <c:v>-1676.8112</c:v>
                </c:pt>
                <c:pt idx="5">
                  <c:v>-924.9</c:v>
                </c:pt>
                <c:pt idx="6">
                  <c:v>-924.9</c:v>
                </c:pt>
                <c:pt idx="7">
                  <c:v>-1924.9</c:v>
                </c:pt>
                <c:pt idx="8">
                  <c:v>-4897</c:v>
                </c:pt>
                <c:pt idx="9">
                  <c:v>-15741</c:v>
                </c:pt>
                <c:pt idx="10">
                  <c:v>-4156</c:v>
                </c:pt>
                <c:pt idx="11">
                  <c:v>0</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(图!$B$1,图!$E$1:$P$1)</c:f>
              <c:strCache>
                <c:ptCount val="12"/>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strCache>
            </c:strRef>
          </c:cat>
          <c:val>
            <c:numRef>
              <c:f>(图!$B$4,图!$E$4:$P$4)</c:f>
              <c:numCache>
                <c:formatCode>_(* #,##0.00_);_(* \(#,##0.00\);_(* "-"??_);_(@_)</c:formatCode>
                <c:ptCount val="12"/>
                <c:pt idx="0">
                  <c:v>0</c:v>
                </c:pt>
                <c:pt idx="1">
                  <c:v>0</c:v>
                </c:pt>
                <c:pt idx="2">
                  <c:v>0</c:v>
                </c:pt>
                <c:pt idx="3">
                  <c:v>0</c:v>
                </c:pt>
                <c:pt idx="4">
                  <c:v>35918.7488</c:v>
                </c:pt>
                <c:pt idx="5">
                  <c:v>34993.8488</c:v>
                </c:pt>
                <c:pt idx="6">
                  <c:v>34068.9488</c:v>
                </c:pt>
                <c:pt idx="7">
                  <c:v>32144.0488</c:v>
                </c:pt>
                <c:pt idx="8">
                  <c:v>27247.0488</c:v>
                </c:pt>
                <c:pt idx="9">
                  <c:v>11506.0488</c:v>
                </c:pt>
                <c:pt idx="10">
                  <c:v>7350.0488</c:v>
                </c:pt>
                <c:pt idx="11">
                  <c:v>7350.0488</c:v>
                </c:pt>
              </c:numCache>
            </c:numRef>
          </c:val>
        </c:ser>
        <c:dLbls>
          <c:showLegendKey val="0"/>
          <c:showVal val="0"/>
          <c:showCatName val="0"/>
          <c:showSerName val="0"/>
          <c:showPercent val="0"/>
          <c:showBubbleSize val="0"/>
        </c:dLbls>
        <c:gapWidth val="219"/>
        <c:overlap val="-27"/>
        <c:axId val="740986544"/>
        <c:axId val="740988840"/>
      </c:barChart>
      <c:catAx>
        <c:axId val="74098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8840"/>
        <c:crosses val="autoZero"/>
        <c:auto val="1"/>
        <c:lblAlgn val="ctr"/>
        <c:lblOffset val="100"/>
        <c:noMultiLvlLbl val="0"/>
      </c:catAx>
      <c:valAx>
        <c:axId val="740988840"/>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6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'[测算表-常规模板2024.xlsx]图'!$A$2</c:f>
              <c:strCache>
                <c:ptCount val="1"/>
                <c:pt idx="0">
                  <c:v>现金流入</c:v>
                </c:pt>
              </c:strCache>
            </c:strRef>
          </c:tx>
          <c:spPr>
            <a:solidFill>
              <a:schemeClr val="accent1"/>
            </a:solidFill>
            <a:ln>
              <a:noFill/>
            </a:ln>
            <a:effectLst/>
          </c:spPr>
          <c:invertIfNegative val="0"/>
          <c:dLbls>
            <c:delete val="1"/>
          </c:dLbls>
          <c:cat>
            <c:strRef>
              <c:f>'[测算表-常规模板2024.xlsx]图'!$B$1:$AK$1</c:f>
              <c:strCache>
                <c:ptCount val="13"/>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strCache>
            </c:strRef>
          </c:cat>
          <c:val>
            <c:numRef>
              <c:f>图!$B$2:$AK$2</c:f>
              <c:numCache>
                <c:formatCode>_(* #,##0.00_);_(* \(#,##0.00\);_(* "-"??_);_(@_)</c:formatCode>
                <c:ptCount val="13"/>
                <c:pt idx="0">
                  <c:v>0</c:v>
                </c:pt>
                <c:pt idx="1">
                  <c:v>2203.5</c:v>
                </c:pt>
                <c:pt idx="2">
                  <c:v>15073.75</c:v>
                </c:pt>
                <c:pt idx="3">
                  <c:v>16245.75</c:v>
                </c:pt>
                <c:pt idx="4">
                  <c:v>7183.25</c:v>
                </c:pt>
                <c:pt idx="5">
                  <c:v>112636.26</c:v>
                </c:pt>
                <c:pt idx="6">
                  <c:v>0</c:v>
                </c:pt>
                <c:pt idx="7">
                  <c:v>0</c:v>
                </c:pt>
                <c:pt idx="8">
                  <c:v>0</c:v>
                </c:pt>
                <c:pt idx="9">
                  <c:v>0</c:v>
                </c:pt>
                <c:pt idx="10">
                  <c:v>0</c:v>
                </c:pt>
                <c:pt idx="11">
                  <c:v>0</c:v>
                </c:pt>
                <c:pt idx="12">
                  <c:v>0</c:v>
                </c:pt>
              </c:numCache>
            </c:numRef>
          </c:val>
        </c:ser>
        <c:ser>
          <c:idx val="1"/>
          <c:order val="1"/>
          <c:tx>
            <c:strRef>
              <c:f>'[测算表-常规模板2024.xlsx]图'!$A$3</c:f>
              <c:strCache>
                <c:ptCount val="1"/>
                <c:pt idx="0">
                  <c:v>现金流出</c:v>
                </c:pt>
              </c:strCache>
            </c:strRef>
          </c:tx>
          <c:spPr>
            <a:solidFill>
              <a:schemeClr val="accent2"/>
            </a:solidFill>
            <a:ln>
              <a:noFill/>
            </a:ln>
            <a:effectLst/>
          </c:spPr>
          <c:invertIfNegative val="0"/>
          <c:dLbls>
            <c:delete val="1"/>
          </c:dLbls>
          <c:cat>
            <c:strRef>
              <c:f>'[测算表-常规模板2024.xlsx]图'!$B$1:$AK$1</c:f>
              <c:strCache>
                <c:ptCount val="13"/>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strCache>
            </c:strRef>
          </c:cat>
          <c:val>
            <c:numRef>
              <c:f>图!$B$3:$AK$3</c:f>
              <c:numCache>
                <c:formatCode>_(* #,##0.00_);_(* \(#,##0.00\);_(* "-"??_);_(@_)</c:formatCode>
                <c:ptCount val="13"/>
                <c:pt idx="0">
                  <c:v>0</c:v>
                </c:pt>
                <c:pt idx="1">
                  <c:v>-2203.5</c:v>
                </c:pt>
                <c:pt idx="2">
                  <c:v>-15073.75</c:v>
                </c:pt>
                <c:pt idx="3">
                  <c:v>-16245.75</c:v>
                </c:pt>
                <c:pt idx="4">
                  <c:v>-7183.25</c:v>
                </c:pt>
                <c:pt idx="5">
                  <c:v>-1181.25</c:v>
                </c:pt>
                <c:pt idx="6">
                  <c:v>-1181.25</c:v>
                </c:pt>
                <c:pt idx="7">
                  <c:v>-1181.25</c:v>
                </c:pt>
                <c:pt idx="8">
                  <c:v>-3681.25</c:v>
                </c:pt>
                <c:pt idx="9">
                  <c:v>-5111.5</c:v>
                </c:pt>
                <c:pt idx="10">
                  <c:v>-20955.5</c:v>
                </c:pt>
                <c:pt idx="11">
                  <c:v>-4675.5</c:v>
                </c:pt>
                <c:pt idx="12">
                  <c:v>0</c:v>
                </c:pt>
              </c:numCache>
            </c:numRef>
          </c:val>
        </c:ser>
        <c:ser>
          <c:idx val="2"/>
          <c:order val="2"/>
          <c:tx>
            <c:strRef>
              <c:f>'[测算表-常规模板2024.xlsx]图'!$A$4</c:f>
              <c:strCache>
                <c:ptCount val="1"/>
                <c:pt idx="0">
                  <c:v>期末现金</c:v>
                </c:pt>
              </c:strCache>
            </c:strRef>
          </c:tx>
          <c:spPr>
            <a:solidFill>
              <a:schemeClr val="accent3"/>
            </a:solidFill>
            <a:ln>
              <a:noFill/>
            </a:ln>
            <a:effectLst/>
          </c:spPr>
          <c:invertIfNegative val="0"/>
          <c:dLbls>
            <c:delete val="1"/>
          </c:dLbls>
          <c:cat>
            <c:strRef>
              <c:f>'[测算表-常规模板2024.xlsx]图'!$B$1:$AK$1</c:f>
              <c:strCache>
                <c:ptCount val="13"/>
                <c:pt idx="0">
                  <c:v>2022年</c:v>
                </c:pt>
                <c:pt idx="1">
                  <c:v>2023年</c:v>
                </c:pt>
                <c:pt idx="2">
                  <c:v>2024年</c:v>
                </c:pt>
                <c:pt idx="3">
                  <c:v>2025年</c:v>
                </c:pt>
                <c:pt idx="4">
                  <c:v>2026年</c:v>
                </c:pt>
                <c:pt idx="5">
                  <c:v>2027年</c:v>
                </c:pt>
                <c:pt idx="6">
                  <c:v>2028年</c:v>
                </c:pt>
                <c:pt idx="7">
                  <c:v>2029年</c:v>
                </c:pt>
                <c:pt idx="8">
                  <c:v>2030年</c:v>
                </c:pt>
                <c:pt idx="9">
                  <c:v>2031年</c:v>
                </c:pt>
                <c:pt idx="10">
                  <c:v>2032年</c:v>
                </c:pt>
                <c:pt idx="11">
                  <c:v>2033年</c:v>
                </c:pt>
                <c:pt idx="12">
                  <c:v>2034年</c:v>
                </c:pt>
              </c:strCache>
            </c:strRef>
          </c:cat>
          <c:val>
            <c:numRef>
              <c:f>图!$B$4:$AK$4</c:f>
              <c:numCache>
                <c:formatCode>_(* #,##0.00_);_(* \(#,##0.00\);_(* "-"??_);_(@_)</c:formatCode>
                <c:ptCount val="13"/>
                <c:pt idx="0">
                  <c:v>0</c:v>
                </c:pt>
                <c:pt idx="1">
                  <c:v>0</c:v>
                </c:pt>
                <c:pt idx="2">
                  <c:v>0</c:v>
                </c:pt>
                <c:pt idx="3">
                  <c:v>0</c:v>
                </c:pt>
                <c:pt idx="4">
                  <c:v>0</c:v>
                </c:pt>
                <c:pt idx="5">
                  <c:v>111455.01</c:v>
                </c:pt>
                <c:pt idx="6">
                  <c:v>110273.76</c:v>
                </c:pt>
                <c:pt idx="7">
                  <c:v>109092.51</c:v>
                </c:pt>
                <c:pt idx="8">
                  <c:v>105411.26</c:v>
                </c:pt>
                <c:pt idx="9">
                  <c:v>100299.76</c:v>
                </c:pt>
                <c:pt idx="10">
                  <c:v>79344.26</c:v>
                </c:pt>
                <c:pt idx="11">
                  <c:v>74668.76</c:v>
                </c:pt>
                <c:pt idx="12">
                  <c:v>74668.76</c:v>
                </c:pt>
              </c:numCache>
            </c:numRef>
          </c:val>
        </c:ser>
        <c:dLbls>
          <c:showLegendKey val="0"/>
          <c:showVal val="0"/>
          <c:showCatName val="0"/>
          <c:showSerName val="0"/>
          <c:showPercent val="0"/>
          <c:showBubbleSize val="0"/>
        </c:dLbls>
        <c:gapWidth val="219"/>
        <c:overlap val="-27"/>
        <c:axId val="740986544"/>
        <c:axId val="740988840"/>
      </c:barChart>
      <c:catAx>
        <c:axId val="74098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8840"/>
        <c:crosses val="autoZero"/>
        <c:auto val="1"/>
        <c:lblAlgn val="ctr"/>
        <c:lblOffset val="100"/>
        <c:noMultiLvlLbl val="0"/>
      </c:catAx>
      <c:valAx>
        <c:axId val="740988840"/>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09865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'[2、南昌县富山标准厂房及配套设施建设项目-平衡测算表20240911 - 27年运营.xlsx]图'!$A$2</c:f>
              <c:strCache>
                <c:ptCount val="1"/>
                <c:pt idx="0">
                  <c:v>现金流入</c:v>
                </c:pt>
              </c:strCache>
            </c:strRef>
          </c:tx>
          <c:spPr>
            <a:solidFill>
              <a:schemeClr val="accent1"/>
            </a:solidFill>
            <a:ln>
              <a:noFill/>
            </a:ln>
            <a:effectLst/>
          </c:spPr>
          <c:invertIfNegative val="0"/>
          <c:dLbls>
            <c:delete val="1"/>
          </c:dLbls>
          <c:cat>
            <c:strRef>
              <c:extLst>
                <c:ext xmlns:c15="http://schemas.microsoft.com/office/drawing/2012/chart" uri="{02D57815-91ED-43cb-92C2-25804820EDAC}">
                  <c15:fullRef>
                    <c15:sqref>'[2、南昌县富山标准厂房及配套设施建设项目-平衡测算表20240911 - 27年运营.xlsx]图'!$B$1:$AK$1</c15:sqref>
                  </c15:fullRef>
                </c:ext>
              </c:extLst>
              <c:f>'[2、南昌县富山标准厂房及配套设施建设项目-平衡测算表20240911 - 27年运营.xlsx]图'!$C$1:$AK$1</c:f>
              <c:strCache>
                <c:ptCount val="32"/>
                <c:pt idx="0">
                  <c:v>2024年</c:v>
                </c:pt>
                <c:pt idx="1">
                  <c:v>2025年</c:v>
                </c:pt>
                <c:pt idx="2">
                  <c:v>2026年</c:v>
                </c:pt>
                <c:pt idx="3">
                  <c:v>2027年</c:v>
                </c:pt>
                <c:pt idx="4">
                  <c:v>2028年</c:v>
                </c:pt>
                <c:pt idx="5">
                  <c:v>2029年</c:v>
                </c:pt>
                <c:pt idx="6">
                  <c:v>2030年</c:v>
                </c:pt>
                <c:pt idx="7">
                  <c:v>2031年</c:v>
                </c:pt>
                <c:pt idx="8">
                  <c:v>2032年</c:v>
                </c:pt>
                <c:pt idx="9">
                  <c:v>2033年</c:v>
                </c:pt>
                <c:pt idx="10">
                  <c:v>2034年</c:v>
                </c:pt>
                <c:pt idx="11">
                  <c:v>2035年</c:v>
                </c:pt>
                <c:pt idx="12">
                  <c:v>2036年</c:v>
                </c:pt>
                <c:pt idx="13">
                  <c:v>2037年</c:v>
                </c:pt>
                <c:pt idx="14">
                  <c:v>2038年</c:v>
                </c:pt>
                <c:pt idx="15">
                  <c:v>2039年</c:v>
                </c:pt>
                <c:pt idx="16">
                  <c:v>2040年</c:v>
                </c:pt>
                <c:pt idx="17">
                  <c:v>2041年</c:v>
                </c:pt>
                <c:pt idx="18">
                  <c:v>2042年</c:v>
                </c:pt>
                <c:pt idx="19">
                  <c:v>2043年</c:v>
                </c:pt>
                <c:pt idx="20">
                  <c:v>2044年</c:v>
                </c:pt>
                <c:pt idx="21">
                  <c:v>2045年</c:v>
                </c:pt>
                <c:pt idx="22">
                  <c:v>2046年</c:v>
                </c:pt>
                <c:pt idx="23">
                  <c:v>2047年</c:v>
                </c:pt>
                <c:pt idx="24">
                  <c:v>2048年</c:v>
                </c:pt>
                <c:pt idx="25">
                  <c:v>2049年</c:v>
                </c:pt>
                <c:pt idx="26">
                  <c:v>2050年</c:v>
                </c:pt>
                <c:pt idx="27">
                  <c:v>2051年</c:v>
                </c:pt>
                <c:pt idx="28">
                  <c:v>2052年</c:v>
                </c:pt>
                <c:pt idx="29">
                  <c:v>2053年</c:v>
                </c:pt>
                <c:pt idx="30">
                  <c:v>2054年</c:v>
                </c:pt>
                <c:pt idx="31">
                  <c:v>2055年</c:v>
                </c:pt>
              </c:strCache>
            </c:strRef>
          </c:cat>
          <c:val>
            <c:numRef>
              <c:extLst>
                <c:ext xmlns:c15="http://schemas.microsoft.com/office/drawing/2012/chart" uri="{02D57815-91ED-43cb-92C2-25804820EDAC}">
                  <c15:fullRef>
                    <c15:sqref>图!$B$2:$AK$2</c15:sqref>
                  </c15:fullRef>
                </c:ext>
              </c:extLst>
              <c:f>'[2、南昌县富山标准厂房及配套设施建设项目-平衡测算表20240911 - 27年运营.xlsx]图'!$C$2:$AK$2</c:f>
              <c:numCache>
                <c:formatCode>_ * #,##0.00_ ;_ * \-#,##0.00_ ;_ * "-"??_ ;_ @_ </c:formatCode>
                <c:ptCount val="32"/>
                <c:pt idx="0">
                  <c:v>26798.59</c:v>
                </c:pt>
                <c:pt idx="1">
                  <c:v>17284</c:v>
                </c:pt>
                <c:pt idx="2">
                  <c:v>7023</c:v>
                </c:pt>
                <c:pt idx="3">
                  <c:v>2337.4</c:v>
                </c:pt>
                <c:pt idx="4">
                  <c:v>5249.33</c:v>
                </c:pt>
                <c:pt idx="5">
                  <c:v>5511.79</c:v>
                </c:pt>
                <c:pt idx="6">
                  <c:v>5511.79</c:v>
                </c:pt>
                <c:pt idx="7">
                  <c:v>5511.79</c:v>
                </c:pt>
                <c:pt idx="8">
                  <c:v>5787.38</c:v>
                </c:pt>
                <c:pt idx="9">
                  <c:v>5787.38</c:v>
                </c:pt>
                <c:pt idx="10">
                  <c:v>5787.38</c:v>
                </c:pt>
                <c:pt idx="11">
                  <c:v>6076.1</c:v>
                </c:pt>
                <c:pt idx="12">
                  <c:v>6076.1</c:v>
                </c:pt>
                <c:pt idx="13">
                  <c:v>6076.1</c:v>
                </c:pt>
                <c:pt idx="14">
                  <c:v>6380.56</c:v>
                </c:pt>
                <c:pt idx="15">
                  <c:v>6380.56</c:v>
                </c:pt>
                <c:pt idx="16">
                  <c:v>6380.56</c:v>
                </c:pt>
                <c:pt idx="17">
                  <c:v>6700.76</c:v>
                </c:pt>
                <c:pt idx="18">
                  <c:v>6700.76</c:v>
                </c:pt>
                <c:pt idx="19">
                  <c:v>6700.76</c:v>
                </c:pt>
                <c:pt idx="20">
                  <c:v>7036.73</c:v>
                </c:pt>
                <c:pt idx="21">
                  <c:v>7036.73</c:v>
                </c:pt>
                <c:pt idx="22">
                  <c:v>7036.73</c:v>
                </c:pt>
                <c:pt idx="23">
                  <c:v>7388.43</c:v>
                </c:pt>
                <c:pt idx="24">
                  <c:v>7388.43</c:v>
                </c:pt>
                <c:pt idx="25">
                  <c:v>7388.43</c:v>
                </c:pt>
                <c:pt idx="26">
                  <c:v>7758.51</c:v>
                </c:pt>
                <c:pt idx="27">
                  <c:v>7758.51</c:v>
                </c:pt>
                <c:pt idx="28">
                  <c:v>7758.51</c:v>
                </c:pt>
                <c:pt idx="29">
                  <c:v>8146.95</c:v>
                </c:pt>
                <c:pt idx="30">
                  <c:v>8146.95</c:v>
                </c:pt>
                <c:pt idx="31">
                  <c:v>8146.95</c:v>
                </c:pt>
              </c:numCache>
            </c:numRef>
          </c:val>
        </c:ser>
        <c:ser>
          <c:idx val="1"/>
          <c:order val="1"/>
          <c:tx>
            <c:strRef>
              <c:f>'[2、南昌县富山标准厂房及配套设施建设项目-平衡测算表20240911 - 27年运营.xlsx]图'!$A$3</c:f>
              <c:strCache>
                <c:ptCount val="1"/>
                <c:pt idx="0">
                  <c:v>现金流出</c:v>
                </c:pt>
              </c:strCache>
            </c:strRef>
          </c:tx>
          <c:spPr>
            <a:solidFill>
              <a:schemeClr val="accent2"/>
            </a:solidFill>
            <a:ln>
              <a:noFill/>
            </a:ln>
            <a:effectLst/>
          </c:spPr>
          <c:invertIfNegative val="0"/>
          <c:dLbls>
            <c:delete val="1"/>
          </c:dLbls>
          <c:cat>
            <c:strRef>
              <c:extLst>
                <c:ext xmlns:c15="http://schemas.microsoft.com/office/drawing/2012/chart" uri="{02D57815-91ED-43cb-92C2-25804820EDAC}">
                  <c15:fullRef>
                    <c15:sqref>'[2、南昌县富山标准厂房及配套设施建设项目-平衡测算表20240911 - 27年运营.xlsx]图'!$B$1:$AK$1</c15:sqref>
                  </c15:fullRef>
                </c:ext>
              </c:extLst>
              <c:f>'[2、南昌县富山标准厂房及配套设施建设项目-平衡测算表20240911 - 27年运营.xlsx]图'!$C$1:$AK$1</c:f>
              <c:strCache>
                <c:ptCount val="32"/>
                <c:pt idx="0">
                  <c:v>2024年</c:v>
                </c:pt>
                <c:pt idx="1">
                  <c:v>2025年</c:v>
                </c:pt>
                <c:pt idx="2">
                  <c:v>2026年</c:v>
                </c:pt>
                <c:pt idx="3">
                  <c:v>2027年</c:v>
                </c:pt>
                <c:pt idx="4">
                  <c:v>2028年</c:v>
                </c:pt>
                <c:pt idx="5">
                  <c:v>2029年</c:v>
                </c:pt>
                <c:pt idx="6">
                  <c:v>2030年</c:v>
                </c:pt>
                <c:pt idx="7">
                  <c:v>2031年</c:v>
                </c:pt>
                <c:pt idx="8">
                  <c:v>2032年</c:v>
                </c:pt>
                <c:pt idx="9">
                  <c:v>2033年</c:v>
                </c:pt>
                <c:pt idx="10">
                  <c:v>2034年</c:v>
                </c:pt>
                <c:pt idx="11">
                  <c:v>2035年</c:v>
                </c:pt>
                <c:pt idx="12">
                  <c:v>2036年</c:v>
                </c:pt>
                <c:pt idx="13">
                  <c:v>2037年</c:v>
                </c:pt>
                <c:pt idx="14">
                  <c:v>2038年</c:v>
                </c:pt>
                <c:pt idx="15">
                  <c:v>2039年</c:v>
                </c:pt>
                <c:pt idx="16">
                  <c:v>2040年</c:v>
                </c:pt>
                <c:pt idx="17">
                  <c:v>2041年</c:v>
                </c:pt>
                <c:pt idx="18">
                  <c:v>2042年</c:v>
                </c:pt>
                <c:pt idx="19">
                  <c:v>2043年</c:v>
                </c:pt>
                <c:pt idx="20">
                  <c:v>2044年</c:v>
                </c:pt>
                <c:pt idx="21">
                  <c:v>2045年</c:v>
                </c:pt>
                <c:pt idx="22">
                  <c:v>2046年</c:v>
                </c:pt>
                <c:pt idx="23">
                  <c:v>2047年</c:v>
                </c:pt>
                <c:pt idx="24">
                  <c:v>2048年</c:v>
                </c:pt>
                <c:pt idx="25">
                  <c:v>2049年</c:v>
                </c:pt>
                <c:pt idx="26">
                  <c:v>2050年</c:v>
                </c:pt>
                <c:pt idx="27">
                  <c:v>2051年</c:v>
                </c:pt>
                <c:pt idx="28">
                  <c:v>2052年</c:v>
                </c:pt>
                <c:pt idx="29">
                  <c:v>2053年</c:v>
                </c:pt>
                <c:pt idx="30">
                  <c:v>2054年</c:v>
                </c:pt>
                <c:pt idx="31">
                  <c:v>2055年</c:v>
                </c:pt>
              </c:strCache>
            </c:strRef>
          </c:cat>
          <c:val>
            <c:numRef>
              <c:extLst>
                <c:ext xmlns:c15="http://schemas.microsoft.com/office/drawing/2012/chart" uri="{02D57815-91ED-43cb-92C2-25804820EDAC}">
                  <c15:fullRef>
                    <c15:sqref>图!$B$3:$AK$3</c15:sqref>
                  </c15:fullRef>
                </c:ext>
              </c:extLst>
              <c:f>'[2、南昌县富山标准厂房及配套设施建设项目-平衡测算表20240911 - 27年运营.xlsx]图'!$C$3:$AK$3</c:f>
              <c:numCache>
                <c:formatCode>_ * #,##0.00_ ;_ * \-#,##0.00_ ;_ * "-"??_ ;_ @_ </c:formatCode>
                <c:ptCount val="32"/>
                <c:pt idx="0">
                  <c:v>-26798.61</c:v>
                </c:pt>
                <c:pt idx="1">
                  <c:v>-17534</c:v>
                </c:pt>
                <c:pt idx="2">
                  <c:v>-8404.1004</c:v>
                </c:pt>
                <c:pt idx="3">
                  <c:v>-3990.4</c:v>
                </c:pt>
                <c:pt idx="4">
                  <c:v>-5461.2</c:v>
                </c:pt>
                <c:pt idx="5">
                  <c:v>-5824.48</c:v>
                </c:pt>
                <c:pt idx="6">
                  <c:v>-5874.48</c:v>
                </c:pt>
                <c:pt idx="7">
                  <c:v>-5924.48</c:v>
                </c:pt>
                <c:pt idx="8">
                  <c:v>-5991.02</c:v>
                </c:pt>
                <c:pt idx="9">
                  <c:v>-6041.02</c:v>
                </c:pt>
                <c:pt idx="10">
                  <c:v>-6141.02</c:v>
                </c:pt>
                <c:pt idx="11">
                  <c:v>-6260.64</c:v>
                </c:pt>
                <c:pt idx="12">
                  <c:v>-6260.64</c:v>
                </c:pt>
                <c:pt idx="13">
                  <c:v>-6310.64</c:v>
                </c:pt>
                <c:pt idx="14">
                  <c:v>-6434.09</c:v>
                </c:pt>
                <c:pt idx="15">
                  <c:v>-5434.09</c:v>
                </c:pt>
                <c:pt idx="16">
                  <c:v>-4455.99</c:v>
                </c:pt>
                <c:pt idx="17">
                  <c:v>-3708.36</c:v>
                </c:pt>
                <c:pt idx="18">
                  <c:v>-3708.36</c:v>
                </c:pt>
                <c:pt idx="19">
                  <c:v>-3708.36</c:v>
                </c:pt>
                <c:pt idx="20">
                  <c:v>-3789.34</c:v>
                </c:pt>
                <c:pt idx="21">
                  <c:v>-3789.34</c:v>
                </c:pt>
                <c:pt idx="22">
                  <c:v>-3789.34</c:v>
                </c:pt>
                <c:pt idx="23">
                  <c:v>-3874.11</c:v>
                </c:pt>
                <c:pt idx="24">
                  <c:v>-3874.11</c:v>
                </c:pt>
                <c:pt idx="25">
                  <c:v>-3874.11</c:v>
                </c:pt>
                <c:pt idx="26">
                  <c:v>-3963.3</c:v>
                </c:pt>
                <c:pt idx="27">
                  <c:v>-3963.3</c:v>
                </c:pt>
                <c:pt idx="28">
                  <c:v>-3963.3</c:v>
                </c:pt>
                <c:pt idx="29">
                  <c:v>-4056.91</c:v>
                </c:pt>
                <c:pt idx="30">
                  <c:v>-8797.79</c:v>
                </c:pt>
                <c:pt idx="31">
                  <c:v>-20147.27</c:v>
                </c:pt>
              </c:numCache>
            </c:numRef>
          </c:val>
        </c:ser>
        <c:ser>
          <c:idx val="2"/>
          <c:order val="2"/>
          <c:tx>
            <c:strRef>
              <c:f>'[2、南昌县富山标准厂房及配套设施建设项目-平衡测算表20240911 - 27年运营.xlsx]图'!$A$4</c:f>
              <c:strCache>
                <c:ptCount val="1"/>
                <c:pt idx="0">
                  <c:v>期末现金</c:v>
                </c:pt>
              </c:strCache>
            </c:strRef>
          </c:tx>
          <c:spPr>
            <a:solidFill>
              <a:schemeClr val="accent3"/>
            </a:solidFill>
            <a:ln>
              <a:noFill/>
            </a:ln>
            <a:effectLst/>
          </c:spPr>
          <c:invertIfNegative val="0"/>
          <c:dLbls>
            <c:delete val="1"/>
          </c:dLbls>
          <c:cat>
            <c:strRef>
              <c:extLst>
                <c:ext xmlns:c15="http://schemas.microsoft.com/office/drawing/2012/chart" uri="{02D57815-91ED-43cb-92C2-25804820EDAC}">
                  <c15:fullRef>
                    <c15:sqref>'[2、南昌县富山标准厂房及配套设施建设项目-平衡测算表20240911 - 27年运营.xlsx]图'!$B$1:$AK$1</c15:sqref>
                  </c15:fullRef>
                </c:ext>
              </c:extLst>
              <c:f>'[2、南昌县富山标准厂房及配套设施建设项目-平衡测算表20240911 - 27年运营.xlsx]图'!$C$1:$AK$1</c:f>
              <c:strCache>
                <c:ptCount val="32"/>
                <c:pt idx="0">
                  <c:v>2024年</c:v>
                </c:pt>
                <c:pt idx="1">
                  <c:v>2025年</c:v>
                </c:pt>
                <c:pt idx="2">
                  <c:v>2026年</c:v>
                </c:pt>
                <c:pt idx="3">
                  <c:v>2027年</c:v>
                </c:pt>
                <c:pt idx="4">
                  <c:v>2028年</c:v>
                </c:pt>
                <c:pt idx="5">
                  <c:v>2029年</c:v>
                </c:pt>
                <c:pt idx="6">
                  <c:v>2030年</c:v>
                </c:pt>
                <c:pt idx="7">
                  <c:v>2031年</c:v>
                </c:pt>
                <c:pt idx="8">
                  <c:v>2032年</c:v>
                </c:pt>
                <c:pt idx="9">
                  <c:v>2033年</c:v>
                </c:pt>
                <c:pt idx="10">
                  <c:v>2034年</c:v>
                </c:pt>
                <c:pt idx="11">
                  <c:v>2035年</c:v>
                </c:pt>
                <c:pt idx="12">
                  <c:v>2036年</c:v>
                </c:pt>
                <c:pt idx="13">
                  <c:v>2037年</c:v>
                </c:pt>
                <c:pt idx="14">
                  <c:v>2038年</c:v>
                </c:pt>
                <c:pt idx="15">
                  <c:v>2039年</c:v>
                </c:pt>
                <c:pt idx="16">
                  <c:v>2040年</c:v>
                </c:pt>
                <c:pt idx="17">
                  <c:v>2041年</c:v>
                </c:pt>
                <c:pt idx="18">
                  <c:v>2042年</c:v>
                </c:pt>
                <c:pt idx="19">
                  <c:v>2043年</c:v>
                </c:pt>
                <c:pt idx="20">
                  <c:v>2044年</c:v>
                </c:pt>
                <c:pt idx="21">
                  <c:v>2045年</c:v>
                </c:pt>
                <c:pt idx="22">
                  <c:v>2046年</c:v>
                </c:pt>
                <c:pt idx="23">
                  <c:v>2047年</c:v>
                </c:pt>
                <c:pt idx="24">
                  <c:v>2048年</c:v>
                </c:pt>
                <c:pt idx="25">
                  <c:v>2049年</c:v>
                </c:pt>
                <c:pt idx="26">
                  <c:v>2050年</c:v>
                </c:pt>
                <c:pt idx="27">
                  <c:v>2051年</c:v>
                </c:pt>
                <c:pt idx="28">
                  <c:v>2052年</c:v>
                </c:pt>
                <c:pt idx="29">
                  <c:v>2053年</c:v>
                </c:pt>
                <c:pt idx="30">
                  <c:v>2054年</c:v>
                </c:pt>
                <c:pt idx="31">
                  <c:v>2055年</c:v>
                </c:pt>
              </c:strCache>
            </c:strRef>
          </c:cat>
          <c:val>
            <c:numRef>
              <c:extLst>
                <c:ext xmlns:c15="http://schemas.microsoft.com/office/drawing/2012/chart" uri="{02D57815-91ED-43cb-92C2-25804820EDAC}">
                  <c15:fullRef>
                    <c15:sqref>图!$B$4:$AK$4</c15:sqref>
                  </c15:fullRef>
                </c:ext>
              </c:extLst>
              <c:f>'[2、南昌县富山标准厂房及配套设施建设项目-平衡测算表20240911 - 27年运营.xlsx]图'!$C$4:$AK$4</c:f>
              <c:numCache>
                <c:formatCode>_ * #,##0.00_ ;_ * \-#,##0.00_ ;_ * "-"??_ ;_ @_ </c:formatCode>
                <c:ptCount val="32"/>
                <c:pt idx="0">
                  <c:v>-0.0199999999858846</c:v>
                </c:pt>
                <c:pt idx="1">
                  <c:v>-250.02</c:v>
                </c:pt>
                <c:pt idx="2">
                  <c:v>-1631.1204</c:v>
                </c:pt>
                <c:pt idx="3">
                  <c:v>-3284.1204</c:v>
                </c:pt>
                <c:pt idx="4">
                  <c:v>-3495.9904</c:v>
                </c:pt>
                <c:pt idx="5">
                  <c:v>-3808.6804</c:v>
                </c:pt>
                <c:pt idx="6">
                  <c:v>-4171.3704</c:v>
                </c:pt>
                <c:pt idx="7">
                  <c:v>-4584.0604</c:v>
                </c:pt>
                <c:pt idx="8">
                  <c:v>-4787.7004</c:v>
                </c:pt>
                <c:pt idx="9">
                  <c:v>-5041.3404</c:v>
                </c:pt>
                <c:pt idx="10">
                  <c:v>-5394.9804</c:v>
                </c:pt>
                <c:pt idx="11">
                  <c:v>-5579.5204</c:v>
                </c:pt>
                <c:pt idx="12">
                  <c:v>-5764.06039999999</c:v>
                </c:pt>
                <c:pt idx="13">
                  <c:v>-5998.60039999999</c:v>
                </c:pt>
                <c:pt idx="14">
                  <c:v>-6052.13039999999</c:v>
                </c:pt>
                <c:pt idx="15">
                  <c:v>-5105.66039999999</c:v>
                </c:pt>
                <c:pt idx="16">
                  <c:v>-3181.09039999999</c:v>
                </c:pt>
                <c:pt idx="17">
                  <c:v>-188.690399999993</c:v>
                </c:pt>
                <c:pt idx="18">
                  <c:v>2803.70960000001</c:v>
                </c:pt>
                <c:pt idx="19">
                  <c:v>5796.10960000001</c:v>
                </c:pt>
                <c:pt idx="20">
                  <c:v>9043.49960000001</c:v>
                </c:pt>
                <c:pt idx="21">
                  <c:v>12290.8896</c:v>
                </c:pt>
                <c:pt idx="22">
                  <c:v>15538.2796</c:v>
                </c:pt>
                <c:pt idx="23">
                  <c:v>19052.5996</c:v>
                </c:pt>
                <c:pt idx="24">
                  <c:v>22566.9196</c:v>
                </c:pt>
                <c:pt idx="25">
                  <c:v>26081.2396</c:v>
                </c:pt>
                <c:pt idx="26">
                  <c:v>29876.4496</c:v>
                </c:pt>
                <c:pt idx="27">
                  <c:v>33671.6596</c:v>
                </c:pt>
                <c:pt idx="28">
                  <c:v>37466.8696</c:v>
                </c:pt>
                <c:pt idx="29">
                  <c:v>41556.9096</c:v>
                </c:pt>
                <c:pt idx="30">
                  <c:v>40906.0696</c:v>
                </c:pt>
                <c:pt idx="31">
                  <c:v>28905.7496</c:v>
                </c:pt>
              </c:numCache>
            </c:numRef>
          </c:val>
        </c:ser>
        <c:dLbls>
          <c:showLegendKey val="0"/>
          <c:showVal val="0"/>
          <c:showCatName val="0"/>
          <c:showSerName val="0"/>
          <c:showPercent val="0"/>
          <c:showBubbleSize val="0"/>
        </c:dLbls>
        <c:gapWidth val="219"/>
        <c:overlap val="-27"/>
        <c:axId val="284993792"/>
        <c:axId val="285003776"/>
      </c:barChart>
      <c:catAx>
        <c:axId val="284993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5003776"/>
        <c:crosses val="autoZero"/>
        <c:auto val="1"/>
        <c:lblAlgn val="ctr"/>
        <c:lblOffset val="100"/>
        <c:noMultiLvlLbl val="0"/>
      </c:catAx>
      <c:valAx>
        <c:axId val="285003776"/>
        <c:scaling>
          <c:orientation val="minMax"/>
        </c:scaling>
        <c:delete val="0"/>
        <c:axPos val="l"/>
        <c:majorGridlines>
          <c:spPr>
            <a:ln w="9525" cap="flat" cmpd="sng" algn="ctr">
              <a:solidFill>
                <a:schemeClr val="tx1">
                  <a:lumMod val="15000"/>
                  <a:lumOff val="850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49937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409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192</Pages>
  <Words>76632</Words>
  <Characters>108842</Characters>
  <Lines>167</Lines>
  <Paragraphs>47</Paragraphs>
  <TotalTime>0</TotalTime>
  <ScaleCrop>false</ScaleCrop>
  <LinksUpToDate>false</LinksUpToDate>
  <CharactersWithSpaces>111686</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2020-10-14T10:42:00Z</dcterms:created>
  <dc:creator>NC171413</dc:creator>
  <cp:lastModifiedBy>zzz</cp:lastModifiedBy>
  <cp:lastPrinted>2021-11-09T13:57:00Z</cp:lastPrinted>
  <dcterms:modified xsi:type="dcterms:W3CDTF">2024-09-23T12:30:40Z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E036B6173DB4456B80EE277D9BE17675_13</vt:lpwstr>
  </property>
</Properties>
</file>